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B6C23">
      <w:pPr>
        <w:pStyle w:val="7"/>
        <w:rPr>
          <w:rFonts w:ascii="Times New Roman"/>
          <w:sz w:val="20"/>
        </w:rPr>
      </w:pPr>
    </w:p>
    <w:p w14:paraId="33BB2C00">
      <w:pPr>
        <w:pStyle w:val="7"/>
        <w:rPr>
          <w:rFonts w:ascii="Times New Roman"/>
          <w:sz w:val="20"/>
        </w:rPr>
      </w:pPr>
    </w:p>
    <w:p w14:paraId="1FFE9C5F">
      <w:pPr>
        <w:pStyle w:val="7"/>
        <w:rPr>
          <w:rFonts w:ascii="Times New Roman"/>
          <w:sz w:val="20"/>
        </w:rPr>
      </w:pPr>
    </w:p>
    <w:p w14:paraId="2803A84B">
      <w:pPr>
        <w:pStyle w:val="7"/>
        <w:spacing w:before="3"/>
        <w:rPr>
          <w:rFonts w:ascii="Times New Roman"/>
          <w:sz w:val="19"/>
        </w:rPr>
      </w:pPr>
    </w:p>
    <w:p w14:paraId="54D8D4A2">
      <w:pPr>
        <w:spacing w:before="36"/>
        <w:ind w:left="328" w:right="329" w:firstLine="0"/>
        <w:jc w:val="center"/>
        <w:rPr>
          <w:b/>
          <w:sz w:val="46"/>
        </w:rPr>
      </w:pPr>
      <w:r>
        <w:rPr>
          <w:b/>
          <w:sz w:val="46"/>
        </w:rPr>
        <w:t>岳阳县惠康农业有限公司</w:t>
      </w:r>
    </w:p>
    <w:p w14:paraId="2A63DD54">
      <w:pPr>
        <w:spacing w:before="208"/>
        <w:ind w:left="329" w:right="329" w:firstLine="0"/>
        <w:jc w:val="center"/>
        <w:rPr>
          <w:b/>
          <w:sz w:val="46"/>
        </w:rPr>
      </w:pPr>
      <w:r>
        <w:rPr>
          <w:b/>
          <w:sz w:val="46"/>
        </w:rPr>
        <w:t>岳阳县畜禽屠宰场及冷链物流建设项目</w:t>
      </w:r>
    </w:p>
    <w:p w14:paraId="2798DBDF">
      <w:pPr>
        <w:spacing w:before="211"/>
        <w:ind w:left="269" w:right="329" w:firstLine="0"/>
        <w:jc w:val="center"/>
        <w:rPr>
          <w:b/>
          <w:sz w:val="72"/>
        </w:rPr>
      </w:pPr>
      <w:r>
        <w:rPr>
          <w:b/>
          <w:spacing w:val="51"/>
          <w:sz w:val="72"/>
        </w:rPr>
        <w:t>环境影响报告书</w:t>
      </w:r>
    </w:p>
    <w:p w14:paraId="426D19FB">
      <w:pPr>
        <w:spacing w:before="205"/>
        <w:ind w:left="329" w:right="329" w:firstLine="0"/>
        <w:jc w:val="center"/>
        <w:rPr>
          <w:b/>
          <w:sz w:val="36"/>
        </w:rPr>
      </w:pPr>
      <w:r>
        <w:rPr>
          <w:b/>
          <w:sz w:val="36"/>
        </w:rPr>
        <w:t>（送审稿）</w:t>
      </w:r>
    </w:p>
    <w:p w14:paraId="0A22F9AA">
      <w:pPr>
        <w:pStyle w:val="7"/>
        <w:rPr>
          <w:b/>
          <w:sz w:val="36"/>
        </w:rPr>
      </w:pPr>
    </w:p>
    <w:p w14:paraId="4FD1A4D1">
      <w:pPr>
        <w:pStyle w:val="7"/>
        <w:rPr>
          <w:b/>
          <w:sz w:val="36"/>
        </w:rPr>
      </w:pPr>
    </w:p>
    <w:p w14:paraId="0B730778">
      <w:pPr>
        <w:pStyle w:val="7"/>
        <w:rPr>
          <w:b/>
          <w:sz w:val="36"/>
        </w:rPr>
      </w:pPr>
    </w:p>
    <w:p w14:paraId="5B92BB5E">
      <w:pPr>
        <w:pStyle w:val="7"/>
        <w:rPr>
          <w:b/>
          <w:sz w:val="36"/>
        </w:rPr>
      </w:pPr>
    </w:p>
    <w:p w14:paraId="3D30C291">
      <w:pPr>
        <w:pStyle w:val="7"/>
        <w:rPr>
          <w:b/>
          <w:sz w:val="36"/>
        </w:rPr>
      </w:pPr>
    </w:p>
    <w:p w14:paraId="3BA4C026">
      <w:pPr>
        <w:pStyle w:val="7"/>
        <w:rPr>
          <w:b/>
          <w:sz w:val="36"/>
        </w:rPr>
      </w:pPr>
    </w:p>
    <w:p w14:paraId="13D846B6">
      <w:pPr>
        <w:pStyle w:val="7"/>
        <w:rPr>
          <w:b/>
          <w:sz w:val="36"/>
        </w:rPr>
      </w:pPr>
    </w:p>
    <w:p w14:paraId="449F4A70">
      <w:pPr>
        <w:pStyle w:val="7"/>
        <w:rPr>
          <w:b/>
          <w:sz w:val="36"/>
        </w:rPr>
      </w:pPr>
    </w:p>
    <w:p w14:paraId="5FBE8634">
      <w:pPr>
        <w:pStyle w:val="7"/>
        <w:rPr>
          <w:b/>
          <w:sz w:val="36"/>
        </w:rPr>
      </w:pPr>
    </w:p>
    <w:p w14:paraId="72A3D4D4">
      <w:pPr>
        <w:pStyle w:val="7"/>
        <w:spacing w:before="10"/>
        <w:rPr>
          <w:b/>
          <w:sz w:val="45"/>
        </w:rPr>
      </w:pPr>
    </w:p>
    <w:p w14:paraId="06546E60">
      <w:pPr>
        <w:spacing w:before="0" w:line="348" w:lineRule="auto"/>
        <w:ind w:left="840" w:right="1562" w:firstLine="0"/>
        <w:jc w:val="left"/>
        <w:rPr>
          <w:b/>
          <w:sz w:val="36"/>
        </w:rPr>
      </w:pPr>
      <w:r>
        <w:rPr>
          <w:b/>
          <w:sz w:val="36"/>
        </w:rPr>
        <w:t>建设单位：</w:t>
      </w:r>
      <w:r>
        <w:rPr>
          <w:b/>
          <w:sz w:val="36"/>
          <w:u w:val="single"/>
        </w:rPr>
        <w:t>岳阳县惠康农业有限公司</w:t>
      </w:r>
      <w:r>
        <w:rPr>
          <w:b/>
          <w:sz w:val="36"/>
        </w:rPr>
        <w:t xml:space="preserve"> 评价单位：</w:t>
      </w:r>
      <w:r>
        <w:rPr>
          <w:b/>
          <w:sz w:val="36"/>
          <w:u w:val="single"/>
        </w:rPr>
        <w:t>湖南义格环保科技有限公司</w:t>
      </w:r>
    </w:p>
    <w:p w14:paraId="0A4D1712">
      <w:pPr>
        <w:spacing w:before="0" w:line="456" w:lineRule="exact"/>
        <w:ind w:left="329" w:right="329" w:firstLine="0"/>
        <w:jc w:val="center"/>
        <w:rPr>
          <w:b/>
          <w:sz w:val="36"/>
        </w:rPr>
      </w:pPr>
      <w:r>
        <w:rPr>
          <w:b/>
          <w:sz w:val="36"/>
        </w:rPr>
        <w:t>二○二四年九月</w:t>
      </w:r>
    </w:p>
    <w:p w14:paraId="70FEB005">
      <w:pPr>
        <w:spacing w:after="0" w:line="456" w:lineRule="exact"/>
        <w:jc w:val="center"/>
        <w:rPr>
          <w:sz w:val="36"/>
        </w:rPr>
        <w:sectPr>
          <w:type w:val="continuous"/>
          <w:pgSz w:w="11910" w:h="16840"/>
          <w:pgMar w:top="1580" w:right="1680" w:bottom="280" w:left="1680" w:header="720" w:footer="720" w:gutter="0"/>
          <w:cols w:space="720" w:num="1"/>
        </w:sectPr>
      </w:pPr>
    </w:p>
    <w:p w14:paraId="395E8974">
      <w:pPr>
        <w:pStyle w:val="7"/>
        <w:rPr>
          <w:b/>
          <w:sz w:val="20"/>
        </w:rPr>
      </w:pPr>
    </w:p>
    <w:p w14:paraId="77C3E6BD">
      <w:pPr>
        <w:pStyle w:val="7"/>
        <w:rPr>
          <w:b/>
          <w:sz w:val="20"/>
        </w:rPr>
      </w:pPr>
    </w:p>
    <w:p w14:paraId="51BC06E9">
      <w:pPr>
        <w:pStyle w:val="7"/>
        <w:rPr>
          <w:b/>
          <w:sz w:val="20"/>
        </w:rPr>
      </w:pPr>
    </w:p>
    <w:p w14:paraId="6EC5937A">
      <w:pPr>
        <w:pStyle w:val="7"/>
        <w:rPr>
          <w:b/>
          <w:sz w:val="20"/>
        </w:rPr>
      </w:pPr>
    </w:p>
    <w:p w14:paraId="609FA65D">
      <w:pPr>
        <w:pStyle w:val="7"/>
        <w:rPr>
          <w:b/>
          <w:sz w:val="20"/>
        </w:rPr>
      </w:pPr>
    </w:p>
    <w:p w14:paraId="250F1CD1">
      <w:pPr>
        <w:pStyle w:val="7"/>
        <w:rPr>
          <w:b/>
          <w:sz w:val="20"/>
        </w:rPr>
      </w:pPr>
    </w:p>
    <w:p w14:paraId="2FD79A56">
      <w:pPr>
        <w:pStyle w:val="7"/>
        <w:rPr>
          <w:b/>
          <w:sz w:val="20"/>
        </w:rPr>
      </w:pPr>
    </w:p>
    <w:p w14:paraId="08AECF0F">
      <w:pPr>
        <w:pStyle w:val="7"/>
        <w:spacing w:before="12"/>
        <w:rPr>
          <w:b/>
          <w:sz w:val="27"/>
        </w:rPr>
      </w:pPr>
    </w:p>
    <w:p w14:paraId="2B12A4ED">
      <w:pPr>
        <w:pStyle w:val="7"/>
        <w:rPr>
          <w:sz w:val="20"/>
        </w:rPr>
      </w:pPr>
    </w:p>
    <w:p w14:paraId="1D0478CB">
      <w:pPr>
        <w:pStyle w:val="7"/>
        <w:rPr>
          <w:sz w:val="20"/>
        </w:rPr>
      </w:pPr>
    </w:p>
    <w:p w14:paraId="4C7C0F93">
      <w:pPr>
        <w:pStyle w:val="7"/>
        <w:spacing w:before="8"/>
        <w:rPr>
          <w:sz w:val="19"/>
        </w:rPr>
      </w:pPr>
      <w:r>
        <w:drawing>
          <wp:anchor distT="0" distB="0" distL="0" distR="0" simplePos="0" relativeHeight="251659264" behindDoc="0" locked="0" layoutInCell="1" allowOverlap="1">
            <wp:simplePos x="0" y="0"/>
            <wp:positionH relativeFrom="page">
              <wp:posOffset>5323205</wp:posOffset>
            </wp:positionH>
            <wp:positionV relativeFrom="paragraph">
              <wp:posOffset>184785</wp:posOffset>
            </wp:positionV>
            <wp:extent cx="451485" cy="411480"/>
            <wp:effectExtent l="0" t="0" r="0" b="0"/>
            <wp:wrapTopAndBottom/>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a:picLocks noChangeAspect="1"/>
                    </pic:cNvPicPr>
                  </pic:nvPicPr>
                  <pic:blipFill>
                    <a:blip r:embed="rId60" cstate="print"/>
                    <a:stretch>
                      <a:fillRect/>
                    </a:stretch>
                  </pic:blipFill>
                  <pic:spPr>
                    <a:xfrm>
                      <a:off x="0" y="0"/>
                      <a:ext cx="451329" cy="411289"/>
                    </a:xfrm>
                    <a:prstGeom prst="rect">
                      <a:avLst/>
                    </a:prstGeom>
                  </pic:spPr>
                </pic:pic>
              </a:graphicData>
            </a:graphic>
          </wp:anchor>
        </w:drawing>
      </w:r>
    </w:p>
    <w:p w14:paraId="6C5DA064">
      <w:pPr>
        <w:spacing w:after="0"/>
        <w:rPr>
          <w:sz w:val="19"/>
        </w:rPr>
        <w:sectPr>
          <w:type w:val="continuous"/>
          <w:pgSz w:w="11910" w:h="16840"/>
          <w:pgMar w:top="1580" w:right="460" w:bottom="280" w:left="1580" w:header="720" w:footer="720" w:gutter="0"/>
          <w:cols w:space="720" w:num="1"/>
        </w:sectPr>
      </w:pPr>
    </w:p>
    <w:p w14:paraId="67EA8C0F">
      <w:pPr>
        <w:spacing w:before="69"/>
        <w:ind w:left="2563" w:right="3685" w:firstLine="0"/>
        <w:jc w:val="center"/>
        <w:rPr>
          <w:b/>
          <w:sz w:val="32"/>
        </w:rPr>
      </w:pPr>
      <w:r>
        <w:rPr>
          <w:b/>
          <w:sz w:val="32"/>
        </w:rPr>
        <w:t>目 录</w:t>
      </w:r>
    </w:p>
    <w:p w14:paraId="61E2F2EF">
      <w:pPr>
        <w:spacing w:after="0"/>
        <w:jc w:val="center"/>
        <w:rPr>
          <w:sz w:val="32"/>
        </w:rPr>
        <w:sectPr>
          <w:headerReference r:id="rId5" w:type="default"/>
          <w:footerReference r:id="rId6" w:type="default"/>
          <w:pgSz w:w="11910" w:h="16840"/>
          <w:pgMar w:top="1360" w:right="460" w:bottom="971" w:left="1580" w:header="878" w:footer="1204" w:gutter="0"/>
          <w:cols w:space="720" w:num="1"/>
        </w:sectPr>
      </w:pPr>
    </w:p>
    <w:sdt>
      <w:sdtPr>
        <w:id w:val="147470804"/>
        <w:docPartObj>
          <w:docPartGallery w:val="Table of Contents"/>
          <w:docPartUnique/>
        </w:docPartObj>
      </w:sdtPr>
      <w:sdtContent>
        <w:p w14:paraId="09E3F23F">
          <w:pPr>
            <w:pStyle w:val="8"/>
            <w:numPr>
              <w:ilvl w:val="0"/>
              <w:numId w:val="1"/>
            </w:numPr>
            <w:tabs>
              <w:tab w:val="left" w:pos="391"/>
              <w:tab w:val="right" w:leader="dot" w:pos="8516"/>
            </w:tabs>
            <w:spacing w:before="203" w:after="0" w:line="240" w:lineRule="auto"/>
            <w:ind w:left="390" w:right="0" w:hanging="170"/>
            <w:jc w:val="left"/>
            <w:rPr>
              <w:rFonts w:ascii="Times New Roman" w:eastAsia="Times New Roman"/>
            </w:rPr>
          </w:pPr>
          <w:r>
            <w:fldChar w:fldCharType="begin"/>
          </w:r>
          <w:r>
            <w:instrText xml:space="preserve"> HYPERLINK \l "_bookmark0" </w:instrText>
          </w:r>
          <w:r>
            <w:fldChar w:fldCharType="separate"/>
          </w:r>
          <w:r>
            <w:t>概 述</w:t>
          </w:r>
          <w:r>
            <w:tab/>
          </w:r>
          <w:r>
            <w:rPr>
              <w:rFonts w:ascii="Times New Roman" w:eastAsia="Times New Roman"/>
            </w:rPr>
            <w:t>1</w:t>
          </w:r>
          <w:r>
            <w:rPr>
              <w:rFonts w:ascii="Times New Roman" w:eastAsia="Times New Roman"/>
            </w:rPr>
            <w:fldChar w:fldCharType="end"/>
          </w:r>
        </w:p>
        <w:p w14:paraId="4427615B">
          <w:pPr>
            <w:pStyle w:val="9"/>
            <w:numPr>
              <w:ilvl w:val="1"/>
              <w:numId w:val="1"/>
            </w:numPr>
            <w:tabs>
              <w:tab w:val="left" w:pos="777"/>
              <w:tab w:val="right" w:leader="dot" w:pos="8516"/>
            </w:tabs>
            <w:spacing w:before="213" w:after="0" w:line="240" w:lineRule="auto"/>
            <w:ind w:left="776" w:right="0" w:hanging="348"/>
            <w:jc w:val="left"/>
            <w:rPr>
              <w:rFonts w:ascii="Times New Roman" w:eastAsia="Times New Roman"/>
            </w:rPr>
          </w:pPr>
          <w:r>
            <w:fldChar w:fldCharType="begin"/>
          </w:r>
          <w:r>
            <w:instrText xml:space="preserve"> HYPERLINK \l "_bookmark1" </w:instrText>
          </w:r>
          <w:r>
            <w:fldChar w:fldCharType="separate"/>
          </w:r>
          <w:r>
            <w:t>项目由来及特点</w:t>
          </w:r>
          <w:r>
            <w:tab/>
          </w:r>
          <w:r>
            <w:rPr>
              <w:rFonts w:ascii="Times New Roman" w:eastAsia="Times New Roman"/>
            </w:rPr>
            <w:t>1</w:t>
          </w:r>
          <w:r>
            <w:rPr>
              <w:rFonts w:ascii="Times New Roman" w:eastAsia="Times New Roman"/>
            </w:rPr>
            <w:fldChar w:fldCharType="end"/>
          </w:r>
        </w:p>
        <w:p w14:paraId="3286DFAC">
          <w:pPr>
            <w:pStyle w:val="9"/>
            <w:numPr>
              <w:ilvl w:val="1"/>
              <w:numId w:val="1"/>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"_bookmark2" </w:instrText>
          </w:r>
          <w:r>
            <w:fldChar w:fldCharType="separate"/>
          </w:r>
          <w:r>
            <w:t>环境影响评价的工作过程</w:t>
          </w:r>
          <w:r>
            <w:tab/>
          </w:r>
          <w:r>
            <w:rPr>
              <w:rFonts w:ascii="Times New Roman" w:eastAsia="Times New Roman"/>
            </w:rPr>
            <w:t>2</w:t>
          </w:r>
          <w:r>
            <w:rPr>
              <w:rFonts w:ascii="Times New Roman" w:eastAsia="Times New Roman"/>
            </w:rPr>
            <w:fldChar w:fldCharType="end"/>
          </w:r>
        </w:p>
        <w:p w14:paraId="67859A7A">
          <w:pPr>
            <w:pStyle w:val="9"/>
            <w:numPr>
              <w:ilvl w:val="1"/>
              <w:numId w:val="1"/>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"_bookmark3" </w:instrText>
          </w:r>
          <w:r>
            <w:fldChar w:fldCharType="separate"/>
          </w:r>
          <w:r>
            <w:t>分析判定相关情况</w:t>
          </w:r>
          <w:r>
            <w:tab/>
          </w:r>
          <w:r>
            <w:rPr>
              <w:rFonts w:ascii="Times New Roman" w:eastAsia="Times New Roman"/>
            </w:rPr>
            <w:t>3</w:t>
          </w:r>
          <w:r>
            <w:rPr>
              <w:rFonts w:ascii="Times New Roman" w:eastAsia="Times New Roman"/>
            </w:rPr>
            <w:fldChar w:fldCharType="end"/>
          </w:r>
        </w:p>
        <w:p w14:paraId="1E4335E5">
          <w:pPr>
            <w:pStyle w:val="9"/>
            <w:numPr>
              <w:ilvl w:val="1"/>
              <w:numId w:val="1"/>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"_bookmark4" </w:instrText>
          </w:r>
          <w:r>
            <w:fldChar w:fldCharType="separate"/>
          </w:r>
          <w:r>
            <w:t>关注的主要环境问题和环境影响</w:t>
          </w:r>
          <w:r>
            <w:tab/>
          </w:r>
          <w:r>
            <w:rPr>
              <w:rFonts w:ascii="Times New Roman" w:eastAsia="Times New Roman"/>
            </w:rPr>
            <w:t>19</w:t>
          </w:r>
          <w:r>
            <w:rPr>
              <w:rFonts w:ascii="Times New Roman" w:eastAsia="Times New Roman"/>
            </w:rPr>
            <w:fldChar w:fldCharType="end"/>
          </w:r>
        </w:p>
        <w:p w14:paraId="5E69556E">
          <w:pPr>
            <w:pStyle w:val="9"/>
            <w:numPr>
              <w:ilvl w:val="1"/>
              <w:numId w:val="1"/>
            </w:numPr>
            <w:tabs>
              <w:tab w:val="left" w:pos="777"/>
              <w:tab w:val="right" w:leader="dot" w:pos="8516"/>
            </w:tabs>
            <w:spacing w:before="94" w:after="0" w:line="240" w:lineRule="auto"/>
            <w:ind w:left="776" w:right="0" w:hanging="348"/>
            <w:jc w:val="left"/>
            <w:rPr>
              <w:rFonts w:ascii="Times New Roman" w:eastAsia="Times New Roman"/>
            </w:rPr>
          </w:pPr>
          <w:r>
            <w:fldChar w:fldCharType="begin"/>
          </w:r>
          <w:r>
            <w:instrText xml:space="preserve"> HYPERLINK \l "_bookmark5" </w:instrText>
          </w:r>
          <w:r>
            <w:fldChar w:fldCharType="separate"/>
          </w:r>
          <w:r>
            <w:t>环境影响评价的主要结论</w:t>
          </w:r>
          <w:r>
            <w:tab/>
          </w:r>
          <w:r>
            <w:rPr>
              <w:rFonts w:ascii="Times New Roman" w:eastAsia="Times New Roman"/>
            </w:rPr>
            <w:t>20</w:t>
          </w:r>
          <w:r>
            <w:rPr>
              <w:rFonts w:ascii="Times New Roman" w:eastAsia="Times New Roman"/>
            </w:rPr>
            <w:fldChar w:fldCharType="end"/>
          </w:r>
        </w:p>
        <w:p w14:paraId="40CDA73D">
          <w:pPr>
            <w:pStyle w:val="8"/>
            <w:tabs>
              <w:tab w:val="right" w:leader="dot" w:pos="8516"/>
            </w:tabs>
            <w:spacing w:before="211"/>
            <w:ind w:left="220" w:firstLine="0"/>
            <w:rPr>
              <w:rFonts w:ascii="Times New Roman" w:eastAsia="Times New Roman"/>
            </w:rPr>
          </w:pPr>
          <w:r>
            <w:fldChar w:fldCharType="begin"/>
          </w:r>
          <w:r>
            <w:instrText xml:space="preserve"> HYPERLINK \l "_bookmark6" </w:instrText>
          </w:r>
          <w:r>
            <w:fldChar w:fldCharType="separate"/>
          </w:r>
          <w:r>
            <w:rPr>
              <w:rFonts w:ascii="Times New Roman" w:eastAsia="Times New Roman"/>
            </w:rPr>
            <w:t>2</w:t>
          </w:r>
          <w:r>
            <w:rPr>
              <w:rFonts w:ascii="Times New Roman" w:eastAsia="Times New Roman"/>
              <w:spacing w:val="-11"/>
            </w:rPr>
            <w:t xml:space="preserve"> </w:t>
          </w:r>
          <w:r>
            <w:t>总 则</w:t>
          </w:r>
          <w:r>
            <w:tab/>
          </w:r>
          <w:r>
            <w:rPr>
              <w:rFonts w:ascii="Times New Roman" w:eastAsia="Times New Roman"/>
            </w:rPr>
            <w:t>21</w:t>
          </w:r>
          <w:r>
            <w:rPr>
              <w:rFonts w:ascii="Times New Roman" w:eastAsia="Times New Roman"/>
            </w:rPr>
            <w:fldChar w:fldCharType="end"/>
          </w:r>
        </w:p>
        <w:p w14:paraId="68FD1BD8">
          <w:pPr>
            <w:pStyle w:val="9"/>
            <w:numPr>
              <w:ilvl w:val="1"/>
              <w:numId w:val="2"/>
            </w:numPr>
            <w:tabs>
              <w:tab w:val="left" w:pos="777"/>
              <w:tab w:val="right" w:leader="dot" w:pos="8516"/>
            </w:tabs>
            <w:spacing w:before="213" w:after="0" w:line="240" w:lineRule="auto"/>
            <w:ind w:left="776" w:right="0" w:hanging="348"/>
            <w:jc w:val="left"/>
            <w:rPr>
              <w:rFonts w:ascii="Times New Roman" w:eastAsia="Times New Roman"/>
            </w:rPr>
          </w:pPr>
          <w:r>
            <w:fldChar w:fldCharType="begin"/>
          </w:r>
          <w:r>
            <w:instrText xml:space="preserve"> HYPERLINK \l "_bookmark7" </w:instrText>
          </w:r>
          <w:r>
            <w:fldChar w:fldCharType="separate"/>
          </w:r>
          <w:r>
            <w:t>编制依据</w:t>
          </w:r>
          <w:r>
            <w:tab/>
          </w:r>
          <w:r>
            <w:rPr>
              <w:rFonts w:ascii="Times New Roman" w:eastAsia="Times New Roman"/>
            </w:rPr>
            <w:t>21</w:t>
          </w:r>
          <w:r>
            <w:rPr>
              <w:rFonts w:ascii="Times New Roman" w:eastAsia="Times New Roman"/>
            </w:rPr>
            <w:fldChar w:fldCharType="end"/>
          </w:r>
        </w:p>
        <w:p w14:paraId="3EDC71DC">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"_bookmark8" </w:instrText>
          </w:r>
          <w:r>
            <w:fldChar w:fldCharType="separate"/>
          </w:r>
          <w:r>
            <w:t>评价目的与评价原则</w:t>
          </w:r>
          <w:r>
            <w:tab/>
          </w:r>
          <w:r>
            <w:rPr>
              <w:rFonts w:ascii="Times New Roman" w:eastAsia="Times New Roman"/>
            </w:rPr>
            <w:t>25</w:t>
          </w:r>
          <w:r>
            <w:rPr>
              <w:rFonts w:ascii="Times New Roman" w:eastAsia="Times New Roman"/>
            </w:rPr>
            <w:fldChar w:fldCharType="end"/>
          </w:r>
        </w:p>
        <w:p w14:paraId="4679162C">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"_bookmark9" </w:instrText>
          </w:r>
          <w:r>
            <w:fldChar w:fldCharType="separate"/>
          </w:r>
          <w:r>
            <w:t>评价重点与评价因子</w:t>
          </w:r>
          <w:r>
            <w:tab/>
          </w:r>
          <w:r>
            <w:rPr>
              <w:rFonts w:ascii="Times New Roman" w:eastAsia="Times New Roman"/>
            </w:rPr>
            <w:t>26</w:t>
          </w:r>
          <w:r>
            <w:rPr>
              <w:rFonts w:ascii="Times New Roman" w:eastAsia="Times New Roman"/>
            </w:rPr>
            <w:fldChar w:fldCharType="end"/>
          </w:r>
        </w:p>
        <w:p w14:paraId="0BEF8DBF">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"_bookmark10" </w:instrText>
          </w:r>
          <w:r>
            <w:fldChar w:fldCharType="separate"/>
          </w:r>
          <w:r>
            <w:t>评价标准</w:t>
          </w:r>
          <w:r>
            <w:tab/>
          </w:r>
          <w:r>
            <w:rPr>
              <w:rFonts w:ascii="Times New Roman" w:eastAsia="Times New Roman"/>
            </w:rPr>
            <w:t>28</w:t>
          </w:r>
          <w:r>
            <w:rPr>
              <w:rFonts w:ascii="Times New Roman" w:eastAsia="Times New Roman"/>
            </w:rPr>
            <w:fldChar w:fldCharType="end"/>
          </w:r>
        </w:p>
        <w:p w14:paraId="7B7E7254">
          <w:pPr>
            <w:pStyle w:val="9"/>
            <w:numPr>
              <w:ilvl w:val="1"/>
              <w:numId w:val="2"/>
            </w:numPr>
            <w:tabs>
              <w:tab w:val="left" w:pos="777"/>
              <w:tab w:val="right" w:leader="dot" w:pos="8516"/>
            </w:tabs>
            <w:spacing w:before="94" w:after="0" w:line="240" w:lineRule="auto"/>
            <w:ind w:left="776" w:right="0" w:hanging="348"/>
            <w:jc w:val="left"/>
            <w:rPr>
              <w:rFonts w:ascii="Times New Roman" w:eastAsia="Times New Roman"/>
            </w:rPr>
          </w:pPr>
          <w:r>
            <w:fldChar w:fldCharType="begin"/>
          </w:r>
          <w:r>
            <w:instrText xml:space="preserve"> HYPERLINK \l "_bookmark11" </w:instrText>
          </w:r>
          <w:r>
            <w:fldChar w:fldCharType="separate"/>
          </w:r>
          <w:r>
            <w:t>评价工作等级和评价范围</w:t>
          </w:r>
          <w:r>
            <w:tab/>
          </w:r>
          <w:r>
            <w:rPr>
              <w:rFonts w:ascii="Times New Roman" w:eastAsia="Times New Roman"/>
            </w:rPr>
            <w:t>33</w:t>
          </w:r>
          <w:r>
            <w:rPr>
              <w:rFonts w:ascii="Times New Roman" w:eastAsia="Times New Roman"/>
            </w:rPr>
            <w:fldChar w:fldCharType="end"/>
          </w:r>
        </w:p>
        <w:p w14:paraId="0455B8D7">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"_bookmark12" </w:instrText>
          </w:r>
          <w:r>
            <w:fldChar w:fldCharType="separate"/>
          </w:r>
          <w:r>
            <w:t>环境保护目标</w:t>
          </w:r>
          <w:r>
            <w:tab/>
          </w:r>
          <w:r>
            <w:rPr>
              <w:rFonts w:ascii="Times New Roman" w:eastAsia="Times New Roman"/>
            </w:rPr>
            <w:t>40</w:t>
          </w:r>
          <w:r>
            <w:rPr>
              <w:rFonts w:ascii="Times New Roman" w:eastAsia="Times New Roman"/>
            </w:rPr>
            <w:fldChar w:fldCharType="end"/>
          </w:r>
        </w:p>
        <w:p w14:paraId="1E3A65C1">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"_bookmark13" </w:instrText>
          </w:r>
          <w:r>
            <w:fldChar w:fldCharType="separate"/>
          </w:r>
          <w:r>
            <w:t>环境功能区划</w:t>
          </w:r>
          <w:r>
            <w:tab/>
          </w:r>
          <w:r>
            <w:rPr>
              <w:rFonts w:ascii="Times New Roman" w:eastAsia="Times New Roman"/>
            </w:rPr>
            <w:t>41</w:t>
          </w:r>
          <w:r>
            <w:rPr>
              <w:rFonts w:ascii="Times New Roman" w:eastAsia="Times New Roman"/>
            </w:rPr>
            <w:fldChar w:fldCharType="end"/>
          </w:r>
        </w:p>
        <w:p w14:paraId="1AD3928A">
          <w:pPr>
            <w:pStyle w:val="8"/>
            <w:numPr>
              <w:ilvl w:val="0"/>
              <w:numId w:val="2"/>
            </w:numPr>
            <w:tabs>
              <w:tab w:val="left" w:pos="391"/>
              <w:tab w:val="right" w:leader="dot" w:pos="8516"/>
            </w:tabs>
            <w:spacing w:before="213" w:after="0" w:line="240" w:lineRule="auto"/>
            <w:ind w:left="390" w:right="0" w:hanging="170"/>
            <w:jc w:val="left"/>
            <w:rPr>
              <w:rFonts w:ascii="Times New Roman" w:eastAsia="Times New Roman"/>
            </w:rPr>
          </w:pPr>
          <w:r>
            <w:fldChar w:fldCharType="begin"/>
          </w:r>
          <w:r>
            <w:instrText xml:space="preserve"> HYPERLINK \l "_bookmark14" </w:instrText>
          </w:r>
          <w:r>
            <w:fldChar w:fldCharType="separate"/>
          </w:r>
          <w:r>
            <w:t>建设项目工程分析</w:t>
          </w:r>
          <w:r>
            <w:tab/>
          </w:r>
          <w:r>
            <w:rPr>
              <w:rFonts w:ascii="Times New Roman" w:eastAsia="Times New Roman"/>
            </w:rPr>
            <w:t>43</w:t>
          </w:r>
          <w:r>
            <w:rPr>
              <w:rFonts w:ascii="Times New Roman" w:eastAsia="Times New Roman"/>
            </w:rPr>
            <w:fldChar w:fldCharType="end"/>
          </w:r>
        </w:p>
        <w:p w14:paraId="7E8D3788">
          <w:pPr>
            <w:pStyle w:val="9"/>
            <w:numPr>
              <w:ilvl w:val="1"/>
              <w:numId w:val="2"/>
            </w:numPr>
            <w:tabs>
              <w:tab w:val="left" w:pos="777"/>
              <w:tab w:val="right" w:leader="dot" w:pos="8516"/>
            </w:tabs>
            <w:spacing w:before="211" w:after="0" w:line="240" w:lineRule="auto"/>
            <w:ind w:left="776" w:right="0" w:hanging="348"/>
            <w:jc w:val="left"/>
            <w:rPr>
              <w:rFonts w:ascii="Times New Roman" w:eastAsia="Times New Roman"/>
            </w:rPr>
          </w:pPr>
          <w:r>
            <w:fldChar w:fldCharType="begin"/>
          </w:r>
          <w:r>
            <w:instrText xml:space="preserve"> HYPERLINK \l "_bookmark15" </w:instrText>
          </w:r>
          <w:r>
            <w:fldChar w:fldCharType="separate"/>
          </w:r>
          <w:r>
            <w:t>拟建项目基本情况</w:t>
          </w:r>
          <w:r>
            <w:tab/>
          </w:r>
          <w:r>
            <w:rPr>
              <w:rFonts w:ascii="Times New Roman" w:eastAsia="Times New Roman"/>
            </w:rPr>
            <w:t>43</w:t>
          </w:r>
          <w:r>
            <w:rPr>
              <w:rFonts w:ascii="Times New Roman" w:eastAsia="Times New Roman"/>
            </w:rPr>
            <w:fldChar w:fldCharType="end"/>
          </w:r>
        </w:p>
        <w:p w14:paraId="36C1AAB9">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"_bookmark16" </w:instrText>
          </w:r>
          <w:r>
            <w:fldChar w:fldCharType="separate"/>
          </w:r>
          <w:r>
            <w:t>建设规模和产品方案</w:t>
          </w:r>
          <w:r>
            <w:tab/>
          </w:r>
          <w:r>
            <w:rPr>
              <w:rFonts w:ascii="Times New Roman" w:eastAsia="Times New Roman"/>
            </w:rPr>
            <w:t>43</w:t>
          </w:r>
          <w:r>
            <w:rPr>
              <w:rFonts w:ascii="Times New Roman" w:eastAsia="Times New Roman"/>
            </w:rPr>
            <w:fldChar w:fldCharType="end"/>
          </w:r>
        </w:p>
        <w:p w14:paraId="71F11EE7">
          <w:pPr>
            <w:pStyle w:val="9"/>
            <w:numPr>
              <w:ilvl w:val="1"/>
              <w:numId w:val="2"/>
            </w:numPr>
            <w:tabs>
              <w:tab w:val="left" w:pos="777"/>
              <w:tab w:val="right" w:leader="dot" w:pos="8516"/>
            </w:tabs>
            <w:spacing w:before="94" w:after="0" w:line="240" w:lineRule="auto"/>
            <w:ind w:left="776" w:right="0" w:hanging="348"/>
            <w:jc w:val="left"/>
            <w:rPr>
              <w:rFonts w:ascii="Times New Roman" w:eastAsia="Times New Roman"/>
            </w:rPr>
          </w:pPr>
          <w:r>
            <w:fldChar w:fldCharType="begin"/>
          </w:r>
          <w:r>
            <w:instrText xml:space="preserve"> HYPERLINK \l "_bookmark17" </w:instrText>
          </w:r>
          <w:r>
            <w:fldChar w:fldCharType="separate"/>
          </w:r>
          <w:r>
            <w:t>项目组成和建设内容</w:t>
          </w:r>
          <w:r>
            <w:tab/>
          </w:r>
          <w:r>
            <w:rPr>
              <w:rFonts w:ascii="Times New Roman" w:eastAsia="Times New Roman"/>
            </w:rPr>
            <w:t>43</w:t>
          </w:r>
          <w:r>
            <w:rPr>
              <w:rFonts w:ascii="Times New Roman" w:eastAsia="Times New Roman"/>
            </w:rPr>
            <w:fldChar w:fldCharType="end"/>
          </w:r>
        </w:p>
        <w:p w14:paraId="6C58E017">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"_bookmark18" </w:instrText>
          </w:r>
          <w:r>
            <w:fldChar w:fldCharType="separate"/>
          </w:r>
          <w:r>
            <w:t>原辅材料和能源消耗</w:t>
          </w:r>
          <w:r>
            <w:tab/>
          </w:r>
          <w:r>
            <w:rPr>
              <w:rFonts w:ascii="Times New Roman" w:eastAsia="Times New Roman"/>
            </w:rPr>
            <w:t>45</w:t>
          </w:r>
          <w:r>
            <w:rPr>
              <w:rFonts w:ascii="Times New Roman" w:eastAsia="Times New Roman"/>
            </w:rPr>
            <w:fldChar w:fldCharType="end"/>
          </w:r>
        </w:p>
        <w:p w14:paraId="095B594C">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"_bookmark19" </w:instrText>
          </w:r>
          <w:r>
            <w:fldChar w:fldCharType="separate"/>
          </w:r>
          <w:r>
            <w:t>主要设备</w:t>
          </w:r>
          <w:r>
            <w:tab/>
          </w:r>
          <w:r>
            <w:rPr>
              <w:rFonts w:ascii="Times New Roman" w:eastAsia="Times New Roman"/>
            </w:rPr>
            <w:t>46</w:t>
          </w:r>
          <w:r>
            <w:rPr>
              <w:rFonts w:ascii="Times New Roman" w:eastAsia="Times New Roman"/>
            </w:rPr>
            <w:fldChar w:fldCharType="end"/>
          </w:r>
        </w:p>
        <w:p w14:paraId="3B8B47FC">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"_bookmark20" </w:instrText>
          </w:r>
          <w:r>
            <w:fldChar w:fldCharType="separate"/>
          </w:r>
          <w:r>
            <w:t>平面布置及相关工程</w:t>
          </w:r>
          <w:r>
            <w:tab/>
          </w:r>
          <w:r>
            <w:rPr>
              <w:rFonts w:ascii="Times New Roman" w:eastAsia="Times New Roman"/>
            </w:rPr>
            <w:t>53</w:t>
          </w:r>
          <w:r>
            <w:rPr>
              <w:rFonts w:ascii="Times New Roman" w:eastAsia="Times New Roman"/>
            </w:rPr>
            <w:fldChar w:fldCharType="end"/>
          </w:r>
        </w:p>
        <w:p w14:paraId="2F3790EB">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"_bookmark21" </w:instrText>
          </w:r>
          <w:r>
            <w:fldChar w:fldCharType="separate"/>
          </w:r>
          <w:r>
            <w:t>项目工程分析</w:t>
          </w:r>
          <w:r>
            <w:tab/>
          </w:r>
          <w:r>
            <w:rPr>
              <w:rFonts w:ascii="Times New Roman" w:eastAsia="Times New Roman"/>
            </w:rPr>
            <w:t>59</w:t>
          </w:r>
          <w:r>
            <w:rPr>
              <w:rFonts w:ascii="Times New Roman" w:eastAsia="Times New Roman"/>
            </w:rPr>
            <w:fldChar w:fldCharType="end"/>
          </w:r>
        </w:p>
        <w:p w14:paraId="5E553547">
          <w:pPr>
            <w:pStyle w:val="8"/>
            <w:numPr>
              <w:ilvl w:val="0"/>
              <w:numId w:val="2"/>
            </w:numPr>
            <w:tabs>
              <w:tab w:val="left" w:pos="391"/>
              <w:tab w:val="right" w:leader="dot" w:pos="8516"/>
            </w:tabs>
            <w:spacing w:before="213" w:after="0" w:line="240" w:lineRule="auto"/>
            <w:ind w:left="390" w:right="0" w:hanging="170"/>
            <w:jc w:val="left"/>
            <w:rPr>
              <w:rFonts w:ascii="Times New Roman" w:eastAsia="Times New Roman"/>
            </w:rPr>
          </w:pPr>
          <w:r>
            <w:fldChar w:fldCharType="begin"/>
          </w:r>
          <w:r>
            <w:instrText xml:space="preserve"> HYPERLINK \l "_bookmark22" </w:instrText>
          </w:r>
          <w:r>
            <w:fldChar w:fldCharType="separate"/>
          </w:r>
          <w:r>
            <w:t>环境现状调查与评价</w:t>
          </w:r>
          <w:r>
            <w:tab/>
          </w:r>
          <w:r>
            <w:rPr>
              <w:rFonts w:ascii="Times New Roman" w:eastAsia="Times New Roman"/>
            </w:rPr>
            <w:t>86</w:t>
          </w:r>
          <w:r>
            <w:rPr>
              <w:rFonts w:ascii="Times New Roman" w:eastAsia="Times New Roman"/>
            </w:rPr>
            <w:fldChar w:fldCharType="end"/>
          </w:r>
        </w:p>
        <w:p w14:paraId="00CD5787">
          <w:pPr>
            <w:pStyle w:val="9"/>
            <w:numPr>
              <w:ilvl w:val="1"/>
              <w:numId w:val="2"/>
            </w:numPr>
            <w:tabs>
              <w:tab w:val="left" w:pos="777"/>
              <w:tab w:val="right" w:leader="dot" w:pos="8516"/>
            </w:tabs>
            <w:spacing w:before="214" w:after="0" w:line="240" w:lineRule="auto"/>
            <w:ind w:left="776" w:right="0" w:hanging="348"/>
            <w:jc w:val="left"/>
            <w:rPr>
              <w:rFonts w:ascii="Times New Roman" w:eastAsia="Times New Roman"/>
            </w:rPr>
          </w:pPr>
          <w:r>
            <w:fldChar w:fldCharType="begin"/>
          </w:r>
          <w:r>
            <w:instrText xml:space="preserve"> HYPERLINK \l "_bookmark23" </w:instrText>
          </w:r>
          <w:r>
            <w:fldChar w:fldCharType="separate"/>
          </w:r>
          <w:r>
            <w:t>自然环境现状调查与评价</w:t>
          </w:r>
          <w:r>
            <w:tab/>
          </w:r>
          <w:r>
            <w:rPr>
              <w:rFonts w:ascii="Times New Roman" w:eastAsia="Times New Roman"/>
            </w:rPr>
            <w:t>86</w:t>
          </w:r>
          <w:r>
            <w:rPr>
              <w:rFonts w:ascii="Times New Roman" w:eastAsia="Times New Roman"/>
            </w:rPr>
            <w:fldChar w:fldCharType="end"/>
          </w:r>
        </w:p>
        <w:p w14:paraId="4DDAB841">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"_bookmark24" </w:instrText>
          </w:r>
          <w:r>
            <w:fldChar w:fldCharType="separate"/>
          </w:r>
          <w:r>
            <w:t>区域环境质量现状监测与评价</w:t>
          </w:r>
          <w:r>
            <w:tab/>
          </w:r>
          <w:r>
            <w:rPr>
              <w:rFonts w:ascii="Times New Roman" w:eastAsia="Times New Roman"/>
            </w:rPr>
            <w:t>89</w:t>
          </w:r>
          <w:r>
            <w:rPr>
              <w:rFonts w:ascii="Times New Roman" w:eastAsia="Times New Roman"/>
            </w:rPr>
            <w:fldChar w:fldCharType="end"/>
          </w:r>
        </w:p>
        <w:p w14:paraId="0C0E858D">
          <w:pPr>
            <w:pStyle w:val="8"/>
            <w:numPr>
              <w:ilvl w:val="0"/>
              <w:numId w:val="2"/>
            </w:numPr>
            <w:tabs>
              <w:tab w:val="left" w:pos="391"/>
              <w:tab w:val="right" w:leader="dot" w:pos="8516"/>
            </w:tabs>
            <w:spacing w:before="213" w:after="0" w:line="240" w:lineRule="auto"/>
            <w:ind w:left="390" w:right="0" w:hanging="170"/>
            <w:jc w:val="left"/>
            <w:rPr>
              <w:rFonts w:ascii="Times New Roman" w:eastAsia="Times New Roman"/>
            </w:rPr>
          </w:pPr>
          <w:r>
            <w:fldChar w:fldCharType="begin"/>
          </w:r>
          <w:r>
            <w:instrText xml:space="preserve"> HYPERLINK \l "_bookmark25" </w:instrText>
          </w:r>
          <w:r>
            <w:fldChar w:fldCharType="separate"/>
          </w:r>
          <w:r>
            <w:t>环境影响预测与评价</w:t>
          </w:r>
          <w:r>
            <w:tab/>
          </w:r>
          <w:r>
            <w:rPr>
              <w:rFonts w:ascii="Times New Roman" w:eastAsia="Times New Roman"/>
            </w:rPr>
            <w:t>97</w:t>
          </w:r>
          <w:r>
            <w:rPr>
              <w:rFonts w:ascii="Times New Roman" w:eastAsia="Times New Roman"/>
            </w:rPr>
            <w:fldChar w:fldCharType="end"/>
          </w:r>
        </w:p>
        <w:p w14:paraId="21B0F998">
          <w:pPr>
            <w:pStyle w:val="9"/>
            <w:numPr>
              <w:ilvl w:val="1"/>
              <w:numId w:val="2"/>
            </w:numPr>
            <w:tabs>
              <w:tab w:val="left" w:pos="777"/>
              <w:tab w:val="right" w:leader="dot" w:pos="8516"/>
            </w:tabs>
            <w:spacing w:before="213" w:after="0" w:line="240" w:lineRule="auto"/>
            <w:ind w:left="776" w:right="0" w:hanging="348"/>
            <w:jc w:val="left"/>
            <w:rPr>
              <w:rFonts w:ascii="Times New Roman" w:eastAsia="Times New Roman"/>
            </w:rPr>
          </w:pPr>
          <w:r>
            <w:fldChar w:fldCharType="begin"/>
          </w:r>
          <w:r>
            <w:instrText xml:space="preserve"> HYPERLINK \l "_bookmark26" </w:instrText>
          </w:r>
          <w:r>
            <w:fldChar w:fldCharType="separate"/>
          </w:r>
          <w:r>
            <w:t>施工期环境影响分析</w:t>
          </w:r>
          <w:r>
            <w:tab/>
          </w:r>
          <w:r>
            <w:rPr>
              <w:rFonts w:ascii="Times New Roman" w:eastAsia="Times New Roman"/>
            </w:rPr>
            <w:t>97</w:t>
          </w:r>
          <w:r>
            <w:rPr>
              <w:rFonts w:ascii="Times New Roman" w:eastAsia="Times New Roman"/>
            </w:rPr>
            <w:fldChar w:fldCharType="end"/>
          </w:r>
        </w:p>
        <w:p w14:paraId="23142578">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"_bookmark27" </w:instrText>
          </w:r>
          <w:r>
            <w:fldChar w:fldCharType="separate"/>
          </w:r>
          <w:r>
            <w:t>营运期环境影响预测与评价</w:t>
          </w:r>
          <w:r>
            <w:tab/>
          </w:r>
          <w:r>
            <w:rPr>
              <w:rFonts w:ascii="Times New Roman" w:eastAsia="Times New Roman"/>
            </w:rPr>
            <w:t>107</w:t>
          </w:r>
          <w:r>
            <w:rPr>
              <w:rFonts w:ascii="Times New Roman" w:eastAsia="Times New Roman"/>
            </w:rPr>
            <w:fldChar w:fldCharType="end"/>
          </w:r>
        </w:p>
        <w:p w14:paraId="65AF5138">
          <w:pPr>
            <w:pStyle w:val="8"/>
            <w:numPr>
              <w:ilvl w:val="0"/>
              <w:numId w:val="2"/>
            </w:numPr>
            <w:tabs>
              <w:tab w:val="left" w:pos="391"/>
              <w:tab w:val="right" w:leader="dot" w:pos="8516"/>
            </w:tabs>
            <w:spacing w:before="213" w:after="0" w:line="240" w:lineRule="auto"/>
            <w:ind w:left="390" w:right="0" w:hanging="170"/>
            <w:jc w:val="left"/>
            <w:rPr>
              <w:rFonts w:ascii="Times New Roman" w:eastAsia="Times New Roman"/>
            </w:rPr>
          </w:pPr>
          <w:r>
            <w:fldChar w:fldCharType="begin"/>
          </w:r>
          <w:r>
            <w:instrText xml:space="preserve"> HYPERLINK \l "_bookmark28" </w:instrText>
          </w:r>
          <w:r>
            <w:fldChar w:fldCharType="separate"/>
          </w:r>
          <w:r>
            <w:t>环境风险评价</w:t>
          </w:r>
          <w:r>
            <w:tab/>
          </w:r>
          <w:r>
            <w:rPr>
              <w:rFonts w:ascii="Times New Roman" w:eastAsia="Times New Roman"/>
            </w:rPr>
            <w:t>127</w:t>
          </w:r>
          <w:r>
            <w:rPr>
              <w:rFonts w:ascii="Times New Roman" w:eastAsia="Times New Roman"/>
            </w:rPr>
            <w:fldChar w:fldCharType="end"/>
          </w:r>
        </w:p>
        <w:p w14:paraId="60E151FE">
          <w:pPr>
            <w:pStyle w:val="9"/>
            <w:numPr>
              <w:ilvl w:val="1"/>
              <w:numId w:val="2"/>
            </w:numPr>
            <w:tabs>
              <w:tab w:val="left" w:pos="777"/>
              <w:tab w:val="right" w:leader="dot" w:pos="8516"/>
            </w:tabs>
            <w:spacing w:before="214" w:after="240" w:line="240" w:lineRule="auto"/>
            <w:ind w:left="776" w:right="0" w:hanging="348"/>
            <w:jc w:val="left"/>
            <w:rPr>
              <w:rFonts w:ascii="Times New Roman" w:eastAsia="Times New Roman"/>
            </w:rPr>
          </w:pPr>
          <w:r>
            <w:fldChar w:fldCharType="begin"/>
          </w:r>
          <w:r>
            <w:instrText xml:space="preserve"> HYPERLINK \l "_bookmark29" </w:instrText>
          </w:r>
          <w:r>
            <w:fldChar w:fldCharType="separate"/>
          </w:r>
          <w:r>
            <w:t>评价目的与重点</w:t>
          </w:r>
          <w:r>
            <w:tab/>
          </w:r>
          <w:r>
            <w:rPr>
              <w:rFonts w:ascii="Times New Roman" w:eastAsia="Times New Roman"/>
            </w:rPr>
            <w:t>127</w:t>
          </w:r>
          <w:r>
            <w:rPr>
              <w:rFonts w:ascii="Times New Roman" w:eastAsia="Times New Roman"/>
            </w:rPr>
            <w:fldChar w:fldCharType="end"/>
          </w:r>
        </w:p>
        <w:p w14:paraId="0467CB50">
          <w:pPr>
            <w:pStyle w:val="9"/>
            <w:numPr>
              <w:ilvl w:val="1"/>
              <w:numId w:val="2"/>
            </w:numPr>
            <w:tabs>
              <w:tab w:val="left" w:pos="777"/>
              <w:tab w:val="right" w:leader="dot" w:pos="8516"/>
            </w:tabs>
            <w:spacing w:before="146" w:after="0" w:line="240" w:lineRule="auto"/>
            <w:ind w:left="776" w:right="0" w:hanging="348"/>
            <w:jc w:val="left"/>
            <w:rPr>
              <w:rFonts w:ascii="Times New Roman" w:eastAsia="Times New Roman"/>
            </w:rPr>
          </w:pPr>
          <w:r>
            <w:fldChar w:fldCharType="begin"/>
          </w:r>
          <w:r>
            <w:instrText xml:space="preserve"> HYPERLINK \l "_bookmark30" </w:instrText>
          </w:r>
          <w:r>
            <w:fldChar w:fldCharType="separate"/>
          </w:r>
          <w:r>
            <w:t>评价等级</w:t>
          </w:r>
          <w:r>
            <w:tab/>
          </w:r>
          <w:r>
            <w:rPr>
              <w:rFonts w:ascii="Times New Roman" w:eastAsia="Times New Roman"/>
            </w:rPr>
            <w:t>127</w:t>
          </w:r>
          <w:r>
            <w:rPr>
              <w:rFonts w:ascii="Times New Roman" w:eastAsia="Times New Roman"/>
            </w:rPr>
            <w:fldChar w:fldCharType="end"/>
          </w:r>
        </w:p>
        <w:p w14:paraId="49999500">
          <w:pPr>
            <w:pStyle w:val="9"/>
            <w:numPr>
              <w:ilvl w:val="1"/>
              <w:numId w:val="2"/>
            </w:numPr>
            <w:tabs>
              <w:tab w:val="left" w:pos="777"/>
              <w:tab w:val="right" w:leader="dot" w:pos="8516"/>
            </w:tabs>
            <w:spacing w:before="94" w:after="0" w:line="240" w:lineRule="auto"/>
            <w:ind w:left="776" w:right="0" w:hanging="348"/>
            <w:jc w:val="left"/>
            <w:rPr>
              <w:rFonts w:ascii="Times New Roman" w:eastAsia="Times New Roman"/>
            </w:rPr>
          </w:pPr>
          <w:r>
            <w:fldChar w:fldCharType="begin"/>
          </w:r>
          <w:r>
            <w:instrText xml:space="preserve"> HYPERLINK \l "_bookmark31" </w:instrText>
          </w:r>
          <w:r>
            <w:fldChar w:fldCharType="separate"/>
          </w:r>
          <w:r>
            <w:t>环境风险识别</w:t>
          </w:r>
          <w:r>
            <w:tab/>
          </w:r>
          <w:r>
            <w:rPr>
              <w:rFonts w:ascii="Times New Roman" w:eastAsia="Times New Roman"/>
            </w:rPr>
            <w:t>129</w:t>
          </w:r>
          <w:r>
            <w:rPr>
              <w:rFonts w:ascii="Times New Roman" w:eastAsia="Times New Roman"/>
            </w:rPr>
            <w:fldChar w:fldCharType="end"/>
          </w:r>
        </w:p>
        <w:p w14:paraId="6438199F">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"_bookmark32" </w:instrText>
          </w:r>
          <w:r>
            <w:fldChar w:fldCharType="separate"/>
          </w:r>
          <w:r>
            <w:t>风险事故分析</w:t>
          </w:r>
          <w:r>
            <w:tab/>
          </w:r>
          <w:r>
            <w:rPr>
              <w:rFonts w:ascii="Times New Roman" w:eastAsia="Times New Roman"/>
            </w:rPr>
            <w:t>132</w:t>
          </w:r>
          <w:r>
            <w:rPr>
              <w:rFonts w:ascii="Times New Roman" w:eastAsia="Times New Roman"/>
            </w:rPr>
            <w:fldChar w:fldCharType="end"/>
          </w:r>
        </w:p>
        <w:p w14:paraId="77AD6793">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"_bookmark33" </w:instrText>
          </w:r>
          <w:r>
            <w:fldChar w:fldCharType="separate"/>
          </w:r>
          <w:r>
            <w:t>环境风险管理</w:t>
          </w:r>
          <w:r>
            <w:tab/>
          </w:r>
          <w:r>
            <w:rPr>
              <w:rFonts w:ascii="Times New Roman" w:eastAsia="Times New Roman"/>
            </w:rPr>
            <w:t>134</w:t>
          </w:r>
          <w:r>
            <w:rPr>
              <w:rFonts w:ascii="Times New Roman" w:eastAsia="Times New Roman"/>
            </w:rPr>
            <w:fldChar w:fldCharType="end"/>
          </w:r>
        </w:p>
        <w:p w14:paraId="5841830C">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"_bookmark34" </w:instrText>
          </w:r>
          <w:r>
            <w:fldChar w:fldCharType="separate"/>
          </w:r>
          <w:r>
            <w:t>突发环境事件应急预案</w:t>
          </w:r>
          <w:r>
            <w:tab/>
          </w:r>
          <w:r>
            <w:rPr>
              <w:rFonts w:ascii="Times New Roman" w:eastAsia="Times New Roman"/>
            </w:rPr>
            <w:t>137</w:t>
          </w:r>
          <w:r>
            <w:rPr>
              <w:rFonts w:ascii="Times New Roman" w:eastAsia="Times New Roman"/>
            </w:rPr>
            <w:fldChar w:fldCharType="end"/>
          </w:r>
        </w:p>
        <w:p w14:paraId="39AC62BC">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"_bookmark35" </w:instrText>
          </w:r>
          <w:r>
            <w:fldChar w:fldCharType="separate"/>
          </w:r>
          <w:r>
            <w:t>环境风险评价结论</w:t>
          </w:r>
          <w:r>
            <w:tab/>
          </w:r>
          <w:r>
            <w:rPr>
              <w:rFonts w:ascii="Times New Roman" w:eastAsia="Times New Roman"/>
            </w:rPr>
            <w:t>139</w:t>
          </w:r>
          <w:r>
            <w:rPr>
              <w:rFonts w:ascii="Times New Roman" w:eastAsia="Times New Roman"/>
            </w:rPr>
            <w:fldChar w:fldCharType="end"/>
          </w:r>
        </w:p>
        <w:p w14:paraId="22B0E9F1">
          <w:pPr>
            <w:pStyle w:val="8"/>
            <w:numPr>
              <w:ilvl w:val="0"/>
              <w:numId w:val="2"/>
            </w:numPr>
            <w:tabs>
              <w:tab w:val="left" w:pos="391"/>
              <w:tab w:val="right" w:leader="dot" w:pos="8516"/>
            </w:tabs>
            <w:spacing w:before="211" w:after="0" w:line="240" w:lineRule="auto"/>
            <w:ind w:left="390" w:right="0" w:hanging="170"/>
            <w:jc w:val="left"/>
            <w:rPr>
              <w:rFonts w:ascii="Times New Roman" w:eastAsia="Times New Roman"/>
            </w:rPr>
          </w:pPr>
          <w:r>
            <w:fldChar w:fldCharType="begin"/>
          </w:r>
          <w:r>
            <w:instrText xml:space="preserve"> HYPERLINK \l "_bookmark36" </w:instrText>
          </w:r>
          <w:r>
            <w:fldChar w:fldCharType="separate"/>
          </w:r>
          <w:r>
            <w:t>环境保护措施及其可行性论证</w:t>
          </w:r>
          <w:r>
            <w:tab/>
          </w:r>
          <w:r>
            <w:rPr>
              <w:rFonts w:ascii="Times New Roman" w:eastAsia="Times New Roman"/>
            </w:rPr>
            <w:t>142</w:t>
          </w:r>
          <w:r>
            <w:rPr>
              <w:rFonts w:ascii="Times New Roman" w:eastAsia="Times New Roman"/>
            </w:rPr>
            <w:fldChar w:fldCharType="end"/>
          </w:r>
        </w:p>
        <w:p w14:paraId="7C5708AA">
          <w:pPr>
            <w:pStyle w:val="9"/>
            <w:numPr>
              <w:ilvl w:val="1"/>
              <w:numId w:val="2"/>
            </w:numPr>
            <w:tabs>
              <w:tab w:val="left" w:pos="777"/>
              <w:tab w:val="right" w:leader="dot" w:pos="8516"/>
            </w:tabs>
            <w:spacing w:before="214" w:after="0" w:line="240" w:lineRule="auto"/>
            <w:ind w:left="776" w:right="0" w:hanging="348"/>
            <w:jc w:val="left"/>
            <w:rPr>
              <w:rFonts w:ascii="Times New Roman" w:eastAsia="Times New Roman"/>
            </w:rPr>
          </w:pPr>
          <w:r>
            <w:fldChar w:fldCharType="begin"/>
          </w:r>
          <w:r>
            <w:instrText xml:space="preserve"> HYPERLINK \l "_bookmark37" </w:instrText>
          </w:r>
          <w:r>
            <w:fldChar w:fldCharType="separate"/>
          </w:r>
          <w:r>
            <w:t>施工期污染防治措施及其可行性分析</w:t>
          </w:r>
          <w:r>
            <w:tab/>
          </w:r>
          <w:r>
            <w:rPr>
              <w:rFonts w:ascii="Times New Roman" w:eastAsia="Times New Roman"/>
            </w:rPr>
            <w:t>142</w:t>
          </w:r>
          <w:r>
            <w:rPr>
              <w:rFonts w:ascii="Times New Roman" w:eastAsia="Times New Roman"/>
            </w:rPr>
            <w:fldChar w:fldCharType="end"/>
          </w:r>
        </w:p>
        <w:p w14:paraId="67BEBD0E">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"_bookmark38" </w:instrText>
          </w:r>
          <w:r>
            <w:fldChar w:fldCharType="separate"/>
          </w:r>
          <w:r>
            <w:t>营运期污染治理措施可行性分析</w:t>
          </w:r>
          <w:r>
            <w:tab/>
          </w:r>
          <w:r>
            <w:rPr>
              <w:rFonts w:ascii="Times New Roman" w:eastAsia="Times New Roman"/>
            </w:rPr>
            <w:t>146</w:t>
          </w:r>
          <w:r>
            <w:rPr>
              <w:rFonts w:ascii="Times New Roman" w:eastAsia="Times New Roman"/>
            </w:rPr>
            <w:fldChar w:fldCharType="end"/>
          </w:r>
        </w:p>
        <w:p w14:paraId="78E0D09D">
          <w:pPr>
            <w:pStyle w:val="8"/>
            <w:numPr>
              <w:ilvl w:val="0"/>
              <w:numId w:val="2"/>
            </w:numPr>
            <w:tabs>
              <w:tab w:val="left" w:pos="391"/>
              <w:tab w:val="right" w:leader="dot" w:pos="8516"/>
            </w:tabs>
            <w:spacing w:before="211" w:after="0" w:line="240" w:lineRule="auto"/>
            <w:ind w:left="390" w:right="0" w:hanging="170"/>
            <w:jc w:val="left"/>
            <w:rPr>
              <w:rFonts w:ascii="Times New Roman" w:eastAsia="Times New Roman"/>
            </w:rPr>
          </w:pPr>
          <w:r>
            <w:fldChar w:fldCharType="begin"/>
          </w:r>
          <w:r>
            <w:instrText xml:space="preserve"> HYPERLINK \l "_bookmark39" </w:instrText>
          </w:r>
          <w:r>
            <w:fldChar w:fldCharType="separate"/>
          </w:r>
          <w:r>
            <w:t>环境影响经济损益分析</w:t>
          </w:r>
          <w:r>
            <w:tab/>
          </w:r>
          <w:r>
            <w:rPr>
              <w:rFonts w:ascii="Times New Roman" w:eastAsia="Times New Roman"/>
            </w:rPr>
            <w:t>159</w:t>
          </w:r>
          <w:r>
            <w:rPr>
              <w:rFonts w:ascii="Times New Roman" w:eastAsia="Times New Roman"/>
            </w:rPr>
            <w:fldChar w:fldCharType="end"/>
          </w:r>
        </w:p>
        <w:p w14:paraId="7E95D113">
          <w:pPr>
            <w:pStyle w:val="9"/>
            <w:numPr>
              <w:ilvl w:val="1"/>
              <w:numId w:val="2"/>
            </w:numPr>
            <w:tabs>
              <w:tab w:val="left" w:pos="777"/>
              <w:tab w:val="right" w:leader="dot" w:pos="8516"/>
            </w:tabs>
            <w:spacing w:before="213" w:after="0" w:line="240" w:lineRule="auto"/>
            <w:ind w:left="776" w:right="0" w:hanging="348"/>
            <w:jc w:val="left"/>
            <w:rPr>
              <w:rFonts w:ascii="Times New Roman" w:eastAsia="Times New Roman"/>
            </w:rPr>
          </w:pPr>
          <w:r>
            <w:fldChar w:fldCharType="begin"/>
          </w:r>
          <w:r>
            <w:instrText xml:space="preserve"> HYPERLINK \l "_bookmark40" </w:instrText>
          </w:r>
          <w:r>
            <w:fldChar w:fldCharType="separate"/>
          </w:r>
          <w:r>
            <w:t>目的、内容及方法</w:t>
          </w:r>
          <w:r>
            <w:tab/>
          </w:r>
          <w:r>
            <w:rPr>
              <w:rFonts w:ascii="Times New Roman" w:eastAsia="Times New Roman"/>
            </w:rPr>
            <w:t>159</w:t>
          </w:r>
          <w:r>
            <w:rPr>
              <w:rFonts w:ascii="Times New Roman" w:eastAsia="Times New Roman"/>
            </w:rPr>
            <w:fldChar w:fldCharType="end"/>
          </w:r>
        </w:p>
        <w:p w14:paraId="5CB15F34">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"_bookmark41" </w:instrText>
          </w:r>
          <w:r>
            <w:fldChar w:fldCharType="separate"/>
          </w:r>
          <w:r>
            <w:t>环境效益分析</w:t>
          </w:r>
          <w:r>
            <w:tab/>
          </w:r>
          <w:r>
            <w:rPr>
              <w:rFonts w:ascii="Times New Roman" w:eastAsia="Times New Roman"/>
            </w:rPr>
            <w:t>159</w:t>
          </w:r>
          <w:r>
            <w:rPr>
              <w:rFonts w:ascii="Times New Roman" w:eastAsia="Times New Roman"/>
            </w:rPr>
            <w:fldChar w:fldCharType="end"/>
          </w:r>
        </w:p>
        <w:p w14:paraId="564A5E1A">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"_bookmark42" </w:instrText>
          </w:r>
          <w:r>
            <w:fldChar w:fldCharType="separate"/>
          </w:r>
          <w:r>
            <w:t>经济效益分析</w:t>
          </w:r>
          <w:r>
            <w:tab/>
          </w:r>
          <w:r>
            <w:rPr>
              <w:rFonts w:ascii="Times New Roman" w:eastAsia="Times New Roman"/>
            </w:rPr>
            <w:t>162</w:t>
          </w:r>
          <w:r>
            <w:rPr>
              <w:rFonts w:ascii="Times New Roman" w:eastAsia="Times New Roman"/>
            </w:rPr>
            <w:fldChar w:fldCharType="end"/>
          </w:r>
        </w:p>
        <w:p w14:paraId="3F254E69">
          <w:pPr>
            <w:pStyle w:val="9"/>
            <w:numPr>
              <w:ilvl w:val="1"/>
              <w:numId w:val="2"/>
            </w:numPr>
            <w:tabs>
              <w:tab w:val="left" w:pos="777"/>
              <w:tab w:val="right" w:leader="dot" w:pos="8516"/>
            </w:tabs>
            <w:spacing w:before="94" w:after="0" w:line="240" w:lineRule="auto"/>
            <w:ind w:left="776" w:right="0" w:hanging="348"/>
            <w:jc w:val="left"/>
            <w:rPr>
              <w:rFonts w:ascii="Times New Roman" w:eastAsia="Times New Roman"/>
            </w:rPr>
          </w:pPr>
          <w:r>
            <w:fldChar w:fldCharType="begin"/>
          </w:r>
          <w:r>
            <w:instrText xml:space="preserve"> HYPERLINK \l "_bookmark43" </w:instrText>
          </w:r>
          <w:r>
            <w:fldChar w:fldCharType="separate"/>
          </w:r>
          <w:r>
            <w:t>社会效益分析</w:t>
          </w:r>
          <w:r>
            <w:tab/>
          </w:r>
          <w:r>
            <w:rPr>
              <w:rFonts w:ascii="Times New Roman" w:eastAsia="Times New Roman"/>
            </w:rPr>
            <w:t>162</w:t>
          </w:r>
          <w:r>
            <w:rPr>
              <w:rFonts w:ascii="Times New Roman" w:eastAsia="Times New Roman"/>
            </w:rPr>
            <w:fldChar w:fldCharType="end"/>
          </w:r>
        </w:p>
        <w:p w14:paraId="07BCDE8B">
          <w:pPr>
            <w:pStyle w:val="9"/>
            <w:tabs>
              <w:tab w:val="right" w:leader="dot" w:pos="8516"/>
            </w:tabs>
            <w:ind w:left="428" w:firstLine="0"/>
            <w:rPr>
              <w:rFonts w:ascii="Times New Roman" w:eastAsia="Times New Roman"/>
            </w:rPr>
          </w:pPr>
          <w:r>
            <w:fldChar w:fldCharType="begin"/>
          </w:r>
          <w:r>
            <w:instrText xml:space="preserve"> HYPERLINK \l "_bookmark44" </w:instrText>
          </w:r>
          <w:r>
            <w:fldChar w:fldCharType="separate"/>
          </w:r>
          <w:r>
            <w:rPr>
              <w:rFonts w:ascii="Times New Roman" w:eastAsia="Times New Roman"/>
            </w:rPr>
            <w:t>8.5</w:t>
          </w:r>
          <w:r>
            <w:rPr>
              <w:rFonts w:ascii="Times New Roman" w:eastAsia="Times New Roman"/>
              <w:spacing w:val="-12"/>
            </w:rPr>
            <w:t xml:space="preserve"> </w:t>
          </w:r>
          <w:r>
            <w:t>小结</w:t>
          </w:r>
          <w:r>
            <w:tab/>
          </w:r>
          <w:r>
            <w:rPr>
              <w:rFonts w:ascii="Times New Roman" w:eastAsia="Times New Roman"/>
            </w:rPr>
            <w:t>162</w:t>
          </w:r>
          <w:r>
            <w:rPr>
              <w:rFonts w:ascii="Times New Roman" w:eastAsia="Times New Roman"/>
            </w:rPr>
            <w:fldChar w:fldCharType="end"/>
          </w:r>
        </w:p>
        <w:p w14:paraId="6492C737">
          <w:pPr>
            <w:pStyle w:val="8"/>
            <w:numPr>
              <w:ilvl w:val="0"/>
              <w:numId w:val="2"/>
            </w:numPr>
            <w:tabs>
              <w:tab w:val="left" w:pos="391"/>
              <w:tab w:val="right" w:leader="dot" w:pos="8516"/>
            </w:tabs>
            <w:spacing w:before="211" w:after="0" w:line="240" w:lineRule="auto"/>
            <w:ind w:left="390" w:right="0" w:hanging="170"/>
            <w:jc w:val="left"/>
            <w:rPr>
              <w:rFonts w:ascii="Times New Roman" w:eastAsia="Times New Roman"/>
            </w:rPr>
          </w:pPr>
          <w:r>
            <w:fldChar w:fldCharType="begin"/>
          </w:r>
          <w:r>
            <w:instrText xml:space="preserve"> HYPERLINK \l "_bookmark45" </w:instrText>
          </w:r>
          <w:r>
            <w:fldChar w:fldCharType="separate"/>
          </w:r>
          <w:r>
            <w:t>环境管理与监测计划</w:t>
          </w:r>
          <w:r>
            <w:tab/>
          </w:r>
          <w:r>
            <w:rPr>
              <w:rFonts w:ascii="Times New Roman" w:eastAsia="Times New Roman"/>
            </w:rPr>
            <w:t>163</w:t>
          </w:r>
          <w:r>
            <w:rPr>
              <w:rFonts w:ascii="Times New Roman" w:eastAsia="Times New Roman"/>
            </w:rPr>
            <w:fldChar w:fldCharType="end"/>
          </w:r>
        </w:p>
        <w:p w14:paraId="175FDED1">
          <w:pPr>
            <w:pStyle w:val="9"/>
            <w:numPr>
              <w:ilvl w:val="1"/>
              <w:numId w:val="2"/>
            </w:numPr>
            <w:tabs>
              <w:tab w:val="left" w:pos="777"/>
              <w:tab w:val="right" w:leader="dot" w:pos="8516"/>
            </w:tabs>
            <w:spacing w:before="213" w:after="0" w:line="240" w:lineRule="auto"/>
            <w:ind w:left="776" w:right="0" w:hanging="348"/>
            <w:jc w:val="left"/>
            <w:rPr>
              <w:rFonts w:ascii="Times New Roman" w:eastAsia="Times New Roman"/>
            </w:rPr>
          </w:pPr>
          <w:r>
            <w:fldChar w:fldCharType="begin"/>
          </w:r>
          <w:r>
            <w:instrText xml:space="preserve"> HYPERLINK \l "_bookmark46" </w:instrText>
          </w:r>
          <w:r>
            <w:fldChar w:fldCharType="separate"/>
          </w:r>
          <w:r>
            <w:t>环境管理</w:t>
          </w:r>
          <w:r>
            <w:tab/>
          </w:r>
          <w:r>
            <w:rPr>
              <w:rFonts w:ascii="Times New Roman" w:eastAsia="Times New Roman"/>
            </w:rPr>
            <w:t>163</w:t>
          </w:r>
          <w:r>
            <w:rPr>
              <w:rFonts w:ascii="Times New Roman" w:eastAsia="Times New Roman"/>
            </w:rPr>
            <w:fldChar w:fldCharType="end"/>
          </w:r>
        </w:p>
        <w:p w14:paraId="53622C3F">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"_bookmark47" </w:instrText>
          </w:r>
          <w:r>
            <w:fldChar w:fldCharType="separate"/>
          </w:r>
          <w:r>
            <w:t>环境监测</w:t>
          </w:r>
          <w:r>
            <w:tab/>
          </w:r>
          <w:r>
            <w:rPr>
              <w:rFonts w:ascii="Times New Roman" w:eastAsia="Times New Roman"/>
            </w:rPr>
            <w:t>168</w:t>
          </w:r>
          <w:r>
            <w:rPr>
              <w:rFonts w:ascii="Times New Roman" w:eastAsia="Times New Roman"/>
            </w:rPr>
            <w:fldChar w:fldCharType="end"/>
          </w:r>
        </w:p>
        <w:p w14:paraId="62047933">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"_bookmark48" </w:instrText>
          </w:r>
          <w:r>
            <w:fldChar w:fldCharType="separate"/>
          </w:r>
          <w:r>
            <w:t>污染物排放总量控制</w:t>
          </w:r>
          <w:r>
            <w:tab/>
          </w:r>
          <w:r>
            <w:rPr>
              <w:rFonts w:ascii="Times New Roman" w:eastAsia="Times New Roman"/>
            </w:rPr>
            <w:t>170</w:t>
          </w:r>
          <w:r>
            <w:rPr>
              <w:rFonts w:ascii="Times New Roman" w:eastAsia="Times New Roman"/>
            </w:rPr>
            <w:fldChar w:fldCharType="end"/>
          </w:r>
        </w:p>
        <w:p w14:paraId="2A420CC2">
          <w:pPr>
            <w:pStyle w:val="9"/>
            <w:numPr>
              <w:ilvl w:val="1"/>
              <w:numId w:val="2"/>
            </w:numPr>
            <w:tabs>
              <w:tab w:val="left" w:pos="777"/>
              <w:tab w:val="right" w:leader="dot" w:pos="8516"/>
            </w:tabs>
            <w:spacing w:before="94" w:after="0" w:line="240" w:lineRule="auto"/>
            <w:ind w:left="776" w:right="0" w:hanging="348"/>
            <w:jc w:val="left"/>
            <w:rPr>
              <w:rFonts w:ascii="Times New Roman" w:eastAsia="Times New Roman"/>
            </w:rPr>
          </w:pPr>
          <w:r>
            <w:fldChar w:fldCharType="begin"/>
          </w:r>
          <w:r>
            <w:instrText xml:space="preserve"> HYPERLINK \l "_bookmark49" </w:instrText>
          </w:r>
          <w:r>
            <w:fldChar w:fldCharType="separate"/>
          </w:r>
          <w:r>
            <w:t>排污口规范化管理</w:t>
          </w:r>
          <w:r>
            <w:tab/>
          </w:r>
          <w:r>
            <w:rPr>
              <w:rFonts w:ascii="Times New Roman" w:eastAsia="Times New Roman"/>
            </w:rPr>
            <w:t>170</w:t>
          </w:r>
          <w:r>
            <w:rPr>
              <w:rFonts w:ascii="Times New Roman" w:eastAsia="Times New Roman"/>
            </w:rPr>
            <w:fldChar w:fldCharType="end"/>
          </w:r>
        </w:p>
        <w:p w14:paraId="11155E4E">
          <w:pPr>
            <w:pStyle w:val="9"/>
            <w:numPr>
              <w:ilvl w:val="1"/>
              <w:numId w:val="2"/>
            </w:numPr>
            <w:tabs>
              <w:tab w:val="left" w:pos="777"/>
              <w:tab w:val="right" w:leader="dot" w:pos="8516"/>
            </w:tabs>
            <w:spacing w:before="93" w:after="0" w:line="240" w:lineRule="auto"/>
            <w:ind w:left="776" w:right="0" w:hanging="348"/>
            <w:jc w:val="left"/>
            <w:rPr>
              <w:rFonts w:ascii="Times New Roman" w:eastAsia="Times New Roman"/>
            </w:rPr>
          </w:pPr>
          <w:r>
            <w:fldChar w:fldCharType="begin"/>
          </w:r>
          <w:r>
            <w:instrText xml:space="preserve"> HYPERLINK \l "_bookmark50" </w:instrText>
          </w:r>
          <w:r>
            <w:fldChar w:fldCharType="separate"/>
          </w:r>
          <w:r>
            <w:t>排污许可管理</w:t>
          </w:r>
          <w:r>
            <w:tab/>
          </w:r>
          <w:r>
            <w:rPr>
              <w:rFonts w:ascii="Times New Roman" w:eastAsia="Times New Roman"/>
            </w:rPr>
            <w:t>173</w:t>
          </w:r>
          <w:r>
            <w:rPr>
              <w:rFonts w:ascii="Times New Roman" w:eastAsia="Times New Roman"/>
            </w:rPr>
            <w:fldChar w:fldCharType="end"/>
          </w:r>
        </w:p>
        <w:p w14:paraId="32E2988F">
          <w:pPr>
            <w:pStyle w:val="9"/>
            <w:numPr>
              <w:ilvl w:val="1"/>
              <w:numId w:val="2"/>
            </w:numPr>
            <w:tabs>
              <w:tab w:val="left" w:pos="777"/>
              <w:tab w:val="right" w:leader="dot" w:pos="8516"/>
            </w:tabs>
            <w:spacing w:before="91" w:after="0" w:line="240" w:lineRule="auto"/>
            <w:ind w:left="776" w:right="0" w:hanging="348"/>
            <w:jc w:val="left"/>
            <w:rPr>
              <w:rFonts w:ascii="Times New Roman" w:eastAsia="Times New Roman"/>
            </w:rPr>
          </w:pPr>
          <w:r>
            <w:fldChar w:fldCharType="begin"/>
          </w:r>
          <w:r>
            <w:instrText xml:space="preserve"> HYPERLINK \l "_bookmark51" </w:instrText>
          </w:r>
          <w:r>
            <w:fldChar w:fldCharType="separate"/>
          </w:r>
          <w:r>
            <w:t>项目竣工环保验收</w:t>
          </w:r>
          <w:r>
            <w:tab/>
          </w:r>
          <w:r>
            <w:rPr>
              <w:rFonts w:ascii="Times New Roman" w:eastAsia="Times New Roman"/>
            </w:rPr>
            <w:t>174</w:t>
          </w:r>
          <w:r>
            <w:rPr>
              <w:rFonts w:ascii="Times New Roman" w:eastAsia="Times New Roman"/>
            </w:rPr>
            <w:fldChar w:fldCharType="end"/>
          </w:r>
        </w:p>
        <w:p w14:paraId="45F692A9">
          <w:pPr>
            <w:pStyle w:val="8"/>
            <w:numPr>
              <w:ilvl w:val="0"/>
              <w:numId w:val="2"/>
            </w:numPr>
            <w:tabs>
              <w:tab w:val="left" w:pos="511"/>
              <w:tab w:val="right" w:leader="dot" w:pos="8516"/>
            </w:tabs>
            <w:spacing w:before="213" w:after="0" w:line="240" w:lineRule="auto"/>
            <w:ind w:left="510" w:right="0" w:hanging="290"/>
            <w:jc w:val="left"/>
            <w:rPr>
              <w:rFonts w:ascii="Times New Roman" w:eastAsia="Times New Roman"/>
            </w:rPr>
          </w:pPr>
          <w:r>
            <w:fldChar w:fldCharType="begin"/>
          </w:r>
          <w:r>
            <w:instrText xml:space="preserve"> HYPERLINK \l "_bookmark52" </w:instrText>
          </w:r>
          <w:r>
            <w:fldChar w:fldCharType="separate"/>
          </w:r>
          <w:r>
            <w:t>环境影响评价结论</w:t>
          </w:r>
          <w:r>
            <w:tab/>
          </w:r>
          <w:r>
            <w:rPr>
              <w:rFonts w:ascii="Times New Roman" w:eastAsia="Times New Roman"/>
            </w:rPr>
            <w:t>178</w:t>
          </w:r>
          <w:r>
            <w:rPr>
              <w:rFonts w:ascii="Times New Roman" w:eastAsia="Times New Roman"/>
            </w:rPr>
            <w:fldChar w:fldCharType="end"/>
          </w:r>
        </w:p>
        <w:p w14:paraId="6300483C">
          <w:pPr>
            <w:pStyle w:val="9"/>
            <w:numPr>
              <w:ilvl w:val="1"/>
              <w:numId w:val="2"/>
            </w:numPr>
            <w:tabs>
              <w:tab w:val="left" w:pos="897"/>
              <w:tab w:val="right" w:leader="dot" w:pos="8516"/>
            </w:tabs>
            <w:spacing w:before="213" w:after="0" w:line="240" w:lineRule="auto"/>
            <w:ind w:left="896" w:right="0" w:hanging="468"/>
            <w:jc w:val="left"/>
            <w:rPr>
              <w:rFonts w:ascii="Times New Roman" w:eastAsia="Times New Roman"/>
            </w:rPr>
          </w:pPr>
          <w:r>
            <w:fldChar w:fldCharType="begin"/>
          </w:r>
          <w:r>
            <w:instrText xml:space="preserve"> HYPERLINK \l "_bookmark53" </w:instrText>
          </w:r>
          <w:r>
            <w:fldChar w:fldCharType="separate"/>
          </w:r>
          <w:r>
            <w:t>建设项目概况</w:t>
          </w:r>
          <w:r>
            <w:tab/>
          </w:r>
          <w:r>
            <w:rPr>
              <w:rFonts w:ascii="Times New Roman" w:eastAsia="Times New Roman"/>
            </w:rPr>
            <w:t>178</w:t>
          </w:r>
          <w:r>
            <w:rPr>
              <w:rFonts w:ascii="Times New Roman" w:eastAsia="Times New Roman"/>
            </w:rPr>
            <w:fldChar w:fldCharType="end"/>
          </w:r>
        </w:p>
        <w:p w14:paraId="1C70C722">
          <w:pPr>
            <w:pStyle w:val="9"/>
            <w:numPr>
              <w:ilvl w:val="1"/>
              <w:numId w:val="2"/>
            </w:numPr>
            <w:tabs>
              <w:tab w:val="left" w:pos="897"/>
              <w:tab w:val="right" w:leader="dot" w:pos="8516"/>
            </w:tabs>
            <w:spacing w:before="91" w:after="0" w:line="240" w:lineRule="auto"/>
            <w:ind w:left="896" w:right="0" w:hanging="468"/>
            <w:jc w:val="left"/>
            <w:rPr>
              <w:rFonts w:ascii="Times New Roman" w:eastAsia="Times New Roman"/>
            </w:rPr>
          </w:pPr>
          <w:r>
            <w:fldChar w:fldCharType="begin"/>
          </w:r>
          <w:r>
            <w:instrText xml:space="preserve"> HYPERLINK \l "_bookmark54" </w:instrText>
          </w:r>
          <w:r>
            <w:fldChar w:fldCharType="separate"/>
          </w:r>
          <w:r>
            <w:t>产业政策、规划相符性及选址合理性</w:t>
          </w:r>
          <w:r>
            <w:tab/>
          </w:r>
          <w:r>
            <w:rPr>
              <w:rFonts w:ascii="Times New Roman" w:eastAsia="Times New Roman"/>
            </w:rPr>
            <w:t>178</w:t>
          </w:r>
          <w:r>
            <w:rPr>
              <w:rFonts w:ascii="Times New Roman" w:eastAsia="Times New Roman"/>
            </w:rPr>
            <w:fldChar w:fldCharType="end"/>
          </w:r>
        </w:p>
        <w:p w14:paraId="1146FA01">
          <w:pPr>
            <w:pStyle w:val="9"/>
            <w:numPr>
              <w:ilvl w:val="1"/>
              <w:numId w:val="2"/>
            </w:numPr>
            <w:tabs>
              <w:tab w:val="left" w:pos="897"/>
              <w:tab w:val="right" w:leader="dot" w:pos="8516"/>
            </w:tabs>
            <w:spacing w:before="94" w:after="0" w:line="240" w:lineRule="auto"/>
            <w:ind w:left="896" w:right="0" w:hanging="468"/>
            <w:jc w:val="left"/>
            <w:rPr>
              <w:rFonts w:ascii="Times New Roman" w:eastAsia="Times New Roman"/>
            </w:rPr>
          </w:pPr>
          <w:r>
            <w:fldChar w:fldCharType="begin"/>
          </w:r>
          <w:r>
            <w:instrText xml:space="preserve"> HYPERLINK \l "_bookmark55" </w:instrText>
          </w:r>
          <w:r>
            <w:fldChar w:fldCharType="separate"/>
          </w:r>
          <w:r>
            <w:t>环境质量现状</w:t>
          </w:r>
          <w:r>
            <w:tab/>
          </w:r>
          <w:r>
            <w:rPr>
              <w:rFonts w:ascii="Times New Roman" w:eastAsia="Times New Roman"/>
            </w:rPr>
            <w:t>178</w:t>
          </w:r>
          <w:r>
            <w:rPr>
              <w:rFonts w:ascii="Times New Roman" w:eastAsia="Times New Roman"/>
            </w:rPr>
            <w:fldChar w:fldCharType="end"/>
          </w:r>
        </w:p>
        <w:p w14:paraId="78BA98D1">
          <w:pPr>
            <w:pStyle w:val="9"/>
            <w:numPr>
              <w:ilvl w:val="1"/>
              <w:numId w:val="2"/>
            </w:numPr>
            <w:tabs>
              <w:tab w:val="left" w:pos="897"/>
              <w:tab w:val="right" w:leader="dot" w:pos="8516"/>
            </w:tabs>
            <w:spacing w:before="93" w:after="0" w:line="240" w:lineRule="auto"/>
            <w:ind w:left="896" w:right="0" w:hanging="468"/>
            <w:jc w:val="left"/>
            <w:rPr>
              <w:rFonts w:ascii="Times New Roman" w:eastAsia="Times New Roman"/>
            </w:rPr>
          </w:pPr>
          <w:r>
            <w:fldChar w:fldCharType="begin"/>
          </w:r>
          <w:r>
            <w:instrText xml:space="preserve"> HYPERLINK \l "_bookmark56" </w:instrText>
          </w:r>
          <w:r>
            <w:fldChar w:fldCharType="separate"/>
          </w:r>
          <w:r>
            <w:t>施工期环境影响评价结论</w:t>
          </w:r>
          <w:r>
            <w:tab/>
          </w:r>
          <w:r>
            <w:rPr>
              <w:rFonts w:ascii="Times New Roman" w:eastAsia="Times New Roman"/>
            </w:rPr>
            <w:t>179</w:t>
          </w:r>
          <w:r>
            <w:rPr>
              <w:rFonts w:ascii="Times New Roman" w:eastAsia="Times New Roman"/>
            </w:rPr>
            <w:fldChar w:fldCharType="end"/>
          </w:r>
        </w:p>
        <w:p w14:paraId="00928FC5">
          <w:pPr>
            <w:pStyle w:val="9"/>
            <w:numPr>
              <w:ilvl w:val="1"/>
              <w:numId w:val="2"/>
            </w:numPr>
            <w:tabs>
              <w:tab w:val="left" w:pos="897"/>
              <w:tab w:val="right" w:leader="dot" w:pos="8516"/>
            </w:tabs>
            <w:spacing w:before="91" w:after="0" w:line="240" w:lineRule="auto"/>
            <w:ind w:left="896" w:right="0" w:hanging="468"/>
            <w:jc w:val="left"/>
            <w:rPr>
              <w:rFonts w:ascii="Times New Roman" w:eastAsia="Times New Roman"/>
            </w:rPr>
          </w:pPr>
          <w:r>
            <w:fldChar w:fldCharType="begin"/>
          </w:r>
          <w:r>
            <w:instrText xml:space="preserve"> HYPERLINK \l "_bookmark57" </w:instrText>
          </w:r>
          <w:r>
            <w:fldChar w:fldCharType="separate"/>
          </w:r>
          <w:r>
            <w:t>营运期环境影响评价结论</w:t>
          </w:r>
          <w:r>
            <w:tab/>
          </w:r>
          <w:r>
            <w:rPr>
              <w:rFonts w:ascii="Times New Roman" w:eastAsia="Times New Roman"/>
            </w:rPr>
            <w:t>180</w:t>
          </w:r>
          <w:r>
            <w:rPr>
              <w:rFonts w:ascii="Times New Roman" w:eastAsia="Times New Roman"/>
            </w:rPr>
            <w:fldChar w:fldCharType="end"/>
          </w:r>
        </w:p>
        <w:p w14:paraId="23A328B5">
          <w:pPr>
            <w:pStyle w:val="9"/>
            <w:numPr>
              <w:ilvl w:val="1"/>
              <w:numId w:val="2"/>
            </w:numPr>
            <w:tabs>
              <w:tab w:val="left" w:pos="897"/>
              <w:tab w:val="right" w:leader="dot" w:pos="8516"/>
            </w:tabs>
            <w:spacing w:before="93" w:after="0" w:line="240" w:lineRule="auto"/>
            <w:ind w:left="896" w:right="0" w:hanging="468"/>
            <w:jc w:val="left"/>
            <w:rPr>
              <w:rFonts w:ascii="Times New Roman" w:eastAsia="Times New Roman"/>
            </w:rPr>
          </w:pPr>
          <w:r>
            <w:fldChar w:fldCharType="begin"/>
          </w:r>
          <w:r>
            <w:instrText xml:space="preserve"> HYPERLINK \l "_bookmark58" </w:instrText>
          </w:r>
          <w:r>
            <w:fldChar w:fldCharType="separate"/>
          </w:r>
          <w:r>
            <w:t>公众意见采纳情况</w:t>
          </w:r>
          <w:r>
            <w:tab/>
          </w:r>
          <w:r>
            <w:rPr>
              <w:rFonts w:ascii="Times New Roman" w:eastAsia="Times New Roman"/>
            </w:rPr>
            <w:t>181</w:t>
          </w:r>
          <w:r>
            <w:rPr>
              <w:rFonts w:ascii="Times New Roman" w:eastAsia="Times New Roman"/>
            </w:rPr>
            <w:fldChar w:fldCharType="end"/>
          </w:r>
        </w:p>
        <w:p w14:paraId="11ACD685">
          <w:pPr>
            <w:pStyle w:val="9"/>
            <w:numPr>
              <w:ilvl w:val="1"/>
              <w:numId w:val="2"/>
            </w:numPr>
            <w:tabs>
              <w:tab w:val="left" w:pos="897"/>
              <w:tab w:val="right" w:leader="dot" w:pos="8516"/>
            </w:tabs>
            <w:spacing w:before="93" w:after="0" w:line="240" w:lineRule="auto"/>
            <w:ind w:left="896" w:right="0" w:hanging="468"/>
            <w:jc w:val="left"/>
            <w:rPr>
              <w:rFonts w:ascii="Times New Roman" w:eastAsia="Times New Roman"/>
            </w:rPr>
          </w:pPr>
          <w:r>
            <w:fldChar w:fldCharType="begin"/>
          </w:r>
          <w:r>
            <w:instrText xml:space="preserve"> HYPERLINK \l "_bookmark59" </w:instrText>
          </w:r>
          <w:r>
            <w:fldChar w:fldCharType="separate"/>
          </w:r>
          <w:r>
            <w:t>环境管理与监测计划</w:t>
          </w:r>
          <w:r>
            <w:tab/>
          </w:r>
          <w:r>
            <w:rPr>
              <w:rFonts w:ascii="Times New Roman" w:eastAsia="Times New Roman"/>
            </w:rPr>
            <w:t>182</w:t>
          </w:r>
          <w:r>
            <w:rPr>
              <w:rFonts w:ascii="Times New Roman" w:eastAsia="Times New Roman"/>
            </w:rPr>
            <w:fldChar w:fldCharType="end"/>
          </w:r>
        </w:p>
        <w:p w14:paraId="47439BAF">
          <w:pPr>
            <w:pStyle w:val="9"/>
            <w:numPr>
              <w:ilvl w:val="1"/>
              <w:numId w:val="2"/>
            </w:numPr>
            <w:tabs>
              <w:tab w:val="left" w:pos="897"/>
              <w:tab w:val="right" w:leader="dot" w:pos="8516"/>
            </w:tabs>
            <w:spacing w:before="91" w:after="0" w:line="240" w:lineRule="auto"/>
            <w:ind w:left="896" w:right="0" w:hanging="468"/>
            <w:jc w:val="left"/>
            <w:rPr>
              <w:rFonts w:ascii="Times New Roman" w:eastAsia="Times New Roman"/>
            </w:rPr>
          </w:pPr>
          <w:r>
            <w:fldChar w:fldCharType="begin"/>
          </w:r>
          <w:r>
            <w:instrText xml:space="preserve"> HYPERLINK \l "_bookmark60" </w:instrText>
          </w:r>
          <w:r>
            <w:fldChar w:fldCharType="separate"/>
          </w:r>
          <w:r>
            <w:t>结论与建议</w:t>
          </w:r>
          <w:r>
            <w:tab/>
          </w:r>
          <w:r>
            <w:rPr>
              <w:rFonts w:ascii="Times New Roman" w:eastAsia="Times New Roman"/>
            </w:rPr>
            <w:t>182</w:t>
          </w:r>
          <w:r>
            <w:rPr>
              <w:rFonts w:ascii="Times New Roman" w:eastAsia="Times New Roman"/>
            </w:rPr>
            <w:fldChar w:fldCharType="end"/>
          </w:r>
        </w:p>
      </w:sdtContent>
    </w:sdt>
    <w:p w14:paraId="70522C91">
      <w:pPr>
        <w:spacing w:after="0" w:line="240" w:lineRule="auto"/>
        <w:jc w:val="left"/>
        <w:rPr>
          <w:rFonts w:ascii="Times New Roman" w:eastAsia="Times New Roman"/>
        </w:rPr>
        <w:sectPr>
          <w:type w:val="continuous"/>
          <w:pgSz w:w="11910" w:h="16840"/>
          <w:pgMar w:top="1376" w:right="460" w:bottom="971" w:left="1580" w:header="720" w:footer="720" w:gutter="0"/>
          <w:cols w:space="720" w:num="1"/>
        </w:sectPr>
      </w:pPr>
    </w:p>
    <w:p w14:paraId="6B74A168">
      <w:pPr>
        <w:pStyle w:val="6"/>
        <w:spacing w:before="67"/>
        <w:ind w:left="220"/>
      </w:pPr>
      <w:r>
        <w:t>附件：</w:t>
      </w:r>
    </w:p>
    <w:p w14:paraId="4BD53A2B">
      <w:pPr>
        <w:pStyle w:val="7"/>
        <w:spacing w:before="161"/>
        <w:ind w:left="700"/>
      </w:pPr>
      <w:r>
        <w:t xml:space="preserve">附件 </w:t>
      </w:r>
      <w:r>
        <w:rPr>
          <w:rFonts w:ascii="Times New Roman" w:eastAsia="Times New Roman"/>
        </w:rPr>
        <w:t xml:space="preserve">1 </w:t>
      </w:r>
      <w:r>
        <w:t>环评委托书；</w:t>
      </w:r>
    </w:p>
    <w:p w14:paraId="0CB7837C">
      <w:pPr>
        <w:pStyle w:val="7"/>
        <w:spacing w:before="158"/>
        <w:ind w:left="700"/>
      </w:pPr>
      <w:r>
        <w:t xml:space="preserve">附件 </w:t>
      </w:r>
      <w:r>
        <w:rPr>
          <w:rFonts w:ascii="Times New Roman" w:eastAsia="Times New Roman"/>
        </w:rPr>
        <w:t xml:space="preserve">2 </w:t>
      </w:r>
      <w:r>
        <w:t>岳阳市人民政府对项目的批复</w:t>
      </w:r>
    </w:p>
    <w:p w14:paraId="58BD3E74">
      <w:pPr>
        <w:pStyle w:val="7"/>
        <w:spacing w:before="160"/>
        <w:ind w:left="700"/>
      </w:pPr>
      <w:r>
        <w:t xml:space="preserve">附件 </w:t>
      </w:r>
      <w:r>
        <w:rPr>
          <w:rFonts w:ascii="Times New Roman" w:eastAsia="Times New Roman"/>
        </w:rPr>
        <w:t xml:space="preserve">3 </w:t>
      </w:r>
      <w:r>
        <w:t>项目主管部门批复</w:t>
      </w:r>
    </w:p>
    <w:p w14:paraId="281BC813">
      <w:pPr>
        <w:pStyle w:val="7"/>
        <w:spacing w:before="158"/>
        <w:ind w:left="700"/>
      </w:pPr>
      <w:r>
        <w:t xml:space="preserve">附件 </w:t>
      </w:r>
      <w:r>
        <w:rPr>
          <w:rFonts w:ascii="Times New Roman" w:eastAsia="Times New Roman"/>
        </w:rPr>
        <w:t xml:space="preserve">4 </w:t>
      </w:r>
      <w:r>
        <w:t>项目用地变更申请</w:t>
      </w:r>
    </w:p>
    <w:p w14:paraId="19C11BEA">
      <w:pPr>
        <w:pStyle w:val="7"/>
        <w:spacing w:before="161"/>
        <w:ind w:left="700"/>
      </w:pPr>
      <w:r>
        <w:t xml:space="preserve">附件 </w:t>
      </w:r>
      <w:r>
        <w:rPr>
          <w:rFonts w:ascii="Times New Roman" w:eastAsia="Times New Roman"/>
        </w:rPr>
        <w:t xml:space="preserve">5 </w:t>
      </w:r>
      <w:r>
        <w:t>项目立项备案文件</w:t>
      </w:r>
    </w:p>
    <w:p w14:paraId="35F31F10">
      <w:pPr>
        <w:pStyle w:val="7"/>
        <w:spacing w:before="158"/>
        <w:ind w:left="700"/>
      </w:pPr>
      <w:r>
        <w:t xml:space="preserve">附件 </w:t>
      </w:r>
      <w:r>
        <w:rPr>
          <w:rFonts w:ascii="Times New Roman" w:eastAsia="Times New Roman"/>
        </w:rPr>
        <w:t xml:space="preserve">6 </w:t>
      </w:r>
      <w:r>
        <w:t>项目选址意见书</w:t>
      </w:r>
    </w:p>
    <w:p w14:paraId="3E45C68D">
      <w:pPr>
        <w:pStyle w:val="7"/>
        <w:spacing w:before="160"/>
        <w:ind w:left="700"/>
      </w:pPr>
      <w:r>
        <w:t xml:space="preserve">附件 </w:t>
      </w:r>
      <w:r>
        <w:rPr>
          <w:rFonts w:ascii="Times New Roman" w:eastAsia="Times New Roman"/>
        </w:rPr>
        <w:t xml:space="preserve">7 </w:t>
      </w:r>
      <w:r>
        <w:t>项目屠宰企业设立申请</w:t>
      </w:r>
    </w:p>
    <w:p w14:paraId="67E33652">
      <w:pPr>
        <w:pStyle w:val="7"/>
        <w:spacing w:before="161"/>
        <w:ind w:left="700"/>
      </w:pPr>
      <w:r>
        <w:t xml:space="preserve">附件 </w:t>
      </w:r>
      <w:r>
        <w:rPr>
          <w:rFonts w:ascii="Times New Roman" w:eastAsia="Times New Roman"/>
        </w:rPr>
        <w:t xml:space="preserve">8 </w:t>
      </w:r>
      <w:r>
        <w:t>项目污水入管（市政）方案说明</w:t>
      </w:r>
    </w:p>
    <w:p w14:paraId="0853359E">
      <w:pPr>
        <w:pStyle w:val="7"/>
        <w:spacing w:before="158"/>
        <w:ind w:left="700"/>
      </w:pPr>
      <w:r>
        <w:t xml:space="preserve">附件 </w:t>
      </w:r>
      <w:r>
        <w:rPr>
          <w:rFonts w:ascii="Times New Roman" w:eastAsia="Times New Roman"/>
        </w:rPr>
        <w:t xml:space="preserve">9 </w:t>
      </w:r>
      <w:r>
        <w:t>岳阳县污水处理厂提标改造及扩建工程环评批复</w:t>
      </w:r>
    </w:p>
    <w:p w14:paraId="0D4E10D4">
      <w:pPr>
        <w:pStyle w:val="7"/>
        <w:spacing w:before="158"/>
        <w:ind w:left="700"/>
      </w:pPr>
      <w:r>
        <w:t xml:space="preserve">附件 </w:t>
      </w:r>
      <w:r>
        <w:rPr>
          <w:rFonts w:ascii="Times New Roman" w:eastAsia="Times New Roman"/>
        </w:rPr>
        <w:t xml:space="preserve">10 </w:t>
      </w:r>
      <w:r>
        <w:t>岳阳县污水处理厂提标改造及扩建工程验收备案</w:t>
      </w:r>
    </w:p>
    <w:p w14:paraId="0107827F">
      <w:pPr>
        <w:pStyle w:val="7"/>
        <w:spacing w:before="161" w:line="364" w:lineRule="auto"/>
        <w:ind w:left="220" w:right="4897" w:firstLine="480"/>
        <w:rPr>
          <w:b/>
        </w:rPr>
      </w:pPr>
      <w:r>
        <w:t xml:space="preserve">附件 </w:t>
      </w:r>
      <w:r>
        <w:rPr>
          <w:rFonts w:ascii="Times New Roman" w:eastAsia="Times New Roman"/>
        </w:rPr>
        <w:t xml:space="preserve">11 </w:t>
      </w:r>
      <w:r>
        <w:t>本次评价委托环境质量检测报告</w:t>
      </w:r>
      <w:r>
        <w:rPr>
          <w:b/>
        </w:rPr>
        <w:t>附表：</w:t>
      </w:r>
    </w:p>
    <w:p w14:paraId="4016F266">
      <w:pPr>
        <w:pStyle w:val="7"/>
        <w:spacing w:line="306" w:lineRule="exact"/>
        <w:ind w:left="700"/>
      </w:pPr>
      <w:r>
        <w:t xml:space="preserve">附表 </w:t>
      </w:r>
      <w:r>
        <w:rPr>
          <w:rFonts w:ascii="Times New Roman" w:eastAsia="Times New Roman"/>
        </w:rPr>
        <w:t xml:space="preserve">1 </w:t>
      </w:r>
      <w:r>
        <w:t>大气环境影响评价自查表</w:t>
      </w:r>
    </w:p>
    <w:p w14:paraId="41E8A320">
      <w:pPr>
        <w:pStyle w:val="7"/>
        <w:spacing w:before="160"/>
        <w:ind w:left="700"/>
      </w:pPr>
      <w:r>
        <w:t xml:space="preserve">附表 </w:t>
      </w:r>
      <w:r>
        <w:rPr>
          <w:rFonts w:ascii="Times New Roman" w:eastAsia="Times New Roman"/>
        </w:rPr>
        <w:t xml:space="preserve">2 </w:t>
      </w:r>
      <w:r>
        <w:t>声环境影响评价自查表</w:t>
      </w:r>
    </w:p>
    <w:p w14:paraId="4DA2CFD7">
      <w:pPr>
        <w:pStyle w:val="7"/>
        <w:spacing w:before="158"/>
        <w:ind w:left="700"/>
      </w:pPr>
      <w:r>
        <w:t xml:space="preserve">附表 </w:t>
      </w:r>
      <w:r>
        <w:rPr>
          <w:rFonts w:ascii="Times New Roman" w:eastAsia="Times New Roman"/>
        </w:rPr>
        <w:t xml:space="preserve">3 </w:t>
      </w:r>
      <w:r>
        <w:t>地表水环境影响评价自查表</w:t>
      </w:r>
    </w:p>
    <w:p w14:paraId="202B0E56">
      <w:pPr>
        <w:pStyle w:val="7"/>
        <w:spacing w:before="161"/>
        <w:ind w:left="700"/>
      </w:pPr>
      <w:r>
        <w:t xml:space="preserve">附表 </w:t>
      </w:r>
      <w:r>
        <w:rPr>
          <w:rFonts w:ascii="Times New Roman" w:eastAsia="Times New Roman"/>
        </w:rPr>
        <w:t xml:space="preserve">4 </w:t>
      </w:r>
      <w:r>
        <w:t>环境风险评价自查表</w:t>
      </w:r>
    </w:p>
    <w:p w14:paraId="07FDAE01">
      <w:pPr>
        <w:pStyle w:val="7"/>
        <w:spacing w:before="158" w:line="364" w:lineRule="auto"/>
        <w:ind w:left="220" w:right="4057" w:firstLine="480"/>
        <w:rPr>
          <w:b/>
        </w:rPr>
      </w:pPr>
      <w:r>
        <w:t xml:space="preserve">附表 </w:t>
      </w:r>
      <w:r>
        <w:rPr>
          <w:rFonts w:ascii="Times New Roman" w:eastAsia="Times New Roman"/>
        </w:rPr>
        <w:t xml:space="preserve">5 </w:t>
      </w:r>
      <w:r>
        <w:t>建设项目环境影响报告书审批基础信息表</w:t>
      </w:r>
      <w:r>
        <w:rPr>
          <w:b/>
        </w:rPr>
        <w:t>附图：</w:t>
      </w:r>
    </w:p>
    <w:p w14:paraId="6001B983">
      <w:pPr>
        <w:pStyle w:val="7"/>
        <w:spacing w:line="306" w:lineRule="exact"/>
        <w:ind w:left="700"/>
      </w:pPr>
      <w:r>
        <w:t xml:space="preserve">附图 </w:t>
      </w:r>
      <w:r>
        <w:rPr>
          <w:rFonts w:ascii="Times New Roman" w:eastAsia="Times New Roman"/>
        </w:rPr>
        <w:t xml:space="preserve">1 </w:t>
      </w:r>
      <w:r>
        <w:t>项目地理位置示意图</w:t>
      </w:r>
    </w:p>
    <w:p w14:paraId="44A3B814">
      <w:pPr>
        <w:pStyle w:val="7"/>
        <w:spacing w:before="160"/>
        <w:ind w:left="700"/>
      </w:pPr>
      <w:r>
        <w:t xml:space="preserve">附图 </w:t>
      </w:r>
      <w:r>
        <w:rPr>
          <w:rFonts w:ascii="Times New Roman" w:eastAsia="Times New Roman"/>
        </w:rPr>
        <w:t xml:space="preserve">2 </w:t>
      </w:r>
      <w:r>
        <w:t>项目平面布置总图</w:t>
      </w:r>
    </w:p>
    <w:p w14:paraId="1A917BD7">
      <w:pPr>
        <w:pStyle w:val="7"/>
        <w:spacing w:before="158"/>
        <w:ind w:left="700"/>
      </w:pPr>
      <w:r>
        <w:t xml:space="preserve">附图 </w:t>
      </w:r>
      <w:r>
        <w:rPr>
          <w:rFonts w:ascii="Times New Roman" w:eastAsia="Times New Roman"/>
        </w:rPr>
        <w:t xml:space="preserve">3 </w:t>
      </w:r>
      <w:r>
        <w:t>屠宰加工间平面布局示意图</w:t>
      </w:r>
    </w:p>
    <w:p w14:paraId="3DA47043">
      <w:pPr>
        <w:pStyle w:val="7"/>
        <w:spacing w:before="161"/>
        <w:ind w:left="700"/>
      </w:pPr>
      <w:r>
        <w:t xml:space="preserve">附图 </w:t>
      </w:r>
      <w:r>
        <w:rPr>
          <w:rFonts w:ascii="Times New Roman" w:eastAsia="Times New Roman"/>
        </w:rPr>
        <w:t xml:space="preserve">4 </w:t>
      </w:r>
      <w:r>
        <w:t>项目雨水管网分布示意图</w:t>
      </w:r>
    </w:p>
    <w:p w14:paraId="2D285B07">
      <w:pPr>
        <w:pStyle w:val="7"/>
        <w:spacing w:before="160"/>
        <w:ind w:left="700"/>
      </w:pPr>
      <w:r>
        <w:t xml:space="preserve">附图 </w:t>
      </w:r>
      <w:r>
        <w:rPr>
          <w:rFonts w:ascii="Times New Roman" w:eastAsia="Times New Roman"/>
        </w:rPr>
        <w:t xml:space="preserve">5 </w:t>
      </w:r>
      <w:r>
        <w:t>项目污水管网分布示意图</w:t>
      </w:r>
    </w:p>
    <w:p w14:paraId="6E8F30F3">
      <w:pPr>
        <w:pStyle w:val="7"/>
        <w:spacing w:before="159"/>
        <w:ind w:left="700"/>
      </w:pPr>
      <w:r>
        <w:t xml:space="preserve">附图 </w:t>
      </w:r>
      <w:r>
        <w:rPr>
          <w:rFonts w:ascii="Times New Roman" w:eastAsia="Times New Roman"/>
        </w:rPr>
        <w:t xml:space="preserve">6 </w:t>
      </w:r>
      <w:r>
        <w:t>项目外部污水管网分布图</w:t>
      </w:r>
    </w:p>
    <w:p w14:paraId="5D6D15F1">
      <w:pPr>
        <w:pStyle w:val="7"/>
        <w:spacing w:before="158"/>
        <w:ind w:left="700"/>
      </w:pPr>
      <w:r>
        <w:t xml:space="preserve">附图 </w:t>
      </w:r>
      <w:r>
        <w:rPr>
          <w:rFonts w:ascii="Times New Roman" w:eastAsia="Times New Roman"/>
        </w:rPr>
        <w:t xml:space="preserve">7 </w:t>
      </w:r>
      <w:r>
        <w:t>项目声环境评价范围及敏感目标分布图</w:t>
      </w:r>
    </w:p>
    <w:p w14:paraId="18FC9D36">
      <w:pPr>
        <w:pStyle w:val="7"/>
        <w:spacing w:before="160"/>
        <w:ind w:left="700"/>
      </w:pPr>
      <w:r>
        <w:t xml:space="preserve">附图 </w:t>
      </w:r>
      <w:r>
        <w:rPr>
          <w:rFonts w:ascii="Times New Roman" w:eastAsia="Times New Roman"/>
        </w:rPr>
        <w:t xml:space="preserve">8 </w:t>
      </w:r>
      <w:r>
        <w:t>项目环境敏感目标分布图</w:t>
      </w:r>
    </w:p>
    <w:p w14:paraId="30F389D5">
      <w:pPr>
        <w:pStyle w:val="7"/>
        <w:spacing w:before="158"/>
        <w:ind w:left="700"/>
      </w:pPr>
      <w:r>
        <w:t xml:space="preserve">附图 </w:t>
      </w:r>
      <w:r>
        <w:rPr>
          <w:rFonts w:ascii="Times New Roman" w:eastAsia="Times New Roman"/>
        </w:rPr>
        <w:t xml:space="preserve">9 </w:t>
      </w:r>
      <w:r>
        <w:t>项目周边现场勘察照片</w:t>
      </w:r>
    </w:p>
    <w:p w14:paraId="5BB11822">
      <w:pPr>
        <w:spacing w:after="0"/>
        <w:sectPr>
          <w:footerReference r:id="rId7" w:type="default"/>
          <w:pgSz w:w="11910" w:h="16840"/>
          <w:pgMar w:top="1360" w:right="460" w:bottom="1400" w:left="1580" w:header="878" w:footer="1204" w:gutter="0"/>
          <w:cols w:space="720" w:num="1"/>
        </w:sectPr>
      </w:pPr>
    </w:p>
    <w:p w14:paraId="3316A931">
      <w:pPr>
        <w:pStyle w:val="7"/>
        <w:spacing w:before="9"/>
        <w:rPr>
          <w:sz w:val="9"/>
        </w:rPr>
      </w:pPr>
    </w:p>
    <w:p w14:paraId="259F56AB">
      <w:pPr>
        <w:pStyle w:val="2"/>
        <w:ind w:right="3685" w:firstLine="0"/>
        <w:jc w:val="center"/>
      </w:pPr>
      <w:bookmarkStart w:id="0" w:name="_bookmark0"/>
      <w:bookmarkEnd w:id="0"/>
      <w:bookmarkStart w:id="1" w:name="1概  述"/>
      <w:bookmarkEnd w:id="1"/>
      <w:r>
        <w:rPr>
          <w:rFonts w:ascii="Times New Roman" w:eastAsia="Times New Roman"/>
        </w:rPr>
        <w:t xml:space="preserve">1 </w:t>
      </w:r>
      <w:r>
        <w:t>概 述</w:t>
      </w:r>
    </w:p>
    <w:p w14:paraId="1B57F481">
      <w:pPr>
        <w:pStyle w:val="7"/>
        <w:rPr>
          <w:b/>
          <w:sz w:val="26"/>
        </w:rPr>
      </w:pPr>
    </w:p>
    <w:p w14:paraId="5BC39254">
      <w:pPr>
        <w:pStyle w:val="3"/>
        <w:numPr>
          <w:ilvl w:val="1"/>
          <w:numId w:val="3"/>
        </w:numPr>
        <w:tabs>
          <w:tab w:val="left" w:pos="628"/>
        </w:tabs>
        <w:spacing w:before="1" w:after="0" w:line="240" w:lineRule="auto"/>
        <w:ind w:left="628" w:right="0" w:hanging="408"/>
        <w:jc w:val="left"/>
      </w:pPr>
      <w:bookmarkStart w:id="2" w:name="_bookmark1"/>
      <w:bookmarkEnd w:id="2"/>
      <w:bookmarkStart w:id="3" w:name="_bookmark1"/>
      <w:bookmarkEnd w:id="3"/>
      <w:bookmarkStart w:id="4" w:name="1.1项目由来及特点"/>
      <w:bookmarkEnd w:id="4"/>
      <w:r>
        <w:t>项目由来及特点</w:t>
      </w:r>
    </w:p>
    <w:p w14:paraId="36318694">
      <w:pPr>
        <w:pStyle w:val="7"/>
        <w:spacing w:before="185" w:line="362" w:lineRule="auto"/>
        <w:ind w:left="220" w:right="1337" w:firstLine="480"/>
        <w:jc w:val="both"/>
      </w:pPr>
      <w:r>
        <w:t>为切实提高生猪屠宰标准化水平，提升肉品质量安全保障能力，落实《生猪屠宰管理条例》、《国务院办公厅关于促进畜牧业高质量发展的意见》（国办发</w:t>
      </w:r>
      <w:r>
        <w:rPr>
          <w:rFonts w:ascii="Times New Roman" w:eastAsia="Times New Roman"/>
        </w:rPr>
        <w:t xml:space="preserve">[2020]31 </w:t>
      </w:r>
      <w:r>
        <w:t>号）、《湖南省生猪定点屠宰厂（场）设置管理办法》（湘政发</w:t>
      </w:r>
    </w:p>
    <w:p w14:paraId="75F20DB6">
      <w:pPr>
        <w:pStyle w:val="7"/>
        <w:spacing w:before="6"/>
        <w:ind w:left="220"/>
      </w:pPr>
      <w:r>
        <w:rPr>
          <w:rFonts w:ascii="Times New Roman" w:eastAsia="Times New Roman"/>
        </w:rPr>
        <w:t xml:space="preserve">[2008]35 </w:t>
      </w:r>
      <w:r>
        <w:t>号）以及《湖南省生猪屠宰行业发展规划（</w:t>
      </w:r>
      <w:r>
        <w:rPr>
          <w:rFonts w:ascii="Times New Roman" w:eastAsia="Times New Roman"/>
        </w:rPr>
        <w:t xml:space="preserve">2022-2025 </w:t>
      </w:r>
      <w:r>
        <w:t>年）》（湘农发</w:t>
      </w:r>
    </w:p>
    <w:p w14:paraId="47C5B042">
      <w:pPr>
        <w:pStyle w:val="7"/>
        <w:spacing w:before="160" w:line="364" w:lineRule="auto"/>
        <w:ind w:left="220" w:right="1337"/>
        <w:jc w:val="both"/>
      </w:pPr>
      <w:r>
        <w:t>〔</w:t>
      </w:r>
      <w:r>
        <w:rPr>
          <w:rFonts w:ascii="Times New Roman" w:eastAsia="Times New Roman"/>
        </w:rPr>
        <w:t>2023</w:t>
      </w:r>
      <w:r>
        <w:t>〕</w:t>
      </w:r>
      <w:r>
        <w:rPr>
          <w:rFonts w:ascii="Times New Roman" w:eastAsia="Times New Roman"/>
        </w:rPr>
        <w:t xml:space="preserve">26 </w:t>
      </w:r>
      <w:r>
        <w:t xml:space="preserve">号）等要求，岳阳市按照质量管理制度化、厂区环境整洁化、设施设备标准化、生产经营规范化、检测检验科学化、排放处理无害化的总体要求，在县城周边新建一所 </w:t>
      </w:r>
      <w:r>
        <w:rPr>
          <w:rFonts w:ascii="Times New Roman" w:eastAsia="Times New Roman"/>
        </w:rPr>
        <w:t xml:space="preserve">A </w:t>
      </w:r>
      <w:r>
        <w:t>类现代化屠宰场及冷链物流，扩大生猪屠宰规模和冷鲜肉生产，加强冷链物流建设，推进肉类产品的深加工，发挥示范引领作用，提升生猪屠宰行业标准化水平，全面促进岳阳县屠宰场上规模、上档次， 确保人民群众吃上放心肉。</w:t>
      </w:r>
    </w:p>
    <w:p w14:paraId="7C6ACC4C">
      <w:pPr>
        <w:pStyle w:val="7"/>
        <w:spacing w:line="304" w:lineRule="exact"/>
        <w:ind w:left="700"/>
      </w:pPr>
      <w:r>
        <w:t xml:space="preserve">岳阳县惠康农业有限公司成立于 </w:t>
      </w:r>
      <w:r>
        <w:rPr>
          <w:rFonts w:ascii="Times New Roman" w:eastAsia="Times New Roman"/>
        </w:rPr>
        <w:t xml:space="preserve">2021 </w:t>
      </w:r>
      <w:r>
        <w:t xml:space="preserve">年 </w:t>
      </w:r>
      <w:r>
        <w:rPr>
          <w:rFonts w:ascii="Times New Roman" w:eastAsia="Times New Roman"/>
        </w:rPr>
        <w:t xml:space="preserve">3 </w:t>
      </w:r>
      <w:r>
        <w:t>月，系湖南盛佳荣新投资集团有</w:t>
      </w:r>
    </w:p>
    <w:p w14:paraId="7427090A">
      <w:pPr>
        <w:pStyle w:val="7"/>
        <w:spacing w:before="159"/>
        <w:ind w:left="220"/>
      </w:pPr>
      <w:r>
        <w:t xml:space="preserve">限公司全资子公司，注册资金 </w:t>
      </w:r>
      <w:r>
        <w:rPr>
          <w:rFonts w:ascii="Times New Roman" w:eastAsia="Times New Roman"/>
        </w:rPr>
        <w:t xml:space="preserve">500 </w:t>
      </w:r>
      <w:r>
        <w:t>万元，法人代表为刘志成，办公地址位于荣</w:t>
      </w:r>
    </w:p>
    <w:p w14:paraId="58316833">
      <w:pPr>
        <w:pStyle w:val="7"/>
        <w:spacing w:before="160" w:line="364" w:lineRule="auto"/>
        <w:ind w:left="220" w:right="1337"/>
        <w:jc w:val="both"/>
      </w:pPr>
      <w:r>
        <w:t>家湾镇（</w:t>
      </w:r>
      <w:r>
        <w:rPr>
          <w:spacing w:val="-3"/>
        </w:rPr>
        <w:t xml:space="preserve">岳阳高新技术产业园区公共实训基地办公楼五楼 </w:t>
      </w:r>
      <w:r>
        <w:rPr>
          <w:rFonts w:ascii="Times New Roman" w:eastAsia="Times New Roman"/>
        </w:rPr>
        <w:t xml:space="preserve">517 </w:t>
      </w:r>
      <w:r>
        <w:t>室）</w:t>
      </w:r>
      <w:r>
        <w:rPr>
          <w:spacing w:val="-17"/>
        </w:rPr>
        <w:t xml:space="preserve">。于 </w:t>
      </w:r>
      <w:r>
        <w:rPr>
          <w:rFonts w:ascii="Times New Roman" w:eastAsia="Times New Roman"/>
        </w:rPr>
        <w:t xml:space="preserve">2021 </w:t>
      </w:r>
      <w:r>
        <w:t>年报建岳阳县畜禽屠宰场及冷链物流建设项目，通过湖南省农业农村厅和岳阳市</w:t>
      </w:r>
      <w:r>
        <w:rPr>
          <w:spacing w:val="-4"/>
        </w:rPr>
        <w:t xml:space="preserve">人民政府办公室的审批，于 </w:t>
      </w:r>
      <w:r>
        <w:rPr>
          <w:rFonts w:ascii="Times New Roman" w:eastAsia="Times New Roman"/>
        </w:rPr>
        <w:t xml:space="preserve">2023 </w:t>
      </w:r>
      <w:r>
        <w:t>年在岳阳县发改局、岳阳县农业农村局进行项目备案，</w:t>
      </w:r>
      <w:r>
        <w:rPr>
          <w:rFonts w:ascii="Times New Roman" w:eastAsia="Times New Roman"/>
        </w:rPr>
        <w:t xml:space="preserve">2023 </w:t>
      </w:r>
      <w:r>
        <w:rPr>
          <w:spacing w:val="-22"/>
        </w:rPr>
        <w:t xml:space="preserve">年 </w:t>
      </w:r>
      <w:r>
        <w:rPr>
          <w:rFonts w:ascii="Times New Roman" w:eastAsia="Times New Roman"/>
        </w:rPr>
        <w:t xml:space="preserve">9 </w:t>
      </w:r>
      <w:r>
        <w:t>月岳阳县自然资源局出具了选址意见。新建项目位于岳阳县</w:t>
      </w:r>
      <w:r>
        <w:rPr>
          <w:spacing w:val="-4"/>
        </w:rPr>
        <w:t xml:space="preserve">荣家湾镇城东村，总建筑面积 </w:t>
      </w:r>
      <w:r>
        <w:rPr>
          <w:rFonts w:ascii="Times New Roman" w:eastAsia="Times New Roman"/>
        </w:rPr>
        <w:t xml:space="preserve">29760 </w:t>
      </w:r>
      <w:r>
        <w:rPr>
          <w:spacing w:val="-5"/>
        </w:rPr>
        <w:t xml:space="preserve">平方米，总占地面积 </w:t>
      </w:r>
      <w:r>
        <w:rPr>
          <w:rFonts w:ascii="Times New Roman" w:eastAsia="Times New Roman"/>
        </w:rPr>
        <w:t xml:space="preserve">40.4 </w:t>
      </w:r>
      <w:r>
        <w:t>亩，年屠宰设计</w:t>
      </w:r>
    </w:p>
    <w:p w14:paraId="1F8F2089">
      <w:pPr>
        <w:pStyle w:val="7"/>
        <w:spacing w:line="306" w:lineRule="exact"/>
        <w:ind w:left="220"/>
        <w:jc w:val="both"/>
      </w:pPr>
      <w:r>
        <w:t xml:space="preserve">能力 </w:t>
      </w:r>
      <w:r>
        <w:rPr>
          <w:rFonts w:ascii="Times New Roman" w:eastAsia="Times New Roman"/>
        </w:rPr>
        <w:t xml:space="preserve">40 </w:t>
      </w:r>
      <w:r>
        <w:t xml:space="preserve">万头，计划总投资 </w:t>
      </w:r>
      <w:r>
        <w:rPr>
          <w:rFonts w:ascii="Times New Roman" w:eastAsia="Times New Roman"/>
        </w:rPr>
        <w:t xml:space="preserve">17585.3 </w:t>
      </w:r>
      <w:r>
        <w:t>万元。</w:t>
      </w:r>
    </w:p>
    <w:p w14:paraId="10676377">
      <w:pPr>
        <w:pStyle w:val="7"/>
        <w:spacing w:before="158"/>
        <w:ind w:left="700"/>
      </w:pPr>
      <w:r>
        <w:rPr>
          <w:spacing w:val="25"/>
        </w:rPr>
        <w:t>根据《国民经济行业分类》</w:t>
      </w:r>
      <w:r>
        <w:t>（</w:t>
      </w:r>
      <w:r>
        <w:rPr>
          <w:spacing w:val="-92"/>
        </w:rPr>
        <w:t xml:space="preserve"> </w:t>
      </w:r>
      <w:r>
        <w:rPr>
          <w:rFonts w:ascii="Times New Roman" w:eastAsia="Times New Roman"/>
        </w:rPr>
        <w:t xml:space="preserve">GB/T 4754-2017 </w:t>
      </w:r>
      <w:r>
        <w:t>）</w:t>
      </w:r>
      <w:r>
        <w:rPr>
          <w:spacing w:val="5"/>
        </w:rPr>
        <w:t xml:space="preserve"> 及其修改单</w:t>
      </w:r>
      <w:r>
        <w:t>（</w:t>
      </w:r>
      <w:r>
        <w:rPr>
          <w:spacing w:val="-11"/>
        </w:rPr>
        <w:t xml:space="preserve"> 国统字</w:t>
      </w:r>
    </w:p>
    <w:p w14:paraId="55D75DB1">
      <w:pPr>
        <w:pStyle w:val="7"/>
        <w:spacing w:before="158"/>
        <w:ind w:left="220"/>
        <w:jc w:val="both"/>
      </w:pPr>
      <w:r>
        <w:rPr>
          <w:rFonts w:ascii="Times New Roman" w:hAnsi="Times New Roman" w:eastAsia="Times New Roman"/>
        </w:rPr>
        <w:t xml:space="preserve">[2019]66 </w:t>
      </w:r>
      <w:r>
        <w:t>号），本项目国民经济代码分别为“</w:t>
      </w:r>
      <w:r>
        <w:rPr>
          <w:rFonts w:ascii="Times New Roman" w:hAnsi="Times New Roman" w:eastAsia="Times New Roman"/>
        </w:rPr>
        <w:t xml:space="preserve">C1341 </w:t>
      </w:r>
      <w:r>
        <w:t>牲畜屠宰”，对应《建设</w:t>
      </w:r>
    </w:p>
    <w:p w14:paraId="102ABDF5">
      <w:pPr>
        <w:pStyle w:val="7"/>
        <w:spacing w:before="161"/>
        <w:ind w:left="220"/>
        <w:jc w:val="both"/>
        <w:rPr>
          <w:rFonts w:ascii="Times New Roman" w:hAnsi="Times New Roman" w:eastAsia="Times New Roman"/>
        </w:rPr>
      </w:pPr>
      <w:r>
        <w:t>项目环境影响评价分类管理名录》（</w:t>
      </w:r>
      <w:r>
        <w:rPr>
          <w:rFonts w:ascii="Times New Roman" w:hAnsi="Times New Roman" w:eastAsia="Times New Roman"/>
        </w:rPr>
        <w:t xml:space="preserve">2021 </w:t>
      </w:r>
      <w:r>
        <w:t xml:space="preserve">年版）中“十、农副食品加工业 </w:t>
      </w:r>
      <w:r>
        <w:rPr>
          <w:rFonts w:ascii="Times New Roman" w:hAnsi="Times New Roman" w:eastAsia="Times New Roman"/>
        </w:rPr>
        <w:t>13-</w:t>
      </w:r>
    </w:p>
    <w:p w14:paraId="712BEAAA">
      <w:pPr>
        <w:pStyle w:val="7"/>
        <w:spacing w:before="160" w:line="364" w:lineRule="auto"/>
        <w:ind w:left="220" w:right="1337"/>
        <w:jc w:val="both"/>
      </w:pPr>
      <w:r>
        <w:rPr>
          <w:rFonts w:ascii="Times New Roman" w:hAnsi="Times New Roman" w:eastAsia="Times New Roman"/>
        </w:rPr>
        <w:t>18.</w:t>
      </w:r>
      <w:r>
        <w:rPr>
          <w:spacing w:val="-5"/>
        </w:rPr>
        <w:t xml:space="preserve">屠宰及肉类加工 </w:t>
      </w:r>
      <w:r>
        <w:rPr>
          <w:rFonts w:ascii="Times New Roman" w:hAnsi="Times New Roman" w:eastAsia="Times New Roman"/>
          <w:spacing w:val="1"/>
        </w:rPr>
        <w:t>135</w:t>
      </w:r>
      <w:r>
        <w:rPr>
          <w:spacing w:val="2"/>
        </w:rPr>
        <w:t>”中的</w:t>
      </w:r>
      <w:r>
        <w:rPr>
          <w:rFonts w:ascii="Times New Roman" w:hAnsi="Times New Roman" w:eastAsia="Times New Roman"/>
        </w:rPr>
        <w:t>“</w:t>
      </w:r>
      <w:r>
        <w:rPr>
          <w:spacing w:val="-8"/>
        </w:rPr>
        <w:t xml:space="preserve">屠宰生猪 </w:t>
      </w:r>
      <w:r>
        <w:rPr>
          <w:rFonts w:ascii="Times New Roman" w:hAnsi="Times New Roman" w:eastAsia="Times New Roman"/>
        </w:rPr>
        <w:t xml:space="preserve">10 </w:t>
      </w:r>
      <w:r>
        <w:rPr>
          <w:spacing w:val="1"/>
        </w:rPr>
        <w:t>万头及以上的”，应编制环境影响</w:t>
      </w:r>
      <w:r>
        <w:t>报告书。根据《中华人民共和国环境保护法》、《中华人民共和国环境影响评价法》及《建设项目环境保护管理条例》等国家有关法律、法规的要求，岳阳</w:t>
      </w:r>
      <w:r>
        <w:rPr>
          <w:spacing w:val="-5"/>
        </w:rPr>
        <w:t xml:space="preserve">县惠康农业有限公司于 </w:t>
      </w:r>
      <w:r>
        <w:rPr>
          <w:rFonts w:ascii="Times New Roman" w:hAnsi="Times New Roman" w:eastAsia="Times New Roman"/>
        </w:rPr>
        <w:t xml:space="preserve">2024 </w:t>
      </w:r>
      <w:r>
        <w:rPr>
          <w:spacing w:val="-25"/>
        </w:rPr>
        <w:t xml:space="preserve">年 </w:t>
      </w:r>
      <w:r>
        <w:rPr>
          <w:rFonts w:ascii="Times New Roman" w:hAnsi="Times New Roman" w:eastAsia="Times New Roman"/>
        </w:rPr>
        <w:t xml:space="preserve">1 </w:t>
      </w:r>
      <w:r>
        <w:t>月委托湖南义格环保科技有限公司（以下简称</w:t>
      </w:r>
    </w:p>
    <w:p w14:paraId="61712CCC">
      <w:pPr>
        <w:pStyle w:val="7"/>
        <w:spacing w:line="362" w:lineRule="auto"/>
        <w:ind w:left="220" w:right="1337"/>
        <w:jc w:val="both"/>
      </w:pPr>
      <w:r>
        <w:t>“义格环保”）承担岳阳县畜禽屠宰场及冷链物流建设项目的环境影响评价工作。义格环保在接受委托后即成立了环评工作小组，在有关部门的大力支撑和</w:t>
      </w:r>
    </w:p>
    <w:p w14:paraId="46E5B9D9">
      <w:pPr>
        <w:spacing w:after="0" w:line="362" w:lineRule="auto"/>
        <w:jc w:val="both"/>
        <w:sectPr>
          <w:footerReference r:id="rId8" w:type="default"/>
          <w:pgSz w:w="11910" w:h="16840"/>
          <w:pgMar w:top="1360" w:right="460" w:bottom="1400" w:left="1580" w:header="878" w:footer="1204" w:gutter="0"/>
          <w:pgNumType w:start="1"/>
          <w:cols w:space="720" w:num="1"/>
        </w:sectPr>
      </w:pPr>
    </w:p>
    <w:p w14:paraId="4702F25A">
      <w:pPr>
        <w:pStyle w:val="7"/>
        <w:spacing w:before="67" w:line="364" w:lineRule="auto"/>
        <w:ind w:left="220" w:right="1337"/>
        <w:jc w:val="both"/>
      </w:pPr>
      <w:r>
        <w:t>协助下对项目现场及周边环境进行实地勘查、调研和资料收集，在此基础上， 按照相关法律、法规、环境影响评价技术导则、规范和标准，编制了《岳阳县畜禽屠宰场及冷链物流建设项目环境影响报告书》。</w:t>
      </w:r>
    </w:p>
    <w:p w14:paraId="3E1FB6D3">
      <w:pPr>
        <w:pStyle w:val="3"/>
        <w:numPr>
          <w:ilvl w:val="1"/>
          <w:numId w:val="3"/>
        </w:numPr>
        <w:tabs>
          <w:tab w:val="left" w:pos="628"/>
        </w:tabs>
        <w:spacing w:before="0" w:after="0" w:line="240" w:lineRule="auto"/>
        <w:ind w:left="628" w:right="0" w:hanging="408"/>
        <w:jc w:val="left"/>
      </w:pPr>
      <w:bookmarkStart w:id="5" w:name="_bookmark2"/>
      <w:bookmarkEnd w:id="5"/>
      <w:bookmarkStart w:id="6" w:name="1.2环境影响评价的工作过程"/>
      <w:bookmarkEnd w:id="6"/>
      <w:bookmarkStart w:id="7" w:name="_bookmark2"/>
      <w:bookmarkEnd w:id="7"/>
      <w:r>
        <w:t>环境影响评价的工作过程</w:t>
      </w:r>
    </w:p>
    <w:p w14:paraId="3E57C131">
      <w:pPr>
        <w:pStyle w:val="7"/>
        <w:spacing w:before="186" w:line="364" w:lineRule="auto"/>
        <w:ind w:left="220" w:right="1337" w:firstLine="480"/>
        <w:jc w:val="both"/>
      </w:pPr>
      <w:r>
        <w:t>根据《建设项目环境影响评价技术导则 总则》（</w:t>
      </w:r>
      <w:r>
        <w:rPr>
          <w:rFonts w:ascii="Times New Roman" w:eastAsia="Times New Roman"/>
        </w:rPr>
        <w:t>HJ2.1-2016</w:t>
      </w:r>
      <w:r>
        <w:t>），分析判定建设项目选址选线、规模、性质和工艺路线等与国家和地方有关环境保护法律法规、标准、政策、规范、相关规划、规划环境影响评价结论及审查意见的符合性，并与生态保护红线、环境质量底线、资源利用上线和环境准入负面清单进行对照，作为开展环境影响评价工作的前提和基础。</w:t>
      </w:r>
    </w:p>
    <w:p w14:paraId="18464FC6">
      <w:pPr>
        <w:pStyle w:val="7"/>
        <w:spacing w:line="364" w:lineRule="auto"/>
        <w:ind w:left="220" w:right="1337" w:firstLine="480"/>
        <w:jc w:val="both"/>
      </w:pPr>
      <w:r>
        <w:t xml:space="preserve">本项目环境影响评价工作分三个阶段：调查分析和工作方案制定阶段，分析论证和预测评价阶段，环境影响报告书编制阶段。具体流程见图 </w:t>
      </w:r>
      <w:r>
        <w:rPr>
          <w:rFonts w:ascii="Times New Roman" w:eastAsia="Times New Roman"/>
        </w:rPr>
        <w:t>1- 1</w:t>
      </w:r>
      <w:r>
        <w:t>。</w:t>
      </w:r>
    </w:p>
    <w:p w14:paraId="7B0C8FC0">
      <w:pPr>
        <w:pStyle w:val="7"/>
        <w:ind w:left="220"/>
        <w:rPr>
          <w:sz w:val="20"/>
        </w:rPr>
      </w:pPr>
      <w:r>
        <w:rPr>
          <w:sz w:val="20"/>
        </w:rPr>
        <w:drawing>
          <wp:inline distT="0" distB="0" distL="0" distR="0">
            <wp:extent cx="5174615" cy="5295900"/>
            <wp:effectExtent l="0" t="0" r="0" b="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61" cstate="print"/>
                    <a:stretch>
                      <a:fillRect/>
                    </a:stretch>
                  </pic:blipFill>
                  <pic:spPr>
                    <a:xfrm>
                      <a:off x="0" y="0"/>
                      <a:ext cx="5174826" cy="5295900"/>
                    </a:xfrm>
                    <a:prstGeom prst="rect">
                      <a:avLst/>
                    </a:prstGeom>
                  </pic:spPr>
                </pic:pic>
              </a:graphicData>
            </a:graphic>
          </wp:inline>
        </w:drawing>
      </w:r>
    </w:p>
    <w:p w14:paraId="79627E6E">
      <w:pPr>
        <w:spacing w:after="0"/>
        <w:rPr>
          <w:sz w:val="20"/>
        </w:rPr>
        <w:sectPr>
          <w:pgSz w:w="11910" w:h="16840"/>
          <w:pgMar w:top="1360" w:right="460" w:bottom="1400" w:left="1580" w:header="878" w:footer="1204" w:gutter="0"/>
          <w:cols w:space="720" w:num="1"/>
        </w:sectPr>
      </w:pPr>
    </w:p>
    <w:p w14:paraId="052CD9F7">
      <w:pPr>
        <w:spacing w:before="66"/>
        <w:ind w:left="2908" w:right="0" w:firstLine="0"/>
        <w:jc w:val="left"/>
        <w:rPr>
          <w:b/>
          <w:sz w:val="21"/>
        </w:rPr>
      </w:pPr>
      <w:r>
        <w:rPr>
          <w:b/>
          <w:sz w:val="21"/>
        </w:rPr>
        <w:t xml:space="preserve">图 </w:t>
      </w:r>
      <w:r>
        <w:rPr>
          <w:rFonts w:ascii="Times New Roman" w:eastAsia="Times New Roman"/>
          <w:b/>
          <w:sz w:val="21"/>
        </w:rPr>
        <w:t xml:space="preserve">1- 1 </w:t>
      </w:r>
      <w:r>
        <w:rPr>
          <w:b/>
          <w:sz w:val="21"/>
        </w:rPr>
        <w:t>环境影响评价工作程序图</w:t>
      </w:r>
    </w:p>
    <w:p w14:paraId="3FA93482">
      <w:pPr>
        <w:pStyle w:val="7"/>
        <w:spacing w:before="126"/>
        <w:ind w:left="700"/>
      </w:pPr>
      <w:r>
        <w:t>环境影响报告书编制情况：</w:t>
      </w:r>
    </w:p>
    <w:p w14:paraId="10D99989">
      <w:pPr>
        <w:pStyle w:val="13"/>
        <w:numPr>
          <w:ilvl w:val="2"/>
          <w:numId w:val="3"/>
        </w:numPr>
        <w:tabs>
          <w:tab w:val="left" w:pos="931"/>
        </w:tabs>
        <w:spacing w:before="158" w:after="0" w:line="364" w:lineRule="auto"/>
        <w:ind w:left="220" w:right="1337" w:firstLine="480"/>
        <w:jc w:val="both"/>
        <w:rPr>
          <w:sz w:val="24"/>
        </w:rPr>
      </w:pPr>
      <w:r>
        <w:rPr>
          <w:spacing w:val="1"/>
          <w:sz w:val="24"/>
        </w:rPr>
        <w:t>主要包括概述、总则、建设项目工程分析、环境现状调查与评价、环境</w:t>
      </w:r>
      <w:r>
        <w:rPr>
          <w:sz w:val="24"/>
        </w:rPr>
        <w:t>影响预测与评价、环境保护措施及其可行性论证、环境影响经济损益分析、环境管理与监测计划、环境影响评价结论和附录附件等内容。</w:t>
      </w:r>
    </w:p>
    <w:p w14:paraId="3269C482">
      <w:pPr>
        <w:pStyle w:val="7"/>
        <w:spacing w:line="364" w:lineRule="auto"/>
        <w:ind w:left="220" w:right="1337" w:firstLine="480"/>
        <w:jc w:val="both"/>
      </w:pPr>
      <w:r>
        <w:t>概述简要说明建设项目的特点、环境影响评价的工作过程、分析判定相关情况、关注的主要环境问题及环境影响、环境影响评价的主要结论等。总则应包括编制依据、评价因子与评价标准、评价工作等级和评价范围、相关规划及环境功能区划、主要环境保护目标等。附录和附件应包括项目依据文件、相关技术资料、引用文献等。</w:t>
      </w:r>
    </w:p>
    <w:p w14:paraId="05E0A3A8">
      <w:pPr>
        <w:pStyle w:val="13"/>
        <w:numPr>
          <w:ilvl w:val="2"/>
          <w:numId w:val="3"/>
        </w:numPr>
        <w:tabs>
          <w:tab w:val="left" w:pos="945"/>
        </w:tabs>
        <w:spacing w:before="0" w:after="0" w:line="362" w:lineRule="auto"/>
        <w:ind w:left="220" w:right="1337" w:firstLine="480"/>
        <w:jc w:val="both"/>
        <w:rPr>
          <w:sz w:val="24"/>
        </w:rPr>
      </w:pPr>
      <w:r>
        <w:rPr>
          <w:spacing w:val="0"/>
          <w:sz w:val="24"/>
        </w:rPr>
        <w:t>概括地反映环境影响评价的全部工作成果，突出重点。工程分析体现工</w:t>
      </w:r>
      <w:r>
        <w:rPr>
          <w:sz w:val="24"/>
        </w:rPr>
        <w:t>程特点，环境现状调查反映环境特征，主要环境问题阐述清楚，影响预测方法科学，预测结果可信，环境保护措施可行、有效，评价结论明确。</w:t>
      </w:r>
    </w:p>
    <w:p w14:paraId="13A7F82B">
      <w:pPr>
        <w:pStyle w:val="13"/>
        <w:numPr>
          <w:ilvl w:val="2"/>
          <w:numId w:val="3"/>
        </w:numPr>
        <w:tabs>
          <w:tab w:val="left" w:pos="931"/>
        </w:tabs>
        <w:spacing w:before="4" w:after="0" w:line="364" w:lineRule="auto"/>
        <w:ind w:left="220" w:right="1337" w:firstLine="480"/>
        <w:jc w:val="both"/>
        <w:rPr>
          <w:sz w:val="24"/>
        </w:rPr>
      </w:pPr>
      <w:r>
        <w:rPr>
          <w:spacing w:val="1"/>
          <w:sz w:val="24"/>
        </w:rPr>
        <w:t>文字简洁、准确，文本规范，计量单位标准化，数据真实、可信，资料</w:t>
      </w:r>
      <w:r>
        <w:rPr>
          <w:sz w:val="24"/>
        </w:rPr>
        <w:t>翔实，强化先进信息技术的应用，图表信息满足环境质量现状评价和环境影响预测评价的要求。</w:t>
      </w:r>
    </w:p>
    <w:p w14:paraId="2DE5F051">
      <w:pPr>
        <w:pStyle w:val="3"/>
        <w:numPr>
          <w:ilvl w:val="1"/>
          <w:numId w:val="3"/>
        </w:numPr>
        <w:tabs>
          <w:tab w:val="left" w:pos="628"/>
        </w:tabs>
        <w:spacing w:before="0" w:after="0" w:line="240" w:lineRule="auto"/>
        <w:ind w:left="628" w:right="0" w:hanging="408"/>
        <w:jc w:val="left"/>
      </w:pPr>
      <w:bookmarkStart w:id="8" w:name="_bookmark3"/>
      <w:bookmarkEnd w:id="8"/>
      <w:bookmarkStart w:id="9" w:name="1.3分析判定相关情况"/>
      <w:bookmarkEnd w:id="9"/>
      <w:bookmarkStart w:id="10" w:name="_bookmark3"/>
      <w:bookmarkEnd w:id="10"/>
      <w:r>
        <w:t>分析判定相关情况</w:t>
      </w:r>
    </w:p>
    <w:p w14:paraId="2A23917B">
      <w:pPr>
        <w:pStyle w:val="6"/>
        <w:numPr>
          <w:ilvl w:val="2"/>
          <w:numId w:val="4"/>
        </w:numPr>
        <w:tabs>
          <w:tab w:val="left" w:pos="751"/>
        </w:tabs>
        <w:spacing w:before="185" w:after="0" w:line="240" w:lineRule="auto"/>
        <w:ind w:left="220" w:right="0" w:firstLine="0"/>
        <w:jc w:val="left"/>
      </w:pPr>
      <w:bookmarkStart w:id="11" w:name="1.3.1项目与产业政策符合性分析"/>
      <w:bookmarkEnd w:id="11"/>
      <w:bookmarkStart w:id="12" w:name="1.3.1项目与产业政策符合性分析"/>
      <w:bookmarkEnd w:id="12"/>
      <w:r>
        <w:t>项目与产业政策符合性分析</w:t>
      </w:r>
    </w:p>
    <w:p w14:paraId="762B01D7">
      <w:pPr>
        <w:pStyle w:val="7"/>
        <w:spacing w:before="158" w:line="364" w:lineRule="auto"/>
        <w:ind w:left="220" w:right="1337" w:firstLine="480"/>
        <w:jc w:val="both"/>
      </w:pPr>
      <w:r>
        <w:rPr>
          <w:spacing w:val="15"/>
        </w:rPr>
        <w:t xml:space="preserve">本项目年屠宰生猪 </w:t>
      </w:r>
      <w:r>
        <w:rPr>
          <w:rFonts w:ascii="Times New Roman" w:eastAsia="Times New Roman"/>
        </w:rPr>
        <w:t xml:space="preserve">40 </w:t>
      </w:r>
      <w:r>
        <w:rPr>
          <w:spacing w:val="10"/>
        </w:rPr>
        <w:t>万头， 根据《产业结构调整指导目录</w:t>
      </w:r>
      <w:r>
        <w:t>（</w:t>
      </w:r>
      <w:r>
        <w:rPr>
          <w:spacing w:val="-90"/>
        </w:rPr>
        <w:t xml:space="preserve"> </w:t>
      </w:r>
      <w:r>
        <w:rPr>
          <w:rFonts w:ascii="Times New Roman" w:eastAsia="Times New Roman"/>
        </w:rPr>
        <w:t xml:space="preserve">2024 </w:t>
      </w:r>
      <w:r>
        <w:t>年</w:t>
      </w:r>
      <w:r>
        <w:rPr>
          <w:spacing w:val="2"/>
        </w:rPr>
        <w:t>本）</w:t>
      </w:r>
      <w:r>
        <w:t>》，本项目不属于淘汰类和限值类，为允许类，且符合国家有关法律、法规和政策规定。对照中华人民共和国工业和信息化部颁布的《部分工业行业淘</w:t>
      </w:r>
      <w:r>
        <w:rPr>
          <w:spacing w:val="15"/>
        </w:rPr>
        <w:t>汰落后生产工艺装备和产品指导目录</w:t>
      </w:r>
      <w:r>
        <w:rPr>
          <w:spacing w:val="2"/>
        </w:rPr>
        <w:t>（</w:t>
      </w:r>
      <w:r>
        <w:rPr>
          <w:rFonts w:ascii="Times New Roman" w:eastAsia="Times New Roman"/>
          <w:spacing w:val="2"/>
        </w:rPr>
        <w:t>2010</w:t>
      </w:r>
      <w:r>
        <w:rPr>
          <w:rFonts w:ascii="Times New Roman" w:eastAsia="Times New Roman"/>
          <w:spacing w:val="1"/>
        </w:rPr>
        <w:t xml:space="preserve"> </w:t>
      </w:r>
      <w:r>
        <w:rPr>
          <w:spacing w:val="15"/>
        </w:rPr>
        <w:t>年本）》</w:t>
      </w:r>
      <w:r>
        <w:rPr>
          <w:spacing w:val="17"/>
        </w:rPr>
        <w:t>（</w:t>
      </w:r>
      <w:r>
        <w:rPr>
          <w:spacing w:val="15"/>
        </w:rPr>
        <w:t>工产业</w:t>
      </w:r>
      <w:r>
        <w:rPr>
          <w:rFonts w:ascii="Times New Roman" w:eastAsia="Times New Roman"/>
          <w:spacing w:val="1"/>
        </w:rPr>
        <w:t>[2010]</w:t>
      </w:r>
      <w:r>
        <w:rPr>
          <w:spacing w:val="-16"/>
        </w:rPr>
        <w:t xml:space="preserve">第 </w:t>
      </w:r>
      <w:r>
        <w:rPr>
          <w:rFonts w:ascii="Times New Roman" w:eastAsia="Times New Roman"/>
        </w:rPr>
        <w:t xml:space="preserve">122 </w:t>
      </w:r>
      <w:r>
        <w:rPr>
          <w:spacing w:val="2"/>
        </w:rPr>
        <w:t>号），</w:t>
      </w:r>
      <w:r>
        <w:t>本项目的工艺、设备和产品不在淘汰落后生产工艺装备目录中；其行业类别均不在《市场准入负面清单（</w:t>
      </w:r>
      <w:r>
        <w:rPr>
          <w:rFonts w:ascii="Times New Roman" w:eastAsia="Times New Roman"/>
        </w:rPr>
        <w:t xml:space="preserve">2022 </w:t>
      </w:r>
      <w:r>
        <w:rPr>
          <w:spacing w:val="0"/>
        </w:rPr>
        <w:t>年版</w:t>
      </w:r>
      <w:r>
        <w:t>）》禁止准入类、与市场准入相关的禁止性规定内。</w:t>
      </w:r>
    </w:p>
    <w:p w14:paraId="150ECC2B">
      <w:pPr>
        <w:spacing w:before="0" w:after="3" w:line="265" w:lineRule="exact"/>
        <w:ind w:left="2687" w:right="0" w:firstLine="0"/>
        <w:jc w:val="left"/>
        <w:rPr>
          <w:b/>
          <w:sz w:val="21"/>
        </w:rPr>
      </w:pPr>
      <w:r>
        <w:rPr>
          <w:b/>
          <w:sz w:val="21"/>
        </w:rPr>
        <w:t xml:space="preserve">表 </w:t>
      </w:r>
      <w:r>
        <w:rPr>
          <w:rFonts w:ascii="Times New Roman" w:eastAsia="Times New Roman"/>
          <w:b/>
          <w:sz w:val="21"/>
        </w:rPr>
        <w:t xml:space="preserve">1.3- 1 </w:t>
      </w:r>
      <w:r>
        <w:rPr>
          <w:b/>
          <w:sz w:val="21"/>
        </w:rPr>
        <w:t>本项目与产业政策相符性分析</w:t>
      </w: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4"/>
        <w:gridCol w:w="5475"/>
        <w:gridCol w:w="2453"/>
      </w:tblGrid>
      <w:tr w14:paraId="33BF6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94" w:type="dxa"/>
          </w:tcPr>
          <w:p w14:paraId="0CAAF129">
            <w:pPr>
              <w:pStyle w:val="14"/>
              <w:spacing w:before="20" w:line="242" w:lineRule="auto"/>
              <w:ind w:left="191" w:right="181"/>
              <w:rPr>
                <w:b/>
                <w:sz w:val="21"/>
              </w:rPr>
            </w:pPr>
            <w:r>
              <w:rPr>
                <w:b/>
                <w:sz w:val="21"/>
              </w:rPr>
              <w:t>类别</w:t>
            </w:r>
          </w:p>
        </w:tc>
        <w:tc>
          <w:tcPr>
            <w:tcW w:w="5475" w:type="dxa"/>
          </w:tcPr>
          <w:p w14:paraId="0396CCDB">
            <w:pPr>
              <w:pStyle w:val="14"/>
              <w:spacing w:before="154"/>
              <w:ind w:left="92" w:right="86"/>
              <w:jc w:val="center"/>
              <w:rPr>
                <w:b/>
                <w:sz w:val="21"/>
              </w:rPr>
            </w:pPr>
            <w:r>
              <w:rPr>
                <w:b/>
                <w:sz w:val="21"/>
              </w:rPr>
              <w:t>内容</w:t>
            </w:r>
          </w:p>
        </w:tc>
        <w:tc>
          <w:tcPr>
            <w:tcW w:w="2453" w:type="dxa"/>
          </w:tcPr>
          <w:p w14:paraId="477A666A">
            <w:pPr>
              <w:pStyle w:val="14"/>
              <w:spacing w:before="154"/>
              <w:ind w:left="698"/>
              <w:rPr>
                <w:b/>
                <w:sz w:val="21"/>
              </w:rPr>
            </w:pPr>
            <w:r>
              <w:rPr>
                <w:b/>
                <w:sz w:val="21"/>
              </w:rPr>
              <w:t>符合性分析</w:t>
            </w:r>
          </w:p>
        </w:tc>
      </w:tr>
      <w:tr w14:paraId="330DE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594" w:type="dxa"/>
          </w:tcPr>
          <w:p w14:paraId="35BD3038">
            <w:pPr>
              <w:pStyle w:val="14"/>
              <w:spacing w:before="156" w:line="242" w:lineRule="auto"/>
              <w:ind w:left="191" w:right="181"/>
              <w:jc w:val="both"/>
              <w:rPr>
                <w:sz w:val="21"/>
              </w:rPr>
            </w:pPr>
            <w:r>
              <w:rPr>
                <w:sz w:val="21"/>
              </w:rPr>
              <w:t>限制类</w:t>
            </w:r>
          </w:p>
        </w:tc>
        <w:tc>
          <w:tcPr>
            <w:tcW w:w="5475" w:type="dxa"/>
          </w:tcPr>
          <w:p w14:paraId="69035557">
            <w:pPr>
              <w:pStyle w:val="14"/>
              <w:spacing w:before="21"/>
              <w:ind w:left="130"/>
              <w:rPr>
                <w:sz w:val="21"/>
              </w:rPr>
            </w:pPr>
            <w:r>
              <w:rPr>
                <w:sz w:val="21"/>
              </w:rPr>
              <w:t>十二、轻工</w:t>
            </w:r>
            <w:r>
              <w:rPr>
                <w:rFonts w:ascii="Times New Roman" w:eastAsia="Times New Roman"/>
                <w:sz w:val="21"/>
              </w:rPr>
              <w:t>-24</w:t>
            </w:r>
            <w:r>
              <w:rPr>
                <w:sz w:val="21"/>
              </w:rPr>
              <w:t xml:space="preserve">、年屠宰生猪 </w:t>
            </w:r>
            <w:r>
              <w:rPr>
                <w:rFonts w:ascii="Times New Roman" w:eastAsia="Times New Roman"/>
                <w:sz w:val="21"/>
              </w:rPr>
              <w:t xml:space="preserve">15 </w:t>
            </w:r>
            <w:r>
              <w:rPr>
                <w:sz w:val="21"/>
              </w:rPr>
              <w:t xml:space="preserve">万头及以下、肉牛 </w:t>
            </w:r>
            <w:r>
              <w:rPr>
                <w:rFonts w:ascii="Times New Roman" w:eastAsia="Times New Roman"/>
                <w:sz w:val="21"/>
              </w:rPr>
              <w:t xml:space="preserve">1 </w:t>
            </w:r>
            <w:r>
              <w:rPr>
                <w:sz w:val="21"/>
              </w:rPr>
              <w:t>万头</w:t>
            </w:r>
          </w:p>
          <w:p w14:paraId="666F89B2">
            <w:pPr>
              <w:pStyle w:val="14"/>
              <w:spacing w:before="2" w:line="242" w:lineRule="auto"/>
              <w:ind w:left="95" w:right="86"/>
              <w:jc w:val="center"/>
              <w:rPr>
                <w:sz w:val="21"/>
              </w:rPr>
            </w:pPr>
            <w:r>
              <w:rPr>
                <w:spacing w:val="-8"/>
                <w:sz w:val="21"/>
              </w:rPr>
              <w:t xml:space="preserve">及以下、肉羊 </w:t>
            </w:r>
            <w:r>
              <w:rPr>
                <w:rFonts w:ascii="Times New Roman" w:eastAsia="Times New Roman"/>
                <w:sz w:val="21"/>
              </w:rPr>
              <w:t xml:space="preserve">15 </w:t>
            </w:r>
            <w:r>
              <w:rPr>
                <w:spacing w:val="-6"/>
                <w:sz w:val="21"/>
              </w:rPr>
              <w:t xml:space="preserve">万只及以下、活禽 </w:t>
            </w:r>
            <w:r>
              <w:rPr>
                <w:rFonts w:ascii="Times New Roman" w:eastAsia="Times New Roman"/>
                <w:sz w:val="21"/>
              </w:rPr>
              <w:t xml:space="preserve">1000 </w:t>
            </w:r>
            <w:r>
              <w:rPr>
                <w:sz w:val="21"/>
              </w:rPr>
              <w:t>万只及以下的屠宰建设项目（少数民族地</w:t>
            </w:r>
          </w:p>
          <w:p w14:paraId="676FB9E1">
            <w:pPr>
              <w:pStyle w:val="14"/>
              <w:spacing w:before="2"/>
              <w:ind w:left="92" w:right="86"/>
              <w:jc w:val="center"/>
              <w:rPr>
                <w:sz w:val="21"/>
              </w:rPr>
            </w:pPr>
            <w:r>
              <w:rPr>
                <w:sz w:val="21"/>
              </w:rPr>
              <w:t>区除外）</w:t>
            </w:r>
          </w:p>
        </w:tc>
        <w:tc>
          <w:tcPr>
            <w:tcW w:w="2453" w:type="dxa"/>
          </w:tcPr>
          <w:p w14:paraId="2881ACED">
            <w:pPr>
              <w:pStyle w:val="14"/>
              <w:spacing w:before="10"/>
              <w:rPr>
                <w:b/>
                <w:sz w:val="22"/>
              </w:rPr>
            </w:pPr>
          </w:p>
          <w:p w14:paraId="193F5083">
            <w:pPr>
              <w:pStyle w:val="14"/>
              <w:spacing w:before="1"/>
              <w:ind w:left="149"/>
              <w:rPr>
                <w:rFonts w:ascii="Times New Roman" w:eastAsia="Times New Roman"/>
                <w:sz w:val="21"/>
              </w:rPr>
            </w:pPr>
            <w:r>
              <w:rPr>
                <w:sz w:val="21"/>
              </w:rPr>
              <w:t xml:space="preserve">项目设计屠宰能力为 </w:t>
            </w:r>
            <w:r>
              <w:rPr>
                <w:rFonts w:ascii="Times New Roman" w:eastAsia="Times New Roman"/>
                <w:sz w:val="21"/>
              </w:rPr>
              <w:t>40</w:t>
            </w:r>
          </w:p>
          <w:p w14:paraId="38320A16">
            <w:pPr>
              <w:pStyle w:val="14"/>
              <w:spacing w:before="2"/>
              <w:ind w:left="146"/>
              <w:rPr>
                <w:sz w:val="21"/>
              </w:rPr>
            </w:pPr>
            <w:r>
              <w:rPr>
                <w:w w:val="95"/>
                <w:sz w:val="21"/>
              </w:rPr>
              <w:t>万头</w:t>
            </w:r>
            <w:r>
              <w:rPr>
                <w:rFonts w:ascii="Times New Roman" w:eastAsia="Times New Roman"/>
                <w:w w:val="95"/>
                <w:sz w:val="21"/>
              </w:rPr>
              <w:t>/</w:t>
            </w:r>
            <w:r>
              <w:rPr>
                <w:w w:val="95"/>
                <w:sz w:val="21"/>
              </w:rPr>
              <w:t>年，不属于限制类</w:t>
            </w:r>
          </w:p>
        </w:tc>
      </w:tr>
    </w:tbl>
    <w:p w14:paraId="082D36BC">
      <w:pPr>
        <w:spacing w:after="0"/>
        <w:rPr>
          <w:sz w:val="21"/>
        </w:rPr>
        <w:sectPr>
          <w:pgSz w:w="11910" w:h="16840"/>
          <w:pgMar w:top="1360" w:right="460" w:bottom="1400" w:left="1580" w:header="878" w:footer="1204" w:gutter="0"/>
          <w:cols w:space="720" w:num="1"/>
        </w:sectPr>
      </w:pPr>
    </w:p>
    <w:p w14:paraId="4BD73D36">
      <w:pPr>
        <w:pStyle w:val="7"/>
        <w:spacing w:before="2"/>
        <w:rPr>
          <w:b/>
          <w:sz w:val="5"/>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4"/>
        <w:gridCol w:w="5475"/>
        <w:gridCol w:w="2453"/>
      </w:tblGrid>
      <w:tr w14:paraId="0EAF5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594" w:type="dxa"/>
            <w:vMerge w:val="restart"/>
          </w:tcPr>
          <w:p w14:paraId="7E8D7E96">
            <w:pPr>
              <w:pStyle w:val="14"/>
              <w:spacing w:before="8"/>
              <w:rPr>
                <w:b/>
                <w:sz w:val="24"/>
              </w:rPr>
            </w:pPr>
          </w:p>
          <w:p w14:paraId="3A8E7F61">
            <w:pPr>
              <w:pStyle w:val="14"/>
              <w:spacing w:before="1" w:line="242" w:lineRule="auto"/>
              <w:ind w:left="191" w:right="181"/>
              <w:jc w:val="both"/>
              <w:rPr>
                <w:sz w:val="21"/>
              </w:rPr>
            </w:pPr>
            <w:r>
              <w:rPr>
                <w:sz w:val="21"/>
              </w:rPr>
              <w:t>淘汰类</w:t>
            </w:r>
          </w:p>
        </w:tc>
        <w:tc>
          <w:tcPr>
            <w:tcW w:w="5475" w:type="dxa"/>
          </w:tcPr>
          <w:p w14:paraId="1D43FA40">
            <w:pPr>
              <w:pStyle w:val="14"/>
              <w:spacing w:before="158" w:line="242" w:lineRule="auto"/>
              <w:ind w:left="2422" w:right="174" w:hanging="2242"/>
              <w:rPr>
                <w:sz w:val="21"/>
              </w:rPr>
            </w:pPr>
            <w:r>
              <w:rPr>
                <w:w w:val="95"/>
                <w:sz w:val="21"/>
              </w:rPr>
              <w:t>十二、轻工</w:t>
            </w:r>
            <w:r>
              <w:rPr>
                <w:rFonts w:ascii="Times New Roman" w:eastAsia="Times New Roman"/>
                <w:w w:val="95"/>
                <w:sz w:val="21"/>
              </w:rPr>
              <w:t>-28</w:t>
            </w:r>
            <w:r>
              <w:rPr>
                <w:w w:val="95"/>
                <w:sz w:val="21"/>
              </w:rPr>
              <w:t xml:space="preserve">、桥式劈半锯、敞式生猪烫毛机等生猪屠 </w:t>
            </w:r>
            <w:r>
              <w:rPr>
                <w:sz w:val="21"/>
              </w:rPr>
              <w:t>宰设备</w:t>
            </w:r>
          </w:p>
        </w:tc>
        <w:tc>
          <w:tcPr>
            <w:tcW w:w="2453" w:type="dxa"/>
          </w:tcPr>
          <w:p w14:paraId="6D429D89">
            <w:pPr>
              <w:pStyle w:val="14"/>
              <w:spacing w:before="21" w:line="242" w:lineRule="auto"/>
              <w:ind w:left="175" w:right="165" w:hanging="3"/>
              <w:jc w:val="center"/>
              <w:rPr>
                <w:sz w:val="21"/>
              </w:rPr>
            </w:pPr>
            <w:r>
              <w:rPr>
                <w:w w:val="95"/>
                <w:sz w:val="21"/>
              </w:rPr>
              <w:t>项目采用往复劈半锯、转式打毛机，不涉及淘</w:t>
            </w:r>
            <w:r>
              <w:rPr>
                <w:sz w:val="21"/>
              </w:rPr>
              <w:t>汰类设备</w:t>
            </w:r>
          </w:p>
        </w:tc>
      </w:tr>
      <w:tr w14:paraId="12622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94" w:type="dxa"/>
            <w:vMerge w:val="continue"/>
            <w:tcBorders>
              <w:top w:val="nil"/>
            </w:tcBorders>
          </w:tcPr>
          <w:p w14:paraId="6A8D872E">
            <w:pPr>
              <w:rPr>
                <w:sz w:val="2"/>
                <w:szCs w:val="2"/>
              </w:rPr>
            </w:pPr>
          </w:p>
        </w:tc>
        <w:tc>
          <w:tcPr>
            <w:tcW w:w="5475" w:type="dxa"/>
          </w:tcPr>
          <w:p w14:paraId="563AE5D2">
            <w:pPr>
              <w:pStyle w:val="14"/>
              <w:spacing w:before="155"/>
              <w:ind w:left="600"/>
              <w:rPr>
                <w:sz w:val="21"/>
              </w:rPr>
            </w:pPr>
            <w:r>
              <w:rPr>
                <w:sz w:val="21"/>
              </w:rPr>
              <w:t>十二、轻工</w:t>
            </w:r>
            <w:r>
              <w:rPr>
                <w:rFonts w:ascii="Times New Roman" w:eastAsia="Times New Roman"/>
                <w:sz w:val="21"/>
              </w:rPr>
              <w:t>-29</w:t>
            </w:r>
            <w:r>
              <w:rPr>
                <w:sz w:val="21"/>
              </w:rPr>
              <w:t>、猪、牛、羊、禽手工屠宰工艺</w:t>
            </w:r>
          </w:p>
        </w:tc>
        <w:tc>
          <w:tcPr>
            <w:tcW w:w="2453" w:type="dxa"/>
          </w:tcPr>
          <w:p w14:paraId="4C745425">
            <w:pPr>
              <w:pStyle w:val="14"/>
              <w:spacing w:before="19" w:line="270" w:lineRule="atLeast"/>
              <w:ind w:left="386" w:right="270" w:hanging="106"/>
              <w:rPr>
                <w:sz w:val="21"/>
              </w:rPr>
            </w:pPr>
            <w:r>
              <w:rPr>
                <w:sz w:val="21"/>
              </w:rPr>
              <w:t>项目采用机械屠宰工艺，不属于淘汰类</w:t>
            </w:r>
          </w:p>
        </w:tc>
      </w:tr>
    </w:tbl>
    <w:p w14:paraId="1BB10C82">
      <w:pPr>
        <w:pStyle w:val="7"/>
        <w:spacing w:before="1"/>
        <w:ind w:left="700"/>
      </w:pPr>
      <w:r>
        <w:t>因此，本次建设项目符合国家产业政策相关要求。</w:t>
      </w:r>
    </w:p>
    <w:p w14:paraId="63475F25">
      <w:pPr>
        <w:pStyle w:val="6"/>
        <w:numPr>
          <w:ilvl w:val="2"/>
          <w:numId w:val="4"/>
        </w:numPr>
        <w:tabs>
          <w:tab w:val="left" w:pos="751"/>
        </w:tabs>
        <w:spacing w:before="160" w:after="0" w:line="240" w:lineRule="auto"/>
        <w:ind w:left="220" w:right="0" w:firstLine="0"/>
        <w:jc w:val="left"/>
      </w:pPr>
      <w:bookmarkStart w:id="13" w:name="1.3.2项目用地规划及选址符合性分析"/>
      <w:bookmarkEnd w:id="13"/>
      <w:bookmarkStart w:id="14" w:name="1.3.2项目用地规划及选址符合性分析"/>
      <w:bookmarkEnd w:id="14"/>
      <w:r>
        <w:t>项目用地规划及选址符合性分析</w:t>
      </w:r>
    </w:p>
    <w:p w14:paraId="74209328">
      <w:pPr>
        <w:pStyle w:val="7"/>
        <w:spacing w:before="158" w:line="364" w:lineRule="auto"/>
        <w:ind w:left="220" w:right="1337" w:firstLine="480"/>
        <w:jc w:val="both"/>
      </w:pPr>
      <w:r>
        <w:rPr>
          <w:spacing w:val="0"/>
        </w:rPr>
        <w:t>本项目拟建地位于岳阳县荣家湾镇城东村，不属于“农村居民区”，不涉</w:t>
      </w:r>
      <w:r>
        <w:t>及“基本农田”、“生态环境敏感区和脆弱区”等用地区域，项目周边不涉及重要的生态敏感保护目标、集中式饮用水水源保护区、集中式居民区。岳阳县</w:t>
      </w:r>
      <w:r>
        <w:rPr>
          <w:spacing w:val="-6"/>
        </w:rPr>
        <w:t xml:space="preserve">自然资源局于 </w:t>
      </w:r>
      <w:r>
        <w:rPr>
          <w:rFonts w:ascii="Times New Roman" w:hAnsi="Times New Roman" w:eastAsia="Times New Roman"/>
        </w:rPr>
        <w:t xml:space="preserve">2023 </w:t>
      </w:r>
      <w:r>
        <w:rPr>
          <w:spacing w:val="-25"/>
        </w:rPr>
        <w:t xml:space="preserve">年 </w:t>
      </w:r>
      <w:r>
        <w:rPr>
          <w:rFonts w:ascii="Times New Roman" w:hAnsi="Times New Roman" w:eastAsia="Times New Roman"/>
        </w:rPr>
        <w:t xml:space="preserve">9 </w:t>
      </w:r>
      <w:r>
        <w:rPr>
          <w:spacing w:val="-26"/>
        </w:rPr>
        <w:t xml:space="preserve">月 </w:t>
      </w:r>
      <w:r>
        <w:rPr>
          <w:rFonts w:ascii="Times New Roman" w:hAnsi="Times New Roman" w:eastAsia="Times New Roman"/>
        </w:rPr>
        <w:t xml:space="preserve">13 </w:t>
      </w:r>
      <w:r>
        <w:rPr>
          <w:spacing w:val="1"/>
        </w:rPr>
        <w:t>日已明确本项目用地属于历史建设用地，不属于</w:t>
      </w:r>
    </w:p>
    <w:p w14:paraId="73D15D6F">
      <w:pPr>
        <w:pStyle w:val="7"/>
        <w:spacing w:line="305" w:lineRule="exact"/>
        <w:ind w:left="220"/>
      </w:pPr>
      <w:r>
        <w:t>《限制用地项目目录（</w:t>
      </w:r>
      <w:r>
        <w:rPr>
          <w:rFonts w:ascii="Times New Roman" w:eastAsia="Times New Roman"/>
        </w:rPr>
        <w:t xml:space="preserve">2012 </w:t>
      </w:r>
      <w:r>
        <w:t>年本）》和《禁止用地项目目录（</w:t>
      </w:r>
      <w:r>
        <w:rPr>
          <w:rFonts w:ascii="Times New Roman" w:eastAsia="Times New Roman"/>
        </w:rPr>
        <w:t xml:space="preserve">2012 </w:t>
      </w:r>
      <w:r>
        <w:t>年本）》</w:t>
      </w:r>
    </w:p>
    <w:p w14:paraId="7A29CDAE">
      <w:pPr>
        <w:pStyle w:val="7"/>
        <w:spacing w:before="161" w:line="364" w:lineRule="auto"/>
        <w:ind w:left="220" w:right="1340"/>
      </w:pPr>
      <w:r>
        <w:t>（国土资发〔</w:t>
      </w:r>
      <w:r>
        <w:rPr>
          <w:rFonts w:ascii="Times New Roman" w:eastAsia="Times New Roman"/>
        </w:rPr>
        <w:t>2012</w:t>
      </w:r>
      <w:r>
        <w:t>〕</w:t>
      </w:r>
      <w:r>
        <w:rPr>
          <w:rFonts w:ascii="Times New Roman" w:eastAsia="Times New Roman"/>
        </w:rPr>
        <w:t xml:space="preserve">98 </w:t>
      </w:r>
      <w:r>
        <w:t>号）中用地项目，因此本次建设项目符合岳阳县用地相关规划，选址合理。</w:t>
      </w:r>
    </w:p>
    <w:p w14:paraId="53AA6397">
      <w:pPr>
        <w:pStyle w:val="7"/>
        <w:spacing w:line="306" w:lineRule="exact"/>
        <w:ind w:left="700"/>
      </w:pPr>
      <w:r>
        <w:t>（</w:t>
      </w:r>
      <w:r>
        <w:rPr>
          <w:rFonts w:ascii="Times New Roman" w:eastAsia="Times New Roman"/>
        </w:rPr>
        <w:t>1</w:t>
      </w:r>
      <w:r>
        <w:t>）区域环境容量</w:t>
      </w:r>
    </w:p>
    <w:p w14:paraId="67A2F9C9">
      <w:pPr>
        <w:pStyle w:val="7"/>
        <w:spacing w:before="160" w:line="362" w:lineRule="auto"/>
        <w:ind w:left="220" w:right="1337" w:firstLine="480"/>
      </w:pPr>
      <w:r>
        <w:t>根据对本项目所在区域环境空气、地表水环境、环境噪声现状评价可知， 项目所在区域环境空气、声环境、水环境等均相应质量标准要求。</w:t>
      </w:r>
    </w:p>
    <w:p w14:paraId="3044AA9A">
      <w:pPr>
        <w:pStyle w:val="7"/>
        <w:spacing w:before="5"/>
        <w:ind w:left="700"/>
      </w:pPr>
      <w:r>
        <w:t>（</w:t>
      </w:r>
      <w:r>
        <w:rPr>
          <w:rFonts w:ascii="Times New Roman" w:eastAsia="Times New Roman"/>
        </w:rPr>
        <w:t>2</w:t>
      </w:r>
      <w:r>
        <w:t>）环境影响</w:t>
      </w:r>
    </w:p>
    <w:p w14:paraId="4576281D">
      <w:pPr>
        <w:pStyle w:val="7"/>
        <w:spacing w:before="158" w:line="364" w:lineRule="auto"/>
        <w:ind w:left="220" w:right="1337" w:firstLine="480"/>
        <w:jc w:val="both"/>
      </w:pPr>
      <w:r>
        <w:t>本项目在运行过程中，废气、废水均能够实现达标排放，场界噪声满足达标排放，固体废物规范处置；其拟建地为建设用地，项目周围环境敏感目标有限，项目建设过程及营运期间对周围环境影响可控。</w:t>
      </w:r>
    </w:p>
    <w:p w14:paraId="5B289C7A">
      <w:pPr>
        <w:pStyle w:val="7"/>
        <w:spacing w:line="307" w:lineRule="exact"/>
        <w:ind w:left="700"/>
      </w:pPr>
      <w:r>
        <w:t>（</w:t>
      </w:r>
      <w:r>
        <w:rPr>
          <w:rFonts w:ascii="Times New Roman" w:eastAsia="Times New Roman"/>
        </w:rPr>
        <w:t>3</w:t>
      </w:r>
      <w:r>
        <w:t>）配套条件</w:t>
      </w:r>
    </w:p>
    <w:p w14:paraId="5E5757BF">
      <w:pPr>
        <w:pStyle w:val="7"/>
        <w:spacing w:before="158"/>
        <w:ind w:left="700"/>
      </w:pPr>
      <w:r>
        <w:t>①交通：项目西面为县道，交通便利。</w:t>
      </w:r>
    </w:p>
    <w:p w14:paraId="5516FE75">
      <w:pPr>
        <w:pStyle w:val="7"/>
        <w:spacing w:before="161" w:line="364" w:lineRule="auto"/>
        <w:ind w:left="220" w:right="1337" w:firstLine="480"/>
      </w:pPr>
      <w:r>
        <w:t>②供水排水：所在区域已连通县供水管网，本项目污水管网已与县住建局确定铺设方案，可满足项目需要。</w:t>
      </w:r>
    </w:p>
    <w:p w14:paraId="4B39E0D1">
      <w:pPr>
        <w:pStyle w:val="7"/>
        <w:spacing w:line="306" w:lineRule="exact"/>
        <w:ind w:left="700"/>
        <w:rPr>
          <w:rFonts w:ascii="Times New Roman" w:hAnsi="Times New Roman" w:eastAsia="Times New Roman"/>
        </w:rPr>
      </w:pPr>
      <w:r>
        <w:t xml:space="preserve">③电力及供热：项目供电来源于乡镇供电网路，供电稳定且方便，设置 </w:t>
      </w:r>
      <w:r>
        <w:rPr>
          <w:rFonts w:ascii="Times New Roman" w:hAnsi="Times New Roman" w:eastAsia="Times New Roman"/>
        </w:rPr>
        <w:t>2</w:t>
      </w:r>
    </w:p>
    <w:p w14:paraId="1F7F72C6">
      <w:pPr>
        <w:pStyle w:val="7"/>
        <w:spacing w:before="160" w:line="362" w:lineRule="auto"/>
        <w:ind w:left="220" w:right="1337"/>
      </w:pPr>
      <w:r>
        <w:t xml:space="preserve">台备用柴油发电机，并且设有 </w:t>
      </w:r>
      <w:r>
        <w:rPr>
          <w:rFonts w:ascii="Times New Roman" w:eastAsia="Times New Roman"/>
        </w:rPr>
        <w:t xml:space="preserve">1 </w:t>
      </w:r>
      <w:r>
        <w:t>处燃气锅炉为全厂提供热源，满足生产和生活中所需能源。</w:t>
      </w:r>
    </w:p>
    <w:p w14:paraId="4DDFF304">
      <w:pPr>
        <w:pStyle w:val="7"/>
        <w:spacing w:before="3" w:line="364" w:lineRule="auto"/>
        <w:ind w:left="220" w:right="1337" w:firstLine="480"/>
        <w:jc w:val="both"/>
      </w:pPr>
      <w:r>
        <w:t xml:space="preserve">④周边环境的相容性：经查询，本项目用地范围不占用生态红线，根据对项目主要污染物排放预测结果满足相应排放标准，对周边环境影响基本可控， 周边主要为荒林地、西侧村道和厂区东南角 </w:t>
      </w:r>
      <w:r>
        <w:rPr>
          <w:rFonts w:ascii="Times New Roman" w:hAnsi="Times New Roman" w:eastAsia="Times New Roman"/>
        </w:rPr>
        <w:t xml:space="preserve">100m </w:t>
      </w:r>
      <w:r>
        <w:t>外存在少许居民散户，综合</w:t>
      </w:r>
    </w:p>
    <w:p w14:paraId="04920245">
      <w:pPr>
        <w:pStyle w:val="7"/>
        <w:spacing w:line="307" w:lineRule="exact"/>
        <w:ind w:left="220"/>
      </w:pPr>
      <w:r>
        <w:t>分析其周边环境对本项目具备足够的环境承载力，相容性较好。</w:t>
      </w:r>
    </w:p>
    <w:p w14:paraId="2C37DCCF">
      <w:pPr>
        <w:spacing w:after="0" w:line="307" w:lineRule="exact"/>
        <w:sectPr>
          <w:pgSz w:w="11910" w:h="16840"/>
          <w:pgMar w:top="1360" w:right="460" w:bottom="1400" w:left="1580" w:header="878" w:footer="1204" w:gutter="0"/>
          <w:cols w:space="720" w:num="1"/>
        </w:sectPr>
      </w:pPr>
    </w:p>
    <w:p w14:paraId="73713AD9">
      <w:pPr>
        <w:pStyle w:val="6"/>
        <w:numPr>
          <w:ilvl w:val="2"/>
          <w:numId w:val="4"/>
        </w:numPr>
        <w:tabs>
          <w:tab w:val="left" w:pos="760"/>
        </w:tabs>
        <w:spacing w:before="67" w:after="0" w:line="240" w:lineRule="auto"/>
        <w:ind w:left="760" w:right="0" w:hanging="540"/>
        <w:jc w:val="left"/>
      </w:pPr>
      <w:bookmarkStart w:id="15" w:name="1.3.3 平面布局合理性分析"/>
      <w:bookmarkEnd w:id="15"/>
      <w:bookmarkStart w:id="16" w:name="1.3.3 平面布局合理性分析"/>
      <w:bookmarkEnd w:id="16"/>
      <w:r>
        <w:t>平面布局合理性分析</w:t>
      </w:r>
    </w:p>
    <w:p w14:paraId="19C9B621">
      <w:pPr>
        <w:pStyle w:val="7"/>
        <w:spacing w:before="161"/>
        <w:ind w:left="700"/>
      </w:pPr>
      <w:r>
        <w:t>（</w:t>
      </w:r>
      <w:r>
        <w:rPr>
          <w:rFonts w:ascii="Times New Roman" w:eastAsia="Times New Roman"/>
        </w:rPr>
        <w:t>1</w:t>
      </w:r>
      <w:r>
        <w:t>）布设原则</w:t>
      </w:r>
    </w:p>
    <w:p w14:paraId="1F985338">
      <w:pPr>
        <w:pStyle w:val="7"/>
        <w:spacing w:before="158" w:line="364" w:lineRule="auto"/>
        <w:ind w:left="220" w:right="1337" w:firstLine="480"/>
        <w:jc w:val="both"/>
      </w:pPr>
      <w:r>
        <w:t>根据厂区地块条件，在满足生产、安全、卫生等要求的前提下，按照工程合理、因地制宜、充分利用等原则进行项目的总平面布置。</w:t>
      </w:r>
    </w:p>
    <w:p w14:paraId="4316DE6E">
      <w:pPr>
        <w:pStyle w:val="7"/>
        <w:spacing w:line="364" w:lineRule="auto"/>
        <w:ind w:left="220" w:right="1337" w:firstLine="480"/>
        <w:jc w:val="both"/>
      </w:pPr>
      <w:r>
        <w:rPr>
          <w:spacing w:val="1"/>
        </w:rPr>
        <w:t>项目设计、建造均严格按照《生猪屠宰管理条例》</w:t>
      </w:r>
      <w:r>
        <w:rPr>
          <w:spacing w:val="2"/>
        </w:rPr>
        <w:t>（</w:t>
      </w:r>
      <w:r>
        <w:rPr>
          <w:spacing w:val="1"/>
        </w:rPr>
        <w:t>中华人民共和国国务</w:t>
      </w:r>
      <w:r>
        <w:rPr>
          <w:spacing w:val="-19"/>
        </w:rPr>
        <w:t xml:space="preserve">院令 第 </w:t>
      </w:r>
      <w:r>
        <w:rPr>
          <w:rFonts w:ascii="Times New Roman" w:eastAsia="Times New Roman"/>
        </w:rPr>
        <w:t xml:space="preserve">742 </w:t>
      </w:r>
      <w:r>
        <w:t>号</w:t>
      </w:r>
      <w:r>
        <w:rPr>
          <w:spacing w:val="2"/>
        </w:rPr>
        <w:t>）</w:t>
      </w:r>
      <w:r>
        <w:t>、《生猪屠宰质量管理规范》</w:t>
      </w:r>
      <w:r>
        <w:rPr>
          <w:spacing w:val="2"/>
        </w:rPr>
        <w:t>（</w:t>
      </w:r>
      <w:r>
        <w:rPr>
          <w:spacing w:val="-9"/>
        </w:rPr>
        <w:t xml:space="preserve">农业部公告 </w:t>
      </w:r>
      <w:r>
        <w:rPr>
          <w:rFonts w:ascii="Times New Roman" w:eastAsia="Times New Roman"/>
        </w:rPr>
        <w:t xml:space="preserve">710 </w:t>
      </w:r>
      <w:r>
        <w:t>号</w:t>
      </w:r>
      <w:r>
        <w:rPr>
          <w:spacing w:val="2"/>
        </w:rPr>
        <w:t>）</w:t>
      </w:r>
      <w:r>
        <w:t>、《湖南</w:t>
      </w:r>
      <w:r>
        <w:rPr>
          <w:spacing w:val="2"/>
        </w:rPr>
        <w:t>省生猪定点屠宰厂（</w:t>
      </w:r>
      <w:r>
        <w:rPr>
          <w:spacing w:val="5"/>
        </w:rPr>
        <w:t>场</w:t>
      </w:r>
      <w:r>
        <w:rPr>
          <w:spacing w:val="2"/>
        </w:rPr>
        <w:t>）设置管理办法》</w:t>
      </w:r>
      <w:r>
        <w:rPr>
          <w:spacing w:val="5"/>
        </w:rPr>
        <w:t>（</w:t>
      </w:r>
      <w:r>
        <w:rPr>
          <w:spacing w:val="2"/>
        </w:rPr>
        <w:t>湘政发</w:t>
      </w:r>
      <w:r>
        <w:rPr>
          <w:rFonts w:ascii="Times New Roman" w:eastAsia="Times New Roman"/>
        </w:rPr>
        <w:t xml:space="preserve">[2008]35 </w:t>
      </w:r>
      <w:r>
        <w:rPr>
          <w:spacing w:val="2"/>
        </w:rPr>
        <w:t>号</w:t>
      </w:r>
      <w:r>
        <w:rPr>
          <w:spacing w:val="3"/>
        </w:rPr>
        <w:t>））</w:t>
      </w:r>
      <w:r>
        <w:rPr>
          <w:spacing w:val="1"/>
        </w:rPr>
        <w:t>、《畜类屠</w:t>
      </w:r>
      <w:r>
        <w:rPr>
          <w:spacing w:val="5"/>
        </w:rPr>
        <w:t>宰加工通用技术条件》</w:t>
      </w:r>
      <w:r>
        <w:t>（</w:t>
      </w:r>
      <w:r>
        <w:rPr>
          <w:rFonts w:ascii="Times New Roman" w:eastAsia="Times New Roman"/>
        </w:rPr>
        <w:t>GBT17237-2008</w:t>
      </w:r>
      <w:r>
        <w:t>）</w:t>
      </w:r>
      <w:r>
        <w:rPr>
          <w:spacing w:val="1"/>
        </w:rPr>
        <w:t>、《猪屠宰与分割车间设计规范》</w:t>
      </w:r>
    </w:p>
    <w:p w14:paraId="12A19AF4">
      <w:pPr>
        <w:pStyle w:val="7"/>
        <w:ind w:left="220"/>
        <w:rPr>
          <w:rFonts w:ascii="Times New Roman" w:eastAsia="Times New Roman"/>
        </w:rPr>
      </w:pPr>
      <w:r>
        <w:t>（</w:t>
      </w:r>
      <w:r>
        <w:rPr>
          <w:spacing w:val="-95"/>
        </w:rPr>
        <w:t xml:space="preserve"> </w:t>
      </w:r>
      <w:r>
        <w:rPr>
          <w:rFonts w:ascii="Times New Roman" w:eastAsia="Times New Roman"/>
        </w:rPr>
        <w:t xml:space="preserve">GB 50317-2009 </w:t>
      </w:r>
      <w:r>
        <w:t>）</w:t>
      </w:r>
      <w:r>
        <w:rPr>
          <w:spacing w:val="10"/>
        </w:rPr>
        <w:t xml:space="preserve"> 、《屠宰及肉类加工业污染防治可行技术指南 》</w:t>
      </w:r>
      <w:r>
        <w:t>（</w:t>
      </w:r>
      <w:r>
        <w:rPr>
          <w:spacing w:val="-93"/>
        </w:rPr>
        <w:t xml:space="preserve"> </w:t>
      </w:r>
      <w:r>
        <w:rPr>
          <w:rFonts w:ascii="Times New Roman" w:eastAsia="Times New Roman"/>
        </w:rPr>
        <w:t>HJ</w:t>
      </w:r>
    </w:p>
    <w:p w14:paraId="7F1EE22A">
      <w:pPr>
        <w:pStyle w:val="7"/>
        <w:spacing w:before="157" w:line="364" w:lineRule="auto"/>
        <w:ind w:left="220" w:right="1337"/>
        <w:jc w:val="both"/>
      </w:pPr>
      <w:r>
        <w:rPr>
          <w:rFonts w:ascii="Times New Roman" w:hAnsi="Times New Roman" w:eastAsia="Times New Roman"/>
        </w:rPr>
        <w:t>1285</w:t>
      </w:r>
      <w:r>
        <w:t>—</w:t>
      </w:r>
      <w:r>
        <w:rPr>
          <w:rFonts w:ascii="Times New Roman" w:hAnsi="Times New Roman" w:eastAsia="Times New Roman"/>
        </w:rPr>
        <w:t>2023</w:t>
      </w:r>
      <w:r>
        <w:t>）</w:t>
      </w:r>
      <w:r>
        <w:rPr>
          <w:spacing w:val="1"/>
        </w:rPr>
        <w:t>、《病死畜禽和病害畜禽产品无害化处理管理办法》</w:t>
      </w:r>
      <w:r>
        <w:rPr>
          <w:spacing w:val="2"/>
        </w:rPr>
        <w:t>（</w:t>
      </w:r>
      <w:r>
        <w:rPr>
          <w:spacing w:val="1"/>
        </w:rPr>
        <w:t>中华人民</w:t>
      </w:r>
      <w:r>
        <w:rPr>
          <w:spacing w:val="-4"/>
        </w:rPr>
        <w:t xml:space="preserve">共和国农业农村部令 </w:t>
      </w:r>
      <w:r>
        <w:rPr>
          <w:rFonts w:ascii="Times New Roman" w:hAnsi="Times New Roman" w:eastAsia="Times New Roman"/>
        </w:rPr>
        <w:t xml:space="preserve">2022 </w:t>
      </w:r>
      <w:r>
        <w:rPr>
          <w:spacing w:val="-17"/>
        </w:rPr>
        <w:t xml:space="preserve">年第 </w:t>
      </w:r>
      <w:r>
        <w:rPr>
          <w:rFonts w:ascii="Times New Roman" w:hAnsi="Times New Roman" w:eastAsia="Times New Roman"/>
        </w:rPr>
        <w:t xml:space="preserve">3 </w:t>
      </w:r>
      <w:r>
        <w:t>号）等有关行业及技术法规明确布设原则进行设计施工。</w:t>
      </w:r>
    </w:p>
    <w:p w14:paraId="5F59C285">
      <w:pPr>
        <w:pStyle w:val="7"/>
        <w:spacing w:line="307" w:lineRule="exact"/>
        <w:ind w:left="700"/>
      </w:pPr>
      <w:r>
        <w:t>（</w:t>
      </w:r>
      <w:r>
        <w:rPr>
          <w:rFonts w:ascii="Times New Roman" w:eastAsia="Times New Roman"/>
        </w:rPr>
        <w:t>2</w:t>
      </w:r>
      <w:r>
        <w:t>）总平面布置</w:t>
      </w:r>
    </w:p>
    <w:p w14:paraId="0923B8E1">
      <w:pPr>
        <w:pStyle w:val="7"/>
        <w:spacing w:before="158" w:line="364" w:lineRule="auto"/>
        <w:ind w:left="220" w:right="1337" w:firstLine="480"/>
        <w:jc w:val="both"/>
      </w:pPr>
      <w:r>
        <w:t xml:space="preserve">本项目用地面积为 </w:t>
      </w:r>
      <w:r>
        <w:rPr>
          <w:rFonts w:ascii="Times New Roman" w:eastAsia="Times New Roman"/>
        </w:rPr>
        <w:t xml:space="preserve">40.4 </w:t>
      </w:r>
      <w:r>
        <w:t>亩，主要建设有待宰圈、暂养间、屠宰加工间、冷库、物料库及仓库、综合楼、员工宿舍、食堂和备用车间，并配套辅助设备间、无害化暂存间、废气处理设施、污水处理站、固废暂存设施及公共工程等，本项目总平面布置如下：</w:t>
      </w:r>
    </w:p>
    <w:p w14:paraId="3EF2CA37">
      <w:pPr>
        <w:pStyle w:val="7"/>
        <w:spacing w:line="364" w:lineRule="auto"/>
        <w:ind w:left="220" w:right="1337" w:firstLine="480"/>
        <w:jc w:val="both"/>
      </w:pPr>
      <w:r>
        <w:t xml:space="preserve">本项目场地近似呈梯形，四周设有围墙，整体布设自东向西，东侧暂养及无害化区域围墙阻隔，中部生产区和西侧非生产区（办公住宿区）道路隔开； 场内北侧设有主出入口各一个，场界东北角为生猪进场入口，配备消毒设施， 北侧办公楼和预留车间为产品出口；场内西侧自北向南依次布设综合楼、员工宿舍及食堂，均为 </w:t>
      </w:r>
      <w:r>
        <w:rPr>
          <w:rFonts w:ascii="Times New Roman" w:eastAsia="Times New Roman"/>
        </w:rPr>
        <w:t xml:space="preserve">5 </w:t>
      </w:r>
      <w:r>
        <w:t xml:space="preserve">层；中部自北向南主要布局预留车间、主体厂房，其中预留车间东侧设有急宰间，主体厂房东向西依次布设暂养间及待宰圏、屠宰加工间、猪冷库及制冷机房、仓库及物料间，其南侧拟建 </w:t>
      </w:r>
      <w:r>
        <w:rPr>
          <w:rFonts w:ascii="Times New Roman" w:eastAsia="Times New Roman"/>
        </w:rPr>
        <w:t xml:space="preserve">1 </w:t>
      </w:r>
      <w:r>
        <w:t>座污水处理站，主体设施采取地埋式，上方建设生物除臭设施；厂区东南角设有无害化暂存间，后期衔接乡村小路设置专用废料出口；主要生产车间设计按照生产工艺自东向西顺序依次布置，紧凑相连减少运输距离，办公生活区、废水处理设施均为该区域常年主导风向的侧风向，可减少恶臭对办公生活区、东南侧居民散户的影响。</w:t>
      </w:r>
    </w:p>
    <w:p w14:paraId="01DEBF17">
      <w:pPr>
        <w:pStyle w:val="6"/>
        <w:numPr>
          <w:ilvl w:val="2"/>
          <w:numId w:val="4"/>
        </w:numPr>
        <w:tabs>
          <w:tab w:val="left" w:pos="753"/>
        </w:tabs>
        <w:spacing w:before="0" w:after="0" w:line="364" w:lineRule="auto"/>
        <w:ind w:left="220" w:right="1340" w:firstLine="0"/>
        <w:jc w:val="left"/>
      </w:pPr>
      <w:bookmarkStart w:id="17" w:name="1.3.4项目与 “三线一单”生态环境分区管控要求（岳政发〔2021〕2号）相符"/>
      <w:bookmarkEnd w:id="17"/>
      <w:bookmarkStart w:id="18" w:name="1.3.4项目与 “三线一单”生态环境分区管控要求（岳政发〔2021〕2号）相符"/>
      <w:bookmarkEnd w:id="18"/>
      <w:r>
        <w:rPr>
          <w:spacing w:val="-7"/>
        </w:rPr>
        <w:t>项目与 “三线一单”生态环境分区管控要求</w:t>
      </w:r>
      <w:r>
        <w:t>（岳政发〔</w:t>
      </w:r>
      <w:r>
        <w:rPr>
          <w:rFonts w:ascii="Times New Roman" w:hAnsi="Times New Roman" w:eastAsia="Times New Roman"/>
        </w:rPr>
        <w:t>2021</w:t>
      </w:r>
      <w:r>
        <w:rPr>
          <w:spacing w:val="2"/>
        </w:rPr>
        <w:t>〕</w:t>
      </w:r>
      <w:r>
        <w:rPr>
          <w:rFonts w:ascii="Times New Roman" w:hAnsi="Times New Roman" w:eastAsia="Times New Roman"/>
        </w:rPr>
        <w:t>2</w:t>
      </w:r>
      <w:r>
        <w:rPr>
          <w:rFonts w:ascii="Times New Roman" w:hAnsi="Times New Roman" w:eastAsia="Times New Roman"/>
          <w:spacing w:val="-2"/>
        </w:rPr>
        <w:t xml:space="preserve"> </w:t>
      </w:r>
      <w:r>
        <w:t>号</w:t>
      </w:r>
      <w:r>
        <w:rPr>
          <w:spacing w:val="2"/>
        </w:rPr>
        <w:t>）</w:t>
      </w:r>
      <w:r>
        <w:t>相符性分析</w:t>
      </w:r>
    </w:p>
    <w:p w14:paraId="4A32946D">
      <w:pPr>
        <w:spacing w:after="0" w:line="364" w:lineRule="auto"/>
        <w:jc w:val="left"/>
        <w:sectPr>
          <w:pgSz w:w="11910" w:h="16840"/>
          <w:pgMar w:top="1360" w:right="460" w:bottom="1400" w:left="1580" w:header="878" w:footer="1204" w:gutter="0"/>
          <w:cols w:space="720" w:num="1"/>
        </w:sectPr>
      </w:pPr>
    </w:p>
    <w:p w14:paraId="6A408C4B">
      <w:pPr>
        <w:pStyle w:val="7"/>
        <w:spacing w:before="67" w:line="364" w:lineRule="auto"/>
        <w:ind w:left="220" w:right="1337" w:firstLine="480"/>
        <w:jc w:val="both"/>
      </w:pPr>
      <w:r>
        <w:t>根据岳阳市“生态保护红线、环境质量底线、资源利用上线和生态环境准入清单”（以下简称“三线一单”）生态环境分区管控，现将项目与“三线一单”相符性分析如下：</w:t>
      </w:r>
    </w:p>
    <w:p w14:paraId="62F4639B">
      <w:pPr>
        <w:pStyle w:val="7"/>
        <w:spacing w:after="13" w:line="364" w:lineRule="auto"/>
        <w:ind w:left="220" w:right="1337" w:firstLine="480"/>
        <w:jc w:val="both"/>
      </w:pPr>
      <w:r>
        <w:t xml:space="preserve">本项目位于湖南省岳阳市岳阳县荣家湾镇城东村，根据岳阳市环境管控单元图可知，该区域为优先管控单元，其环境管控单元编码为 </w:t>
      </w:r>
      <w:r>
        <w:rPr>
          <w:rFonts w:ascii="Times New Roman" w:eastAsia="Times New Roman"/>
        </w:rPr>
        <w:t>ZH43062110003</w:t>
      </w:r>
      <w:r>
        <w:t>， 单元分类为优先保护单元，主体功能定位为省级层面重点生态功能区，经济产业布局为荣家湾镇：以机械制造业为主，以商贸物流、食品加工、包装印刷， 医疗器材制造为辅；第三产业、服务业。</w:t>
      </w:r>
    </w:p>
    <w:p w14:paraId="6307F5A0">
      <w:pPr>
        <w:pStyle w:val="7"/>
        <w:ind w:left="245"/>
        <w:rPr>
          <w:sz w:val="20"/>
        </w:rPr>
      </w:pPr>
      <w:r>
        <w:rPr>
          <w:sz w:val="20"/>
        </w:rPr>
        <w:pict>
          <v:group id="_x0000_s1177" o:spid="_x0000_s1177" o:spt="203" style="height:225.95pt;width:411.9pt;" coordsize="8238,4519">
            <o:lock v:ext="edit"/>
            <v:shape id="_x0000_s1178" o:spid="_x0000_s1178" o:spt="75" type="#_x0000_t75" style="position:absolute;left:0;top:0;height:4519;width:8238;" filled="f" stroked="f" coordsize="21600,21600">
              <v:path/>
              <v:fill on="f" focussize="0,0"/>
              <v:stroke on="f"/>
              <v:imagedata r:id="rId62" o:title=""/>
              <o:lock v:ext="edit" aspectratio="t"/>
            </v:shape>
            <v:shape id="_x0000_s1179" o:spid="_x0000_s1179" o:spt="75" type="#_x0000_t75" style="position:absolute;left:3039;top:2404;height:220;width:217;" filled="f" stroked="f" coordsize="21600,21600">
              <v:path/>
              <v:fill on="f" focussize="0,0"/>
              <v:stroke on="f"/>
              <v:imagedata r:id="rId63" o:title=""/>
              <o:lock v:ext="edit" aspectratio="t"/>
            </v:shape>
            <v:shape id="_x0000_s1180" o:spid="_x0000_s1180" style="position:absolute;left:1058;top:2524;height:546;width:2128;" fillcolor="#FF0000" filled="t" stroked="f" coordorigin="1058,2525" coordsize="2128,546" path="m2547,2983l2532,2983,2532,2981,2532,2773,3055,2563,3129,2549,3125,2536,3185,2525,3186,2527,2563,2777,2547,2777,2543,2785,2547,2785,2547,2983xm3119,2537l3125,2535,3125,2536,3119,2537xm3055,2563l3119,2537,3125,2536,3129,2549,3055,2563xm2575,2655l2547,2655,2547,2649,2546,2645,3119,2537,3055,2563,2575,2655xm2332,2567l1274,2567,1286,2565,2320,2565,2332,2567xm2356,3069l1249,3069,1238,3067,1215,3065,1193,3061,1173,3057,1153,3053,1144,3049,1135,3047,1127,3045,1119,3041,1112,3037,1104,3035,1098,3031,1092,3027,1086,3023,1080,3019,1076,3015,1071,3011,1068,3007,1064,3003,1062,2997,1060,2993,1059,2987,1058,2985,1058,2653,1059,2649,1060,2645,1062,2639,1064,2635,1068,2629,1071,2625,1076,2621,1080,2617,1086,2613,1092,2609,1098,2605,1104,2603,1112,2599,1119,2595,1127,2593,1135,2589,1153,2585,1163,2581,1193,2575,1215,2571,1238,2569,1249,2567,2356,2567,2368,2569,2391,2571,2413,2575,2443,2581,1275,2581,1262,2583,1251,2583,1239,2585,1239,2585,1217,2587,1217,2587,1196,2591,1196,2591,1176,2595,1176,2595,1166,2597,1166,2597,1157,2599,1157,2599,1148,2601,1149,2601,1144,2603,1140,2603,1132,2607,1132,2607,1125,2609,1125,2609,1118,2613,1118,2613,1111,2615,1111,2615,1105,2619,1105,2619,1102,2621,1100,2621,1094,2625,1094,2625,1090,2629,1090,2629,1088,2631,1086,2631,1082,2635,1083,2635,1079,2639,1080,2639,1078,2641,1077,2641,1075,2645,1076,2645,1074,2649,1074,2649,1074,2651,1074,2651,1073,2655,1073,2981,1073,2983,1073,2985,1074,2989,1075,2989,1076,2991,1075,2991,1077,2995,1077,2995,1080,2999,1081,2999,1083,3001,1082,3001,1086,3005,1086,3005,1090,3009,1092,3009,1094,3011,1094,3011,1100,3015,1099,3015,1105,3017,1105,3017,1111,3021,1111,3021,1118,3025,1118,3025,1125,3027,1125,3027,1132,3031,1136,3031,1140,3033,1140,3033,1149,3035,1148,3035,1157,3037,1157,3037,1166,3041,1166,3041,1176,3043,1176,3043,1196,3047,1196,3047,1217,3051,1217,3051,1239,3053,1251,3053,1263,3055,1287,3055,1299,3057,2433,3057,2413,3061,2391,3065,2368,3067,2356,3069xm2466,2605l2457,2601,2457,2601,2448,2599,2449,2599,2439,2597,2439,2597,2430,2595,2430,2595,2410,2591,2410,2591,2389,2587,2389,2587,2366,2585,2366,2585,2355,2583,2343,2583,2331,2581,2443,2581,2452,2585,2470,2589,2479,2593,2487,2595,2494,2599,2501,2603,2465,2603,2466,2605xm1140,2605l1140,2603,1144,2603,1140,2605xm2506,2623l2500,2619,2501,2619,2494,2615,2495,2615,2488,2613,2488,2613,2481,2609,2481,2609,2473,2607,2474,2607,2465,2603,2501,2603,2508,2605,2514,2609,2520,2613,2525,2617,2530,2621,2506,2621,2506,2623xm1099,2623l1100,2621,1102,2621,1099,2623xm2520,2633l2516,2629,2516,2629,2511,2625,2511,2625,2506,2621,2530,2621,2534,2625,2538,2629,2539,2631,2520,2631,2520,2633xm1086,2633l1086,2631,1088,2631,1086,2633xm2529,2643l2526,2639,2526,2639,2523,2635,2524,2635,2520,2631,2539,2631,2541,2635,2544,2639,2544,2641,2528,2641,2529,2643xm1077,2643l1077,2641,1078,2641,1077,2643xm2532,2653l2531,2649,2532,2649,2530,2645,2530,2645,2528,2641,2544,2641,2546,2645,2538,2647,2543,2651,2532,2651,2532,2653xm2547,2655l2538,2647,2546,2645,2547,2649,2547,2655xm1073,2653l1074,2651,1074,2651,1073,2653xm2533,2663l2532,2651,2543,2651,2547,2655,2575,2655,2533,2663xm2543,2785l2547,2777,2547,2783,2543,2785xm2547,2783l2547,2777,2563,2777,2547,2783xm2547,2785l2543,2785,2547,2783,2547,2785xm1073,2981l1073,2981,1073,2981,1073,2981xm2532,2981l2532,2981,2532,2981,2532,2981xm1073,2983l1073,2983,1073,2981,1073,2983xm2547,2989l2531,2989,2532,2985,2532,2983,2532,2981,2532,2983,2547,2983,2547,2987,2547,2989xm1075,2989l1074,2989,1074,2987,1075,2989xm2543,2999l2526,2999,2529,2995,2528,2995,2530,2991,2530,2991,2532,2987,2531,2989,2547,2989,2546,2993,2544,2997,2543,2999xm1081,2999l1080,2999,1079,2997,1081,2999xm2536,3009l2516,3009,2520,3005,2520,3005,2524,3001,2523,3001,2526,2997,2526,2999,2543,2999,2541,3003,2538,3007,2536,3009xm1092,3009l1090,3009,1090,3007,1092,3009xm2508,3031l2473,3031,2481,3027,2481,3027,2488,3025,2488,3025,2495,3021,2494,3021,2501,3017,2500,3017,2506,3015,2506,3015,2511,3011,2511,3011,2516,3007,2516,3009,2536,3009,2534,3011,2530,3015,2525,3019,2520,3023,2514,3027,2508,3031xm1136,3031l1132,3031,1132,3029,1136,3031xm2433,3057l2307,3057,2319,3055,2343,3055,2355,3053,2366,3053,2389,3051,2389,3051,2410,3047,2410,3047,2430,3043,2430,3043,2439,3041,2439,3041,2449,3037,2448,3037,2457,3035,2457,3035,2466,3033,2465,3033,2474,3029,2473,3031,2508,3031,2501,3035,2494,3037,2487,3041,2479,3045,2470,3047,2461,3049,2452,3053,2433,3057xm2332,3071l1274,3071,1261,3069,2344,3069,2332,3071xe">
              <v:path arrowok="t"/>
              <v:fill on="t" focussize="0,0"/>
              <v:stroke on="f"/>
              <v:imagedata o:title=""/>
              <o:lock v:ext="edit"/>
            </v:shape>
            <v:shape id="_x0000_s1181" o:spid="_x0000_s1181" o:spt="202" type="#_x0000_t202" style="position:absolute;left:1258;top:2697;height:209;width:1069;" filled="f" stroked="f" coordsize="21600,21600">
              <v:path/>
              <v:fill on="f" focussize="0,0"/>
              <v:stroke on="f" joinstyle="miter"/>
              <v:imagedata o:title=""/>
              <o:lock v:ext="edit"/>
              <v:textbox inset="0mm,0mm,0mm,0mm">
                <w:txbxContent>
                  <w:p w14:paraId="351EED41">
                    <w:pPr>
                      <w:spacing w:before="0" w:line="209" w:lineRule="exact"/>
                      <w:ind w:left="0" w:right="0" w:firstLine="0"/>
                      <w:jc w:val="left"/>
                      <w:rPr>
                        <w:sz w:val="21"/>
                      </w:rPr>
                    </w:pPr>
                    <w:r>
                      <w:rPr>
                        <w:color w:val="FF0000"/>
                        <w:sz w:val="21"/>
                      </w:rPr>
                      <w:t>项目所在地</w:t>
                    </w:r>
                  </w:p>
                </w:txbxContent>
              </v:textbox>
            </v:shape>
            <w10:wrap type="none"/>
            <w10:anchorlock/>
          </v:group>
        </w:pict>
      </w:r>
    </w:p>
    <w:p w14:paraId="496779FF">
      <w:pPr>
        <w:spacing w:before="0" w:line="242" w:lineRule="exact"/>
        <w:ind w:left="2178" w:right="0" w:firstLine="0"/>
        <w:jc w:val="left"/>
        <w:rPr>
          <w:b/>
          <w:sz w:val="21"/>
        </w:rPr>
      </w:pPr>
      <w:r>
        <w:rPr>
          <w:b/>
          <w:spacing w:val="-28"/>
          <w:sz w:val="21"/>
        </w:rPr>
        <w:t xml:space="preserve">图 </w:t>
      </w:r>
      <w:r>
        <w:rPr>
          <w:rFonts w:ascii="Times New Roman" w:eastAsia="Times New Roman"/>
          <w:b/>
          <w:sz w:val="21"/>
        </w:rPr>
        <w:t>1.3-1</w:t>
      </w:r>
      <w:r>
        <w:rPr>
          <w:rFonts w:ascii="Times New Roman" w:eastAsia="Times New Roman"/>
          <w:b/>
          <w:spacing w:val="50"/>
          <w:sz w:val="21"/>
        </w:rPr>
        <w:t xml:space="preserve"> </w:t>
      </w:r>
      <w:r>
        <w:rPr>
          <w:b/>
          <w:sz w:val="21"/>
        </w:rPr>
        <w:t>项目与岳阳市环境管控单元位置示意图</w:t>
      </w:r>
    </w:p>
    <w:p w14:paraId="0BA09953">
      <w:pPr>
        <w:spacing w:after="0" w:line="242" w:lineRule="exact"/>
        <w:jc w:val="left"/>
        <w:rPr>
          <w:sz w:val="21"/>
        </w:rPr>
        <w:sectPr>
          <w:pgSz w:w="11910" w:h="16840"/>
          <w:pgMar w:top="1360" w:right="460" w:bottom="1400" w:left="1580" w:header="878" w:footer="1204" w:gutter="0"/>
          <w:cols w:space="720" w:num="1"/>
        </w:sectPr>
      </w:pPr>
    </w:p>
    <w:p w14:paraId="6C56D3F6">
      <w:pPr>
        <w:pStyle w:val="7"/>
        <w:rPr>
          <w:b/>
          <w:sz w:val="20"/>
        </w:rPr>
      </w:pPr>
    </w:p>
    <w:p w14:paraId="07BFAF80">
      <w:pPr>
        <w:pStyle w:val="7"/>
        <w:spacing w:before="6"/>
        <w:rPr>
          <w:b/>
          <w:sz w:val="22"/>
        </w:rPr>
      </w:pPr>
    </w:p>
    <w:p w14:paraId="28271454">
      <w:pPr>
        <w:spacing w:before="77"/>
        <w:ind w:left="1780" w:right="0" w:firstLine="0"/>
        <w:jc w:val="left"/>
        <w:rPr>
          <w:b/>
          <w:sz w:val="22"/>
        </w:rPr>
      </w:pPr>
      <w:r>
        <w:rPr>
          <w:b/>
          <w:sz w:val="22"/>
        </w:rPr>
        <w:t>表</w:t>
      </w:r>
      <w:r>
        <w:rPr>
          <w:rFonts w:ascii="Times New Roman" w:eastAsia="Times New Roman"/>
          <w:b/>
          <w:sz w:val="22"/>
        </w:rPr>
        <w:t>1.3-2</w:t>
      </w:r>
      <w:r>
        <w:rPr>
          <w:rFonts w:ascii="Times New Roman" w:eastAsia="Times New Roman"/>
          <w:b/>
          <w:spacing w:val="52"/>
          <w:sz w:val="22"/>
        </w:rPr>
        <w:t xml:space="preserve"> </w:t>
      </w:r>
      <w:r>
        <w:rPr>
          <w:b/>
          <w:spacing w:val="-2"/>
          <w:sz w:val="22"/>
        </w:rPr>
        <w:t>项目与《岳阳市其他环境管控单元</w:t>
      </w:r>
      <w:r>
        <w:rPr>
          <w:b/>
          <w:sz w:val="22"/>
        </w:rPr>
        <w:t>（除工业园区以外）</w:t>
      </w:r>
      <w:r>
        <w:rPr>
          <w:b/>
          <w:spacing w:val="-13"/>
          <w:sz w:val="22"/>
        </w:rPr>
        <w:t>生态环境准入清单》</w:t>
      </w:r>
      <w:r>
        <w:rPr>
          <w:b/>
          <w:sz w:val="22"/>
        </w:rPr>
        <w:t>（摘录</w:t>
      </w:r>
      <w:r>
        <w:rPr>
          <w:b/>
          <w:spacing w:val="-3"/>
          <w:sz w:val="22"/>
        </w:rPr>
        <w:t>）</w:t>
      </w:r>
      <w:r>
        <w:rPr>
          <w:b/>
          <w:sz w:val="22"/>
        </w:rPr>
        <w:t>的符合性分析一览表</w:t>
      </w: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785"/>
        <w:gridCol w:w="8431"/>
        <w:gridCol w:w="3597"/>
        <w:gridCol w:w="882"/>
      </w:tblGrid>
      <w:tr w14:paraId="0CB04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79" w:type="dxa"/>
          </w:tcPr>
          <w:p w14:paraId="40C209C5">
            <w:pPr>
              <w:pStyle w:val="14"/>
              <w:ind w:left="134"/>
              <w:rPr>
                <w:b/>
                <w:sz w:val="21"/>
              </w:rPr>
            </w:pPr>
            <w:r>
              <w:rPr>
                <w:b/>
                <w:w w:val="99"/>
                <w:sz w:val="21"/>
              </w:rPr>
              <w:t>序</w:t>
            </w:r>
          </w:p>
          <w:p w14:paraId="11ACA98B">
            <w:pPr>
              <w:pStyle w:val="14"/>
              <w:spacing w:before="4" w:line="251" w:lineRule="exact"/>
              <w:ind w:left="134"/>
              <w:rPr>
                <w:b/>
                <w:sz w:val="21"/>
              </w:rPr>
            </w:pPr>
            <w:r>
              <w:rPr>
                <w:b/>
                <w:w w:val="99"/>
                <w:sz w:val="21"/>
              </w:rPr>
              <w:t>号</w:t>
            </w:r>
          </w:p>
        </w:tc>
        <w:tc>
          <w:tcPr>
            <w:tcW w:w="785" w:type="dxa"/>
          </w:tcPr>
          <w:p w14:paraId="160E0022">
            <w:pPr>
              <w:pStyle w:val="14"/>
              <w:ind w:left="180"/>
              <w:rPr>
                <w:b/>
                <w:sz w:val="21"/>
              </w:rPr>
            </w:pPr>
            <w:r>
              <w:rPr>
                <w:b/>
                <w:w w:val="95"/>
                <w:sz w:val="21"/>
              </w:rPr>
              <w:t>管控</w:t>
            </w:r>
          </w:p>
          <w:p w14:paraId="57C713A6">
            <w:pPr>
              <w:pStyle w:val="14"/>
              <w:spacing w:before="4" w:line="251" w:lineRule="exact"/>
              <w:ind w:left="180"/>
              <w:rPr>
                <w:b/>
                <w:sz w:val="21"/>
              </w:rPr>
            </w:pPr>
            <w:r>
              <w:rPr>
                <w:b/>
                <w:w w:val="95"/>
                <w:sz w:val="21"/>
              </w:rPr>
              <w:t>纬度</w:t>
            </w:r>
          </w:p>
        </w:tc>
        <w:tc>
          <w:tcPr>
            <w:tcW w:w="8431" w:type="dxa"/>
          </w:tcPr>
          <w:p w14:paraId="286C3983">
            <w:pPr>
              <w:pStyle w:val="14"/>
              <w:spacing w:before="137"/>
              <w:ind w:left="3771" w:right="3765"/>
              <w:jc w:val="center"/>
              <w:rPr>
                <w:b/>
                <w:sz w:val="21"/>
              </w:rPr>
            </w:pPr>
            <w:r>
              <w:rPr>
                <w:b/>
                <w:sz w:val="21"/>
              </w:rPr>
              <w:t>管控要求</w:t>
            </w:r>
          </w:p>
        </w:tc>
        <w:tc>
          <w:tcPr>
            <w:tcW w:w="3597" w:type="dxa"/>
          </w:tcPr>
          <w:p w14:paraId="5B028C54">
            <w:pPr>
              <w:pStyle w:val="14"/>
              <w:spacing w:before="137"/>
              <w:ind w:left="1355" w:right="1348"/>
              <w:jc w:val="center"/>
              <w:rPr>
                <w:b/>
                <w:sz w:val="21"/>
              </w:rPr>
            </w:pPr>
            <w:r>
              <w:rPr>
                <w:b/>
                <w:sz w:val="21"/>
              </w:rPr>
              <w:t>项目情况</w:t>
            </w:r>
          </w:p>
        </w:tc>
        <w:tc>
          <w:tcPr>
            <w:tcW w:w="882" w:type="dxa"/>
          </w:tcPr>
          <w:p w14:paraId="7BAEE496">
            <w:pPr>
              <w:pStyle w:val="14"/>
              <w:spacing w:before="137"/>
              <w:ind w:left="68" w:right="62"/>
              <w:jc w:val="center"/>
              <w:rPr>
                <w:b/>
                <w:sz w:val="21"/>
              </w:rPr>
            </w:pPr>
            <w:r>
              <w:rPr>
                <w:b/>
                <w:sz w:val="21"/>
              </w:rPr>
              <w:t>符合性</w:t>
            </w:r>
          </w:p>
        </w:tc>
      </w:tr>
      <w:tr w14:paraId="4D2F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479" w:type="dxa"/>
          </w:tcPr>
          <w:p w14:paraId="4D3C7A53">
            <w:pPr>
              <w:pStyle w:val="14"/>
              <w:rPr>
                <w:b/>
                <w:sz w:val="22"/>
              </w:rPr>
            </w:pPr>
          </w:p>
          <w:p w14:paraId="301BFB5C">
            <w:pPr>
              <w:pStyle w:val="14"/>
              <w:rPr>
                <w:b/>
                <w:sz w:val="22"/>
              </w:rPr>
            </w:pPr>
          </w:p>
          <w:p w14:paraId="0BF77174">
            <w:pPr>
              <w:pStyle w:val="14"/>
              <w:rPr>
                <w:b/>
                <w:sz w:val="22"/>
              </w:rPr>
            </w:pPr>
          </w:p>
          <w:p w14:paraId="48CE1172">
            <w:pPr>
              <w:pStyle w:val="14"/>
              <w:spacing w:before="1"/>
              <w:rPr>
                <w:b/>
                <w:sz w:val="20"/>
              </w:rPr>
            </w:pPr>
          </w:p>
          <w:p w14:paraId="28B26925">
            <w:pPr>
              <w:pStyle w:val="14"/>
              <w:ind w:left="186"/>
              <w:rPr>
                <w:rFonts w:ascii="Times New Roman"/>
                <w:sz w:val="21"/>
              </w:rPr>
            </w:pPr>
            <w:r>
              <w:rPr>
                <w:rFonts w:ascii="Times New Roman"/>
                <w:w w:val="99"/>
                <w:sz w:val="21"/>
              </w:rPr>
              <w:t>1</w:t>
            </w:r>
          </w:p>
        </w:tc>
        <w:tc>
          <w:tcPr>
            <w:tcW w:w="785" w:type="dxa"/>
          </w:tcPr>
          <w:p w14:paraId="3AA48924">
            <w:pPr>
              <w:pStyle w:val="14"/>
              <w:rPr>
                <w:b/>
                <w:sz w:val="20"/>
              </w:rPr>
            </w:pPr>
          </w:p>
          <w:p w14:paraId="5284B331">
            <w:pPr>
              <w:pStyle w:val="14"/>
              <w:rPr>
                <w:b/>
                <w:sz w:val="20"/>
              </w:rPr>
            </w:pPr>
          </w:p>
          <w:p w14:paraId="5BD27474">
            <w:pPr>
              <w:pStyle w:val="14"/>
              <w:rPr>
                <w:b/>
                <w:sz w:val="20"/>
              </w:rPr>
            </w:pPr>
          </w:p>
          <w:p w14:paraId="2A8F0513">
            <w:pPr>
              <w:pStyle w:val="14"/>
              <w:spacing w:before="6"/>
              <w:rPr>
                <w:b/>
                <w:sz w:val="14"/>
              </w:rPr>
            </w:pPr>
          </w:p>
          <w:p w14:paraId="071D2B12">
            <w:pPr>
              <w:pStyle w:val="14"/>
              <w:spacing w:line="242" w:lineRule="auto"/>
              <w:ind w:left="180" w:right="174"/>
              <w:rPr>
                <w:sz w:val="21"/>
              </w:rPr>
            </w:pPr>
            <w:r>
              <w:rPr>
                <w:w w:val="95"/>
                <w:sz w:val="21"/>
              </w:rPr>
              <w:t>主要属性</w:t>
            </w:r>
          </w:p>
        </w:tc>
        <w:tc>
          <w:tcPr>
            <w:tcW w:w="8431" w:type="dxa"/>
          </w:tcPr>
          <w:p w14:paraId="59CCEA73">
            <w:pPr>
              <w:pStyle w:val="14"/>
              <w:spacing w:before="2" w:line="242" w:lineRule="auto"/>
              <w:ind w:left="108" w:right="97"/>
              <w:jc w:val="both"/>
              <w:rPr>
                <w:sz w:val="21"/>
              </w:rPr>
            </w:pPr>
            <w:r>
              <w:rPr>
                <w:sz w:val="21"/>
              </w:rPr>
              <w:t>生态红线</w:t>
            </w:r>
            <w:r>
              <w:rPr>
                <w:rFonts w:ascii="Times New Roman" w:eastAsia="Times New Roman"/>
                <w:sz w:val="21"/>
              </w:rPr>
              <w:t>/</w:t>
            </w:r>
            <w:r>
              <w:rPr>
                <w:sz w:val="21"/>
              </w:rPr>
              <w:t>一般生态空间</w:t>
            </w:r>
            <w:r>
              <w:rPr>
                <w:rFonts w:ascii="Times New Roman" w:eastAsia="Times New Roman"/>
                <w:sz w:val="21"/>
              </w:rPr>
              <w:t>(</w:t>
            </w:r>
            <w:r>
              <w:rPr>
                <w:sz w:val="21"/>
              </w:rPr>
              <w:t>公益林</w:t>
            </w:r>
            <w:r>
              <w:rPr>
                <w:rFonts w:ascii="Times New Roman" w:eastAsia="Times New Roman"/>
                <w:sz w:val="21"/>
              </w:rPr>
              <w:t>/</w:t>
            </w:r>
            <w:r>
              <w:rPr>
                <w:sz w:val="21"/>
              </w:rPr>
              <w:t>森林公园</w:t>
            </w:r>
            <w:r>
              <w:rPr>
                <w:rFonts w:ascii="Times New Roman" w:eastAsia="Times New Roman"/>
                <w:sz w:val="21"/>
              </w:rPr>
              <w:t>/</w:t>
            </w:r>
            <w:r>
              <w:rPr>
                <w:sz w:val="21"/>
              </w:rPr>
              <w:t>保混公园</w:t>
            </w:r>
            <w:r>
              <w:rPr>
                <w:rFonts w:ascii="Times New Roman" w:eastAsia="Times New Roman"/>
                <w:sz w:val="21"/>
              </w:rPr>
              <w:t>/</w:t>
            </w:r>
            <w:r>
              <w:rPr>
                <w:sz w:val="21"/>
              </w:rPr>
              <w:t>水产种质资源保护区</w:t>
            </w:r>
            <w:r>
              <w:rPr>
                <w:rFonts w:ascii="Times New Roman" w:eastAsia="Times New Roman"/>
                <w:sz w:val="21"/>
              </w:rPr>
              <w:t>/</w:t>
            </w:r>
            <w:r>
              <w:rPr>
                <w:sz w:val="21"/>
              </w:rPr>
              <w:t>水土保持功能重要区</w:t>
            </w:r>
            <w:r>
              <w:rPr>
                <w:rFonts w:ascii="Times New Roman" w:eastAsia="Times New Roman"/>
                <w:sz w:val="21"/>
              </w:rPr>
              <w:t>/</w:t>
            </w:r>
            <w:r>
              <w:rPr>
                <w:sz w:val="21"/>
              </w:rPr>
              <w:t>水土流失敏感区</w:t>
            </w:r>
            <w:r>
              <w:rPr>
                <w:rFonts w:ascii="Times New Roman" w:eastAsia="Times New Roman"/>
                <w:sz w:val="21"/>
              </w:rPr>
              <w:t>/</w:t>
            </w:r>
            <w:r>
              <w:rPr>
                <w:sz w:val="21"/>
              </w:rPr>
              <w:t>水源涵养重要区</w:t>
            </w:r>
            <w:r>
              <w:rPr>
                <w:rFonts w:ascii="Times New Roman" w:eastAsia="Times New Roman"/>
                <w:sz w:val="21"/>
              </w:rPr>
              <w:t>/</w:t>
            </w:r>
            <w:r>
              <w:rPr>
                <w:sz w:val="21"/>
              </w:rPr>
              <w:t>自然保护区</w:t>
            </w:r>
            <w:r>
              <w:rPr>
                <w:rFonts w:ascii="Times New Roman" w:eastAsia="Times New Roman"/>
                <w:sz w:val="21"/>
              </w:rPr>
              <w:t>)/</w:t>
            </w:r>
            <w:r>
              <w:rPr>
                <w:sz w:val="21"/>
              </w:rPr>
              <w:t>水环境城镇生活污染重点管控区</w:t>
            </w:r>
            <w:r>
              <w:rPr>
                <w:rFonts w:ascii="Times New Roman" w:eastAsia="Times New Roman"/>
                <w:sz w:val="21"/>
              </w:rPr>
              <w:t>(</w:t>
            </w:r>
            <w:r>
              <w:rPr>
                <w:sz w:val="21"/>
              </w:rPr>
              <w:t>岳阳县污水厂</w:t>
            </w:r>
            <w:r>
              <w:rPr>
                <w:rFonts w:ascii="Times New Roman" w:eastAsia="Times New Roman"/>
                <w:sz w:val="21"/>
              </w:rPr>
              <w:t>)/</w:t>
            </w:r>
            <w:r>
              <w:rPr>
                <w:sz w:val="21"/>
              </w:rPr>
              <w:t>水环境工业污染重点管控区</w:t>
            </w:r>
            <w:r>
              <w:rPr>
                <w:rFonts w:ascii="Times New Roman" w:eastAsia="Times New Roman"/>
                <w:sz w:val="21"/>
              </w:rPr>
              <w:t>(</w:t>
            </w:r>
            <w:r>
              <w:rPr>
                <w:sz w:val="21"/>
              </w:rPr>
              <w:t>岳阳高新技术产业园区</w:t>
            </w:r>
            <w:r>
              <w:rPr>
                <w:rFonts w:ascii="Times New Roman" w:eastAsia="Times New Roman"/>
                <w:sz w:val="21"/>
              </w:rPr>
              <w:t>)/</w:t>
            </w:r>
            <w:r>
              <w:rPr>
                <w:sz w:val="21"/>
              </w:rPr>
              <w:t>水环境优先保护区</w:t>
            </w:r>
            <w:r>
              <w:rPr>
                <w:rFonts w:ascii="Times New Roman" w:eastAsia="Times New Roman"/>
                <w:sz w:val="21"/>
              </w:rPr>
              <w:t>(</w:t>
            </w:r>
            <w:r>
              <w:rPr>
                <w:sz w:val="21"/>
              </w:rPr>
              <w:t>岳阳县新墙水库饮用水水源保护区、岳阳县新墙河饮用水水源保护区、岳阳县新墙河国家地公园</w:t>
            </w:r>
            <w:r>
              <w:rPr>
                <w:rFonts w:ascii="Times New Roman" w:eastAsia="Times New Roman"/>
                <w:sz w:val="21"/>
              </w:rPr>
              <w:t>)/</w:t>
            </w:r>
            <w:r>
              <w:rPr>
                <w:sz w:val="21"/>
              </w:rPr>
              <w:t>大气环境布局敏感重点管控区</w:t>
            </w:r>
            <w:r>
              <w:rPr>
                <w:rFonts w:ascii="Times New Roman" w:eastAsia="Times New Roman"/>
                <w:sz w:val="21"/>
              </w:rPr>
              <w:t>/</w:t>
            </w:r>
            <w:r>
              <w:rPr>
                <w:sz w:val="21"/>
              </w:rPr>
              <w:t>大气环境受体敏感重点管控区</w:t>
            </w:r>
            <w:r>
              <w:rPr>
                <w:rFonts w:ascii="Times New Roman" w:eastAsia="Times New Roman"/>
                <w:sz w:val="21"/>
              </w:rPr>
              <w:t>/</w:t>
            </w:r>
            <w:r>
              <w:rPr>
                <w:sz w:val="21"/>
              </w:rPr>
              <w:t>大气环境优先保护区</w:t>
            </w:r>
            <w:r>
              <w:rPr>
                <w:rFonts w:ascii="Times New Roman" w:eastAsia="Times New Roman"/>
                <w:sz w:val="21"/>
              </w:rPr>
              <w:t>(</w:t>
            </w:r>
            <w:r>
              <w:rPr>
                <w:sz w:val="21"/>
              </w:rPr>
              <w:t>东洞庭湖国家级自然保护区</w:t>
            </w:r>
            <w:r>
              <w:rPr>
                <w:rFonts w:ascii="Times New Roman" w:eastAsia="Times New Roman"/>
                <w:sz w:val="21"/>
              </w:rPr>
              <w:t>/</w:t>
            </w:r>
            <w:r>
              <w:rPr>
                <w:sz w:val="21"/>
              </w:rPr>
              <w:t>兵阳市东洞庭湖江豚自然保护区</w:t>
            </w:r>
            <w:r>
              <w:rPr>
                <w:rFonts w:ascii="Times New Roman" w:eastAsia="Times New Roman"/>
                <w:sz w:val="21"/>
              </w:rPr>
              <w:t>)/</w:t>
            </w:r>
            <w:r>
              <w:rPr>
                <w:sz w:val="21"/>
              </w:rPr>
              <w:t>大气环境高排放重点管控区</w:t>
            </w:r>
          </w:p>
          <w:p w14:paraId="7BE946B6">
            <w:pPr>
              <w:pStyle w:val="14"/>
              <w:spacing w:before="1" w:line="244" w:lineRule="auto"/>
              <w:ind w:left="108" w:right="99"/>
              <w:jc w:val="both"/>
              <w:rPr>
                <w:sz w:val="21"/>
              </w:rPr>
            </w:pPr>
            <w:r>
              <w:rPr>
                <w:rFonts w:ascii="Times New Roman" w:eastAsia="Times New Roman"/>
                <w:sz w:val="21"/>
              </w:rPr>
              <w:t>(</w:t>
            </w:r>
            <w:r>
              <w:rPr>
                <w:sz w:val="21"/>
              </w:rPr>
              <w:t>岳阳高新技术产业园区</w:t>
            </w:r>
            <w:r>
              <w:rPr>
                <w:rFonts w:ascii="Times New Roman" w:eastAsia="Times New Roman"/>
                <w:sz w:val="21"/>
              </w:rPr>
              <w:t>(</w:t>
            </w:r>
            <w:r>
              <w:rPr>
                <w:sz w:val="21"/>
              </w:rPr>
              <w:t>实际开发区</w:t>
            </w:r>
            <w:r>
              <w:rPr>
                <w:rFonts w:ascii="Times New Roman" w:eastAsia="Times New Roman"/>
                <w:sz w:val="21"/>
              </w:rPr>
              <w:t>))/</w:t>
            </w:r>
            <w:r>
              <w:rPr>
                <w:sz w:val="21"/>
              </w:rPr>
              <w:t>建设用地污染风险重点管控</w:t>
            </w:r>
            <w:r>
              <w:rPr>
                <w:rFonts w:ascii="Times New Roman" w:eastAsia="Times New Roman"/>
                <w:sz w:val="21"/>
              </w:rPr>
              <w:t>/</w:t>
            </w:r>
            <w:r>
              <w:rPr>
                <w:sz w:val="21"/>
              </w:rPr>
              <w:t>市县级采矿权</w:t>
            </w:r>
            <w:r>
              <w:rPr>
                <w:rFonts w:ascii="Times New Roman" w:eastAsia="Times New Roman"/>
                <w:sz w:val="21"/>
              </w:rPr>
              <w:t>/</w:t>
            </w:r>
            <w:r>
              <w:rPr>
                <w:sz w:val="21"/>
              </w:rPr>
              <w:t>高污染燃料禁燃区</w:t>
            </w:r>
          </w:p>
          <w:p w14:paraId="677B34D8">
            <w:pPr>
              <w:pStyle w:val="14"/>
              <w:spacing w:line="248" w:lineRule="exact"/>
              <w:ind w:left="108"/>
              <w:jc w:val="both"/>
              <w:rPr>
                <w:sz w:val="21"/>
              </w:rPr>
            </w:pPr>
            <w:r>
              <w:rPr>
                <w:sz w:val="21"/>
              </w:rPr>
              <w:t>主要环境问题：畜禽养殖等农业面源污染</w:t>
            </w:r>
          </w:p>
        </w:tc>
        <w:tc>
          <w:tcPr>
            <w:tcW w:w="3597" w:type="dxa"/>
          </w:tcPr>
          <w:p w14:paraId="7DB75A63">
            <w:pPr>
              <w:pStyle w:val="14"/>
              <w:spacing w:before="4"/>
              <w:rPr>
                <w:b/>
                <w:sz w:val="21"/>
              </w:rPr>
            </w:pPr>
          </w:p>
          <w:p w14:paraId="505FF850">
            <w:pPr>
              <w:pStyle w:val="14"/>
              <w:spacing w:line="242" w:lineRule="auto"/>
              <w:ind w:left="108" w:right="96"/>
              <w:jc w:val="both"/>
              <w:rPr>
                <w:sz w:val="21"/>
              </w:rPr>
            </w:pPr>
            <w:r>
              <w:rPr>
                <w:sz w:val="21"/>
              </w:rPr>
              <w:t>本项目位于岳阳县城东村，非城镇建成区或岳阳高新技术产业开发园区， 经判定属于大气环境布局敏感重点管控区；</w:t>
            </w:r>
          </w:p>
          <w:p w14:paraId="4669EE87">
            <w:pPr>
              <w:pStyle w:val="14"/>
              <w:spacing w:before="2" w:line="242" w:lineRule="auto"/>
              <w:ind w:left="108" w:right="96"/>
              <w:jc w:val="both"/>
              <w:rPr>
                <w:sz w:val="21"/>
              </w:rPr>
            </w:pPr>
            <w:r>
              <w:rPr>
                <w:sz w:val="21"/>
              </w:rPr>
              <w:t>项目废水经厂区废污水处理站预处理后送至岳阳县污水处理厂处理，属于间接排放，不涉及农业面源污染</w:t>
            </w:r>
          </w:p>
        </w:tc>
        <w:tc>
          <w:tcPr>
            <w:tcW w:w="882" w:type="dxa"/>
          </w:tcPr>
          <w:p w14:paraId="68E8CEF4">
            <w:pPr>
              <w:pStyle w:val="14"/>
              <w:rPr>
                <w:b/>
                <w:sz w:val="20"/>
              </w:rPr>
            </w:pPr>
          </w:p>
          <w:p w14:paraId="5E965CE4">
            <w:pPr>
              <w:pStyle w:val="14"/>
              <w:rPr>
                <w:b/>
                <w:sz w:val="20"/>
              </w:rPr>
            </w:pPr>
          </w:p>
          <w:p w14:paraId="3719C466">
            <w:pPr>
              <w:pStyle w:val="14"/>
              <w:rPr>
                <w:b/>
                <w:sz w:val="20"/>
              </w:rPr>
            </w:pPr>
          </w:p>
          <w:p w14:paraId="7C187603">
            <w:pPr>
              <w:pStyle w:val="14"/>
              <w:rPr>
                <w:b/>
                <w:sz w:val="25"/>
              </w:rPr>
            </w:pPr>
          </w:p>
          <w:p w14:paraId="41347ADF">
            <w:pPr>
              <w:pStyle w:val="14"/>
              <w:ind w:left="71" w:right="62"/>
              <w:jc w:val="center"/>
              <w:rPr>
                <w:sz w:val="21"/>
              </w:rPr>
            </w:pPr>
            <w:r>
              <w:rPr>
                <w:sz w:val="21"/>
              </w:rPr>
              <w:t>符合</w:t>
            </w:r>
          </w:p>
        </w:tc>
      </w:tr>
      <w:tr w14:paraId="2161E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6" w:hRule="atLeast"/>
        </w:trPr>
        <w:tc>
          <w:tcPr>
            <w:tcW w:w="479" w:type="dxa"/>
          </w:tcPr>
          <w:p w14:paraId="1F913205">
            <w:pPr>
              <w:pStyle w:val="14"/>
              <w:rPr>
                <w:b/>
                <w:sz w:val="22"/>
              </w:rPr>
            </w:pPr>
          </w:p>
          <w:p w14:paraId="4CA7C619">
            <w:pPr>
              <w:pStyle w:val="14"/>
              <w:rPr>
                <w:b/>
                <w:sz w:val="22"/>
              </w:rPr>
            </w:pPr>
          </w:p>
          <w:p w14:paraId="57778553">
            <w:pPr>
              <w:pStyle w:val="14"/>
              <w:rPr>
                <w:b/>
                <w:sz w:val="22"/>
              </w:rPr>
            </w:pPr>
          </w:p>
          <w:p w14:paraId="3C344783">
            <w:pPr>
              <w:pStyle w:val="14"/>
              <w:rPr>
                <w:b/>
                <w:sz w:val="22"/>
              </w:rPr>
            </w:pPr>
          </w:p>
          <w:p w14:paraId="75885605">
            <w:pPr>
              <w:pStyle w:val="14"/>
              <w:spacing w:before="4"/>
              <w:rPr>
                <w:b/>
                <w:sz w:val="19"/>
              </w:rPr>
            </w:pPr>
          </w:p>
          <w:p w14:paraId="359C7505">
            <w:pPr>
              <w:pStyle w:val="14"/>
              <w:spacing w:before="1"/>
              <w:ind w:left="186"/>
              <w:rPr>
                <w:rFonts w:ascii="Times New Roman"/>
                <w:sz w:val="21"/>
              </w:rPr>
            </w:pPr>
            <w:r>
              <w:rPr>
                <w:rFonts w:ascii="Times New Roman"/>
                <w:w w:val="99"/>
                <w:sz w:val="21"/>
              </w:rPr>
              <w:t>2</w:t>
            </w:r>
          </w:p>
        </w:tc>
        <w:tc>
          <w:tcPr>
            <w:tcW w:w="785" w:type="dxa"/>
          </w:tcPr>
          <w:p w14:paraId="7F2B284E">
            <w:pPr>
              <w:pStyle w:val="14"/>
              <w:rPr>
                <w:b/>
                <w:sz w:val="20"/>
              </w:rPr>
            </w:pPr>
          </w:p>
          <w:p w14:paraId="0FB17F49">
            <w:pPr>
              <w:pStyle w:val="14"/>
              <w:rPr>
                <w:b/>
                <w:sz w:val="20"/>
              </w:rPr>
            </w:pPr>
          </w:p>
          <w:p w14:paraId="55887FC0">
            <w:pPr>
              <w:pStyle w:val="14"/>
              <w:rPr>
                <w:b/>
                <w:sz w:val="20"/>
              </w:rPr>
            </w:pPr>
          </w:p>
          <w:p w14:paraId="0D987EBD">
            <w:pPr>
              <w:pStyle w:val="14"/>
              <w:spacing w:before="11"/>
              <w:rPr>
                <w:b/>
                <w:sz w:val="24"/>
              </w:rPr>
            </w:pPr>
          </w:p>
          <w:p w14:paraId="346507B5">
            <w:pPr>
              <w:pStyle w:val="14"/>
              <w:spacing w:before="1" w:line="242" w:lineRule="auto"/>
              <w:ind w:left="180" w:right="174"/>
              <w:jc w:val="both"/>
              <w:rPr>
                <w:sz w:val="21"/>
              </w:rPr>
            </w:pPr>
            <w:r>
              <w:rPr>
                <w:w w:val="95"/>
                <w:sz w:val="21"/>
              </w:rPr>
              <w:t>空间布局约束</w:t>
            </w:r>
          </w:p>
        </w:tc>
        <w:tc>
          <w:tcPr>
            <w:tcW w:w="8431" w:type="dxa"/>
          </w:tcPr>
          <w:p w14:paraId="720F9C20">
            <w:pPr>
              <w:pStyle w:val="14"/>
              <w:numPr>
                <w:ilvl w:val="1"/>
                <w:numId w:val="5"/>
              </w:numPr>
              <w:tabs>
                <w:tab w:val="left" w:pos="416"/>
              </w:tabs>
              <w:spacing w:before="1" w:after="0" w:line="242" w:lineRule="auto"/>
              <w:ind w:left="108" w:right="97" w:firstLine="0"/>
              <w:jc w:val="both"/>
              <w:rPr>
                <w:sz w:val="21"/>
              </w:rPr>
            </w:pPr>
            <w:r>
              <w:rPr>
                <w:spacing w:val="1"/>
                <w:sz w:val="21"/>
              </w:rPr>
              <w:t>全面淘汰传统掩埋、化尸窖等处理方式，实行病死畜禽无害化处理，禁止任何单位和</w:t>
            </w:r>
            <w:r>
              <w:rPr>
                <w:spacing w:val="-3"/>
                <w:sz w:val="21"/>
              </w:rPr>
              <w:t>个人非法抛弃、收购、 贩卖、屠宰、加工病死畜禽；从事畜禽饲养、屠宰、经营、运输的单位和个人，在畜禽因病死亡或染疫时，应立即向所在区域收集暂存点报告，由区域收</w:t>
            </w:r>
            <w:r>
              <w:rPr>
                <w:spacing w:val="5"/>
                <w:sz w:val="21"/>
              </w:rPr>
              <w:t>集暂存点收集后送至病死畜禽专业无害化集中处理厂进行无害化处理；严厉打击非法抛弃、收购、贩卖、屠宰、加工病死畜禽等违法行为</w:t>
            </w:r>
          </w:p>
          <w:p w14:paraId="6BD0DA26">
            <w:pPr>
              <w:pStyle w:val="14"/>
              <w:numPr>
                <w:ilvl w:val="1"/>
                <w:numId w:val="5"/>
              </w:numPr>
              <w:tabs>
                <w:tab w:val="left" w:pos="416"/>
              </w:tabs>
              <w:spacing w:before="2" w:after="0" w:line="242" w:lineRule="auto"/>
              <w:ind w:left="108" w:right="97" w:firstLine="0"/>
              <w:jc w:val="both"/>
              <w:rPr>
                <w:sz w:val="21"/>
              </w:rPr>
            </w:pPr>
            <w:r>
              <w:rPr>
                <w:spacing w:val="1"/>
                <w:sz w:val="21"/>
              </w:rPr>
              <w:t>在禁养区内，撤除人工养殖网箱、网围、拦网，禁止从事投肥、投饵等各类人工水产养殖行为；在限养区内，全面限制投肥投饵养殖，限制周边生活污水及畜禽粪污直接排入农村集体生活用水水源地水库，重点湖泊限制网箱、网围、网栏等人工养殖，重点生态功能区内的水产养殖搬迁或关停</w:t>
            </w:r>
          </w:p>
          <w:p w14:paraId="7063ED94">
            <w:pPr>
              <w:pStyle w:val="14"/>
              <w:numPr>
                <w:ilvl w:val="1"/>
                <w:numId w:val="5"/>
              </w:numPr>
              <w:tabs>
                <w:tab w:val="left" w:pos="416"/>
              </w:tabs>
              <w:spacing w:before="2" w:after="0" w:line="240" w:lineRule="auto"/>
              <w:ind w:left="108" w:right="0" w:firstLine="0"/>
              <w:jc w:val="both"/>
              <w:rPr>
                <w:sz w:val="21"/>
              </w:rPr>
            </w:pPr>
            <w:r>
              <w:rPr>
                <w:spacing w:val="1"/>
                <w:sz w:val="21"/>
              </w:rPr>
              <w:t>限制新墙河区域稀土、砖瓦粘土的开采，严格限制采矿权数量的设置，有计划的关、</w:t>
            </w:r>
          </w:p>
          <w:p w14:paraId="650ED845">
            <w:pPr>
              <w:pStyle w:val="14"/>
              <w:spacing w:before="5" w:line="251" w:lineRule="exact"/>
              <w:ind w:left="108"/>
              <w:jc w:val="both"/>
              <w:rPr>
                <w:sz w:val="21"/>
              </w:rPr>
            </w:pPr>
            <w:r>
              <w:rPr>
                <w:sz w:val="21"/>
              </w:rPr>
              <w:t>停、并、转一些小型矿山，控制开采规模和开采总量</w:t>
            </w:r>
          </w:p>
        </w:tc>
        <w:tc>
          <w:tcPr>
            <w:tcW w:w="3597" w:type="dxa"/>
          </w:tcPr>
          <w:p w14:paraId="492E5077">
            <w:pPr>
              <w:pStyle w:val="14"/>
              <w:rPr>
                <w:b/>
                <w:sz w:val="20"/>
              </w:rPr>
            </w:pPr>
          </w:p>
          <w:p w14:paraId="38228232">
            <w:pPr>
              <w:pStyle w:val="14"/>
              <w:rPr>
                <w:b/>
                <w:sz w:val="20"/>
              </w:rPr>
            </w:pPr>
          </w:p>
          <w:p w14:paraId="5685C845">
            <w:pPr>
              <w:pStyle w:val="14"/>
              <w:rPr>
                <w:b/>
                <w:sz w:val="20"/>
              </w:rPr>
            </w:pPr>
          </w:p>
          <w:p w14:paraId="2D0FF0A5">
            <w:pPr>
              <w:pStyle w:val="14"/>
              <w:spacing w:before="11"/>
              <w:rPr>
                <w:b/>
                <w:sz w:val="24"/>
              </w:rPr>
            </w:pPr>
          </w:p>
          <w:p w14:paraId="3CC4D14F">
            <w:pPr>
              <w:pStyle w:val="14"/>
              <w:spacing w:before="1" w:line="242" w:lineRule="auto"/>
              <w:ind w:left="108" w:right="96"/>
              <w:jc w:val="both"/>
              <w:rPr>
                <w:sz w:val="21"/>
              </w:rPr>
            </w:pPr>
            <w:r>
              <w:rPr>
                <w:sz w:val="21"/>
              </w:rPr>
              <w:t>本项目行业为牲畜屠宰，设有无害化暂存间，岳阳县设有无害化处理中心，项目委托处置，符合相关要求</w:t>
            </w:r>
          </w:p>
        </w:tc>
        <w:tc>
          <w:tcPr>
            <w:tcW w:w="882" w:type="dxa"/>
          </w:tcPr>
          <w:p w14:paraId="4F1E5D19">
            <w:pPr>
              <w:pStyle w:val="14"/>
              <w:rPr>
                <w:b/>
                <w:sz w:val="20"/>
              </w:rPr>
            </w:pPr>
          </w:p>
          <w:p w14:paraId="480D3347">
            <w:pPr>
              <w:pStyle w:val="14"/>
              <w:rPr>
                <w:b/>
                <w:sz w:val="20"/>
              </w:rPr>
            </w:pPr>
          </w:p>
          <w:p w14:paraId="0D7A475C">
            <w:pPr>
              <w:pStyle w:val="14"/>
              <w:rPr>
                <w:b/>
                <w:sz w:val="20"/>
              </w:rPr>
            </w:pPr>
          </w:p>
          <w:p w14:paraId="1C836765">
            <w:pPr>
              <w:pStyle w:val="14"/>
              <w:rPr>
                <w:b/>
                <w:sz w:val="20"/>
              </w:rPr>
            </w:pPr>
          </w:p>
          <w:p w14:paraId="760BDB74">
            <w:pPr>
              <w:pStyle w:val="14"/>
              <w:spacing w:before="3"/>
              <w:rPr>
                <w:b/>
                <w:sz w:val="26"/>
              </w:rPr>
            </w:pPr>
          </w:p>
          <w:p w14:paraId="4AA0E484">
            <w:pPr>
              <w:pStyle w:val="14"/>
              <w:ind w:left="71" w:right="62"/>
              <w:jc w:val="center"/>
              <w:rPr>
                <w:sz w:val="21"/>
              </w:rPr>
            </w:pPr>
            <w:r>
              <w:rPr>
                <w:sz w:val="21"/>
              </w:rPr>
              <w:t>符合</w:t>
            </w:r>
          </w:p>
        </w:tc>
      </w:tr>
      <w:tr w14:paraId="66A75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479" w:type="dxa"/>
          </w:tcPr>
          <w:p w14:paraId="178BF03F">
            <w:pPr>
              <w:pStyle w:val="14"/>
              <w:spacing w:before="11"/>
              <w:rPr>
                <w:b/>
                <w:sz w:val="32"/>
              </w:rPr>
            </w:pPr>
          </w:p>
          <w:p w14:paraId="766FA68D">
            <w:pPr>
              <w:pStyle w:val="14"/>
              <w:ind w:left="186"/>
              <w:rPr>
                <w:rFonts w:ascii="Times New Roman"/>
                <w:sz w:val="21"/>
              </w:rPr>
            </w:pPr>
            <w:r>
              <w:rPr>
                <w:rFonts w:ascii="Times New Roman"/>
                <w:w w:val="99"/>
                <w:sz w:val="21"/>
              </w:rPr>
              <w:t>3</w:t>
            </w:r>
          </w:p>
        </w:tc>
        <w:tc>
          <w:tcPr>
            <w:tcW w:w="785" w:type="dxa"/>
          </w:tcPr>
          <w:p w14:paraId="7F12815E">
            <w:pPr>
              <w:pStyle w:val="14"/>
              <w:spacing w:line="242" w:lineRule="auto"/>
              <w:ind w:left="180" w:right="174"/>
              <w:jc w:val="both"/>
              <w:rPr>
                <w:sz w:val="21"/>
              </w:rPr>
            </w:pPr>
            <w:r>
              <w:rPr>
                <w:w w:val="95"/>
                <w:sz w:val="21"/>
              </w:rPr>
              <w:t>污染物排放管</w:t>
            </w:r>
          </w:p>
          <w:p w14:paraId="1F71E2AF">
            <w:pPr>
              <w:pStyle w:val="14"/>
              <w:spacing w:before="3" w:line="251" w:lineRule="exact"/>
              <w:ind w:left="6"/>
              <w:jc w:val="center"/>
              <w:rPr>
                <w:sz w:val="21"/>
              </w:rPr>
            </w:pPr>
            <w:r>
              <w:rPr>
                <w:w w:val="99"/>
                <w:sz w:val="21"/>
              </w:rPr>
              <w:t>控</w:t>
            </w:r>
          </w:p>
        </w:tc>
        <w:tc>
          <w:tcPr>
            <w:tcW w:w="8431" w:type="dxa"/>
          </w:tcPr>
          <w:p w14:paraId="52E15648">
            <w:pPr>
              <w:pStyle w:val="14"/>
              <w:spacing w:before="134" w:line="242" w:lineRule="auto"/>
              <w:ind w:left="108" w:right="97"/>
              <w:jc w:val="both"/>
              <w:rPr>
                <w:sz w:val="21"/>
              </w:rPr>
            </w:pPr>
            <w:r>
              <w:rPr>
                <w:rFonts w:ascii="Times New Roman" w:eastAsia="Times New Roman"/>
                <w:sz w:val="21"/>
              </w:rPr>
              <w:t>2.</w:t>
            </w:r>
            <w:r>
              <w:rPr>
                <w:sz w:val="21"/>
              </w:rPr>
              <w:t>加快补齐污水收集和处理设施短板，积极推进雨污分流、老旧污水管网改造和破损修复等工作，加快消除城中村、老旧城区和城乡结合部生活污水收集处理设施空白区，显著提升城镇生活污水集中收集效能</w:t>
            </w:r>
          </w:p>
        </w:tc>
        <w:tc>
          <w:tcPr>
            <w:tcW w:w="3597" w:type="dxa"/>
          </w:tcPr>
          <w:p w14:paraId="1F9AEFB4">
            <w:pPr>
              <w:pStyle w:val="14"/>
              <w:spacing w:before="134" w:line="242" w:lineRule="auto"/>
              <w:ind w:left="108" w:right="96"/>
              <w:jc w:val="both"/>
              <w:rPr>
                <w:sz w:val="21"/>
              </w:rPr>
            </w:pPr>
            <w:r>
              <w:rPr>
                <w:sz w:val="21"/>
              </w:rPr>
              <w:t>本项目废污水经厂区污水处理站预处理后经污水管网，送至岳阳县污水处理厂处理</w:t>
            </w:r>
          </w:p>
        </w:tc>
        <w:tc>
          <w:tcPr>
            <w:tcW w:w="882" w:type="dxa"/>
          </w:tcPr>
          <w:p w14:paraId="01D03E30">
            <w:pPr>
              <w:pStyle w:val="14"/>
              <w:rPr>
                <w:b/>
                <w:sz w:val="20"/>
              </w:rPr>
            </w:pPr>
          </w:p>
          <w:p w14:paraId="66F6E5C8">
            <w:pPr>
              <w:pStyle w:val="14"/>
              <w:spacing w:before="151"/>
              <w:ind w:left="71" w:right="62"/>
              <w:jc w:val="center"/>
              <w:rPr>
                <w:sz w:val="21"/>
              </w:rPr>
            </w:pPr>
            <w:r>
              <w:rPr>
                <w:sz w:val="21"/>
              </w:rPr>
              <w:t>符合</w:t>
            </w:r>
          </w:p>
        </w:tc>
      </w:tr>
      <w:tr w14:paraId="145E4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479" w:type="dxa"/>
          </w:tcPr>
          <w:p w14:paraId="272F2B14">
            <w:pPr>
              <w:pStyle w:val="14"/>
              <w:spacing w:before="5"/>
              <w:rPr>
                <w:b/>
                <w:sz w:val="22"/>
              </w:rPr>
            </w:pPr>
          </w:p>
          <w:p w14:paraId="2CA005F6">
            <w:pPr>
              <w:pStyle w:val="14"/>
              <w:ind w:left="186"/>
              <w:rPr>
                <w:rFonts w:ascii="Times New Roman"/>
                <w:sz w:val="21"/>
              </w:rPr>
            </w:pPr>
            <w:r>
              <w:rPr>
                <w:rFonts w:ascii="Times New Roman"/>
                <w:w w:val="99"/>
                <w:sz w:val="21"/>
              </w:rPr>
              <w:t>4</w:t>
            </w:r>
          </w:p>
        </w:tc>
        <w:tc>
          <w:tcPr>
            <w:tcW w:w="785" w:type="dxa"/>
          </w:tcPr>
          <w:p w14:paraId="228AEC99">
            <w:pPr>
              <w:pStyle w:val="14"/>
              <w:ind w:left="180"/>
              <w:rPr>
                <w:sz w:val="21"/>
              </w:rPr>
            </w:pPr>
            <w:r>
              <w:rPr>
                <w:w w:val="95"/>
                <w:sz w:val="21"/>
              </w:rPr>
              <w:t>环境</w:t>
            </w:r>
          </w:p>
          <w:p w14:paraId="26C63B24">
            <w:pPr>
              <w:pStyle w:val="14"/>
              <w:spacing w:before="3" w:line="270" w:lineRule="atLeast"/>
              <w:ind w:left="180" w:right="174"/>
              <w:rPr>
                <w:sz w:val="21"/>
              </w:rPr>
            </w:pPr>
            <w:r>
              <w:rPr>
                <w:w w:val="95"/>
                <w:sz w:val="21"/>
              </w:rPr>
              <w:t>风险防控</w:t>
            </w:r>
          </w:p>
        </w:tc>
        <w:tc>
          <w:tcPr>
            <w:tcW w:w="8431" w:type="dxa"/>
          </w:tcPr>
          <w:p w14:paraId="147A6E80">
            <w:pPr>
              <w:pStyle w:val="14"/>
              <w:numPr>
                <w:ilvl w:val="1"/>
                <w:numId w:val="6"/>
              </w:numPr>
              <w:tabs>
                <w:tab w:val="left" w:pos="421"/>
              </w:tabs>
              <w:spacing w:before="0" w:after="0" w:line="244" w:lineRule="auto"/>
              <w:ind w:left="108" w:right="100" w:firstLine="0"/>
              <w:jc w:val="left"/>
              <w:rPr>
                <w:sz w:val="21"/>
              </w:rPr>
            </w:pPr>
            <w:r>
              <w:rPr>
                <w:spacing w:val="6"/>
                <w:sz w:val="21"/>
              </w:rPr>
              <w:t>大型养殖场已建设自用病死畜禽处理设施的，应当符合病死畜禽无害化处理技术规范，并经县生态环境和畜牧水产部门审查批准后方可使用</w:t>
            </w:r>
          </w:p>
          <w:p w14:paraId="2B2649E4">
            <w:pPr>
              <w:pStyle w:val="14"/>
              <w:numPr>
                <w:ilvl w:val="1"/>
                <w:numId w:val="6"/>
              </w:numPr>
              <w:tabs>
                <w:tab w:val="left" w:pos="416"/>
              </w:tabs>
              <w:spacing w:before="0" w:after="0" w:line="246" w:lineRule="exact"/>
              <w:ind w:left="415" w:right="0" w:hanging="307"/>
              <w:jc w:val="left"/>
              <w:rPr>
                <w:sz w:val="21"/>
              </w:rPr>
            </w:pPr>
            <w:r>
              <w:rPr>
                <w:spacing w:val="1"/>
                <w:sz w:val="21"/>
              </w:rPr>
              <w:t>防治畜禽养殖污染。严格禁养区管理，依法处理违规畜禽养殖问题，现有规模化畜禽</w:t>
            </w:r>
          </w:p>
        </w:tc>
        <w:tc>
          <w:tcPr>
            <w:tcW w:w="3597" w:type="dxa"/>
          </w:tcPr>
          <w:p w14:paraId="4558C111">
            <w:pPr>
              <w:pStyle w:val="14"/>
              <w:spacing w:before="137" w:line="242" w:lineRule="auto"/>
              <w:ind w:left="108" w:right="96"/>
              <w:rPr>
                <w:sz w:val="21"/>
              </w:rPr>
            </w:pPr>
            <w:r>
              <w:rPr>
                <w:sz w:val="21"/>
              </w:rPr>
              <w:t>本项目废污水间接排放，符合相关要求</w:t>
            </w:r>
          </w:p>
        </w:tc>
        <w:tc>
          <w:tcPr>
            <w:tcW w:w="882" w:type="dxa"/>
          </w:tcPr>
          <w:p w14:paraId="27CD80FD">
            <w:pPr>
              <w:pStyle w:val="14"/>
              <w:spacing w:before="4"/>
              <w:rPr>
                <w:b/>
                <w:sz w:val="21"/>
              </w:rPr>
            </w:pPr>
          </w:p>
          <w:p w14:paraId="607EFB2D">
            <w:pPr>
              <w:pStyle w:val="14"/>
              <w:ind w:left="71" w:right="62"/>
              <w:jc w:val="center"/>
              <w:rPr>
                <w:sz w:val="21"/>
              </w:rPr>
            </w:pPr>
            <w:r>
              <w:rPr>
                <w:sz w:val="21"/>
              </w:rPr>
              <w:t>符合</w:t>
            </w:r>
          </w:p>
        </w:tc>
      </w:tr>
    </w:tbl>
    <w:p w14:paraId="72347E5D">
      <w:pPr>
        <w:spacing w:after="0"/>
        <w:jc w:val="center"/>
        <w:rPr>
          <w:sz w:val="21"/>
        </w:rPr>
        <w:sectPr>
          <w:headerReference r:id="rId9" w:type="default"/>
          <w:footerReference r:id="rId10" w:type="default"/>
          <w:pgSz w:w="16840" w:h="11910" w:orient="landscape"/>
          <w:pgMar w:top="1180" w:right="1220" w:bottom="1400" w:left="1220" w:header="878" w:footer="1204" w:gutter="0"/>
          <w:pgNumType w:start="7"/>
          <w:cols w:space="720" w:num="1"/>
        </w:sectPr>
      </w:pPr>
    </w:p>
    <w:p w14:paraId="469EB289">
      <w:pPr>
        <w:pStyle w:val="7"/>
        <w:rPr>
          <w:b/>
          <w:sz w:val="20"/>
        </w:rPr>
      </w:pPr>
    </w:p>
    <w:p w14:paraId="401914A9">
      <w:pPr>
        <w:pStyle w:val="7"/>
        <w:spacing w:before="4"/>
        <w:rPr>
          <w:b/>
          <w:sz w:val="28"/>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785"/>
        <w:gridCol w:w="8431"/>
        <w:gridCol w:w="3597"/>
        <w:gridCol w:w="882"/>
      </w:tblGrid>
      <w:tr w14:paraId="6EE05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0" w:hRule="atLeast"/>
        </w:trPr>
        <w:tc>
          <w:tcPr>
            <w:tcW w:w="479" w:type="dxa"/>
          </w:tcPr>
          <w:p w14:paraId="59A9BAEA">
            <w:pPr>
              <w:pStyle w:val="14"/>
              <w:rPr>
                <w:rFonts w:ascii="Times New Roman"/>
                <w:sz w:val="20"/>
              </w:rPr>
            </w:pPr>
          </w:p>
        </w:tc>
        <w:tc>
          <w:tcPr>
            <w:tcW w:w="785" w:type="dxa"/>
          </w:tcPr>
          <w:p w14:paraId="377184CC">
            <w:pPr>
              <w:pStyle w:val="14"/>
              <w:rPr>
                <w:rFonts w:ascii="Times New Roman"/>
                <w:sz w:val="20"/>
              </w:rPr>
            </w:pPr>
          </w:p>
        </w:tc>
        <w:tc>
          <w:tcPr>
            <w:tcW w:w="8431" w:type="dxa"/>
          </w:tcPr>
          <w:p w14:paraId="68BB516B">
            <w:pPr>
              <w:pStyle w:val="14"/>
              <w:spacing w:before="2" w:line="242" w:lineRule="auto"/>
              <w:ind w:left="108" w:right="97"/>
              <w:jc w:val="both"/>
              <w:rPr>
                <w:sz w:val="21"/>
              </w:rPr>
            </w:pPr>
            <w:r>
              <w:rPr>
                <w:sz w:val="21"/>
              </w:rPr>
              <w:t>养殖场（小区）根据污染治理需要，配套建设畜禽粪污贮存、处理、利用设施，落实“种养结合，以地定畜”要求，推动就地就近消纳利用畜禽养殖废弃物；鼓励第三方处理企业开展畜禽粪污专业化集中处理</w:t>
            </w:r>
          </w:p>
          <w:p w14:paraId="3875835E">
            <w:pPr>
              <w:pStyle w:val="14"/>
              <w:numPr>
                <w:ilvl w:val="1"/>
                <w:numId w:val="7"/>
              </w:numPr>
              <w:tabs>
                <w:tab w:val="left" w:pos="416"/>
              </w:tabs>
              <w:spacing w:before="0" w:after="0" w:line="242" w:lineRule="auto"/>
              <w:ind w:left="108" w:right="97" w:firstLine="0"/>
              <w:jc w:val="both"/>
              <w:rPr>
                <w:sz w:val="21"/>
              </w:rPr>
            </w:pPr>
            <w:r>
              <w:rPr>
                <w:spacing w:val="1"/>
                <w:sz w:val="21"/>
              </w:rPr>
              <w:t>控制农业面源污染。全面贯彻落实“一控两减三基本”行动，加强肥料、农药包装废弃物回收处理试点与推广应用，建立健全废弃农膜回收贮运和综合利用网络</w:t>
            </w:r>
          </w:p>
          <w:p w14:paraId="370779EA">
            <w:pPr>
              <w:pStyle w:val="14"/>
              <w:numPr>
                <w:ilvl w:val="1"/>
                <w:numId w:val="7"/>
              </w:numPr>
              <w:tabs>
                <w:tab w:val="left" w:pos="416"/>
              </w:tabs>
              <w:spacing w:before="2" w:after="0" w:line="242" w:lineRule="auto"/>
              <w:ind w:left="108" w:right="97" w:firstLine="0"/>
              <w:jc w:val="both"/>
              <w:rPr>
                <w:sz w:val="21"/>
              </w:rPr>
            </w:pPr>
            <w:r>
              <w:rPr>
                <w:spacing w:val="1"/>
                <w:sz w:val="21"/>
              </w:rPr>
              <w:t>强化枯水期环境监管，在枯水期对重点断面、重点污染源、饮用水水源地进行加密监测，强化区域环境风险隐患排查整治</w:t>
            </w:r>
          </w:p>
          <w:p w14:paraId="3315B162">
            <w:pPr>
              <w:pStyle w:val="14"/>
              <w:numPr>
                <w:ilvl w:val="1"/>
                <w:numId w:val="7"/>
              </w:numPr>
              <w:tabs>
                <w:tab w:val="left" w:pos="421"/>
              </w:tabs>
              <w:spacing w:before="1" w:after="0" w:line="240" w:lineRule="auto"/>
              <w:ind w:left="420" w:right="0" w:hanging="312"/>
              <w:jc w:val="left"/>
              <w:rPr>
                <w:sz w:val="21"/>
              </w:rPr>
            </w:pPr>
            <w:r>
              <w:rPr>
                <w:spacing w:val="7"/>
                <w:sz w:val="21"/>
              </w:rPr>
              <w:t>深入推动落实河（</w:t>
            </w:r>
            <w:r>
              <w:rPr>
                <w:spacing w:val="10"/>
                <w:sz w:val="21"/>
              </w:rPr>
              <w:t>湖）</w:t>
            </w:r>
            <w:r>
              <w:rPr>
                <w:spacing w:val="6"/>
                <w:sz w:val="21"/>
              </w:rPr>
              <w:t>长制，加强河湖巡查，及时发现、解决有关问题；巩固河湖</w:t>
            </w:r>
          </w:p>
          <w:p w14:paraId="5B7BA2C7">
            <w:pPr>
              <w:pStyle w:val="14"/>
              <w:spacing w:before="2" w:line="244" w:lineRule="auto"/>
              <w:ind w:left="108" w:right="97"/>
              <w:jc w:val="both"/>
              <w:rPr>
                <w:sz w:val="21"/>
              </w:rPr>
            </w:pPr>
            <w:r>
              <w:rPr>
                <w:sz w:val="21"/>
              </w:rPr>
              <w:t>“清四乱”成效，推动清理整治重点向中小河流、农村河湖延伸，将国控断面水质控制目标、饮用水水源保护纳入河（湖）长制考核体系</w:t>
            </w:r>
          </w:p>
          <w:p w14:paraId="75F50BDE">
            <w:pPr>
              <w:pStyle w:val="14"/>
              <w:numPr>
                <w:ilvl w:val="1"/>
                <w:numId w:val="7"/>
              </w:numPr>
              <w:tabs>
                <w:tab w:val="left" w:pos="416"/>
              </w:tabs>
              <w:spacing w:before="0" w:after="0" w:line="265" w:lineRule="exact"/>
              <w:ind w:left="108" w:right="0" w:firstLine="0"/>
              <w:jc w:val="left"/>
              <w:rPr>
                <w:sz w:val="21"/>
              </w:rPr>
            </w:pPr>
            <w:r>
              <w:rPr>
                <w:spacing w:val="1"/>
                <w:sz w:val="21"/>
              </w:rPr>
              <w:t>建立涵盖基础信息、实时水量水质数据等在内的河湖库管理信息平台，河湖管护联合</w:t>
            </w:r>
          </w:p>
          <w:p w14:paraId="2F19ADCB">
            <w:pPr>
              <w:pStyle w:val="14"/>
              <w:spacing w:before="4" w:line="270" w:lineRule="atLeast"/>
              <w:ind w:left="108" w:right="97"/>
              <w:jc w:val="both"/>
              <w:rPr>
                <w:sz w:val="21"/>
              </w:rPr>
            </w:pPr>
            <w:r>
              <w:rPr>
                <w:spacing w:val="-3"/>
                <w:sz w:val="21"/>
              </w:rPr>
              <w:t>执法机制逐步形成， 在东洞庭湖、新墙河、铁山水库等重要河湖干流及主要支流建立基于水质水量考核的流域生态补偿机制</w:t>
            </w:r>
          </w:p>
        </w:tc>
        <w:tc>
          <w:tcPr>
            <w:tcW w:w="3597" w:type="dxa"/>
          </w:tcPr>
          <w:p w14:paraId="0E34E4FE">
            <w:pPr>
              <w:pStyle w:val="14"/>
              <w:rPr>
                <w:rFonts w:ascii="Times New Roman"/>
                <w:sz w:val="20"/>
              </w:rPr>
            </w:pPr>
          </w:p>
        </w:tc>
        <w:tc>
          <w:tcPr>
            <w:tcW w:w="882" w:type="dxa"/>
          </w:tcPr>
          <w:p w14:paraId="10B2047C">
            <w:pPr>
              <w:pStyle w:val="14"/>
              <w:rPr>
                <w:rFonts w:ascii="Times New Roman"/>
                <w:sz w:val="20"/>
              </w:rPr>
            </w:pPr>
          </w:p>
        </w:tc>
      </w:tr>
      <w:tr w14:paraId="2ED22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479" w:type="dxa"/>
          </w:tcPr>
          <w:p w14:paraId="4D0E532D">
            <w:pPr>
              <w:pStyle w:val="14"/>
              <w:rPr>
                <w:b/>
                <w:sz w:val="22"/>
              </w:rPr>
            </w:pPr>
          </w:p>
          <w:p w14:paraId="13A5B56A">
            <w:pPr>
              <w:pStyle w:val="14"/>
              <w:rPr>
                <w:b/>
                <w:sz w:val="22"/>
              </w:rPr>
            </w:pPr>
          </w:p>
          <w:p w14:paraId="6254DDE1">
            <w:pPr>
              <w:pStyle w:val="14"/>
              <w:rPr>
                <w:b/>
                <w:sz w:val="22"/>
              </w:rPr>
            </w:pPr>
          </w:p>
          <w:p w14:paraId="0867BBFC">
            <w:pPr>
              <w:pStyle w:val="14"/>
              <w:rPr>
                <w:b/>
                <w:sz w:val="22"/>
              </w:rPr>
            </w:pPr>
          </w:p>
          <w:p w14:paraId="1F63D8ED">
            <w:pPr>
              <w:pStyle w:val="14"/>
              <w:rPr>
                <w:b/>
                <w:sz w:val="22"/>
              </w:rPr>
            </w:pPr>
          </w:p>
          <w:p w14:paraId="055515BD">
            <w:pPr>
              <w:pStyle w:val="14"/>
              <w:spacing w:before="9"/>
              <w:rPr>
                <w:b/>
                <w:sz w:val="18"/>
              </w:rPr>
            </w:pPr>
          </w:p>
          <w:p w14:paraId="482BA605">
            <w:pPr>
              <w:pStyle w:val="14"/>
              <w:spacing w:before="1"/>
              <w:ind w:left="9"/>
              <w:jc w:val="center"/>
              <w:rPr>
                <w:rFonts w:ascii="Times New Roman"/>
                <w:sz w:val="21"/>
              </w:rPr>
            </w:pPr>
            <w:r>
              <w:rPr>
                <w:rFonts w:ascii="Times New Roman"/>
                <w:w w:val="99"/>
                <w:sz w:val="21"/>
              </w:rPr>
              <w:t>5</w:t>
            </w:r>
          </w:p>
        </w:tc>
        <w:tc>
          <w:tcPr>
            <w:tcW w:w="785" w:type="dxa"/>
          </w:tcPr>
          <w:p w14:paraId="4AC6E61D">
            <w:pPr>
              <w:pStyle w:val="14"/>
              <w:rPr>
                <w:b/>
                <w:sz w:val="20"/>
              </w:rPr>
            </w:pPr>
          </w:p>
          <w:p w14:paraId="467840B3">
            <w:pPr>
              <w:pStyle w:val="14"/>
              <w:rPr>
                <w:b/>
                <w:sz w:val="20"/>
              </w:rPr>
            </w:pPr>
          </w:p>
          <w:p w14:paraId="015E8577">
            <w:pPr>
              <w:pStyle w:val="14"/>
              <w:rPr>
                <w:b/>
                <w:sz w:val="20"/>
              </w:rPr>
            </w:pPr>
          </w:p>
          <w:p w14:paraId="107078E7">
            <w:pPr>
              <w:pStyle w:val="14"/>
              <w:rPr>
                <w:b/>
                <w:sz w:val="20"/>
              </w:rPr>
            </w:pPr>
          </w:p>
          <w:p w14:paraId="656E3B4F">
            <w:pPr>
              <w:pStyle w:val="14"/>
              <w:spacing w:before="8"/>
              <w:rPr>
                <w:b/>
                <w:sz w:val="15"/>
              </w:rPr>
            </w:pPr>
          </w:p>
          <w:p w14:paraId="458A0DCD">
            <w:pPr>
              <w:pStyle w:val="14"/>
              <w:spacing w:line="242" w:lineRule="auto"/>
              <w:ind w:left="180" w:right="174"/>
              <w:jc w:val="both"/>
              <w:rPr>
                <w:sz w:val="21"/>
              </w:rPr>
            </w:pPr>
            <w:r>
              <w:rPr>
                <w:w w:val="95"/>
                <w:sz w:val="21"/>
              </w:rPr>
              <w:t>资源开发效率要求</w:t>
            </w:r>
          </w:p>
        </w:tc>
        <w:tc>
          <w:tcPr>
            <w:tcW w:w="8431" w:type="dxa"/>
          </w:tcPr>
          <w:p w14:paraId="1DFC2937">
            <w:pPr>
              <w:pStyle w:val="14"/>
              <w:numPr>
                <w:ilvl w:val="1"/>
                <w:numId w:val="8"/>
              </w:numPr>
              <w:tabs>
                <w:tab w:val="left" w:pos="416"/>
              </w:tabs>
              <w:spacing w:before="1" w:after="0" w:line="242" w:lineRule="auto"/>
              <w:ind w:left="108" w:right="97" w:firstLine="0"/>
              <w:jc w:val="both"/>
              <w:rPr>
                <w:sz w:val="21"/>
              </w:rPr>
            </w:pPr>
            <w:r>
              <w:rPr>
                <w:spacing w:val="1"/>
                <w:sz w:val="21"/>
              </w:rPr>
              <w:t>对取用水总量接近控制指标的地区，限制审批建设项目新增取水许可；已达到或超过控制指标的地区，暂停审批建设项目新增取水许可；划定全县地下水禁采区、限采区和地面沉降控制区范围，严格控制开采深层承压水，地热水、矿泉水开发应严格实行取水许可和采矿许可</w:t>
            </w:r>
          </w:p>
          <w:p w14:paraId="23874FA4">
            <w:pPr>
              <w:pStyle w:val="14"/>
              <w:numPr>
                <w:ilvl w:val="1"/>
                <w:numId w:val="8"/>
              </w:numPr>
              <w:tabs>
                <w:tab w:val="left" w:pos="414"/>
              </w:tabs>
              <w:spacing w:before="3" w:after="0" w:line="242" w:lineRule="auto"/>
              <w:ind w:left="108" w:right="97" w:firstLine="0"/>
              <w:jc w:val="left"/>
              <w:rPr>
                <w:sz w:val="21"/>
              </w:rPr>
            </w:pPr>
            <w:r>
              <w:rPr>
                <w:spacing w:val="-2"/>
                <w:sz w:val="21"/>
              </w:rPr>
              <w:t>积极推进农业节水，完成高效节水灌溉年度任务； 推进循环发展，将再生水、雨水、矿井水等非常规水源纳入区域水资源统一配置</w:t>
            </w:r>
          </w:p>
          <w:p w14:paraId="0FE1386A">
            <w:pPr>
              <w:pStyle w:val="14"/>
              <w:numPr>
                <w:ilvl w:val="1"/>
                <w:numId w:val="8"/>
              </w:numPr>
              <w:tabs>
                <w:tab w:val="left" w:pos="416"/>
              </w:tabs>
              <w:spacing w:before="1" w:after="0" w:line="240" w:lineRule="auto"/>
              <w:ind w:left="108" w:right="0" w:firstLine="0"/>
              <w:jc w:val="both"/>
              <w:rPr>
                <w:rFonts w:ascii="Times New Roman" w:eastAsia="Times New Roman"/>
                <w:sz w:val="21"/>
              </w:rPr>
            </w:pPr>
            <w:r>
              <w:rPr>
                <w:spacing w:val="-1"/>
                <w:sz w:val="21"/>
              </w:rPr>
              <w:t xml:space="preserve">水资源：岳阳县万元国内生产总值用水量 </w:t>
            </w:r>
            <w:r>
              <w:rPr>
                <w:rFonts w:ascii="Times New Roman" w:eastAsia="Times New Roman"/>
                <w:sz w:val="21"/>
              </w:rPr>
              <w:t>106m3/</w:t>
            </w:r>
            <w:r>
              <w:rPr>
                <w:spacing w:val="-2"/>
                <w:sz w:val="21"/>
              </w:rPr>
              <w:t xml:space="preserve">万元，万元工业增加值用水量 </w:t>
            </w:r>
            <w:r>
              <w:rPr>
                <w:rFonts w:ascii="Times New Roman" w:eastAsia="Times New Roman"/>
                <w:sz w:val="21"/>
              </w:rPr>
              <w:t>32m3/</w:t>
            </w:r>
          </w:p>
          <w:p w14:paraId="2C515B08">
            <w:pPr>
              <w:pStyle w:val="14"/>
              <w:spacing w:before="2"/>
              <w:ind w:left="108"/>
              <w:jc w:val="both"/>
              <w:rPr>
                <w:rFonts w:ascii="Times New Roman" w:eastAsia="Times New Roman"/>
                <w:sz w:val="21"/>
              </w:rPr>
            </w:pPr>
            <w:r>
              <w:rPr>
                <w:sz w:val="21"/>
              </w:rPr>
              <w:t xml:space="preserve">万元，农田灌溉水有效利用系数 </w:t>
            </w:r>
            <w:r>
              <w:rPr>
                <w:rFonts w:ascii="Times New Roman" w:eastAsia="Times New Roman"/>
                <w:sz w:val="21"/>
              </w:rPr>
              <w:t>0.56</w:t>
            </w:r>
          </w:p>
          <w:p w14:paraId="0F58E2BC">
            <w:pPr>
              <w:pStyle w:val="14"/>
              <w:numPr>
                <w:ilvl w:val="1"/>
                <w:numId w:val="8"/>
              </w:numPr>
              <w:tabs>
                <w:tab w:val="left" w:pos="419"/>
              </w:tabs>
              <w:spacing w:before="2" w:after="0" w:line="240" w:lineRule="auto"/>
              <w:ind w:left="418" w:right="0" w:hanging="310"/>
              <w:jc w:val="both"/>
              <w:rPr>
                <w:rFonts w:ascii="Times New Roman" w:hAnsi="Times New Roman" w:eastAsia="Times New Roman"/>
                <w:sz w:val="21"/>
              </w:rPr>
            </w:pPr>
            <w:r>
              <w:rPr>
                <w:spacing w:val="-7"/>
                <w:sz w:val="21"/>
              </w:rPr>
              <w:t xml:space="preserve">能源： 岳阳县“十三五” 能耗强度降低目标 </w:t>
            </w:r>
            <w:r>
              <w:rPr>
                <w:rFonts w:ascii="Times New Roman" w:hAnsi="Times New Roman" w:eastAsia="Times New Roman"/>
                <w:sz w:val="21"/>
              </w:rPr>
              <w:t>18.5%</w:t>
            </w:r>
            <w:r>
              <w:rPr>
                <w:spacing w:val="-6"/>
                <w:sz w:val="21"/>
              </w:rPr>
              <w:t xml:space="preserve">， “十三五”能耗控制目标 </w:t>
            </w:r>
            <w:r>
              <w:rPr>
                <w:rFonts w:ascii="Times New Roman" w:hAnsi="Times New Roman" w:eastAsia="Times New Roman"/>
                <w:sz w:val="21"/>
              </w:rPr>
              <w:t>17.5</w:t>
            </w:r>
          </w:p>
          <w:p w14:paraId="1AB2D8C2">
            <w:pPr>
              <w:pStyle w:val="14"/>
              <w:spacing w:before="5"/>
              <w:ind w:left="108"/>
              <w:jc w:val="both"/>
              <w:rPr>
                <w:sz w:val="21"/>
              </w:rPr>
            </w:pPr>
            <w:r>
              <w:rPr>
                <w:sz w:val="21"/>
              </w:rPr>
              <w:t>万吨标准煤</w:t>
            </w:r>
          </w:p>
          <w:p w14:paraId="533C96F5">
            <w:pPr>
              <w:pStyle w:val="14"/>
              <w:numPr>
                <w:ilvl w:val="1"/>
                <w:numId w:val="8"/>
              </w:numPr>
              <w:tabs>
                <w:tab w:val="left" w:pos="411"/>
              </w:tabs>
              <w:spacing w:before="2" w:after="0" w:line="240" w:lineRule="auto"/>
              <w:ind w:left="410" w:right="0" w:hanging="302"/>
              <w:jc w:val="both"/>
              <w:rPr>
                <w:sz w:val="21"/>
              </w:rPr>
            </w:pPr>
            <w:r>
              <w:rPr>
                <w:sz w:val="21"/>
              </w:rPr>
              <w:t>土地资源：</w:t>
            </w:r>
          </w:p>
          <w:p w14:paraId="5068BC4C">
            <w:pPr>
              <w:pStyle w:val="14"/>
              <w:spacing w:before="5"/>
              <w:ind w:left="108"/>
              <w:jc w:val="both"/>
              <w:rPr>
                <w:sz w:val="21"/>
              </w:rPr>
            </w:pPr>
            <w:r>
              <w:rPr>
                <w:spacing w:val="-8"/>
                <w:sz w:val="21"/>
              </w:rPr>
              <w:t xml:space="preserve">镇耕地保有量 </w:t>
            </w:r>
            <w:r>
              <w:rPr>
                <w:rFonts w:ascii="Times New Roman" w:eastAsia="Times New Roman"/>
                <w:sz w:val="21"/>
              </w:rPr>
              <w:t xml:space="preserve">5618.31 </w:t>
            </w:r>
            <w:r>
              <w:rPr>
                <w:spacing w:val="-5"/>
                <w:sz w:val="21"/>
              </w:rPr>
              <w:t xml:space="preserve">公顷，基本农田保护面积 </w:t>
            </w:r>
            <w:r>
              <w:rPr>
                <w:rFonts w:ascii="Times New Roman" w:eastAsia="Times New Roman"/>
                <w:sz w:val="21"/>
              </w:rPr>
              <w:t xml:space="preserve">4231.82 </w:t>
            </w:r>
            <w:r>
              <w:rPr>
                <w:spacing w:val="-5"/>
                <w:sz w:val="21"/>
              </w:rPr>
              <w:t xml:space="preserve">公顷。建设用地总规模 </w:t>
            </w:r>
            <w:r>
              <w:rPr>
                <w:rFonts w:ascii="Times New Roman" w:eastAsia="Times New Roman"/>
                <w:sz w:val="21"/>
              </w:rPr>
              <w:t xml:space="preserve">3754.96 </w:t>
            </w:r>
            <w:r>
              <w:rPr>
                <w:sz w:val="21"/>
              </w:rPr>
              <w:t>公</w:t>
            </w:r>
          </w:p>
          <w:p w14:paraId="3BDE1305">
            <w:pPr>
              <w:pStyle w:val="14"/>
              <w:spacing w:before="2" w:line="253" w:lineRule="exact"/>
              <w:ind w:left="108"/>
              <w:jc w:val="both"/>
              <w:rPr>
                <w:sz w:val="21"/>
              </w:rPr>
            </w:pPr>
            <w:r>
              <w:rPr>
                <w:sz w:val="21"/>
              </w:rPr>
              <w:t xml:space="preserve">顷，城乡建设用地规模 </w:t>
            </w:r>
            <w:r>
              <w:rPr>
                <w:rFonts w:ascii="Times New Roman" w:eastAsia="Times New Roman"/>
                <w:sz w:val="21"/>
              </w:rPr>
              <w:t xml:space="preserve">2800.53 </w:t>
            </w:r>
            <w:r>
              <w:rPr>
                <w:sz w:val="21"/>
              </w:rPr>
              <w:t xml:space="preserve">公顷，城镇工矿用地规模 </w:t>
            </w:r>
            <w:r>
              <w:rPr>
                <w:rFonts w:ascii="Times New Roman" w:eastAsia="Times New Roman"/>
                <w:sz w:val="21"/>
              </w:rPr>
              <w:t xml:space="preserve">2077.78 </w:t>
            </w:r>
            <w:r>
              <w:rPr>
                <w:sz w:val="21"/>
              </w:rPr>
              <w:t>公顷。</w:t>
            </w:r>
          </w:p>
        </w:tc>
        <w:tc>
          <w:tcPr>
            <w:tcW w:w="3597" w:type="dxa"/>
          </w:tcPr>
          <w:p w14:paraId="10528000">
            <w:pPr>
              <w:pStyle w:val="14"/>
              <w:rPr>
                <w:b/>
                <w:sz w:val="20"/>
              </w:rPr>
            </w:pPr>
          </w:p>
          <w:p w14:paraId="4B2D93FC">
            <w:pPr>
              <w:pStyle w:val="14"/>
              <w:rPr>
                <w:b/>
                <w:sz w:val="20"/>
              </w:rPr>
            </w:pPr>
          </w:p>
          <w:p w14:paraId="309C58C6">
            <w:pPr>
              <w:pStyle w:val="14"/>
              <w:rPr>
                <w:b/>
                <w:sz w:val="20"/>
              </w:rPr>
            </w:pPr>
          </w:p>
          <w:p w14:paraId="1DB20E20">
            <w:pPr>
              <w:pStyle w:val="14"/>
              <w:spacing w:before="2"/>
              <w:rPr>
                <w:b/>
                <w:sz w:val="25"/>
              </w:rPr>
            </w:pPr>
          </w:p>
          <w:p w14:paraId="130993CB">
            <w:pPr>
              <w:pStyle w:val="14"/>
              <w:spacing w:line="242" w:lineRule="auto"/>
              <w:ind w:left="108" w:right="96"/>
              <w:jc w:val="both"/>
              <w:rPr>
                <w:sz w:val="21"/>
              </w:rPr>
            </w:pPr>
            <w:r>
              <w:rPr>
                <w:sz w:val="21"/>
              </w:rPr>
              <w:t>本项目所在区域均由县城供水，主要能源为电能，项目用地已经县自然资源局审批，本项目设计初期要求进行节水节能设计，后续清洁生产根据相关政策和部门要求进一步推进审核</w:t>
            </w:r>
          </w:p>
        </w:tc>
        <w:tc>
          <w:tcPr>
            <w:tcW w:w="882" w:type="dxa"/>
          </w:tcPr>
          <w:p w14:paraId="73DED6C6">
            <w:pPr>
              <w:pStyle w:val="14"/>
              <w:rPr>
                <w:b/>
                <w:sz w:val="20"/>
              </w:rPr>
            </w:pPr>
          </w:p>
          <w:p w14:paraId="6C455B65">
            <w:pPr>
              <w:pStyle w:val="14"/>
              <w:rPr>
                <w:b/>
                <w:sz w:val="20"/>
              </w:rPr>
            </w:pPr>
          </w:p>
          <w:p w14:paraId="1883B515">
            <w:pPr>
              <w:pStyle w:val="14"/>
              <w:rPr>
                <w:b/>
                <w:sz w:val="20"/>
              </w:rPr>
            </w:pPr>
          </w:p>
          <w:p w14:paraId="5AE72DF5">
            <w:pPr>
              <w:pStyle w:val="14"/>
              <w:rPr>
                <w:b/>
                <w:sz w:val="20"/>
              </w:rPr>
            </w:pPr>
          </w:p>
          <w:p w14:paraId="7F5647A5">
            <w:pPr>
              <w:pStyle w:val="14"/>
              <w:rPr>
                <w:b/>
                <w:sz w:val="20"/>
              </w:rPr>
            </w:pPr>
          </w:p>
          <w:p w14:paraId="739C1349">
            <w:pPr>
              <w:pStyle w:val="14"/>
              <w:spacing w:before="6"/>
              <w:rPr>
                <w:b/>
                <w:sz w:val="27"/>
              </w:rPr>
            </w:pPr>
          </w:p>
          <w:p w14:paraId="750C22E6">
            <w:pPr>
              <w:pStyle w:val="14"/>
              <w:ind w:left="231"/>
              <w:rPr>
                <w:sz w:val="21"/>
              </w:rPr>
            </w:pPr>
            <w:r>
              <w:rPr>
                <w:sz w:val="21"/>
              </w:rPr>
              <w:t>符合</w:t>
            </w:r>
          </w:p>
        </w:tc>
      </w:tr>
    </w:tbl>
    <w:p w14:paraId="358B8C37">
      <w:pPr>
        <w:pStyle w:val="7"/>
        <w:spacing w:before="1"/>
        <w:ind w:left="700"/>
      </w:pPr>
      <w:r>
        <w:t>综上所述，本次建设项目符合所在地管控单位的“三线一单”相关要求。</w:t>
      </w:r>
    </w:p>
    <w:p w14:paraId="5C32D103">
      <w:pPr>
        <w:spacing w:after="0"/>
        <w:sectPr>
          <w:pgSz w:w="16840" w:h="11910" w:orient="landscape"/>
          <w:pgMar w:top="1180" w:right="1220" w:bottom="1400" w:left="1220" w:header="878" w:footer="1204" w:gutter="0"/>
          <w:cols w:space="720" w:num="1"/>
        </w:sectPr>
      </w:pPr>
    </w:p>
    <w:p w14:paraId="2C16AFFD">
      <w:pPr>
        <w:spacing w:before="55" w:after="19"/>
        <w:ind w:left="1403" w:right="0" w:firstLine="0"/>
        <w:jc w:val="left"/>
        <w:rPr>
          <w:sz w:val="18"/>
        </w:rPr>
      </w:pPr>
      <w:r>
        <w:rPr>
          <w:sz w:val="18"/>
        </w:rPr>
        <w:t>岳阳县惠康农业有限公司岳阳县畜禽屠宰场及冷链物流建设项目环境影响报告书</w:t>
      </w:r>
    </w:p>
    <w:p w14:paraId="0EA7A0DC">
      <w:pPr>
        <w:pStyle w:val="7"/>
        <w:spacing w:line="20" w:lineRule="exact"/>
        <w:ind w:left="212"/>
        <w:rPr>
          <w:sz w:val="2"/>
        </w:rPr>
      </w:pPr>
      <w:r>
        <w:rPr>
          <w:sz w:val="2"/>
        </w:rPr>
        <w:pict>
          <v:group id="_x0000_s1182" o:spid="_x0000_s1182" o:spt="203" style="height:0.75pt;width:415.3pt;" coordsize="8306,15">
            <o:lock v:ext="edit"/>
            <v:line id="_x0000_s1183" o:spid="_x0000_s1183" o:spt="20" style="position:absolute;left:0;top:7;height:0;width:8306;" stroked="t" coordsize="21600,21600">
              <v:path arrowok="t"/>
              <v:fill focussize="0,0"/>
              <v:stroke weight="0.72pt" color="#000000"/>
              <v:imagedata o:title=""/>
              <o:lock v:ext="edit"/>
            </v:line>
            <w10:wrap type="none"/>
            <w10:anchorlock/>
          </v:group>
        </w:pict>
      </w:r>
    </w:p>
    <w:p w14:paraId="4271DC8A">
      <w:pPr>
        <w:pStyle w:val="7"/>
        <w:rPr>
          <w:sz w:val="19"/>
        </w:rPr>
      </w:pPr>
    </w:p>
    <w:p w14:paraId="3711AF52">
      <w:pPr>
        <w:pStyle w:val="6"/>
        <w:numPr>
          <w:ilvl w:val="2"/>
          <w:numId w:val="4"/>
        </w:numPr>
        <w:tabs>
          <w:tab w:val="left" w:pos="760"/>
        </w:tabs>
        <w:spacing w:before="74" w:after="0" w:line="240" w:lineRule="auto"/>
        <w:ind w:left="760" w:right="0" w:hanging="540"/>
        <w:jc w:val="left"/>
      </w:pPr>
      <w:bookmarkStart w:id="19" w:name="1.3.5 与《生猪屠宰管理条例》符合性分析"/>
      <w:bookmarkEnd w:id="19"/>
      <w:bookmarkStart w:id="20" w:name="1.3.5 与《生猪屠宰管理条例》符合性分析"/>
      <w:bookmarkEnd w:id="20"/>
      <w:r>
        <w:t>与《生猪屠宰管理条例》符合性分析</w:t>
      </w:r>
    </w:p>
    <w:p w14:paraId="5B7534AB">
      <w:pPr>
        <w:pStyle w:val="7"/>
        <w:spacing w:before="161"/>
        <w:ind w:left="700"/>
      </w:pPr>
      <w:r>
        <w:t xml:space="preserve">根据《生猪屠宰管理条例》（中华人民共和国国务院令第 </w:t>
      </w:r>
      <w:r>
        <w:rPr>
          <w:rFonts w:ascii="Times New Roman" w:eastAsia="Times New Roman"/>
        </w:rPr>
        <w:t xml:space="preserve">742 </w:t>
      </w:r>
      <w:r>
        <w:t>号）</w:t>
      </w:r>
      <w:r>
        <w:rPr>
          <w:rFonts w:ascii="Times New Roman" w:eastAsia="Times New Roman"/>
        </w:rPr>
        <w:t xml:space="preserve">2021 </w:t>
      </w:r>
      <w:r>
        <w:t>年</w:t>
      </w:r>
    </w:p>
    <w:p w14:paraId="79753301">
      <w:pPr>
        <w:pStyle w:val="7"/>
        <w:spacing w:before="158" w:line="364" w:lineRule="auto"/>
        <w:ind w:left="220" w:right="220"/>
      </w:pPr>
      <w:r>
        <w:rPr>
          <w:rFonts w:ascii="Times New Roman" w:eastAsia="Times New Roman"/>
        </w:rPr>
        <w:t xml:space="preserve">6 </w:t>
      </w:r>
      <w:r>
        <w:rPr>
          <w:spacing w:val="-26"/>
        </w:rPr>
        <w:t xml:space="preserve">月 </w:t>
      </w:r>
      <w:r>
        <w:rPr>
          <w:rFonts w:ascii="Times New Roman" w:eastAsia="Times New Roman"/>
        </w:rPr>
        <w:t xml:space="preserve">25 </w:t>
      </w:r>
      <w:r>
        <w:rPr>
          <w:spacing w:val="0"/>
        </w:rPr>
        <w:t xml:space="preserve">日中华人民共和国国务院令第 </w:t>
      </w:r>
      <w:r>
        <w:rPr>
          <w:rFonts w:ascii="Times New Roman" w:eastAsia="Times New Roman"/>
        </w:rPr>
        <w:t xml:space="preserve">742 </w:t>
      </w:r>
      <w:r>
        <w:rPr>
          <w:spacing w:val="5"/>
        </w:rPr>
        <w:t>号第四次修订，</w:t>
      </w:r>
      <w:r>
        <w:rPr>
          <w:rFonts w:ascii="Times New Roman" w:eastAsia="Times New Roman"/>
        </w:rPr>
        <w:t xml:space="preserve">2021 </w:t>
      </w:r>
      <w:r>
        <w:rPr>
          <w:spacing w:val="-26"/>
        </w:rPr>
        <w:t xml:space="preserve">年 </w:t>
      </w:r>
      <w:r>
        <w:rPr>
          <w:rFonts w:ascii="Times New Roman" w:eastAsia="Times New Roman"/>
        </w:rPr>
        <w:t xml:space="preserve">6 </w:t>
      </w:r>
      <w:r>
        <w:rPr>
          <w:spacing w:val="-25"/>
        </w:rPr>
        <w:t xml:space="preserve">月 </w:t>
      </w:r>
      <w:r>
        <w:rPr>
          <w:rFonts w:ascii="Times New Roman" w:eastAsia="Times New Roman"/>
        </w:rPr>
        <w:t xml:space="preserve">25 </w:t>
      </w:r>
      <w:r>
        <w:rPr>
          <w:spacing w:val="2"/>
        </w:rPr>
        <w:t>日实施，本此评价选取对建设有要求的条款进行相符性分析详见下表。</w:t>
      </w:r>
    </w:p>
    <w:p w14:paraId="3697CA4E">
      <w:pPr>
        <w:spacing w:before="0" w:after="4" w:line="267" w:lineRule="exact"/>
        <w:ind w:left="1386" w:right="0" w:firstLine="0"/>
        <w:jc w:val="left"/>
        <w:rPr>
          <w:b/>
          <w:sz w:val="21"/>
        </w:rPr>
      </w:pPr>
      <w:r>
        <w:rPr>
          <w:b/>
          <w:spacing w:val="-26"/>
          <w:sz w:val="21"/>
        </w:rPr>
        <w:t xml:space="preserve">表 </w:t>
      </w:r>
      <w:r>
        <w:rPr>
          <w:rFonts w:ascii="Times New Roman" w:eastAsia="Times New Roman"/>
          <w:b/>
          <w:sz w:val="21"/>
        </w:rPr>
        <w:t>1.3-3</w:t>
      </w:r>
      <w:r>
        <w:rPr>
          <w:rFonts w:ascii="Times New Roman" w:eastAsia="Times New Roman"/>
          <w:b/>
          <w:spacing w:val="51"/>
          <w:sz w:val="21"/>
        </w:rPr>
        <w:t xml:space="preserve"> </w:t>
      </w:r>
      <w:r>
        <w:rPr>
          <w:b/>
          <w:spacing w:val="-8"/>
          <w:sz w:val="21"/>
        </w:rPr>
        <w:t>项目与《生猪屠宰管理条例》</w:t>
      </w:r>
      <w:r>
        <w:rPr>
          <w:b/>
          <w:sz w:val="21"/>
        </w:rPr>
        <w:t>（节选）符合性一览表分析</w:t>
      </w: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5"/>
        <w:gridCol w:w="3758"/>
        <w:gridCol w:w="3044"/>
        <w:gridCol w:w="455"/>
      </w:tblGrid>
      <w:tr w14:paraId="0F545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65" w:type="dxa"/>
          </w:tcPr>
          <w:p w14:paraId="25976AC2">
            <w:pPr>
              <w:pStyle w:val="14"/>
              <w:rPr>
                <w:b/>
                <w:sz w:val="18"/>
              </w:rPr>
            </w:pPr>
          </w:p>
          <w:p w14:paraId="5E1F5141">
            <w:pPr>
              <w:pStyle w:val="14"/>
              <w:ind w:left="419"/>
              <w:rPr>
                <w:b/>
                <w:sz w:val="21"/>
              </w:rPr>
            </w:pPr>
            <w:r>
              <w:rPr>
                <w:b/>
                <w:sz w:val="21"/>
              </w:rPr>
              <w:t>文件</w:t>
            </w:r>
          </w:p>
        </w:tc>
        <w:tc>
          <w:tcPr>
            <w:tcW w:w="3758" w:type="dxa"/>
          </w:tcPr>
          <w:p w14:paraId="337752F7">
            <w:pPr>
              <w:pStyle w:val="14"/>
              <w:rPr>
                <w:b/>
                <w:sz w:val="18"/>
              </w:rPr>
            </w:pPr>
          </w:p>
          <w:p w14:paraId="224FAF57">
            <w:pPr>
              <w:pStyle w:val="14"/>
              <w:ind w:left="1646" w:right="1639"/>
              <w:jc w:val="center"/>
              <w:rPr>
                <w:b/>
                <w:sz w:val="21"/>
              </w:rPr>
            </w:pPr>
            <w:r>
              <w:rPr>
                <w:b/>
                <w:sz w:val="21"/>
              </w:rPr>
              <w:t>规定</w:t>
            </w:r>
          </w:p>
        </w:tc>
        <w:tc>
          <w:tcPr>
            <w:tcW w:w="3044" w:type="dxa"/>
          </w:tcPr>
          <w:p w14:paraId="4BB28FDA">
            <w:pPr>
              <w:pStyle w:val="14"/>
              <w:rPr>
                <w:b/>
                <w:sz w:val="18"/>
              </w:rPr>
            </w:pPr>
          </w:p>
          <w:p w14:paraId="0CB32169">
            <w:pPr>
              <w:pStyle w:val="14"/>
              <w:ind w:left="1078" w:right="1072"/>
              <w:jc w:val="center"/>
              <w:rPr>
                <w:b/>
                <w:sz w:val="21"/>
              </w:rPr>
            </w:pPr>
            <w:r>
              <w:rPr>
                <w:b/>
                <w:sz w:val="21"/>
              </w:rPr>
              <w:t>项目情况</w:t>
            </w:r>
          </w:p>
        </w:tc>
        <w:tc>
          <w:tcPr>
            <w:tcW w:w="455" w:type="dxa"/>
          </w:tcPr>
          <w:p w14:paraId="228D62D5">
            <w:pPr>
              <w:pStyle w:val="14"/>
              <w:spacing w:before="60"/>
              <w:ind w:left="121"/>
              <w:rPr>
                <w:b/>
                <w:sz w:val="21"/>
              </w:rPr>
            </w:pPr>
            <w:r>
              <w:rPr>
                <w:b/>
                <w:w w:val="99"/>
                <w:sz w:val="21"/>
              </w:rPr>
              <w:t>判</w:t>
            </w:r>
          </w:p>
          <w:p w14:paraId="20303813">
            <w:pPr>
              <w:pStyle w:val="14"/>
              <w:spacing w:before="72" w:line="259" w:lineRule="exact"/>
              <w:ind w:left="121"/>
              <w:rPr>
                <w:b/>
                <w:sz w:val="21"/>
              </w:rPr>
            </w:pPr>
            <w:r>
              <w:rPr>
                <w:b/>
                <w:w w:val="99"/>
                <w:sz w:val="21"/>
              </w:rPr>
              <w:t>定</w:t>
            </w:r>
          </w:p>
        </w:tc>
      </w:tr>
      <w:tr w14:paraId="296F1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0" w:hRule="atLeast"/>
        </w:trPr>
        <w:tc>
          <w:tcPr>
            <w:tcW w:w="1265" w:type="dxa"/>
            <w:vMerge w:val="restart"/>
          </w:tcPr>
          <w:p w14:paraId="42256BD9">
            <w:pPr>
              <w:pStyle w:val="14"/>
              <w:rPr>
                <w:b/>
                <w:sz w:val="20"/>
              </w:rPr>
            </w:pPr>
          </w:p>
          <w:p w14:paraId="07FF9719">
            <w:pPr>
              <w:pStyle w:val="14"/>
              <w:rPr>
                <w:b/>
                <w:sz w:val="20"/>
              </w:rPr>
            </w:pPr>
          </w:p>
          <w:p w14:paraId="359F6E89">
            <w:pPr>
              <w:pStyle w:val="14"/>
              <w:rPr>
                <w:b/>
                <w:sz w:val="20"/>
              </w:rPr>
            </w:pPr>
          </w:p>
          <w:p w14:paraId="18884762">
            <w:pPr>
              <w:pStyle w:val="14"/>
              <w:rPr>
                <w:b/>
                <w:sz w:val="20"/>
              </w:rPr>
            </w:pPr>
          </w:p>
          <w:p w14:paraId="6B524B9C">
            <w:pPr>
              <w:pStyle w:val="14"/>
              <w:rPr>
                <w:b/>
                <w:sz w:val="20"/>
              </w:rPr>
            </w:pPr>
          </w:p>
          <w:p w14:paraId="3AA6A0B6">
            <w:pPr>
              <w:pStyle w:val="14"/>
              <w:rPr>
                <w:b/>
                <w:sz w:val="20"/>
              </w:rPr>
            </w:pPr>
          </w:p>
          <w:p w14:paraId="102119F3">
            <w:pPr>
              <w:pStyle w:val="14"/>
              <w:rPr>
                <w:b/>
                <w:sz w:val="20"/>
              </w:rPr>
            </w:pPr>
          </w:p>
          <w:p w14:paraId="307A547A">
            <w:pPr>
              <w:pStyle w:val="14"/>
              <w:rPr>
                <w:b/>
                <w:sz w:val="20"/>
              </w:rPr>
            </w:pPr>
          </w:p>
          <w:p w14:paraId="029063B4">
            <w:pPr>
              <w:pStyle w:val="14"/>
              <w:rPr>
                <w:b/>
                <w:sz w:val="20"/>
              </w:rPr>
            </w:pPr>
          </w:p>
          <w:p w14:paraId="0814BAF8">
            <w:pPr>
              <w:pStyle w:val="14"/>
              <w:rPr>
                <w:b/>
                <w:sz w:val="20"/>
              </w:rPr>
            </w:pPr>
          </w:p>
          <w:p w14:paraId="4140B114">
            <w:pPr>
              <w:pStyle w:val="14"/>
              <w:rPr>
                <w:b/>
                <w:sz w:val="20"/>
              </w:rPr>
            </w:pPr>
          </w:p>
          <w:p w14:paraId="6E1B67F5">
            <w:pPr>
              <w:pStyle w:val="14"/>
              <w:rPr>
                <w:b/>
                <w:sz w:val="20"/>
              </w:rPr>
            </w:pPr>
          </w:p>
          <w:p w14:paraId="3CEE5153">
            <w:pPr>
              <w:pStyle w:val="14"/>
              <w:rPr>
                <w:b/>
                <w:sz w:val="20"/>
              </w:rPr>
            </w:pPr>
          </w:p>
          <w:p w14:paraId="55C1E0C1">
            <w:pPr>
              <w:pStyle w:val="14"/>
              <w:rPr>
                <w:b/>
                <w:sz w:val="20"/>
              </w:rPr>
            </w:pPr>
          </w:p>
          <w:p w14:paraId="29F3F2D8">
            <w:pPr>
              <w:pStyle w:val="14"/>
              <w:rPr>
                <w:b/>
                <w:sz w:val="20"/>
              </w:rPr>
            </w:pPr>
          </w:p>
          <w:p w14:paraId="41D6AFCB">
            <w:pPr>
              <w:pStyle w:val="14"/>
              <w:rPr>
                <w:b/>
                <w:sz w:val="20"/>
              </w:rPr>
            </w:pPr>
          </w:p>
          <w:p w14:paraId="4A3CC756">
            <w:pPr>
              <w:pStyle w:val="14"/>
              <w:spacing w:before="3"/>
              <w:rPr>
                <w:b/>
                <w:sz w:val="17"/>
              </w:rPr>
            </w:pPr>
          </w:p>
          <w:p w14:paraId="19BFE293">
            <w:pPr>
              <w:pStyle w:val="14"/>
              <w:spacing w:line="302" w:lineRule="auto"/>
              <w:ind w:left="210" w:right="204"/>
              <w:jc w:val="center"/>
              <w:rPr>
                <w:sz w:val="21"/>
              </w:rPr>
            </w:pPr>
            <w:r>
              <w:rPr>
                <w:w w:val="95"/>
                <w:sz w:val="21"/>
              </w:rPr>
              <w:t>生猪屠宰管理条例</w:t>
            </w:r>
          </w:p>
          <w:p w14:paraId="4AF627D8">
            <w:pPr>
              <w:pStyle w:val="14"/>
              <w:spacing w:before="2" w:line="302" w:lineRule="auto"/>
              <w:ind w:left="168" w:right="157"/>
              <w:jc w:val="center"/>
              <w:rPr>
                <w:sz w:val="21"/>
              </w:rPr>
            </w:pPr>
            <w:r>
              <w:rPr>
                <w:sz w:val="21"/>
              </w:rPr>
              <w:t>（</w:t>
            </w:r>
            <w:r>
              <w:rPr>
                <w:rFonts w:ascii="Times New Roman" w:eastAsia="Times New Roman"/>
                <w:sz w:val="21"/>
              </w:rPr>
              <w:t xml:space="preserve">2021 </w:t>
            </w:r>
            <w:r>
              <w:rPr>
                <w:sz w:val="21"/>
              </w:rPr>
              <w:t>年第四次修订）</w:t>
            </w:r>
          </w:p>
        </w:tc>
        <w:tc>
          <w:tcPr>
            <w:tcW w:w="3758" w:type="dxa"/>
          </w:tcPr>
          <w:p w14:paraId="5C500E94">
            <w:pPr>
              <w:pStyle w:val="14"/>
              <w:rPr>
                <w:b/>
                <w:sz w:val="20"/>
              </w:rPr>
            </w:pPr>
          </w:p>
          <w:p w14:paraId="0BF3E10A">
            <w:pPr>
              <w:pStyle w:val="14"/>
              <w:spacing w:before="143" w:line="304" w:lineRule="auto"/>
              <w:ind w:left="107" w:right="98"/>
              <w:jc w:val="both"/>
              <w:rPr>
                <w:sz w:val="21"/>
              </w:rPr>
            </w:pPr>
            <w:r>
              <w:rPr>
                <w:b/>
                <w:sz w:val="21"/>
              </w:rPr>
              <w:t>第十一条</w:t>
            </w:r>
            <w:r>
              <w:rPr>
                <w:sz w:val="21"/>
              </w:rPr>
              <w:t>生猪定点屠宰厂（场）应当具备下列条件：</w:t>
            </w:r>
          </w:p>
          <w:p w14:paraId="3CF73BAE">
            <w:pPr>
              <w:pStyle w:val="14"/>
              <w:spacing w:line="302" w:lineRule="auto"/>
              <w:ind w:left="107" w:right="98"/>
              <w:jc w:val="both"/>
              <w:rPr>
                <w:sz w:val="21"/>
              </w:rPr>
            </w:pPr>
            <w:r>
              <w:rPr>
                <w:sz w:val="21"/>
              </w:rPr>
              <w:t>（一）有与屠宰规模相适应、水质符合国家规定标准的水源条件；</w:t>
            </w:r>
          </w:p>
          <w:p w14:paraId="629DDF1B">
            <w:pPr>
              <w:pStyle w:val="14"/>
              <w:spacing w:line="302" w:lineRule="auto"/>
              <w:ind w:left="107" w:right="98"/>
              <w:jc w:val="both"/>
              <w:rPr>
                <w:sz w:val="21"/>
              </w:rPr>
            </w:pPr>
            <w:r>
              <w:rPr>
                <w:sz w:val="21"/>
              </w:rPr>
              <w:t>（ 二） 有符合国家规定要求的待宰间、屠宰间、急宰间、检验室以及生猪屠宰设备和运载工具；</w:t>
            </w:r>
          </w:p>
          <w:p w14:paraId="2FD6DD54">
            <w:pPr>
              <w:pStyle w:val="14"/>
              <w:spacing w:before="3" w:line="304" w:lineRule="auto"/>
              <w:ind w:left="107" w:right="98"/>
              <w:jc w:val="both"/>
              <w:rPr>
                <w:sz w:val="21"/>
              </w:rPr>
            </w:pPr>
            <w:r>
              <w:rPr>
                <w:sz w:val="21"/>
              </w:rPr>
              <w:t>（三）有依法取得健康证明的屠宰技术人员；</w:t>
            </w:r>
          </w:p>
          <w:p w14:paraId="3A3C2F43">
            <w:pPr>
              <w:pStyle w:val="14"/>
              <w:spacing w:line="304" w:lineRule="auto"/>
              <w:ind w:left="107" w:right="98"/>
              <w:jc w:val="both"/>
              <w:rPr>
                <w:sz w:val="21"/>
              </w:rPr>
            </w:pPr>
            <w:r>
              <w:rPr>
                <w:sz w:val="21"/>
              </w:rPr>
              <w:t>（四）有经考核合格的兽医卫生检验人员；</w:t>
            </w:r>
          </w:p>
          <w:p w14:paraId="7E6E2C2C">
            <w:pPr>
              <w:pStyle w:val="14"/>
              <w:spacing w:line="302" w:lineRule="auto"/>
              <w:ind w:left="107" w:right="98"/>
              <w:jc w:val="both"/>
              <w:rPr>
                <w:sz w:val="21"/>
              </w:rPr>
            </w:pPr>
            <w:r>
              <w:rPr>
                <w:sz w:val="21"/>
              </w:rPr>
              <w:t>（五）有符合国家规定要求的检验设备、消毒设施以及符合环境保护要求的污染防治设施；</w:t>
            </w:r>
          </w:p>
          <w:p w14:paraId="1109B4DD">
            <w:pPr>
              <w:pStyle w:val="14"/>
              <w:spacing w:line="302" w:lineRule="auto"/>
              <w:ind w:left="107" w:right="98"/>
              <w:jc w:val="both"/>
              <w:rPr>
                <w:sz w:val="21"/>
              </w:rPr>
            </w:pPr>
            <w:r>
              <w:rPr>
                <w:sz w:val="21"/>
              </w:rPr>
              <w:t>（六）有病害生猪及生猪产品无害化处理设施或者无害化处理委托协议；</w:t>
            </w:r>
          </w:p>
          <w:p w14:paraId="4F15C48B">
            <w:pPr>
              <w:pStyle w:val="14"/>
              <w:ind w:left="107"/>
              <w:jc w:val="both"/>
              <w:rPr>
                <w:sz w:val="21"/>
              </w:rPr>
            </w:pPr>
            <w:r>
              <w:rPr>
                <w:w w:val="95"/>
                <w:sz w:val="21"/>
              </w:rPr>
              <w:t>（七）依法取得动物防疫条件合格证</w:t>
            </w:r>
          </w:p>
        </w:tc>
        <w:tc>
          <w:tcPr>
            <w:tcW w:w="3044" w:type="dxa"/>
          </w:tcPr>
          <w:p w14:paraId="7A6B856F">
            <w:pPr>
              <w:pStyle w:val="14"/>
              <w:spacing w:before="61"/>
              <w:ind w:left="107"/>
              <w:rPr>
                <w:sz w:val="21"/>
              </w:rPr>
            </w:pPr>
            <w:r>
              <w:rPr>
                <w:sz w:val="21"/>
              </w:rPr>
              <w:t>（一）项目县城供水；</w:t>
            </w:r>
          </w:p>
          <w:p w14:paraId="5F3ADCF9">
            <w:pPr>
              <w:pStyle w:val="14"/>
              <w:spacing w:before="70" w:line="302" w:lineRule="auto"/>
              <w:ind w:left="107" w:right="195"/>
              <w:jc w:val="both"/>
              <w:rPr>
                <w:sz w:val="21"/>
              </w:rPr>
            </w:pPr>
            <w:r>
              <w:rPr>
                <w:w w:val="95"/>
                <w:sz w:val="21"/>
              </w:rPr>
              <w:t>（二）经建设方和设计单位确认，具备符合规范的待宰间、屠宰间、急宰间、检验室以及</w:t>
            </w:r>
            <w:r>
              <w:rPr>
                <w:sz w:val="21"/>
              </w:rPr>
              <w:t>生猪屠宰设备和运载工具；</w:t>
            </w:r>
          </w:p>
          <w:p w14:paraId="68F143C0">
            <w:pPr>
              <w:pStyle w:val="14"/>
              <w:spacing w:before="4" w:line="302" w:lineRule="auto"/>
              <w:ind w:left="107" w:right="195"/>
              <w:jc w:val="both"/>
              <w:rPr>
                <w:sz w:val="21"/>
              </w:rPr>
            </w:pPr>
            <w:r>
              <w:rPr>
                <w:w w:val="95"/>
                <w:sz w:val="21"/>
              </w:rPr>
              <w:t>（三）项目运行单位法人明确招聘标准和培训合格为健康证</w:t>
            </w:r>
            <w:r>
              <w:rPr>
                <w:sz w:val="21"/>
              </w:rPr>
              <w:t>明的屠宰技术人员；</w:t>
            </w:r>
          </w:p>
          <w:p w14:paraId="107E3F01">
            <w:pPr>
              <w:pStyle w:val="14"/>
              <w:spacing w:before="3" w:line="304" w:lineRule="auto"/>
              <w:ind w:left="107" w:right="197"/>
              <w:jc w:val="both"/>
              <w:rPr>
                <w:sz w:val="21"/>
              </w:rPr>
            </w:pPr>
            <w:r>
              <w:rPr>
                <w:w w:val="95"/>
                <w:sz w:val="21"/>
              </w:rPr>
              <w:t>（四）法人明确厂内配备必要</w:t>
            </w:r>
            <w:r>
              <w:rPr>
                <w:sz w:val="21"/>
              </w:rPr>
              <w:t>的持证兽医卫生检验人员；</w:t>
            </w:r>
          </w:p>
          <w:p w14:paraId="503649CB">
            <w:pPr>
              <w:pStyle w:val="14"/>
              <w:spacing w:line="304" w:lineRule="auto"/>
              <w:ind w:left="107" w:right="195"/>
              <w:jc w:val="both"/>
              <w:rPr>
                <w:sz w:val="21"/>
              </w:rPr>
            </w:pPr>
            <w:r>
              <w:rPr>
                <w:w w:val="95"/>
                <w:sz w:val="21"/>
              </w:rPr>
              <w:t>（五）项目配备检验设备、消毒设备，相关污染防治设施按</w:t>
            </w:r>
            <w:r>
              <w:rPr>
                <w:sz w:val="21"/>
              </w:rPr>
              <w:t>照本环评严格落实；</w:t>
            </w:r>
          </w:p>
          <w:p w14:paraId="6C9CD10F">
            <w:pPr>
              <w:pStyle w:val="14"/>
              <w:spacing w:line="302" w:lineRule="auto"/>
              <w:ind w:left="107" w:right="195"/>
              <w:rPr>
                <w:sz w:val="21"/>
              </w:rPr>
            </w:pPr>
            <w:r>
              <w:rPr>
                <w:w w:val="95"/>
                <w:sz w:val="21"/>
              </w:rPr>
              <w:t>（六）项目设有无害化暂存中心，且已明确运营前与岳阳县</w:t>
            </w:r>
            <w:r>
              <w:rPr>
                <w:sz w:val="21"/>
              </w:rPr>
              <w:t>无害化处理中心签订委托协 议；</w:t>
            </w:r>
          </w:p>
          <w:p w14:paraId="41B6880F">
            <w:pPr>
              <w:pStyle w:val="14"/>
              <w:ind w:left="107"/>
              <w:jc w:val="both"/>
              <w:rPr>
                <w:sz w:val="21"/>
              </w:rPr>
            </w:pPr>
            <w:r>
              <w:rPr>
                <w:sz w:val="21"/>
              </w:rPr>
              <w:t>（七）项目已明确运行前依法</w:t>
            </w:r>
          </w:p>
          <w:p w14:paraId="431006DC">
            <w:pPr>
              <w:pStyle w:val="14"/>
              <w:spacing w:before="67" w:line="258" w:lineRule="exact"/>
              <w:ind w:left="107"/>
              <w:jc w:val="both"/>
              <w:rPr>
                <w:sz w:val="21"/>
              </w:rPr>
            </w:pPr>
            <w:r>
              <w:rPr>
                <w:sz w:val="21"/>
              </w:rPr>
              <w:t>取得动物防疫条件合格证</w:t>
            </w:r>
          </w:p>
        </w:tc>
        <w:tc>
          <w:tcPr>
            <w:tcW w:w="455" w:type="dxa"/>
          </w:tcPr>
          <w:p w14:paraId="085D8DEA">
            <w:pPr>
              <w:pStyle w:val="14"/>
              <w:rPr>
                <w:b/>
                <w:sz w:val="20"/>
              </w:rPr>
            </w:pPr>
          </w:p>
          <w:p w14:paraId="7B3E214A">
            <w:pPr>
              <w:pStyle w:val="14"/>
              <w:rPr>
                <w:b/>
                <w:sz w:val="20"/>
              </w:rPr>
            </w:pPr>
          </w:p>
          <w:p w14:paraId="44472B07">
            <w:pPr>
              <w:pStyle w:val="14"/>
              <w:rPr>
                <w:b/>
                <w:sz w:val="20"/>
              </w:rPr>
            </w:pPr>
          </w:p>
          <w:p w14:paraId="1E0DB042">
            <w:pPr>
              <w:pStyle w:val="14"/>
              <w:rPr>
                <w:b/>
                <w:sz w:val="20"/>
              </w:rPr>
            </w:pPr>
          </w:p>
          <w:p w14:paraId="60480ED8">
            <w:pPr>
              <w:pStyle w:val="14"/>
              <w:rPr>
                <w:b/>
                <w:sz w:val="20"/>
              </w:rPr>
            </w:pPr>
          </w:p>
          <w:p w14:paraId="1F3D7481">
            <w:pPr>
              <w:pStyle w:val="14"/>
              <w:rPr>
                <w:b/>
                <w:sz w:val="20"/>
              </w:rPr>
            </w:pPr>
          </w:p>
          <w:p w14:paraId="32413ACE">
            <w:pPr>
              <w:pStyle w:val="14"/>
              <w:rPr>
                <w:b/>
                <w:sz w:val="20"/>
              </w:rPr>
            </w:pPr>
          </w:p>
          <w:p w14:paraId="21C4D40F">
            <w:pPr>
              <w:pStyle w:val="14"/>
              <w:rPr>
                <w:b/>
                <w:sz w:val="20"/>
              </w:rPr>
            </w:pPr>
          </w:p>
          <w:p w14:paraId="681161CF">
            <w:pPr>
              <w:pStyle w:val="14"/>
              <w:rPr>
                <w:b/>
                <w:sz w:val="20"/>
              </w:rPr>
            </w:pPr>
          </w:p>
          <w:p w14:paraId="6D2B53F1">
            <w:pPr>
              <w:pStyle w:val="14"/>
              <w:rPr>
                <w:b/>
                <w:sz w:val="20"/>
              </w:rPr>
            </w:pPr>
          </w:p>
          <w:p w14:paraId="10834EF6">
            <w:pPr>
              <w:pStyle w:val="14"/>
              <w:rPr>
                <w:b/>
                <w:sz w:val="20"/>
              </w:rPr>
            </w:pPr>
          </w:p>
          <w:p w14:paraId="64257E80">
            <w:pPr>
              <w:pStyle w:val="14"/>
              <w:spacing w:before="132" w:line="304" w:lineRule="auto"/>
              <w:ind w:left="121" w:right="112"/>
              <w:rPr>
                <w:sz w:val="21"/>
              </w:rPr>
            </w:pPr>
            <w:r>
              <w:rPr>
                <w:sz w:val="21"/>
              </w:rPr>
              <w:t>符合</w:t>
            </w:r>
          </w:p>
        </w:tc>
      </w:tr>
      <w:tr w14:paraId="5ACA7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1265" w:type="dxa"/>
            <w:vMerge w:val="continue"/>
            <w:tcBorders>
              <w:top w:val="nil"/>
            </w:tcBorders>
          </w:tcPr>
          <w:p w14:paraId="5A98FD31">
            <w:pPr>
              <w:rPr>
                <w:sz w:val="2"/>
                <w:szCs w:val="2"/>
              </w:rPr>
            </w:pPr>
          </w:p>
        </w:tc>
        <w:tc>
          <w:tcPr>
            <w:tcW w:w="3758" w:type="dxa"/>
          </w:tcPr>
          <w:p w14:paraId="3DEF7329">
            <w:pPr>
              <w:pStyle w:val="14"/>
              <w:spacing w:before="62" w:line="302" w:lineRule="auto"/>
              <w:ind w:left="107" w:right="98"/>
              <w:jc w:val="both"/>
              <w:rPr>
                <w:sz w:val="21"/>
              </w:rPr>
            </w:pPr>
            <w:r>
              <w:rPr>
                <w:b/>
                <w:sz w:val="21"/>
              </w:rPr>
              <w:t xml:space="preserve">第十四条 </w:t>
            </w:r>
            <w:r>
              <w:rPr>
                <w:sz w:val="21"/>
              </w:rPr>
              <w:t>生猪定点屠宰厂（场）屠宰生猪，应当遵守国家规定的操作规程、技术要求和生猪屠宰质量管理规范，并严格执行消毒技术规范。发生动物疫情时，应当按照国务院农业农村主管部门的规定，开展动物疫病检</w:t>
            </w:r>
          </w:p>
          <w:p w14:paraId="51F97653">
            <w:pPr>
              <w:pStyle w:val="14"/>
              <w:spacing w:before="6" w:line="258" w:lineRule="exact"/>
              <w:ind w:left="107"/>
              <w:jc w:val="both"/>
              <w:rPr>
                <w:sz w:val="21"/>
              </w:rPr>
            </w:pPr>
            <w:r>
              <w:rPr>
                <w:sz w:val="21"/>
              </w:rPr>
              <w:t>测，做好动物疫情排查和报告</w:t>
            </w:r>
          </w:p>
        </w:tc>
        <w:tc>
          <w:tcPr>
            <w:tcW w:w="3044" w:type="dxa"/>
          </w:tcPr>
          <w:p w14:paraId="4B75D8E4">
            <w:pPr>
              <w:pStyle w:val="14"/>
              <w:spacing w:before="62" w:line="302" w:lineRule="auto"/>
              <w:ind w:left="107" w:right="195"/>
              <w:jc w:val="both"/>
              <w:rPr>
                <w:sz w:val="21"/>
              </w:rPr>
            </w:pPr>
            <w:r>
              <w:rPr>
                <w:w w:val="95"/>
                <w:sz w:val="21"/>
              </w:rPr>
              <w:t>本项目建设严格按照国家、地方相关规范和技术要求进行设计、施工、建设及运行，后期管理本次评价根据运行方提供相关管理要求提炼要点明确， 明确正式运行前取得动物防疫</w:t>
            </w:r>
          </w:p>
          <w:p w14:paraId="0F19E42F">
            <w:pPr>
              <w:pStyle w:val="14"/>
              <w:spacing w:before="6" w:line="258" w:lineRule="exact"/>
              <w:ind w:left="107"/>
              <w:jc w:val="both"/>
              <w:rPr>
                <w:sz w:val="21"/>
              </w:rPr>
            </w:pPr>
            <w:r>
              <w:rPr>
                <w:sz w:val="21"/>
              </w:rPr>
              <w:t>条件合格证</w:t>
            </w:r>
          </w:p>
        </w:tc>
        <w:tc>
          <w:tcPr>
            <w:tcW w:w="455" w:type="dxa"/>
          </w:tcPr>
          <w:p w14:paraId="20B8300F">
            <w:pPr>
              <w:pStyle w:val="14"/>
              <w:rPr>
                <w:b/>
                <w:sz w:val="20"/>
              </w:rPr>
            </w:pPr>
          </w:p>
          <w:p w14:paraId="0E308402">
            <w:pPr>
              <w:pStyle w:val="14"/>
              <w:rPr>
                <w:b/>
                <w:sz w:val="20"/>
              </w:rPr>
            </w:pPr>
          </w:p>
          <w:p w14:paraId="2E7B26B2">
            <w:pPr>
              <w:pStyle w:val="14"/>
              <w:rPr>
                <w:b/>
                <w:sz w:val="20"/>
              </w:rPr>
            </w:pPr>
          </w:p>
          <w:p w14:paraId="188425CC">
            <w:pPr>
              <w:pStyle w:val="14"/>
              <w:spacing w:before="143" w:line="302" w:lineRule="auto"/>
              <w:ind w:left="121" w:right="112"/>
              <w:rPr>
                <w:sz w:val="21"/>
              </w:rPr>
            </w:pPr>
            <w:r>
              <w:rPr>
                <w:sz w:val="21"/>
              </w:rPr>
              <w:t>符合</w:t>
            </w:r>
          </w:p>
        </w:tc>
      </w:tr>
      <w:tr w14:paraId="0C035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1265" w:type="dxa"/>
            <w:vMerge w:val="continue"/>
            <w:tcBorders>
              <w:top w:val="nil"/>
            </w:tcBorders>
          </w:tcPr>
          <w:p w14:paraId="706A96C7">
            <w:pPr>
              <w:rPr>
                <w:sz w:val="2"/>
                <w:szCs w:val="2"/>
              </w:rPr>
            </w:pPr>
          </w:p>
        </w:tc>
        <w:tc>
          <w:tcPr>
            <w:tcW w:w="3758" w:type="dxa"/>
          </w:tcPr>
          <w:p w14:paraId="58905039">
            <w:pPr>
              <w:pStyle w:val="14"/>
              <w:spacing w:before="60" w:line="304" w:lineRule="auto"/>
              <w:ind w:left="107" w:right="98"/>
              <w:jc w:val="both"/>
              <w:rPr>
                <w:sz w:val="21"/>
              </w:rPr>
            </w:pPr>
            <w:r>
              <w:rPr>
                <w:b/>
                <w:sz w:val="21"/>
              </w:rPr>
              <w:t xml:space="preserve">第二十一条 </w:t>
            </w:r>
            <w:r>
              <w:rPr>
                <w:sz w:val="21"/>
              </w:rPr>
              <w:t>生猪定点屠宰厂（场） 对未能及时出厂（场）的生猪产品， 应当采取冷冻或者冷藏等必要措施予</w:t>
            </w:r>
          </w:p>
          <w:p w14:paraId="2F7093C3">
            <w:pPr>
              <w:pStyle w:val="14"/>
              <w:spacing w:line="255" w:lineRule="exact"/>
              <w:ind w:left="107"/>
              <w:jc w:val="both"/>
              <w:rPr>
                <w:sz w:val="21"/>
              </w:rPr>
            </w:pPr>
            <w:r>
              <w:rPr>
                <w:sz w:val="21"/>
              </w:rPr>
              <w:t>以储存</w:t>
            </w:r>
          </w:p>
        </w:tc>
        <w:tc>
          <w:tcPr>
            <w:tcW w:w="3044" w:type="dxa"/>
          </w:tcPr>
          <w:p w14:paraId="689427E6">
            <w:pPr>
              <w:pStyle w:val="14"/>
              <w:rPr>
                <w:b/>
                <w:sz w:val="20"/>
              </w:rPr>
            </w:pPr>
          </w:p>
          <w:p w14:paraId="4DE5B39E">
            <w:pPr>
              <w:pStyle w:val="14"/>
              <w:spacing w:before="144" w:line="304" w:lineRule="auto"/>
              <w:ind w:left="155" w:right="147" w:firstLine="105"/>
              <w:rPr>
                <w:sz w:val="21"/>
              </w:rPr>
            </w:pPr>
            <w:r>
              <w:rPr>
                <w:sz w:val="21"/>
              </w:rPr>
              <w:t>本项目设有猪冷库和制冷机</w:t>
            </w:r>
            <w:r>
              <w:rPr>
                <w:w w:val="95"/>
                <w:sz w:val="21"/>
              </w:rPr>
              <w:t>房，用于必要的冷冻冷藏措施</w:t>
            </w:r>
          </w:p>
        </w:tc>
        <w:tc>
          <w:tcPr>
            <w:tcW w:w="455" w:type="dxa"/>
          </w:tcPr>
          <w:p w14:paraId="1DC2C25B">
            <w:pPr>
              <w:pStyle w:val="14"/>
              <w:rPr>
                <w:b/>
                <w:sz w:val="20"/>
              </w:rPr>
            </w:pPr>
          </w:p>
          <w:p w14:paraId="3D5716DB">
            <w:pPr>
              <w:pStyle w:val="14"/>
              <w:spacing w:before="144" w:line="304" w:lineRule="auto"/>
              <w:ind w:left="121" w:right="112"/>
              <w:rPr>
                <w:sz w:val="21"/>
              </w:rPr>
            </w:pPr>
            <w:r>
              <w:rPr>
                <w:sz w:val="21"/>
              </w:rPr>
              <w:t>符合</w:t>
            </w:r>
          </w:p>
        </w:tc>
      </w:tr>
    </w:tbl>
    <w:p w14:paraId="226C11A9">
      <w:pPr>
        <w:pStyle w:val="7"/>
        <w:spacing w:before="1"/>
        <w:ind w:left="700"/>
      </w:pPr>
      <w:r>
        <w:t>综上所述，本项目符合《条例》中相关规定。</w:t>
      </w:r>
    </w:p>
    <w:p w14:paraId="083A611D">
      <w:pPr>
        <w:pStyle w:val="7"/>
        <w:rPr>
          <w:sz w:val="20"/>
        </w:rPr>
      </w:pPr>
    </w:p>
    <w:p w14:paraId="3384F1D6">
      <w:pPr>
        <w:pStyle w:val="7"/>
        <w:spacing w:before="3"/>
        <w:rPr>
          <w:sz w:val="20"/>
        </w:rPr>
      </w:pPr>
    </w:p>
    <w:p w14:paraId="31B2DA15">
      <w:pPr>
        <w:spacing w:after="0"/>
        <w:rPr>
          <w:sz w:val="20"/>
        </w:rPr>
        <w:sectPr>
          <w:headerReference r:id="rId11" w:type="default"/>
          <w:footerReference r:id="rId12" w:type="default"/>
          <w:pgSz w:w="11910" w:h="16840"/>
          <w:pgMar w:top="780" w:right="1580" w:bottom="280" w:left="1580" w:header="0" w:footer="0" w:gutter="0"/>
          <w:cols w:space="720" w:num="1"/>
        </w:sectPr>
      </w:pPr>
    </w:p>
    <w:p w14:paraId="2444F7D7">
      <w:pPr>
        <w:pStyle w:val="7"/>
        <w:spacing w:before="11"/>
        <w:rPr>
          <w:sz w:val="23"/>
        </w:rPr>
      </w:pPr>
    </w:p>
    <w:p w14:paraId="32BF0C73">
      <w:pPr>
        <w:spacing w:before="0"/>
        <w:ind w:left="0" w:right="0" w:firstLine="0"/>
        <w:jc w:val="right"/>
        <w:rPr>
          <w:rFonts w:ascii="Times New Roman"/>
          <w:sz w:val="18"/>
        </w:rPr>
      </w:pPr>
      <w:r>
        <w:rPr>
          <w:rFonts w:ascii="Times New Roman"/>
          <w:sz w:val="18"/>
        </w:rPr>
        <w:t>- 9 -</w:t>
      </w:r>
    </w:p>
    <w:p w14:paraId="3E06AB9A">
      <w:pPr>
        <w:spacing w:before="75"/>
        <w:ind w:left="658" w:right="0" w:firstLine="0"/>
        <w:jc w:val="left"/>
        <w:rPr>
          <w:sz w:val="18"/>
        </w:rPr>
      </w:pPr>
      <w:r>
        <w:br w:type="column"/>
      </w:r>
      <w:r>
        <w:rPr>
          <w:sz w:val="18"/>
        </w:rPr>
        <w:t>编制单位：湖南明启环保工程股份有限公司</w:t>
      </w:r>
    </w:p>
    <w:p w14:paraId="71FACCB1">
      <w:pPr>
        <w:spacing w:after="0"/>
        <w:jc w:val="left"/>
        <w:rPr>
          <w:sz w:val="18"/>
        </w:rPr>
        <w:sectPr>
          <w:type w:val="continuous"/>
          <w:pgSz w:w="11910" w:h="16840"/>
          <w:pgMar w:top="1580" w:right="1580" w:bottom="280" w:left="1580" w:header="720" w:footer="720" w:gutter="0"/>
          <w:cols w:equalWidth="0" w:num="2">
            <w:col w:w="4408" w:space="40"/>
            <w:col w:w="4302"/>
          </w:cols>
        </w:sectPr>
      </w:pPr>
    </w:p>
    <w:p w14:paraId="24763F69">
      <w:pPr>
        <w:pStyle w:val="7"/>
        <w:rPr>
          <w:sz w:val="20"/>
        </w:rPr>
      </w:pPr>
    </w:p>
    <w:p w14:paraId="2FF78D3F">
      <w:pPr>
        <w:pStyle w:val="7"/>
        <w:spacing w:before="8"/>
        <w:rPr>
          <w:sz w:val="22"/>
        </w:rPr>
      </w:pPr>
    </w:p>
    <w:p w14:paraId="7D3D230A">
      <w:pPr>
        <w:pStyle w:val="6"/>
        <w:numPr>
          <w:ilvl w:val="2"/>
          <w:numId w:val="4"/>
        </w:numPr>
        <w:tabs>
          <w:tab w:val="left" w:pos="760"/>
        </w:tabs>
        <w:spacing w:before="74" w:after="0" w:line="240" w:lineRule="auto"/>
        <w:ind w:left="760" w:right="0" w:hanging="540"/>
        <w:jc w:val="left"/>
      </w:pPr>
      <w:bookmarkStart w:id="21" w:name="1.3.6 项目与其他国家、地方法规相符性分析"/>
      <w:bookmarkEnd w:id="21"/>
      <w:bookmarkStart w:id="22" w:name="1.3.6 项目与其他国家、地方法规相符性分析"/>
      <w:bookmarkEnd w:id="22"/>
      <w:r>
        <w:t>项目与其他国家、地方法规相符性分析</w:t>
      </w:r>
    </w:p>
    <w:p w14:paraId="51E25E1E">
      <w:pPr>
        <w:pStyle w:val="7"/>
        <w:spacing w:before="160"/>
        <w:ind w:left="700"/>
      </w:pPr>
      <w:r>
        <w:t>本项目与国家（地方）相关政策符合性分析，具体情况详见下表。</w:t>
      </w:r>
    </w:p>
    <w:p w14:paraId="7A5922A3">
      <w:pPr>
        <w:spacing w:before="157"/>
        <w:ind w:left="4340" w:right="0" w:firstLine="0"/>
        <w:jc w:val="left"/>
        <w:rPr>
          <w:b/>
          <w:sz w:val="21"/>
        </w:rPr>
      </w:pPr>
      <w:r>
        <w:rPr>
          <w:b/>
          <w:sz w:val="21"/>
        </w:rPr>
        <w:t xml:space="preserve">表 </w:t>
      </w:r>
      <w:r>
        <w:rPr>
          <w:rFonts w:ascii="Times New Roman" w:eastAsia="Times New Roman"/>
          <w:b/>
          <w:sz w:val="21"/>
        </w:rPr>
        <w:t xml:space="preserve">1-2 </w:t>
      </w:r>
      <w:r>
        <w:rPr>
          <w:b/>
          <w:sz w:val="21"/>
        </w:rPr>
        <w:t>项目与国家</w:t>
      </w:r>
      <w:r>
        <w:rPr>
          <w:rFonts w:ascii="Times New Roman" w:eastAsia="Times New Roman"/>
          <w:b/>
          <w:sz w:val="21"/>
        </w:rPr>
        <w:t>(</w:t>
      </w:r>
      <w:r>
        <w:rPr>
          <w:b/>
          <w:sz w:val="21"/>
        </w:rPr>
        <w:t>地方</w:t>
      </w:r>
      <w:r>
        <w:rPr>
          <w:rFonts w:ascii="Times New Roman" w:eastAsia="Times New Roman"/>
          <w:b/>
          <w:sz w:val="21"/>
        </w:rPr>
        <w:t>)</w:t>
      </w:r>
      <w:r>
        <w:rPr>
          <w:b/>
          <w:sz w:val="21"/>
        </w:rPr>
        <w:t>相关政策的符合性分析一览表（摘录）</w:t>
      </w:r>
    </w:p>
    <w:p w14:paraId="034B4A21">
      <w:pPr>
        <w:pStyle w:val="7"/>
        <w:spacing w:before="8" w:after="1"/>
        <w:rPr>
          <w:b/>
          <w:sz w:val="9"/>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04E2F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56" w:type="dxa"/>
          </w:tcPr>
          <w:p w14:paraId="3B800C76">
            <w:pPr>
              <w:pStyle w:val="14"/>
              <w:spacing w:before="137" w:line="242" w:lineRule="auto"/>
              <w:ind w:left="122" w:right="112"/>
              <w:rPr>
                <w:b/>
                <w:sz w:val="21"/>
              </w:rPr>
            </w:pPr>
            <w:r>
              <w:rPr>
                <w:b/>
                <w:sz w:val="21"/>
              </w:rPr>
              <w:t>序号</w:t>
            </w:r>
          </w:p>
        </w:tc>
        <w:tc>
          <w:tcPr>
            <w:tcW w:w="1069" w:type="dxa"/>
          </w:tcPr>
          <w:p w14:paraId="1327160C">
            <w:pPr>
              <w:pStyle w:val="14"/>
              <w:spacing w:before="2"/>
              <w:rPr>
                <w:b/>
                <w:sz w:val="21"/>
              </w:rPr>
            </w:pPr>
          </w:p>
          <w:p w14:paraId="3B3B71FE">
            <w:pPr>
              <w:pStyle w:val="14"/>
              <w:spacing w:before="1"/>
              <w:ind w:left="112"/>
              <w:rPr>
                <w:b/>
                <w:sz w:val="21"/>
              </w:rPr>
            </w:pPr>
            <w:r>
              <w:rPr>
                <w:b/>
                <w:sz w:val="21"/>
              </w:rPr>
              <w:t>政策名称</w:t>
            </w:r>
          </w:p>
        </w:tc>
        <w:tc>
          <w:tcPr>
            <w:tcW w:w="1134" w:type="dxa"/>
          </w:tcPr>
          <w:p w14:paraId="1909F243">
            <w:pPr>
              <w:pStyle w:val="14"/>
              <w:spacing w:before="137" w:line="242" w:lineRule="auto"/>
              <w:ind w:left="250" w:right="134" w:hanging="106"/>
              <w:rPr>
                <w:b/>
                <w:sz w:val="21"/>
              </w:rPr>
            </w:pPr>
            <w:r>
              <w:rPr>
                <w:b/>
                <w:sz w:val="21"/>
              </w:rPr>
              <w:t>发布单位及时间</w:t>
            </w:r>
          </w:p>
        </w:tc>
        <w:tc>
          <w:tcPr>
            <w:tcW w:w="6880" w:type="dxa"/>
          </w:tcPr>
          <w:p w14:paraId="274D4CDA">
            <w:pPr>
              <w:pStyle w:val="14"/>
              <w:spacing w:before="2"/>
              <w:rPr>
                <w:b/>
                <w:sz w:val="21"/>
              </w:rPr>
            </w:pPr>
          </w:p>
          <w:p w14:paraId="1ECA9327">
            <w:pPr>
              <w:pStyle w:val="14"/>
              <w:spacing w:before="1"/>
              <w:ind w:left="2996" w:right="2990"/>
              <w:jc w:val="center"/>
              <w:rPr>
                <w:b/>
                <w:sz w:val="21"/>
              </w:rPr>
            </w:pPr>
            <w:r>
              <w:rPr>
                <w:b/>
                <w:sz w:val="21"/>
              </w:rPr>
              <w:t>主要内容</w:t>
            </w:r>
          </w:p>
        </w:tc>
        <w:tc>
          <w:tcPr>
            <w:tcW w:w="4153" w:type="dxa"/>
          </w:tcPr>
          <w:p w14:paraId="5D681CEB">
            <w:pPr>
              <w:pStyle w:val="14"/>
              <w:spacing w:before="2"/>
              <w:rPr>
                <w:b/>
                <w:sz w:val="21"/>
              </w:rPr>
            </w:pPr>
          </w:p>
          <w:p w14:paraId="55CA20AD">
            <w:pPr>
              <w:pStyle w:val="14"/>
              <w:spacing w:before="1"/>
              <w:ind w:left="1526" w:right="1521"/>
              <w:jc w:val="center"/>
              <w:rPr>
                <w:b/>
                <w:sz w:val="21"/>
              </w:rPr>
            </w:pPr>
            <w:r>
              <w:rPr>
                <w:b/>
                <w:sz w:val="21"/>
              </w:rPr>
              <w:t>本项目情况</w:t>
            </w:r>
          </w:p>
        </w:tc>
        <w:tc>
          <w:tcPr>
            <w:tcW w:w="482" w:type="dxa"/>
          </w:tcPr>
          <w:p w14:paraId="7BB1B5CA">
            <w:pPr>
              <w:pStyle w:val="14"/>
              <w:spacing w:line="242" w:lineRule="auto"/>
              <w:ind w:left="134" w:right="126"/>
              <w:rPr>
                <w:b/>
                <w:sz w:val="21"/>
              </w:rPr>
            </w:pPr>
            <w:r>
              <w:rPr>
                <w:b/>
                <w:sz w:val="21"/>
              </w:rPr>
              <w:t>符合</w:t>
            </w:r>
          </w:p>
          <w:p w14:paraId="0A21D2ED">
            <w:pPr>
              <w:pStyle w:val="14"/>
              <w:spacing w:before="2" w:line="251" w:lineRule="exact"/>
              <w:ind w:left="134"/>
              <w:rPr>
                <w:b/>
                <w:sz w:val="21"/>
              </w:rPr>
            </w:pPr>
            <w:r>
              <w:rPr>
                <w:b/>
                <w:w w:val="99"/>
                <w:sz w:val="21"/>
              </w:rPr>
              <w:t>性</w:t>
            </w:r>
          </w:p>
        </w:tc>
      </w:tr>
      <w:tr w14:paraId="4265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456" w:type="dxa"/>
            <w:tcBorders>
              <w:bottom w:val="nil"/>
            </w:tcBorders>
          </w:tcPr>
          <w:p w14:paraId="535DBB13">
            <w:pPr>
              <w:pStyle w:val="14"/>
              <w:rPr>
                <w:rFonts w:ascii="Times New Roman"/>
                <w:sz w:val="18"/>
              </w:rPr>
            </w:pPr>
          </w:p>
        </w:tc>
        <w:tc>
          <w:tcPr>
            <w:tcW w:w="1069" w:type="dxa"/>
            <w:tcBorders>
              <w:bottom w:val="nil"/>
            </w:tcBorders>
          </w:tcPr>
          <w:p w14:paraId="53616460">
            <w:pPr>
              <w:pStyle w:val="14"/>
              <w:rPr>
                <w:rFonts w:ascii="Times New Roman"/>
                <w:sz w:val="18"/>
              </w:rPr>
            </w:pPr>
          </w:p>
        </w:tc>
        <w:tc>
          <w:tcPr>
            <w:tcW w:w="1134" w:type="dxa"/>
            <w:vMerge w:val="restart"/>
          </w:tcPr>
          <w:p w14:paraId="1E1AA1FF">
            <w:pPr>
              <w:pStyle w:val="14"/>
              <w:rPr>
                <w:b/>
                <w:sz w:val="20"/>
              </w:rPr>
            </w:pPr>
          </w:p>
          <w:p w14:paraId="4D344370">
            <w:pPr>
              <w:pStyle w:val="14"/>
              <w:rPr>
                <w:b/>
                <w:sz w:val="20"/>
              </w:rPr>
            </w:pPr>
          </w:p>
          <w:p w14:paraId="0BCC038A">
            <w:pPr>
              <w:pStyle w:val="14"/>
              <w:rPr>
                <w:b/>
                <w:sz w:val="20"/>
              </w:rPr>
            </w:pPr>
          </w:p>
          <w:p w14:paraId="4A9F6D5C">
            <w:pPr>
              <w:pStyle w:val="14"/>
              <w:rPr>
                <w:b/>
                <w:sz w:val="20"/>
              </w:rPr>
            </w:pPr>
          </w:p>
          <w:p w14:paraId="07B563A4">
            <w:pPr>
              <w:pStyle w:val="14"/>
              <w:rPr>
                <w:b/>
                <w:sz w:val="20"/>
              </w:rPr>
            </w:pPr>
          </w:p>
          <w:p w14:paraId="74BF33FE">
            <w:pPr>
              <w:pStyle w:val="14"/>
              <w:rPr>
                <w:b/>
                <w:sz w:val="20"/>
              </w:rPr>
            </w:pPr>
          </w:p>
          <w:p w14:paraId="21CA051F">
            <w:pPr>
              <w:pStyle w:val="14"/>
              <w:rPr>
                <w:b/>
                <w:sz w:val="20"/>
              </w:rPr>
            </w:pPr>
          </w:p>
          <w:p w14:paraId="1760B1EA">
            <w:pPr>
              <w:pStyle w:val="14"/>
              <w:rPr>
                <w:b/>
                <w:sz w:val="20"/>
              </w:rPr>
            </w:pPr>
          </w:p>
          <w:p w14:paraId="0D276E92">
            <w:pPr>
              <w:pStyle w:val="14"/>
              <w:spacing w:before="128" w:line="242" w:lineRule="auto"/>
              <w:ind w:left="125" w:right="113" w:hanging="2"/>
              <w:jc w:val="center"/>
              <w:rPr>
                <w:sz w:val="21"/>
              </w:rPr>
            </w:pPr>
            <w:r>
              <w:rPr>
                <w:sz w:val="21"/>
              </w:rPr>
              <w:t>湖南省农业农村 厅，</w:t>
            </w:r>
            <w:r>
              <w:rPr>
                <w:rFonts w:ascii="Times New Roman" w:eastAsia="Times New Roman"/>
                <w:sz w:val="21"/>
              </w:rPr>
              <w:t xml:space="preserve">2023 </w:t>
            </w:r>
            <w:r>
              <w:rPr>
                <w:spacing w:val="-27"/>
                <w:sz w:val="21"/>
              </w:rPr>
              <w:t xml:space="preserve">年 </w:t>
            </w:r>
            <w:r>
              <w:rPr>
                <w:rFonts w:ascii="Times New Roman" w:eastAsia="Times New Roman"/>
                <w:sz w:val="21"/>
              </w:rPr>
              <w:t>3</w:t>
            </w:r>
            <w:r>
              <w:rPr>
                <w:rFonts w:ascii="Times New Roman" w:eastAsia="Times New Roman"/>
                <w:spacing w:val="-12"/>
                <w:sz w:val="21"/>
              </w:rPr>
              <w:t xml:space="preserve"> </w:t>
            </w:r>
            <w:r>
              <w:rPr>
                <w:spacing w:val="-26"/>
                <w:sz w:val="21"/>
              </w:rPr>
              <w:t xml:space="preserve">月 </w:t>
            </w:r>
            <w:r>
              <w:rPr>
                <w:rFonts w:ascii="Times New Roman" w:eastAsia="Times New Roman"/>
                <w:sz w:val="21"/>
              </w:rPr>
              <w:t xml:space="preserve">23 </w:t>
            </w:r>
            <w:r>
              <w:rPr>
                <w:sz w:val="21"/>
              </w:rPr>
              <w:t>日</w:t>
            </w:r>
          </w:p>
        </w:tc>
        <w:tc>
          <w:tcPr>
            <w:tcW w:w="6880" w:type="dxa"/>
            <w:tcBorders>
              <w:bottom w:val="nil"/>
            </w:tcBorders>
          </w:tcPr>
          <w:p w14:paraId="03680F0E">
            <w:pPr>
              <w:pStyle w:val="14"/>
              <w:spacing w:before="1" w:line="242" w:lineRule="exact"/>
              <w:ind w:left="107"/>
              <w:rPr>
                <w:sz w:val="21"/>
              </w:rPr>
            </w:pPr>
            <w:r>
              <w:rPr>
                <w:sz w:val="21"/>
              </w:rPr>
              <w:t>（三）目标任务</w:t>
            </w:r>
          </w:p>
        </w:tc>
        <w:tc>
          <w:tcPr>
            <w:tcW w:w="4153" w:type="dxa"/>
            <w:tcBorders>
              <w:bottom w:val="nil"/>
            </w:tcBorders>
          </w:tcPr>
          <w:p w14:paraId="7F7F4BF2">
            <w:pPr>
              <w:pStyle w:val="14"/>
              <w:rPr>
                <w:rFonts w:ascii="Times New Roman"/>
                <w:sz w:val="18"/>
              </w:rPr>
            </w:pPr>
          </w:p>
        </w:tc>
        <w:tc>
          <w:tcPr>
            <w:tcW w:w="482" w:type="dxa"/>
            <w:vMerge w:val="restart"/>
          </w:tcPr>
          <w:p w14:paraId="3C67C779">
            <w:pPr>
              <w:pStyle w:val="14"/>
              <w:rPr>
                <w:b/>
                <w:sz w:val="20"/>
              </w:rPr>
            </w:pPr>
          </w:p>
          <w:p w14:paraId="262527B2">
            <w:pPr>
              <w:pStyle w:val="14"/>
              <w:rPr>
                <w:b/>
                <w:sz w:val="20"/>
              </w:rPr>
            </w:pPr>
          </w:p>
          <w:p w14:paraId="5EF1B4EE">
            <w:pPr>
              <w:pStyle w:val="14"/>
              <w:rPr>
                <w:b/>
                <w:sz w:val="20"/>
              </w:rPr>
            </w:pPr>
          </w:p>
          <w:p w14:paraId="0513FE44">
            <w:pPr>
              <w:pStyle w:val="14"/>
              <w:rPr>
                <w:b/>
                <w:sz w:val="20"/>
              </w:rPr>
            </w:pPr>
          </w:p>
          <w:p w14:paraId="50EB9842">
            <w:pPr>
              <w:pStyle w:val="14"/>
              <w:rPr>
                <w:b/>
                <w:sz w:val="20"/>
              </w:rPr>
            </w:pPr>
          </w:p>
          <w:p w14:paraId="66AF97D5">
            <w:pPr>
              <w:pStyle w:val="14"/>
              <w:rPr>
                <w:b/>
                <w:sz w:val="20"/>
              </w:rPr>
            </w:pPr>
          </w:p>
          <w:p w14:paraId="4CA36677">
            <w:pPr>
              <w:pStyle w:val="14"/>
              <w:rPr>
                <w:b/>
                <w:sz w:val="20"/>
              </w:rPr>
            </w:pPr>
          </w:p>
          <w:p w14:paraId="6DAE3930">
            <w:pPr>
              <w:pStyle w:val="14"/>
              <w:rPr>
                <w:b/>
                <w:sz w:val="20"/>
              </w:rPr>
            </w:pPr>
          </w:p>
          <w:p w14:paraId="57133639">
            <w:pPr>
              <w:pStyle w:val="14"/>
              <w:rPr>
                <w:b/>
                <w:sz w:val="20"/>
              </w:rPr>
            </w:pPr>
          </w:p>
          <w:p w14:paraId="3F5B6880">
            <w:pPr>
              <w:pStyle w:val="14"/>
              <w:rPr>
                <w:b/>
                <w:sz w:val="22"/>
              </w:rPr>
            </w:pPr>
          </w:p>
          <w:p w14:paraId="4284B043">
            <w:pPr>
              <w:pStyle w:val="14"/>
              <w:spacing w:before="1" w:line="242" w:lineRule="auto"/>
              <w:ind w:left="136" w:right="124"/>
              <w:rPr>
                <w:sz w:val="21"/>
              </w:rPr>
            </w:pPr>
            <w:r>
              <w:rPr>
                <w:sz w:val="21"/>
              </w:rPr>
              <w:t>符合</w:t>
            </w:r>
          </w:p>
        </w:tc>
      </w:tr>
      <w:tr w14:paraId="14808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tcBorders>
              <w:top w:val="nil"/>
              <w:bottom w:val="nil"/>
            </w:tcBorders>
          </w:tcPr>
          <w:p w14:paraId="786DD02C">
            <w:pPr>
              <w:pStyle w:val="14"/>
              <w:rPr>
                <w:rFonts w:ascii="Times New Roman"/>
                <w:sz w:val="20"/>
              </w:rPr>
            </w:pPr>
          </w:p>
        </w:tc>
        <w:tc>
          <w:tcPr>
            <w:tcW w:w="1069" w:type="dxa"/>
            <w:tcBorders>
              <w:top w:val="nil"/>
              <w:bottom w:val="nil"/>
            </w:tcBorders>
          </w:tcPr>
          <w:p w14:paraId="530681AD">
            <w:pPr>
              <w:pStyle w:val="14"/>
              <w:rPr>
                <w:rFonts w:ascii="Times New Roman"/>
                <w:sz w:val="20"/>
              </w:rPr>
            </w:pPr>
          </w:p>
        </w:tc>
        <w:tc>
          <w:tcPr>
            <w:tcW w:w="1134" w:type="dxa"/>
            <w:vMerge w:val="continue"/>
            <w:tcBorders>
              <w:top w:val="nil"/>
            </w:tcBorders>
          </w:tcPr>
          <w:p w14:paraId="5BF64925">
            <w:pPr>
              <w:rPr>
                <w:sz w:val="2"/>
                <w:szCs w:val="2"/>
              </w:rPr>
            </w:pPr>
          </w:p>
        </w:tc>
        <w:tc>
          <w:tcPr>
            <w:tcW w:w="6880" w:type="dxa"/>
            <w:tcBorders>
              <w:top w:val="nil"/>
              <w:bottom w:val="nil"/>
            </w:tcBorders>
          </w:tcPr>
          <w:p w14:paraId="3E282CA7">
            <w:pPr>
              <w:pStyle w:val="14"/>
              <w:spacing w:line="252" w:lineRule="exact"/>
              <w:ind w:left="107"/>
              <w:rPr>
                <w:sz w:val="21"/>
              </w:rPr>
            </w:pPr>
            <w:r>
              <w:rPr>
                <w:sz w:val="21"/>
              </w:rPr>
              <w:t xml:space="preserve">到 </w:t>
            </w:r>
            <w:r>
              <w:rPr>
                <w:rFonts w:ascii="Times New Roman" w:eastAsia="Times New Roman"/>
                <w:sz w:val="21"/>
              </w:rPr>
              <w:t xml:space="preserve">2025 </w:t>
            </w:r>
            <w:r>
              <w:rPr>
                <w:sz w:val="21"/>
              </w:rPr>
              <w:t>年，全省生猪屠宰产能布局得到明显优化，规模化经营、标准化</w:t>
            </w:r>
          </w:p>
        </w:tc>
        <w:tc>
          <w:tcPr>
            <w:tcW w:w="4153" w:type="dxa"/>
            <w:tcBorders>
              <w:top w:val="nil"/>
              <w:bottom w:val="nil"/>
            </w:tcBorders>
          </w:tcPr>
          <w:p w14:paraId="5A3D5D3C">
            <w:pPr>
              <w:pStyle w:val="14"/>
              <w:rPr>
                <w:rFonts w:ascii="Times New Roman"/>
                <w:sz w:val="20"/>
              </w:rPr>
            </w:pPr>
          </w:p>
        </w:tc>
        <w:tc>
          <w:tcPr>
            <w:tcW w:w="482" w:type="dxa"/>
            <w:vMerge w:val="continue"/>
            <w:tcBorders>
              <w:top w:val="nil"/>
            </w:tcBorders>
          </w:tcPr>
          <w:p w14:paraId="715BC962">
            <w:pPr>
              <w:rPr>
                <w:sz w:val="2"/>
                <w:szCs w:val="2"/>
              </w:rPr>
            </w:pPr>
          </w:p>
        </w:tc>
      </w:tr>
      <w:tr w14:paraId="4A53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56" w:type="dxa"/>
            <w:tcBorders>
              <w:top w:val="nil"/>
              <w:bottom w:val="nil"/>
            </w:tcBorders>
          </w:tcPr>
          <w:p w14:paraId="75484F68">
            <w:pPr>
              <w:pStyle w:val="14"/>
              <w:rPr>
                <w:rFonts w:ascii="Times New Roman"/>
                <w:sz w:val="18"/>
              </w:rPr>
            </w:pPr>
          </w:p>
        </w:tc>
        <w:tc>
          <w:tcPr>
            <w:tcW w:w="1069" w:type="dxa"/>
            <w:tcBorders>
              <w:top w:val="nil"/>
              <w:bottom w:val="nil"/>
            </w:tcBorders>
          </w:tcPr>
          <w:p w14:paraId="14044BAE">
            <w:pPr>
              <w:pStyle w:val="14"/>
              <w:rPr>
                <w:rFonts w:ascii="Times New Roman"/>
                <w:sz w:val="18"/>
              </w:rPr>
            </w:pPr>
          </w:p>
        </w:tc>
        <w:tc>
          <w:tcPr>
            <w:tcW w:w="1134" w:type="dxa"/>
            <w:vMerge w:val="continue"/>
            <w:tcBorders>
              <w:top w:val="nil"/>
            </w:tcBorders>
          </w:tcPr>
          <w:p w14:paraId="726ACC6E">
            <w:pPr>
              <w:rPr>
                <w:sz w:val="2"/>
                <w:szCs w:val="2"/>
              </w:rPr>
            </w:pPr>
          </w:p>
        </w:tc>
        <w:tc>
          <w:tcPr>
            <w:tcW w:w="6880" w:type="dxa"/>
            <w:tcBorders>
              <w:top w:val="nil"/>
              <w:bottom w:val="nil"/>
            </w:tcBorders>
          </w:tcPr>
          <w:p w14:paraId="6D682716">
            <w:pPr>
              <w:pStyle w:val="14"/>
              <w:spacing w:line="234" w:lineRule="exact"/>
              <w:ind w:left="107"/>
              <w:rPr>
                <w:sz w:val="21"/>
              </w:rPr>
            </w:pPr>
            <w:r>
              <w:rPr>
                <w:sz w:val="21"/>
              </w:rPr>
              <w:t>屠宰、规范化检疫检验、信息化监管水平得到明显提升，基本形成布局</w:t>
            </w:r>
          </w:p>
        </w:tc>
        <w:tc>
          <w:tcPr>
            <w:tcW w:w="4153" w:type="dxa"/>
            <w:tcBorders>
              <w:top w:val="nil"/>
              <w:bottom w:val="nil"/>
            </w:tcBorders>
          </w:tcPr>
          <w:p w14:paraId="33F5C57B">
            <w:pPr>
              <w:pStyle w:val="14"/>
              <w:rPr>
                <w:rFonts w:ascii="Times New Roman"/>
                <w:sz w:val="18"/>
              </w:rPr>
            </w:pPr>
          </w:p>
        </w:tc>
        <w:tc>
          <w:tcPr>
            <w:tcW w:w="482" w:type="dxa"/>
            <w:vMerge w:val="continue"/>
            <w:tcBorders>
              <w:top w:val="nil"/>
            </w:tcBorders>
          </w:tcPr>
          <w:p w14:paraId="188436D2">
            <w:pPr>
              <w:rPr>
                <w:sz w:val="2"/>
                <w:szCs w:val="2"/>
              </w:rPr>
            </w:pPr>
          </w:p>
        </w:tc>
      </w:tr>
      <w:tr w14:paraId="293E0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456" w:type="dxa"/>
            <w:tcBorders>
              <w:top w:val="nil"/>
              <w:bottom w:val="nil"/>
            </w:tcBorders>
          </w:tcPr>
          <w:p w14:paraId="6565505A">
            <w:pPr>
              <w:pStyle w:val="14"/>
              <w:rPr>
                <w:rFonts w:ascii="Times New Roman"/>
                <w:sz w:val="18"/>
              </w:rPr>
            </w:pPr>
          </w:p>
        </w:tc>
        <w:tc>
          <w:tcPr>
            <w:tcW w:w="1069" w:type="dxa"/>
            <w:tcBorders>
              <w:top w:val="nil"/>
              <w:bottom w:val="nil"/>
            </w:tcBorders>
          </w:tcPr>
          <w:p w14:paraId="4B2EA6AA">
            <w:pPr>
              <w:pStyle w:val="14"/>
              <w:rPr>
                <w:rFonts w:ascii="Times New Roman"/>
                <w:sz w:val="18"/>
              </w:rPr>
            </w:pPr>
          </w:p>
        </w:tc>
        <w:tc>
          <w:tcPr>
            <w:tcW w:w="1134" w:type="dxa"/>
            <w:vMerge w:val="continue"/>
            <w:tcBorders>
              <w:top w:val="nil"/>
            </w:tcBorders>
          </w:tcPr>
          <w:p w14:paraId="3DF4AD0A">
            <w:pPr>
              <w:rPr>
                <w:sz w:val="2"/>
                <w:szCs w:val="2"/>
              </w:rPr>
            </w:pPr>
          </w:p>
        </w:tc>
        <w:tc>
          <w:tcPr>
            <w:tcW w:w="6880" w:type="dxa"/>
            <w:tcBorders>
              <w:top w:val="nil"/>
              <w:bottom w:val="nil"/>
            </w:tcBorders>
          </w:tcPr>
          <w:p w14:paraId="6C6A46BD">
            <w:pPr>
              <w:pStyle w:val="14"/>
              <w:spacing w:line="239" w:lineRule="exact"/>
              <w:ind w:left="107"/>
              <w:rPr>
                <w:sz w:val="21"/>
              </w:rPr>
            </w:pPr>
            <w:r>
              <w:rPr>
                <w:sz w:val="21"/>
              </w:rPr>
              <w:t>合理、管理规范、安全可控的生猪屠宰行业发展格局。</w:t>
            </w:r>
          </w:p>
        </w:tc>
        <w:tc>
          <w:tcPr>
            <w:tcW w:w="4153" w:type="dxa"/>
            <w:tcBorders>
              <w:top w:val="nil"/>
              <w:bottom w:val="nil"/>
            </w:tcBorders>
          </w:tcPr>
          <w:p w14:paraId="49BCA37A">
            <w:pPr>
              <w:pStyle w:val="14"/>
              <w:rPr>
                <w:rFonts w:ascii="Times New Roman"/>
                <w:sz w:val="18"/>
              </w:rPr>
            </w:pPr>
          </w:p>
        </w:tc>
        <w:tc>
          <w:tcPr>
            <w:tcW w:w="482" w:type="dxa"/>
            <w:vMerge w:val="continue"/>
            <w:tcBorders>
              <w:top w:val="nil"/>
            </w:tcBorders>
          </w:tcPr>
          <w:p w14:paraId="55A8696B">
            <w:pPr>
              <w:rPr>
                <w:sz w:val="2"/>
                <w:szCs w:val="2"/>
              </w:rPr>
            </w:pPr>
          </w:p>
        </w:tc>
      </w:tr>
      <w:tr w14:paraId="3CCE6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6" w:type="dxa"/>
            <w:tcBorders>
              <w:top w:val="nil"/>
              <w:bottom w:val="nil"/>
            </w:tcBorders>
          </w:tcPr>
          <w:p w14:paraId="35A4D964">
            <w:pPr>
              <w:pStyle w:val="14"/>
              <w:rPr>
                <w:rFonts w:ascii="Times New Roman"/>
                <w:sz w:val="20"/>
              </w:rPr>
            </w:pPr>
          </w:p>
        </w:tc>
        <w:tc>
          <w:tcPr>
            <w:tcW w:w="1069" w:type="dxa"/>
            <w:tcBorders>
              <w:top w:val="nil"/>
              <w:bottom w:val="nil"/>
            </w:tcBorders>
          </w:tcPr>
          <w:p w14:paraId="3A0F56AE">
            <w:pPr>
              <w:pStyle w:val="14"/>
              <w:rPr>
                <w:rFonts w:ascii="Times New Roman"/>
                <w:sz w:val="20"/>
              </w:rPr>
            </w:pPr>
          </w:p>
        </w:tc>
        <w:tc>
          <w:tcPr>
            <w:tcW w:w="1134" w:type="dxa"/>
            <w:vMerge w:val="continue"/>
            <w:tcBorders>
              <w:top w:val="nil"/>
            </w:tcBorders>
          </w:tcPr>
          <w:p w14:paraId="30AD7799">
            <w:pPr>
              <w:rPr>
                <w:sz w:val="2"/>
                <w:szCs w:val="2"/>
              </w:rPr>
            </w:pPr>
          </w:p>
        </w:tc>
        <w:tc>
          <w:tcPr>
            <w:tcW w:w="6880" w:type="dxa"/>
            <w:tcBorders>
              <w:top w:val="nil"/>
              <w:bottom w:val="nil"/>
            </w:tcBorders>
          </w:tcPr>
          <w:p w14:paraId="011BF74F">
            <w:pPr>
              <w:pStyle w:val="14"/>
              <w:spacing w:line="254" w:lineRule="exact"/>
              <w:ind w:left="107"/>
              <w:rPr>
                <w:sz w:val="21"/>
              </w:rPr>
            </w:pPr>
            <w:r>
              <w:rPr>
                <w:rFonts w:ascii="Times New Roman" w:eastAsia="Times New Roman"/>
                <w:sz w:val="21"/>
              </w:rPr>
              <w:t>1.</w:t>
            </w:r>
            <w:r>
              <w:rPr>
                <w:sz w:val="21"/>
              </w:rPr>
              <w:t xml:space="preserve">屠宰产能布局明显优化。到 </w:t>
            </w:r>
            <w:r>
              <w:rPr>
                <w:rFonts w:ascii="Times New Roman" w:eastAsia="Times New Roman"/>
                <w:sz w:val="21"/>
              </w:rPr>
              <w:t xml:space="preserve">2025 </w:t>
            </w:r>
            <w:r>
              <w:rPr>
                <w:sz w:val="21"/>
              </w:rPr>
              <w:t xml:space="preserve">年，每个生猪调出大县有 </w:t>
            </w:r>
            <w:r>
              <w:rPr>
                <w:rFonts w:ascii="Times New Roman" w:eastAsia="Times New Roman"/>
                <w:sz w:val="21"/>
              </w:rPr>
              <w:t xml:space="preserve">1 </w:t>
            </w:r>
            <w:r>
              <w:rPr>
                <w:sz w:val="21"/>
              </w:rPr>
              <w:t>家以上符</w:t>
            </w:r>
          </w:p>
        </w:tc>
        <w:tc>
          <w:tcPr>
            <w:tcW w:w="4153" w:type="dxa"/>
            <w:tcBorders>
              <w:top w:val="nil"/>
              <w:bottom w:val="nil"/>
            </w:tcBorders>
          </w:tcPr>
          <w:p w14:paraId="3CF1A139">
            <w:pPr>
              <w:pStyle w:val="14"/>
              <w:rPr>
                <w:rFonts w:ascii="Times New Roman"/>
                <w:sz w:val="20"/>
              </w:rPr>
            </w:pPr>
          </w:p>
        </w:tc>
        <w:tc>
          <w:tcPr>
            <w:tcW w:w="482" w:type="dxa"/>
            <w:vMerge w:val="continue"/>
            <w:tcBorders>
              <w:top w:val="nil"/>
            </w:tcBorders>
          </w:tcPr>
          <w:p w14:paraId="0C292908">
            <w:pPr>
              <w:rPr>
                <w:sz w:val="2"/>
                <w:szCs w:val="2"/>
              </w:rPr>
            </w:pPr>
          </w:p>
        </w:tc>
      </w:tr>
      <w:tr w14:paraId="7112A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5" w:hRule="atLeast"/>
        </w:trPr>
        <w:tc>
          <w:tcPr>
            <w:tcW w:w="456" w:type="dxa"/>
            <w:tcBorders>
              <w:top w:val="nil"/>
              <w:bottom w:val="nil"/>
            </w:tcBorders>
          </w:tcPr>
          <w:p w14:paraId="7AC07AB5">
            <w:pPr>
              <w:pStyle w:val="14"/>
              <w:rPr>
                <w:b/>
                <w:sz w:val="22"/>
              </w:rPr>
            </w:pPr>
          </w:p>
          <w:p w14:paraId="3BD17231">
            <w:pPr>
              <w:pStyle w:val="14"/>
              <w:rPr>
                <w:b/>
                <w:sz w:val="22"/>
              </w:rPr>
            </w:pPr>
          </w:p>
          <w:p w14:paraId="65A1BBF7">
            <w:pPr>
              <w:pStyle w:val="14"/>
              <w:rPr>
                <w:b/>
                <w:sz w:val="22"/>
              </w:rPr>
            </w:pPr>
          </w:p>
          <w:p w14:paraId="04E5130D">
            <w:pPr>
              <w:pStyle w:val="14"/>
              <w:rPr>
                <w:b/>
                <w:sz w:val="22"/>
              </w:rPr>
            </w:pPr>
          </w:p>
          <w:p w14:paraId="4C31CD6F">
            <w:pPr>
              <w:pStyle w:val="14"/>
              <w:spacing w:before="5"/>
              <w:rPr>
                <w:b/>
                <w:sz w:val="18"/>
              </w:rPr>
            </w:pPr>
          </w:p>
          <w:p w14:paraId="6F1699EC">
            <w:pPr>
              <w:pStyle w:val="14"/>
              <w:ind w:left="8"/>
              <w:jc w:val="center"/>
              <w:rPr>
                <w:rFonts w:ascii="Times New Roman"/>
                <w:sz w:val="21"/>
              </w:rPr>
            </w:pPr>
            <w:r>
              <w:rPr>
                <w:rFonts w:ascii="Times New Roman"/>
                <w:w w:val="99"/>
                <w:sz w:val="21"/>
              </w:rPr>
              <w:t>1</w:t>
            </w:r>
          </w:p>
        </w:tc>
        <w:tc>
          <w:tcPr>
            <w:tcW w:w="1069" w:type="dxa"/>
            <w:tcBorders>
              <w:top w:val="nil"/>
              <w:bottom w:val="nil"/>
            </w:tcBorders>
          </w:tcPr>
          <w:p w14:paraId="35831E71">
            <w:pPr>
              <w:pStyle w:val="14"/>
              <w:spacing w:before="140" w:line="242" w:lineRule="auto"/>
              <w:ind w:left="112" w:right="106"/>
              <w:jc w:val="center"/>
              <w:rPr>
                <w:sz w:val="21"/>
              </w:rPr>
            </w:pPr>
            <w:r>
              <w:rPr>
                <w:w w:val="95"/>
                <w:sz w:val="21"/>
              </w:rPr>
              <w:t>《湖南省生猪屠宰行业发展</w:t>
            </w:r>
            <w:r>
              <w:rPr>
                <w:sz w:val="21"/>
              </w:rPr>
              <w:t>规划</w:t>
            </w:r>
          </w:p>
          <w:p w14:paraId="26162E7F">
            <w:pPr>
              <w:pStyle w:val="14"/>
              <w:spacing w:before="2"/>
              <w:ind w:left="112" w:right="102"/>
              <w:jc w:val="center"/>
              <w:rPr>
                <w:rFonts w:ascii="Times New Roman" w:eastAsia="Times New Roman"/>
                <w:sz w:val="21"/>
              </w:rPr>
            </w:pPr>
            <w:r>
              <w:rPr>
                <w:w w:val="95"/>
                <w:sz w:val="21"/>
              </w:rPr>
              <w:t>（</w:t>
            </w:r>
            <w:r>
              <w:rPr>
                <w:rFonts w:ascii="Times New Roman" w:eastAsia="Times New Roman"/>
                <w:w w:val="95"/>
                <w:sz w:val="21"/>
              </w:rPr>
              <w:t xml:space="preserve">2022- </w:t>
            </w:r>
            <w:r>
              <w:rPr>
                <w:rFonts w:ascii="Times New Roman" w:eastAsia="Times New Roman"/>
                <w:sz w:val="21"/>
              </w:rPr>
              <w:t>2025</w:t>
            </w:r>
          </w:p>
          <w:p w14:paraId="1D7F930D">
            <w:pPr>
              <w:pStyle w:val="14"/>
              <w:spacing w:before="4" w:line="242" w:lineRule="auto"/>
              <w:ind w:left="112" w:right="106"/>
              <w:jc w:val="center"/>
              <w:rPr>
                <w:sz w:val="21"/>
              </w:rPr>
            </w:pPr>
            <w:r>
              <w:rPr>
                <w:w w:val="95"/>
                <w:sz w:val="21"/>
              </w:rPr>
              <w:t>年</w:t>
            </w:r>
            <w:r>
              <w:rPr>
                <w:spacing w:val="-104"/>
                <w:w w:val="95"/>
                <w:sz w:val="21"/>
              </w:rPr>
              <w:t>）</w:t>
            </w:r>
            <w:r>
              <w:rPr>
                <w:spacing w:val="-106"/>
                <w:w w:val="95"/>
                <w:sz w:val="21"/>
              </w:rPr>
              <w:t>》</w:t>
            </w:r>
            <w:r>
              <w:rPr>
                <w:w w:val="95"/>
                <w:sz w:val="21"/>
              </w:rPr>
              <w:t>（湘</w:t>
            </w:r>
            <w:r>
              <w:rPr>
                <w:sz w:val="21"/>
              </w:rPr>
              <w:t>农发</w:t>
            </w:r>
          </w:p>
          <w:p w14:paraId="3C815C9F">
            <w:pPr>
              <w:pStyle w:val="14"/>
              <w:spacing w:before="1"/>
              <w:ind w:left="87" w:right="81"/>
              <w:jc w:val="center"/>
              <w:rPr>
                <w:sz w:val="21"/>
              </w:rPr>
            </w:pPr>
            <w:r>
              <w:rPr>
                <w:sz w:val="21"/>
              </w:rPr>
              <w:t>〔</w:t>
            </w:r>
            <w:r>
              <w:rPr>
                <w:rFonts w:ascii="Times New Roman" w:eastAsia="Times New Roman"/>
                <w:sz w:val="21"/>
              </w:rPr>
              <w:t>2023</w:t>
            </w:r>
            <w:r>
              <w:rPr>
                <w:sz w:val="21"/>
              </w:rPr>
              <w:t>〕</w:t>
            </w:r>
          </w:p>
          <w:p w14:paraId="7A40866A">
            <w:pPr>
              <w:pStyle w:val="14"/>
              <w:spacing w:before="2"/>
              <w:ind w:left="109" w:right="106"/>
              <w:jc w:val="center"/>
              <w:rPr>
                <w:sz w:val="21"/>
              </w:rPr>
            </w:pPr>
            <w:r>
              <w:rPr>
                <w:rFonts w:ascii="Times New Roman" w:eastAsia="Times New Roman"/>
                <w:sz w:val="21"/>
              </w:rPr>
              <w:t xml:space="preserve">26 </w:t>
            </w:r>
            <w:r>
              <w:rPr>
                <w:sz w:val="21"/>
              </w:rPr>
              <w:t>号）</w:t>
            </w:r>
          </w:p>
        </w:tc>
        <w:tc>
          <w:tcPr>
            <w:tcW w:w="1134" w:type="dxa"/>
            <w:vMerge w:val="continue"/>
            <w:tcBorders>
              <w:top w:val="nil"/>
            </w:tcBorders>
          </w:tcPr>
          <w:p w14:paraId="7C29E3B0">
            <w:pPr>
              <w:rPr>
                <w:sz w:val="2"/>
                <w:szCs w:val="2"/>
              </w:rPr>
            </w:pPr>
          </w:p>
        </w:tc>
        <w:tc>
          <w:tcPr>
            <w:tcW w:w="6880" w:type="dxa"/>
            <w:tcBorders>
              <w:top w:val="nil"/>
              <w:bottom w:val="nil"/>
            </w:tcBorders>
          </w:tcPr>
          <w:p w14:paraId="32C8387D">
            <w:pPr>
              <w:pStyle w:val="14"/>
              <w:spacing w:line="242" w:lineRule="auto"/>
              <w:ind w:left="107" w:right="97"/>
              <w:jc w:val="both"/>
              <w:rPr>
                <w:sz w:val="21"/>
              </w:rPr>
            </w:pPr>
            <w:r>
              <w:rPr>
                <w:sz w:val="21"/>
              </w:rPr>
              <w:t>合现代屠宰产业发展要求的生猪定点屠宰厂（场</w:t>
            </w:r>
            <w:r>
              <w:rPr>
                <w:spacing w:val="-104"/>
                <w:sz w:val="21"/>
              </w:rPr>
              <w:t>）</w:t>
            </w:r>
            <w:r>
              <w:rPr>
                <w:sz w:val="21"/>
              </w:rPr>
              <w:t>。以县域为基础，加快</w:t>
            </w:r>
            <w:r>
              <w:rPr>
                <w:spacing w:val="1"/>
                <w:sz w:val="21"/>
              </w:rPr>
              <w:t>推进冷鲜肉城乡一体化配送，逐步建立健全集养殖、屠宰、加工、冷链配送于一体的健康猪肉供应链体系。</w:t>
            </w:r>
          </w:p>
          <w:p w14:paraId="43CD7E2F">
            <w:pPr>
              <w:pStyle w:val="14"/>
              <w:ind w:left="107"/>
              <w:rPr>
                <w:sz w:val="21"/>
              </w:rPr>
            </w:pPr>
            <w:r>
              <w:rPr>
                <w:rFonts w:ascii="Times New Roman" w:eastAsia="Times New Roman"/>
                <w:sz w:val="21"/>
              </w:rPr>
              <w:t>2.</w:t>
            </w:r>
            <w:r>
              <w:rPr>
                <w:sz w:val="21"/>
              </w:rPr>
              <w:t xml:space="preserve">屠宰加工能力显著提升。到 </w:t>
            </w:r>
            <w:r>
              <w:rPr>
                <w:rFonts w:ascii="Times New Roman" w:eastAsia="Times New Roman"/>
                <w:sz w:val="21"/>
              </w:rPr>
              <w:t xml:space="preserve">2025 </w:t>
            </w:r>
            <w:r>
              <w:rPr>
                <w:sz w:val="21"/>
              </w:rPr>
              <w:t>年，全省生猪年生猪屠宰能力达到</w:t>
            </w:r>
          </w:p>
          <w:p w14:paraId="5F6A9E8A">
            <w:pPr>
              <w:pStyle w:val="14"/>
              <w:spacing w:line="242" w:lineRule="auto"/>
              <w:ind w:left="107" w:right="97"/>
              <w:jc w:val="both"/>
              <w:rPr>
                <w:sz w:val="21"/>
              </w:rPr>
            </w:pPr>
            <w:r>
              <w:rPr>
                <w:rFonts w:ascii="Times New Roman" w:eastAsia="Times New Roman"/>
                <w:sz w:val="21"/>
              </w:rPr>
              <w:t>6000</w:t>
            </w:r>
            <w:r>
              <w:rPr>
                <w:rFonts w:ascii="Times New Roman" w:eastAsia="Times New Roman"/>
                <w:spacing w:val="-8"/>
                <w:sz w:val="21"/>
              </w:rPr>
              <w:t xml:space="preserve"> </w:t>
            </w:r>
            <w:r>
              <w:rPr>
                <w:spacing w:val="-6"/>
                <w:sz w:val="21"/>
              </w:rPr>
              <w:t xml:space="preserve">万头左右，其中 </w:t>
            </w:r>
            <w:r>
              <w:rPr>
                <w:rFonts w:ascii="Times New Roman" w:eastAsia="Times New Roman"/>
                <w:sz w:val="21"/>
              </w:rPr>
              <w:t>100</w:t>
            </w:r>
            <w:r>
              <w:rPr>
                <w:rFonts w:ascii="Times New Roman" w:eastAsia="Times New Roman"/>
                <w:spacing w:val="-8"/>
                <w:sz w:val="21"/>
              </w:rPr>
              <w:t xml:space="preserve"> </w:t>
            </w:r>
            <w:r>
              <w:rPr>
                <w:sz w:val="21"/>
              </w:rPr>
              <w:t>万头的现代化屠宰厂（场）</w:t>
            </w:r>
            <w:r>
              <w:rPr>
                <w:rFonts w:ascii="Times New Roman" w:eastAsia="Times New Roman"/>
                <w:sz w:val="21"/>
              </w:rPr>
              <w:t>15</w:t>
            </w:r>
            <w:r>
              <w:rPr>
                <w:rFonts w:ascii="Times New Roman" w:eastAsia="Times New Roman"/>
                <w:spacing w:val="-6"/>
                <w:sz w:val="21"/>
              </w:rPr>
              <w:t xml:space="preserve"> </w:t>
            </w:r>
            <w:r>
              <w:rPr>
                <w:sz w:val="21"/>
              </w:rPr>
              <w:t>家以上、</w:t>
            </w:r>
            <w:r>
              <w:rPr>
                <w:rFonts w:ascii="Times New Roman" w:eastAsia="Times New Roman"/>
                <w:sz w:val="21"/>
              </w:rPr>
              <w:t>30</w:t>
            </w:r>
            <w:r>
              <w:rPr>
                <w:rFonts w:ascii="Times New Roman" w:eastAsia="Times New Roman"/>
                <w:spacing w:val="-6"/>
                <w:sz w:val="21"/>
              </w:rPr>
              <w:t xml:space="preserve"> </w:t>
            </w:r>
            <w:r>
              <w:rPr>
                <w:sz w:val="21"/>
              </w:rPr>
              <w:t>万头</w:t>
            </w:r>
            <w:r>
              <w:rPr>
                <w:spacing w:val="10"/>
                <w:sz w:val="21"/>
              </w:rPr>
              <w:t>以上的标准化屠宰厂（场</w:t>
            </w:r>
            <w:r>
              <w:rPr>
                <w:spacing w:val="2"/>
                <w:sz w:val="21"/>
              </w:rPr>
              <w:t>）</w:t>
            </w:r>
            <w:r>
              <w:rPr>
                <w:rFonts w:ascii="Times New Roman" w:eastAsia="Times New Roman"/>
                <w:spacing w:val="2"/>
                <w:sz w:val="21"/>
              </w:rPr>
              <w:t>50</w:t>
            </w:r>
            <w:r>
              <w:rPr>
                <w:rFonts w:ascii="Times New Roman" w:eastAsia="Times New Roman"/>
                <w:sz w:val="21"/>
              </w:rPr>
              <w:t xml:space="preserve"> </w:t>
            </w:r>
            <w:r>
              <w:rPr>
                <w:spacing w:val="8"/>
                <w:sz w:val="21"/>
              </w:rPr>
              <w:t>家以上；生猪自营屠宰企业数量逐步增加，冰鲜猪肉（冷冻肉）占比逐步提高。</w:t>
            </w:r>
          </w:p>
          <w:p w14:paraId="6A537480">
            <w:pPr>
              <w:pStyle w:val="14"/>
              <w:ind w:left="107"/>
              <w:rPr>
                <w:sz w:val="21"/>
              </w:rPr>
            </w:pPr>
            <w:r>
              <w:rPr>
                <w:rFonts w:ascii="Times New Roman" w:hAnsi="Times New Roman" w:eastAsia="Times New Roman"/>
                <w:sz w:val="21"/>
              </w:rPr>
              <w:t>3.</w:t>
            </w:r>
            <w:r>
              <w:rPr>
                <w:spacing w:val="-4"/>
                <w:sz w:val="21"/>
              </w:rPr>
              <w:t xml:space="preserve">屠宰加工企业实力显著增强。到 </w:t>
            </w:r>
            <w:r>
              <w:rPr>
                <w:rFonts w:ascii="Times New Roman" w:hAnsi="Times New Roman" w:eastAsia="Times New Roman"/>
                <w:sz w:val="21"/>
              </w:rPr>
              <w:t xml:space="preserve">2025 </w:t>
            </w:r>
            <w:r>
              <w:rPr>
                <w:spacing w:val="-6"/>
                <w:sz w:val="21"/>
              </w:rPr>
              <w:t xml:space="preserve">年，各市州重点培育 </w:t>
            </w:r>
            <w:r>
              <w:rPr>
                <w:rFonts w:ascii="Times New Roman" w:hAnsi="Times New Roman" w:eastAsia="Times New Roman"/>
                <w:sz w:val="21"/>
              </w:rPr>
              <w:t>1</w:t>
            </w:r>
            <w:r>
              <w:rPr>
                <w:sz w:val="21"/>
              </w:rPr>
              <w:t>—</w:t>
            </w:r>
            <w:r>
              <w:rPr>
                <w:rFonts w:ascii="Times New Roman" w:hAnsi="Times New Roman" w:eastAsia="Times New Roman"/>
                <w:sz w:val="21"/>
              </w:rPr>
              <w:t xml:space="preserve">2 </w:t>
            </w:r>
            <w:r>
              <w:rPr>
                <w:sz w:val="21"/>
              </w:rPr>
              <w:t>家以屠</w:t>
            </w:r>
          </w:p>
          <w:p w14:paraId="33D63C84">
            <w:pPr>
              <w:pStyle w:val="14"/>
              <w:spacing w:line="242" w:lineRule="auto"/>
              <w:ind w:left="107" w:right="97"/>
              <w:jc w:val="both"/>
              <w:rPr>
                <w:sz w:val="21"/>
              </w:rPr>
            </w:pPr>
            <w:r>
              <w:rPr>
                <w:sz w:val="21"/>
              </w:rPr>
              <w:t xml:space="preserve">宰加工为引领的省级以上龙头企业，全省培育 </w:t>
            </w:r>
            <w:r>
              <w:rPr>
                <w:rFonts w:ascii="Times New Roman" w:eastAsia="Times New Roman"/>
                <w:sz w:val="21"/>
              </w:rPr>
              <w:t xml:space="preserve">20 </w:t>
            </w:r>
            <w:r>
              <w:rPr>
                <w:sz w:val="21"/>
              </w:rPr>
              <w:t xml:space="preserve">家左右年产值 </w:t>
            </w:r>
            <w:r>
              <w:rPr>
                <w:rFonts w:ascii="Times New Roman" w:eastAsia="Times New Roman"/>
                <w:sz w:val="21"/>
              </w:rPr>
              <w:t xml:space="preserve">10 </w:t>
            </w:r>
            <w:r>
              <w:rPr>
                <w:sz w:val="21"/>
              </w:rPr>
              <w:t>亿元以上集养殖、屠宰、加工、冷链配送一体化发展的全产业链龙头企业，</w:t>
            </w:r>
          </w:p>
          <w:p w14:paraId="731C743C">
            <w:pPr>
              <w:pStyle w:val="14"/>
              <w:spacing w:before="1" w:line="242" w:lineRule="exact"/>
              <w:ind w:left="107"/>
              <w:jc w:val="both"/>
              <w:rPr>
                <w:sz w:val="21"/>
              </w:rPr>
            </w:pPr>
            <w:r>
              <w:rPr>
                <w:sz w:val="21"/>
              </w:rPr>
              <w:t>屠宰加工对生猪产业的引领和带动作用进一步增强。</w:t>
            </w:r>
          </w:p>
        </w:tc>
        <w:tc>
          <w:tcPr>
            <w:tcW w:w="4153" w:type="dxa"/>
            <w:tcBorders>
              <w:top w:val="nil"/>
              <w:bottom w:val="nil"/>
            </w:tcBorders>
          </w:tcPr>
          <w:p w14:paraId="3E935BC4">
            <w:pPr>
              <w:pStyle w:val="14"/>
              <w:rPr>
                <w:b/>
                <w:sz w:val="20"/>
              </w:rPr>
            </w:pPr>
          </w:p>
          <w:p w14:paraId="6C9F5216">
            <w:pPr>
              <w:pStyle w:val="14"/>
              <w:spacing w:before="8"/>
              <w:rPr>
                <w:b/>
                <w:sz w:val="21"/>
              </w:rPr>
            </w:pPr>
          </w:p>
          <w:p w14:paraId="04D0BD7A">
            <w:pPr>
              <w:pStyle w:val="14"/>
              <w:spacing w:line="242" w:lineRule="auto"/>
              <w:ind w:left="108" w:right="96"/>
              <w:jc w:val="both"/>
              <w:rPr>
                <w:sz w:val="21"/>
              </w:rPr>
            </w:pPr>
            <w:r>
              <w:rPr>
                <w:spacing w:val="6"/>
                <w:sz w:val="21"/>
              </w:rPr>
              <w:t>本项目为岳阳县首家现代屠宰产业发展要</w:t>
            </w:r>
            <w:r>
              <w:rPr>
                <w:w w:val="99"/>
                <w:sz w:val="21"/>
              </w:rPr>
              <w:t>求的生猪定点屠宰厂</w:t>
            </w:r>
            <w:r>
              <w:rPr>
                <w:spacing w:val="3"/>
                <w:w w:val="99"/>
                <w:sz w:val="21"/>
              </w:rPr>
              <w:t>（</w:t>
            </w:r>
            <w:r>
              <w:rPr>
                <w:spacing w:val="1"/>
                <w:w w:val="99"/>
                <w:sz w:val="21"/>
              </w:rPr>
              <w:t>场</w:t>
            </w:r>
            <w:r>
              <w:rPr>
                <w:spacing w:val="-101"/>
                <w:w w:val="99"/>
                <w:sz w:val="21"/>
              </w:rPr>
              <w:t>）</w:t>
            </w:r>
            <w:r>
              <w:rPr>
                <w:w w:val="99"/>
                <w:sz w:val="21"/>
              </w:rPr>
              <w:t>，创新推建全集</w:t>
            </w:r>
            <w:r>
              <w:rPr>
                <w:spacing w:val="6"/>
                <w:sz w:val="21"/>
              </w:rPr>
              <w:t>养殖、屠宰、加工、冷链配送于一体的健</w:t>
            </w:r>
            <w:r>
              <w:rPr>
                <w:spacing w:val="-2"/>
                <w:sz w:val="21"/>
              </w:rPr>
              <w:t xml:space="preserve">康猪肉供应链体系，设计年屠宰量为 </w:t>
            </w:r>
            <w:r>
              <w:rPr>
                <w:rFonts w:ascii="Times New Roman" w:eastAsia="Times New Roman"/>
                <w:sz w:val="21"/>
              </w:rPr>
              <w:t xml:space="preserve">40 </w:t>
            </w:r>
            <w:r>
              <w:rPr>
                <w:sz w:val="21"/>
              </w:rPr>
              <w:t>万</w:t>
            </w:r>
            <w:r>
              <w:rPr>
                <w:spacing w:val="6"/>
                <w:sz w:val="21"/>
              </w:rPr>
              <w:t>头，项目建设手续齐全依法合规，运行前明确质量安全、风险防控等措施，竭力推进目标任务的达成</w:t>
            </w:r>
          </w:p>
        </w:tc>
        <w:tc>
          <w:tcPr>
            <w:tcW w:w="482" w:type="dxa"/>
            <w:vMerge w:val="continue"/>
            <w:tcBorders>
              <w:top w:val="nil"/>
            </w:tcBorders>
          </w:tcPr>
          <w:p w14:paraId="52CFD17C">
            <w:pPr>
              <w:rPr>
                <w:sz w:val="2"/>
                <w:szCs w:val="2"/>
              </w:rPr>
            </w:pPr>
          </w:p>
        </w:tc>
      </w:tr>
      <w:tr w14:paraId="4940B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56" w:type="dxa"/>
            <w:tcBorders>
              <w:top w:val="nil"/>
              <w:bottom w:val="nil"/>
            </w:tcBorders>
          </w:tcPr>
          <w:p w14:paraId="258A4C78">
            <w:pPr>
              <w:pStyle w:val="14"/>
              <w:rPr>
                <w:rFonts w:ascii="Times New Roman"/>
                <w:sz w:val="20"/>
              </w:rPr>
            </w:pPr>
          </w:p>
        </w:tc>
        <w:tc>
          <w:tcPr>
            <w:tcW w:w="1069" w:type="dxa"/>
            <w:tcBorders>
              <w:top w:val="nil"/>
              <w:bottom w:val="nil"/>
            </w:tcBorders>
          </w:tcPr>
          <w:p w14:paraId="402B957C">
            <w:pPr>
              <w:pStyle w:val="14"/>
              <w:rPr>
                <w:rFonts w:ascii="Times New Roman"/>
                <w:sz w:val="20"/>
              </w:rPr>
            </w:pPr>
          </w:p>
        </w:tc>
        <w:tc>
          <w:tcPr>
            <w:tcW w:w="1134" w:type="dxa"/>
            <w:vMerge w:val="continue"/>
            <w:tcBorders>
              <w:top w:val="nil"/>
            </w:tcBorders>
          </w:tcPr>
          <w:p w14:paraId="720810BD">
            <w:pPr>
              <w:rPr>
                <w:sz w:val="2"/>
                <w:szCs w:val="2"/>
              </w:rPr>
            </w:pPr>
          </w:p>
        </w:tc>
        <w:tc>
          <w:tcPr>
            <w:tcW w:w="6880" w:type="dxa"/>
            <w:tcBorders>
              <w:top w:val="nil"/>
              <w:bottom w:val="nil"/>
            </w:tcBorders>
          </w:tcPr>
          <w:p w14:paraId="3455B961">
            <w:pPr>
              <w:pStyle w:val="14"/>
              <w:spacing w:line="252" w:lineRule="exact"/>
              <w:ind w:left="107"/>
              <w:rPr>
                <w:sz w:val="21"/>
              </w:rPr>
            </w:pPr>
            <w:r>
              <w:rPr>
                <w:rFonts w:ascii="Times New Roman" w:eastAsia="Times New Roman"/>
                <w:sz w:val="21"/>
              </w:rPr>
              <w:t>4.</w:t>
            </w:r>
            <w:r>
              <w:rPr>
                <w:sz w:val="21"/>
              </w:rPr>
              <w:t>质量安全水平显著提高。足额派驻官方兽医，持续加强屠宰行业监</w:t>
            </w:r>
          </w:p>
        </w:tc>
        <w:tc>
          <w:tcPr>
            <w:tcW w:w="4153" w:type="dxa"/>
            <w:tcBorders>
              <w:top w:val="nil"/>
              <w:bottom w:val="nil"/>
            </w:tcBorders>
          </w:tcPr>
          <w:p w14:paraId="6F4D8C42">
            <w:pPr>
              <w:pStyle w:val="14"/>
              <w:rPr>
                <w:rFonts w:ascii="Times New Roman"/>
                <w:sz w:val="20"/>
              </w:rPr>
            </w:pPr>
          </w:p>
        </w:tc>
        <w:tc>
          <w:tcPr>
            <w:tcW w:w="482" w:type="dxa"/>
            <w:vMerge w:val="continue"/>
            <w:tcBorders>
              <w:top w:val="nil"/>
            </w:tcBorders>
          </w:tcPr>
          <w:p w14:paraId="4D9EFDB6">
            <w:pPr>
              <w:rPr>
                <w:sz w:val="2"/>
                <w:szCs w:val="2"/>
              </w:rPr>
            </w:pPr>
          </w:p>
        </w:tc>
      </w:tr>
      <w:tr w14:paraId="45A0C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56" w:type="dxa"/>
            <w:tcBorders>
              <w:top w:val="nil"/>
              <w:bottom w:val="nil"/>
            </w:tcBorders>
          </w:tcPr>
          <w:p w14:paraId="1FCD1D09">
            <w:pPr>
              <w:pStyle w:val="14"/>
              <w:rPr>
                <w:rFonts w:ascii="Times New Roman"/>
                <w:sz w:val="18"/>
              </w:rPr>
            </w:pPr>
          </w:p>
        </w:tc>
        <w:tc>
          <w:tcPr>
            <w:tcW w:w="1069" w:type="dxa"/>
            <w:tcBorders>
              <w:top w:val="nil"/>
              <w:bottom w:val="nil"/>
            </w:tcBorders>
          </w:tcPr>
          <w:p w14:paraId="20BF9F2E">
            <w:pPr>
              <w:pStyle w:val="14"/>
              <w:rPr>
                <w:rFonts w:ascii="Times New Roman"/>
                <w:sz w:val="18"/>
              </w:rPr>
            </w:pPr>
          </w:p>
        </w:tc>
        <w:tc>
          <w:tcPr>
            <w:tcW w:w="1134" w:type="dxa"/>
            <w:vMerge w:val="continue"/>
            <w:tcBorders>
              <w:top w:val="nil"/>
            </w:tcBorders>
          </w:tcPr>
          <w:p w14:paraId="53476C0C">
            <w:pPr>
              <w:rPr>
                <w:sz w:val="2"/>
                <w:szCs w:val="2"/>
              </w:rPr>
            </w:pPr>
          </w:p>
        </w:tc>
        <w:tc>
          <w:tcPr>
            <w:tcW w:w="6880" w:type="dxa"/>
            <w:tcBorders>
              <w:top w:val="nil"/>
              <w:bottom w:val="nil"/>
            </w:tcBorders>
          </w:tcPr>
          <w:p w14:paraId="1635049B">
            <w:pPr>
              <w:pStyle w:val="14"/>
              <w:spacing w:line="234" w:lineRule="exact"/>
              <w:ind w:left="107"/>
              <w:rPr>
                <w:sz w:val="21"/>
              </w:rPr>
            </w:pPr>
            <w:r>
              <w:rPr>
                <w:sz w:val="21"/>
              </w:rPr>
              <w:t>管。生猪屠宰企业依法经营、标准化操作水平有效提升，质量安全、防</w:t>
            </w:r>
          </w:p>
        </w:tc>
        <w:tc>
          <w:tcPr>
            <w:tcW w:w="4153" w:type="dxa"/>
            <w:tcBorders>
              <w:top w:val="nil"/>
              <w:bottom w:val="nil"/>
            </w:tcBorders>
          </w:tcPr>
          <w:p w14:paraId="1BC79006">
            <w:pPr>
              <w:pStyle w:val="14"/>
              <w:rPr>
                <w:rFonts w:ascii="Times New Roman"/>
                <w:sz w:val="18"/>
              </w:rPr>
            </w:pPr>
          </w:p>
        </w:tc>
        <w:tc>
          <w:tcPr>
            <w:tcW w:w="482" w:type="dxa"/>
            <w:vMerge w:val="continue"/>
            <w:tcBorders>
              <w:top w:val="nil"/>
            </w:tcBorders>
          </w:tcPr>
          <w:p w14:paraId="0293364D">
            <w:pPr>
              <w:rPr>
                <w:sz w:val="2"/>
                <w:szCs w:val="2"/>
              </w:rPr>
            </w:pPr>
          </w:p>
        </w:tc>
      </w:tr>
      <w:tr w14:paraId="7293C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456" w:type="dxa"/>
            <w:tcBorders>
              <w:top w:val="nil"/>
              <w:bottom w:val="nil"/>
            </w:tcBorders>
          </w:tcPr>
          <w:p w14:paraId="38C314DC">
            <w:pPr>
              <w:pStyle w:val="14"/>
              <w:rPr>
                <w:rFonts w:ascii="Times New Roman"/>
                <w:sz w:val="18"/>
              </w:rPr>
            </w:pPr>
          </w:p>
        </w:tc>
        <w:tc>
          <w:tcPr>
            <w:tcW w:w="1069" w:type="dxa"/>
            <w:tcBorders>
              <w:top w:val="nil"/>
              <w:bottom w:val="nil"/>
            </w:tcBorders>
          </w:tcPr>
          <w:p w14:paraId="1E220E2B">
            <w:pPr>
              <w:pStyle w:val="14"/>
              <w:rPr>
                <w:rFonts w:ascii="Times New Roman"/>
                <w:sz w:val="18"/>
              </w:rPr>
            </w:pPr>
          </w:p>
        </w:tc>
        <w:tc>
          <w:tcPr>
            <w:tcW w:w="1134" w:type="dxa"/>
            <w:vMerge w:val="continue"/>
            <w:tcBorders>
              <w:top w:val="nil"/>
            </w:tcBorders>
          </w:tcPr>
          <w:p w14:paraId="1395D55F">
            <w:pPr>
              <w:rPr>
                <w:sz w:val="2"/>
                <w:szCs w:val="2"/>
              </w:rPr>
            </w:pPr>
          </w:p>
        </w:tc>
        <w:tc>
          <w:tcPr>
            <w:tcW w:w="6880" w:type="dxa"/>
            <w:tcBorders>
              <w:top w:val="nil"/>
              <w:bottom w:val="nil"/>
            </w:tcBorders>
          </w:tcPr>
          <w:p w14:paraId="0868D9E9">
            <w:pPr>
              <w:pStyle w:val="14"/>
              <w:spacing w:line="240" w:lineRule="exact"/>
              <w:ind w:left="107"/>
              <w:rPr>
                <w:sz w:val="21"/>
              </w:rPr>
            </w:pPr>
            <w:r>
              <w:rPr>
                <w:sz w:val="21"/>
              </w:rPr>
              <w:t>疫安全、生产安全和环境保护的主体责任意识明显增强，屠宰环节猪肉</w:t>
            </w:r>
          </w:p>
        </w:tc>
        <w:tc>
          <w:tcPr>
            <w:tcW w:w="4153" w:type="dxa"/>
            <w:tcBorders>
              <w:top w:val="nil"/>
              <w:bottom w:val="nil"/>
            </w:tcBorders>
          </w:tcPr>
          <w:p w14:paraId="73CEE74D">
            <w:pPr>
              <w:pStyle w:val="14"/>
              <w:rPr>
                <w:rFonts w:ascii="Times New Roman"/>
                <w:sz w:val="18"/>
              </w:rPr>
            </w:pPr>
          </w:p>
        </w:tc>
        <w:tc>
          <w:tcPr>
            <w:tcW w:w="482" w:type="dxa"/>
            <w:vMerge w:val="continue"/>
            <w:tcBorders>
              <w:top w:val="nil"/>
            </w:tcBorders>
          </w:tcPr>
          <w:p w14:paraId="7C4A737D">
            <w:pPr>
              <w:rPr>
                <w:sz w:val="2"/>
                <w:szCs w:val="2"/>
              </w:rPr>
            </w:pPr>
          </w:p>
        </w:tc>
      </w:tr>
      <w:tr w14:paraId="2197D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6" w:type="dxa"/>
            <w:tcBorders>
              <w:top w:val="nil"/>
              <w:bottom w:val="nil"/>
            </w:tcBorders>
          </w:tcPr>
          <w:p w14:paraId="17E93DFB">
            <w:pPr>
              <w:pStyle w:val="14"/>
              <w:rPr>
                <w:rFonts w:ascii="Times New Roman"/>
                <w:sz w:val="20"/>
              </w:rPr>
            </w:pPr>
          </w:p>
        </w:tc>
        <w:tc>
          <w:tcPr>
            <w:tcW w:w="1069" w:type="dxa"/>
            <w:tcBorders>
              <w:top w:val="nil"/>
              <w:bottom w:val="nil"/>
            </w:tcBorders>
          </w:tcPr>
          <w:p w14:paraId="74A88AC6">
            <w:pPr>
              <w:pStyle w:val="14"/>
              <w:rPr>
                <w:rFonts w:ascii="Times New Roman"/>
                <w:sz w:val="20"/>
              </w:rPr>
            </w:pPr>
          </w:p>
        </w:tc>
        <w:tc>
          <w:tcPr>
            <w:tcW w:w="1134" w:type="dxa"/>
            <w:vMerge w:val="continue"/>
            <w:tcBorders>
              <w:top w:val="nil"/>
            </w:tcBorders>
          </w:tcPr>
          <w:p w14:paraId="3DE7CFEF">
            <w:pPr>
              <w:rPr>
                <w:sz w:val="2"/>
                <w:szCs w:val="2"/>
              </w:rPr>
            </w:pPr>
          </w:p>
        </w:tc>
        <w:tc>
          <w:tcPr>
            <w:tcW w:w="6880" w:type="dxa"/>
            <w:tcBorders>
              <w:top w:val="nil"/>
              <w:bottom w:val="nil"/>
            </w:tcBorders>
          </w:tcPr>
          <w:p w14:paraId="65057382">
            <w:pPr>
              <w:pStyle w:val="14"/>
              <w:spacing w:line="253" w:lineRule="exact"/>
              <w:ind w:left="107"/>
              <w:rPr>
                <w:sz w:val="21"/>
              </w:rPr>
            </w:pPr>
            <w:r>
              <w:rPr>
                <w:sz w:val="21"/>
              </w:rPr>
              <w:t xml:space="preserve">等生猪产品质量安全抽检合格率稳定在 </w:t>
            </w:r>
            <w:r>
              <w:rPr>
                <w:rFonts w:ascii="Times New Roman" w:eastAsia="Times New Roman"/>
                <w:sz w:val="21"/>
              </w:rPr>
              <w:t>98%</w:t>
            </w:r>
            <w:r>
              <w:rPr>
                <w:sz w:val="21"/>
              </w:rPr>
              <w:t>以上，确保不发生重大肉品</w:t>
            </w:r>
          </w:p>
        </w:tc>
        <w:tc>
          <w:tcPr>
            <w:tcW w:w="4153" w:type="dxa"/>
            <w:tcBorders>
              <w:top w:val="nil"/>
              <w:bottom w:val="nil"/>
            </w:tcBorders>
          </w:tcPr>
          <w:p w14:paraId="6B4D2318">
            <w:pPr>
              <w:pStyle w:val="14"/>
              <w:rPr>
                <w:rFonts w:ascii="Times New Roman"/>
                <w:sz w:val="20"/>
              </w:rPr>
            </w:pPr>
          </w:p>
        </w:tc>
        <w:tc>
          <w:tcPr>
            <w:tcW w:w="482" w:type="dxa"/>
            <w:vMerge w:val="continue"/>
            <w:tcBorders>
              <w:top w:val="nil"/>
            </w:tcBorders>
          </w:tcPr>
          <w:p w14:paraId="41241E77">
            <w:pPr>
              <w:rPr>
                <w:sz w:val="2"/>
                <w:szCs w:val="2"/>
              </w:rPr>
            </w:pPr>
          </w:p>
        </w:tc>
      </w:tr>
      <w:tr w14:paraId="09EDA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456" w:type="dxa"/>
            <w:tcBorders>
              <w:top w:val="nil"/>
            </w:tcBorders>
          </w:tcPr>
          <w:p w14:paraId="06BD7EF5">
            <w:pPr>
              <w:pStyle w:val="14"/>
              <w:rPr>
                <w:rFonts w:ascii="Times New Roman"/>
                <w:sz w:val="18"/>
              </w:rPr>
            </w:pPr>
          </w:p>
        </w:tc>
        <w:tc>
          <w:tcPr>
            <w:tcW w:w="1069" w:type="dxa"/>
            <w:tcBorders>
              <w:top w:val="nil"/>
            </w:tcBorders>
          </w:tcPr>
          <w:p w14:paraId="6562789A">
            <w:pPr>
              <w:pStyle w:val="14"/>
              <w:rPr>
                <w:rFonts w:ascii="Times New Roman"/>
                <w:sz w:val="18"/>
              </w:rPr>
            </w:pPr>
          </w:p>
        </w:tc>
        <w:tc>
          <w:tcPr>
            <w:tcW w:w="1134" w:type="dxa"/>
            <w:vMerge w:val="continue"/>
            <w:tcBorders>
              <w:top w:val="nil"/>
            </w:tcBorders>
          </w:tcPr>
          <w:p w14:paraId="2AE8418F">
            <w:pPr>
              <w:rPr>
                <w:sz w:val="2"/>
                <w:szCs w:val="2"/>
              </w:rPr>
            </w:pPr>
          </w:p>
        </w:tc>
        <w:tc>
          <w:tcPr>
            <w:tcW w:w="6880" w:type="dxa"/>
            <w:tcBorders>
              <w:top w:val="nil"/>
            </w:tcBorders>
          </w:tcPr>
          <w:p w14:paraId="64ED4496">
            <w:pPr>
              <w:pStyle w:val="14"/>
              <w:spacing w:line="237" w:lineRule="exact"/>
              <w:ind w:left="107"/>
              <w:rPr>
                <w:sz w:val="21"/>
              </w:rPr>
            </w:pPr>
            <w:r>
              <w:rPr>
                <w:sz w:val="21"/>
              </w:rPr>
              <w:t>质量安全事故。</w:t>
            </w:r>
          </w:p>
        </w:tc>
        <w:tc>
          <w:tcPr>
            <w:tcW w:w="4153" w:type="dxa"/>
            <w:tcBorders>
              <w:top w:val="nil"/>
            </w:tcBorders>
          </w:tcPr>
          <w:p w14:paraId="2DBB396D">
            <w:pPr>
              <w:pStyle w:val="14"/>
              <w:rPr>
                <w:rFonts w:ascii="Times New Roman"/>
                <w:sz w:val="18"/>
              </w:rPr>
            </w:pPr>
          </w:p>
        </w:tc>
        <w:tc>
          <w:tcPr>
            <w:tcW w:w="482" w:type="dxa"/>
            <w:vMerge w:val="continue"/>
            <w:tcBorders>
              <w:top w:val="nil"/>
            </w:tcBorders>
          </w:tcPr>
          <w:p w14:paraId="24CBC95C">
            <w:pPr>
              <w:rPr>
                <w:sz w:val="2"/>
                <w:szCs w:val="2"/>
              </w:rPr>
            </w:pPr>
          </w:p>
        </w:tc>
      </w:tr>
    </w:tbl>
    <w:p w14:paraId="095223F7">
      <w:pPr>
        <w:spacing w:after="0"/>
        <w:rPr>
          <w:sz w:val="2"/>
          <w:szCs w:val="2"/>
        </w:rPr>
        <w:sectPr>
          <w:headerReference r:id="rId13" w:type="default"/>
          <w:footerReference r:id="rId14" w:type="default"/>
          <w:pgSz w:w="16840" w:h="11910" w:orient="landscape"/>
          <w:pgMar w:top="1180" w:right="1220" w:bottom="1400" w:left="1220" w:header="878" w:footer="1204" w:gutter="0"/>
          <w:pgNumType w:start="10"/>
          <w:cols w:space="720" w:num="1"/>
        </w:sectPr>
      </w:pPr>
    </w:p>
    <w:p w14:paraId="1D8BE79E">
      <w:pPr>
        <w:pStyle w:val="7"/>
        <w:rPr>
          <w:rFonts w:ascii="Times New Roman"/>
          <w:sz w:val="20"/>
        </w:rPr>
      </w:pPr>
    </w:p>
    <w:p w14:paraId="541FA921">
      <w:pPr>
        <w:pStyle w:val="7"/>
        <w:rPr>
          <w:rFonts w:ascii="Times New Roman"/>
          <w:sz w:val="20"/>
        </w:rPr>
      </w:pPr>
    </w:p>
    <w:p w14:paraId="68365E5C">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732C3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2" w:hRule="atLeast"/>
        </w:trPr>
        <w:tc>
          <w:tcPr>
            <w:tcW w:w="456" w:type="dxa"/>
            <w:vMerge w:val="restart"/>
          </w:tcPr>
          <w:p w14:paraId="5F10B759">
            <w:pPr>
              <w:pStyle w:val="14"/>
              <w:rPr>
                <w:rFonts w:ascii="Times New Roman"/>
                <w:sz w:val="20"/>
              </w:rPr>
            </w:pPr>
          </w:p>
        </w:tc>
        <w:tc>
          <w:tcPr>
            <w:tcW w:w="1069" w:type="dxa"/>
            <w:vMerge w:val="restart"/>
          </w:tcPr>
          <w:p w14:paraId="131E3979">
            <w:pPr>
              <w:pStyle w:val="14"/>
              <w:rPr>
                <w:rFonts w:ascii="Times New Roman"/>
                <w:sz w:val="20"/>
              </w:rPr>
            </w:pPr>
          </w:p>
        </w:tc>
        <w:tc>
          <w:tcPr>
            <w:tcW w:w="1134" w:type="dxa"/>
            <w:vMerge w:val="restart"/>
          </w:tcPr>
          <w:p w14:paraId="0BD9C73D">
            <w:pPr>
              <w:pStyle w:val="14"/>
              <w:rPr>
                <w:rFonts w:ascii="Times New Roman"/>
                <w:sz w:val="20"/>
              </w:rPr>
            </w:pPr>
          </w:p>
        </w:tc>
        <w:tc>
          <w:tcPr>
            <w:tcW w:w="6880" w:type="dxa"/>
          </w:tcPr>
          <w:p w14:paraId="792B3F9A">
            <w:pPr>
              <w:pStyle w:val="14"/>
              <w:spacing w:before="2"/>
              <w:ind w:left="107"/>
              <w:rPr>
                <w:sz w:val="21"/>
              </w:rPr>
            </w:pPr>
            <w:r>
              <w:rPr>
                <w:sz w:val="21"/>
              </w:rPr>
              <w:t>三、设置规划</w:t>
            </w:r>
          </w:p>
          <w:p w14:paraId="3F958F62">
            <w:pPr>
              <w:pStyle w:val="14"/>
              <w:spacing w:before="2" w:line="242" w:lineRule="auto"/>
              <w:ind w:left="107" w:right="97"/>
              <w:rPr>
                <w:sz w:val="21"/>
              </w:rPr>
            </w:pPr>
            <w:r>
              <w:rPr>
                <w:sz w:val="21"/>
              </w:rPr>
              <w:t xml:space="preserve">（一）生猪定点屠宰厂（场）的布局规划。市州城市区原则上不再新增年屠宰能力 </w:t>
            </w:r>
            <w:r>
              <w:rPr>
                <w:rFonts w:ascii="Times New Roman" w:eastAsia="Times New Roman"/>
                <w:sz w:val="21"/>
              </w:rPr>
              <w:t xml:space="preserve">100 </w:t>
            </w:r>
            <w:r>
              <w:rPr>
                <w:sz w:val="21"/>
              </w:rPr>
              <w:t xml:space="preserve">万头以下屠宰企业。年出栏生猪 </w:t>
            </w:r>
            <w:r>
              <w:rPr>
                <w:rFonts w:ascii="Times New Roman" w:eastAsia="Times New Roman"/>
                <w:sz w:val="21"/>
              </w:rPr>
              <w:t xml:space="preserve">100 </w:t>
            </w:r>
            <w:r>
              <w:rPr>
                <w:sz w:val="21"/>
              </w:rPr>
              <w:t>万头以下的县，原</w:t>
            </w:r>
          </w:p>
          <w:p w14:paraId="7C21DCAF">
            <w:pPr>
              <w:pStyle w:val="14"/>
              <w:spacing w:before="1"/>
              <w:ind w:left="107"/>
              <w:rPr>
                <w:sz w:val="21"/>
              </w:rPr>
            </w:pPr>
            <w:r>
              <w:rPr>
                <w:spacing w:val="-3"/>
                <w:sz w:val="21"/>
              </w:rPr>
              <w:t xml:space="preserve">则上只设置 </w:t>
            </w:r>
            <w:r>
              <w:rPr>
                <w:rFonts w:ascii="Times New Roman" w:eastAsia="Times New Roman"/>
                <w:sz w:val="21"/>
              </w:rPr>
              <w:t xml:space="preserve">1 </w:t>
            </w:r>
            <w:r>
              <w:rPr>
                <w:spacing w:val="7"/>
                <w:sz w:val="21"/>
              </w:rPr>
              <w:t>家生猪屠宰厂</w:t>
            </w:r>
            <w:r>
              <w:rPr>
                <w:spacing w:val="10"/>
                <w:sz w:val="21"/>
              </w:rPr>
              <w:t>（场</w:t>
            </w:r>
            <w:r>
              <w:rPr>
                <w:spacing w:val="-97"/>
                <w:sz w:val="21"/>
              </w:rPr>
              <w:t>）</w:t>
            </w:r>
            <w:r>
              <w:rPr>
                <w:spacing w:val="-2"/>
                <w:sz w:val="21"/>
              </w:rPr>
              <w:t xml:space="preserve">。年出栏生猪 </w:t>
            </w:r>
            <w:r>
              <w:rPr>
                <w:rFonts w:ascii="Times New Roman" w:eastAsia="Times New Roman"/>
                <w:sz w:val="21"/>
              </w:rPr>
              <w:t xml:space="preserve">100 </w:t>
            </w:r>
            <w:r>
              <w:rPr>
                <w:spacing w:val="5"/>
                <w:sz w:val="21"/>
              </w:rPr>
              <w:t>万头以上的养殖大</w:t>
            </w:r>
          </w:p>
          <w:p w14:paraId="146BECB2">
            <w:pPr>
              <w:pStyle w:val="14"/>
              <w:spacing w:before="2"/>
              <w:ind w:left="107"/>
              <w:rPr>
                <w:sz w:val="21"/>
              </w:rPr>
            </w:pPr>
            <w:r>
              <w:rPr>
                <w:spacing w:val="-7"/>
                <w:sz w:val="21"/>
              </w:rPr>
              <w:t xml:space="preserve">县，可设 </w:t>
            </w:r>
            <w:r>
              <w:rPr>
                <w:rFonts w:ascii="Times New Roman" w:eastAsia="Times New Roman"/>
                <w:sz w:val="21"/>
              </w:rPr>
              <w:t xml:space="preserve">2 </w:t>
            </w:r>
            <w:r>
              <w:rPr>
                <w:spacing w:val="5"/>
                <w:sz w:val="21"/>
              </w:rPr>
              <w:t>家生猪屠宰厂（</w:t>
            </w:r>
            <w:r>
              <w:rPr>
                <w:spacing w:val="2"/>
                <w:sz w:val="21"/>
              </w:rPr>
              <w:t>场</w:t>
            </w:r>
            <w:r>
              <w:rPr>
                <w:spacing w:val="-97"/>
                <w:sz w:val="21"/>
              </w:rPr>
              <w:t>）</w:t>
            </w:r>
            <w:r>
              <w:rPr>
                <w:spacing w:val="-4"/>
                <w:sz w:val="21"/>
              </w:rPr>
              <w:t xml:space="preserve">。年出栏生猪 </w:t>
            </w:r>
            <w:r>
              <w:rPr>
                <w:rFonts w:ascii="Times New Roman" w:eastAsia="Times New Roman"/>
                <w:sz w:val="21"/>
              </w:rPr>
              <w:t xml:space="preserve">30 </w:t>
            </w:r>
            <w:r>
              <w:rPr>
                <w:spacing w:val="3"/>
                <w:sz w:val="21"/>
              </w:rPr>
              <w:t>万头以上或年出栏地方</w:t>
            </w:r>
          </w:p>
          <w:p w14:paraId="5BE4A9D3">
            <w:pPr>
              <w:pStyle w:val="14"/>
              <w:spacing w:before="5" w:line="242" w:lineRule="auto"/>
              <w:ind w:left="107" w:right="29"/>
              <w:rPr>
                <w:sz w:val="21"/>
              </w:rPr>
            </w:pPr>
            <w:r>
              <w:rPr>
                <w:sz w:val="21"/>
              </w:rPr>
              <w:t xml:space="preserve">品种猪 </w:t>
            </w:r>
            <w:r>
              <w:rPr>
                <w:rFonts w:ascii="Times New Roman" w:eastAsia="Times New Roman"/>
                <w:sz w:val="21"/>
              </w:rPr>
              <w:t xml:space="preserve">10 </w:t>
            </w:r>
            <w:r>
              <w:rPr>
                <w:sz w:val="21"/>
              </w:rPr>
              <w:t xml:space="preserve">万头以上的大型养殖企业或年加工猪肉产品 </w:t>
            </w:r>
            <w:r>
              <w:rPr>
                <w:rFonts w:ascii="Times New Roman" w:eastAsia="Times New Roman"/>
                <w:sz w:val="21"/>
              </w:rPr>
              <w:t xml:space="preserve">2 </w:t>
            </w:r>
            <w:r>
              <w:rPr>
                <w:sz w:val="21"/>
              </w:rPr>
              <w:t>万吨以上的肉类加工企业， 配套发展与其养殖、加工产能相匹配的自有生猪屠宰厂</w:t>
            </w:r>
          </w:p>
          <w:p w14:paraId="510D944F">
            <w:pPr>
              <w:pStyle w:val="14"/>
              <w:spacing w:before="1" w:line="242" w:lineRule="auto"/>
              <w:ind w:left="107" w:right="100"/>
              <w:rPr>
                <w:sz w:val="21"/>
              </w:rPr>
            </w:pPr>
            <w:r>
              <w:rPr>
                <w:spacing w:val="1"/>
                <w:w w:val="99"/>
                <w:sz w:val="21"/>
              </w:rPr>
              <w:t>（场</w:t>
            </w:r>
            <w:r>
              <w:rPr>
                <w:spacing w:val="-104"/>
                <w:w w:val="99"/>
                <w:sz w:val="21"/>
              </w:rPr>
              <w:t>）</w:t>
            </w:r>
            <w:r>
              <w:rPr>
                <w:w w:val="99"/>
                <w:sz w:val="21"/>
              </w:rPr>
              <w:t>，可不受其所在地区生猪屠宰规划数量限制。不再批准以代宰为主</w:t>
            </w:r>
            <w:r>
              <w:rPr>
                <w:sz w:val="21"/>
              </w:rPr>
              <w:t>的生猪屠宰厂（场</w:t>
            </w:r>
            <w:r>
              <w:rPr>
                <w:spacing w:val="-104"/>
                <w:sz w:val="21"/>
              </w:rPr>
              <w:t>）</w:t>
            </w:r>
            <w:r>
              <w:rPr>
                <w:sz w:val="21"/>
              </w:rPr>
              <w:t>。</w:t>
            </w:r>
          </w:p>
          <w:p w14:paraId="3BEB28FD">
            <w:pPr>
              <w:pStyle w:val="14"/>
              <w:spacing w:before="1" w:line="242" w:lineRule="auto"/>
              <w:ind w:left="107" w:right="55"/>
              <w:rPr>
                <w:sz w:val="21"/>
              </w:rPr>
            </w:pPr>
            <w:r>
              <w:rPr>
                <w:sz w:val="21"/>
              </w:rPr>
              <w:t xml:space="preserve">（三）生猪屠宰厂（场、点）的产能规划。新建、改扩建生猪定点屠宰厂（场）的年设计产能应在 </w:t>
            </w:r>
            <w:r>
              <w:rPr>
                <w:rFonts w:ascii="Times New Roman" w:eastAsia="Times New Roman"/>
                <w:sz w:val="21"/>
              </w:rPr>
              <w:t xml:space="preserve">30 </w:t>
            </w:r>
            <w:r>
              <w:rPr>
                <w:sz w:val="21"/>
              </w:rPr>
              <w:t>万头以上，并配备冷链贮藏和配送体系；</w:t>
            </w:r>
          </w:p>
          <w:p w14:paraId="6F8155DF">
            <w:pPr>
              <w:pStyle w:val="14"/>
              <w:spacing w:before="2" w:line="242" w:lineRule="auto"/>
              <w:ind w:left="107" w:right="97"/>
              <w:rPr>
                <w:sz w:val="21"/>
              </w:rPr>
            </w:pPr>
            <w:r>
              <w:rPr>
                <w:sz w:val="21"/>
              </w:rPr>
              <w:t xml:space="preserve">新建、改扩建小型生猪定点屠宰点的年设计产能应在 </w:t>
            </w:r>
            <w:r>
              <w:rPr>
                <w:rFonts w:ascii="Times New Roman" w:eastAsia="Times New Roman"/>
                <w:sz w:val="21"/>
              </w:rPr>
              <w:t xml:space="preserve">2 </w:t>
            </w:r>
            <w:r>
              <w:rPr>
                <w:sz w:val="21"/>
              </w:rPr>
              <w:t>万头以上。新建、改扩建的生猪定点屠宰厂（场、点）应符合国家和我省发布的有关</w:t>
            </w:r>
          </w:p>
          <w:p w14:paraId="29FFFCDF">
            <w:pPr>
              <w:pStyle w:val="14"/>
              <w:spacing w:before="1" w:line="251" w:lineRule="exact"/>
              <w:ind w:left="107"/>
              <w:rPr>
                <w:sz w:val="21"/>
              </w:rPr>
            </w:pPr>
            <w:r>
              <w:rPr>
                <w:sz w:val="21"/>
              </w:rPr>
              <w:t>废水、废气、固体废物和噪音污染防治技术标准。</w:t>
            </w:r>
          </w:p>
        </w:tc>
        <w:tc>
          <w:tcPr>
            <w:tcW w:w="4153" w:type="dxa"/>
          </w:tcPr>
          <w:p w14:paraId="48178897">
            <w:pPr>
              <w:pStyle w:val="14"/>
              <w:rPr>
                <w:rFonts w:ascii="Times New Roman"/>
                <w:sz w:val="20"/>
              </w:rPr>
            </w:pPr>
          </w:p>
          <w:p w14:paraId="08C08179">
            <w:pPr>
              <w:pStyle w:val="14"/>
              <w:rPr>
                <w:rFonts w:ascii="Times New Roman"/>
                <w:sz w:val="20"/>
              </w:rPr>
            </w:pPr>
          </w:p>
          <w:p w14:paraId="133AF856">
            <w:pPr>
              <w:pStyle w:val="14"/>
              <w:rPr>
                <w:rFonts w:ascii="Times New Roman"/>
                <w:sz w:val="20"/>
              </w:rPr>
            </w:pPr>
          </w:p>
          <w:p w14:paraId="422386A9">
            <w:pPr>
              <w:pStyle w:val="14"/>
              <w:rPr>
                <w:rFonts w:ascii="Times New Roman"/>
                <w:sz w:val="20"/>
              </w:rPr>
            </w:pPr>
          </w:p>
          <w:p w14:paraId="0896CA44">
            <w:pPr>
              <w:pStyle w:val="14"/>
              <w:rPr>
                <w:rFonts w:ascii="Times New Roman"/>
                <w:sz w:val="20"/>
              </w:rPr>
            </w:pPr>
          </w:p>
          <w:p w14:paraId="3D5040AF">
            <w:pPr>
              <w:pStyle w:val="14"/>
              <w:rPr>
                <w:rFonts w:ascii="Times New Roman"/>
                <w:sz w:val="20"/>
              </w:rPr>
            </w:pPr>
          </w:p>
          <w:p w14:paraId="78B0CA56">
            <w:pPr>
              <w:pStyle w:val="14"/>
              <w:spacing w:before="117" w:line="242" w:lineRule="auto"/>
              <w:ind w:left="108" w:right="96"/>
              <w:jc w:val="both"/>
              <w:rPr>
                <w:sz w:val="21"/>
              </w:rPr>
            </w:pPr>
            <w:r>
              <w:rPr>
                <w:sz w:val="21"/>
              </w:rPr>
              <w:t xml:space="preserve">本项目用地非城镇建成区范围内，且为县域内目前建设的唯一一所 </w:t>
            </w:r>
            <w:r>
              <w:rPr>
                <w:rFonts w:ascii="Times New Roman" w:eastAsia="Times New Roman"/>
                <w:sz w:val="21"/>
              </w:rPr>
              <w:t xml:space="preserve">A </w:t>
            </w:r>
            <w:r>
              <w:rPr>
                <w:sz w:val="21"/>
              </w:rPr>
              <w:t>类现代化屠宰场及冷链物流，满足设置规划</w:t>
            </w:r>
          </w:p>
        </w:tc>
        <w:tc>
          <w:tcPr>
            <w:tcW w:w="482" w:type="dxa"/>
          </w:tcPr>
          <w:p w14:paraId="2947EE7C">
            <w:pPr>
              <w:pStyle w:val="14"/>
              <w:rPr>
                <w:rFonts w:ascii="Times New Roman"/>
                <w:sz w:val="20"/>
              </w:rPr>
            </w:pPr>
          </w:p>
          <w:p w14:paraId="14C04938">
            <w:pPr>
              <w:pStyle w:val="14"/>
              <w:rPr>
                <w:rFonts w:ascii="Times New Roman"/>
                <w:sz w:val="20"/>
              </w:rPr>
            </w:pPr>
          </w:p>
          <w:p w14:paraId="2E8659BA">
            <w:pPr>
              <w:pStyle w:val="14"/>
              <w:rPr>
                <w:rFonts w:ascii="Times New Roman"/>
                <w:sz w:val="20"/>
              </w:rPr>
            </w:pPr>
          </w:p>
          <w:p w14:paraId="57CB74E5">
            <w:pPr>
              <w:pStyle w:val="14"/>
              <w:rPr>
                <w:rFonts w:ascii="Times New Roman"/>
                <w:sz w:val="20"/>
              </w:rPr>
            </w:pPr>
          </w:p>
          <w:p w14:paraId="0BF81CFD">
            <w:pPr>
              <w:pStyle w:val="14"/>
              <w:rPr>
                <w:rFonts w:ascii="Times New Roman"/>
                <w:sz w:val="20"/>
              </w:rPr>
            </w:pPr>
          </w:p>
          <w:p w14:paraId="1750EDD6">
            <w:pPr>
              <w:pStyle w:val="14"/>
              <w:rPr>
                <w:rFonts w:ascii="Times New Roman"/>
                <w:sz w:val="20"/>
              </w:rPr>
            </w:pPr>
          </w:p>
          <w:p w14:paraId="7E2518ED">
            <w:pPr>
              <w:pStyle w:val="14"/>
              <w:spacing w:before="1"/>
              <w:rPr>
                <w:rFonts w:ascii="Times New Roman"/>
                <w:sz w:val="22"/>
              </w:rPr>
            </w:pPr>
          </w:p>
          <w:p w14:paraId="092ADE52">
            <w:pPr>
              <w:pStyle w:val="14"/>
              <w:spacing w:line="242" w:lineRule="auto"/>
              <w:ind w:left="107" w:right="153"/>
              <w:rPr>
                <w:sz w:val="21"/>
              </w:rPr>
            </w:pPr>
            <w:r>
              <w:rPr>
                <w:sz w:val="21"/>
              </w:rPr>
              <w:t>符合</w:t>
            </w:r>
          </w:p>
        </w:tc>
      </w:tr>
      <w:tr w14:paraId="1B0FA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3" w:hRule="atLeast"/>
        </w:trPr>
        <w:tc>
          <w:tcPr>
            <w:tcW w:w="456" w:type="dxa"/>
            <w:vMerge w:val="continue"/>
            <w:tcBorders>
              <w:top w:val="nil"/>
            </w:tcBorders>
          </w:tcPr>
          <w:p w14:paraId="670DEB66">
            <w:pPr>
              <w:rPr>
                <w:sz w:val="2"/>
                <w:szCs w:val="2"/>
              </w:rPr>
            </w:pPr>
          </w:p>
        </w:tc>
        <w:tc>
          <w:tcPr>
            <w:tcW w:w="1069" w:type="dxa"/>
            <w:vMerge w:val="continue"/>
            <w:tcBorders>
              <w:top w:val="nil"/>
            </w:tcBorders>
          </w:tcPr>
          <w:p w14:paraId="4425C79C">
            <w:pPr>
              <w:rPr>
                <w:sz w:val="2"/>
                <w:szCs w:val="2"/>
              </w:rPr>
            </w:pPr>
          </w:p>
        </w:tc>
        <w:tc>
          <w:tcPr>
            <w:tcW w:w="1134" w:type="dxa"/>
            <w:vMerge w:val="continue"/>
            <w:tcBorders>
              <w:top w:val="nil"/>
            </w:tcBorders>
          </w:tcPr>
          <w:p w14:paraId="4CD54DC7">
            <w:pPr>
              <w:rPr>
                <w:sz w:val="2"/>
                <w:szCs w:val="2"/>
              </w:rPr>
            </w:pPr>
          </w:p>
        </w:tc>
        <w:tc>
          <w:tcPr>
            <w:tcW w:w="6880" w:type="dxa"/>
          </w:tcPr>
          <w:p w14:paraId="4A852E46">
            <w:pPr>
              <w:pStyle w:val="14"/>
              <w:spacing w:line="269" w:lineRule="exact"/>
              <w:ind w:left="107"/>
              <w:rPr>
                <w:sz w:val="21"/>
              </w:rPr>
            </w:pPr>
            <w:r>
              <w:rPr>
                <w:sz w:val="21"/>
              </w:rPr>
              <w:t>四、重点任务</w:t>
            </w:r>
          </w:p>
          <w:p w14:paraId="6F296C6E">
            <w:pPr>
              <w:pStyle w:val="14"/>
              <w:spacing w:before="2" w:line="242" w:lineRule="auto"/>
              <w:ind w:left="107" w:right="97"/>
              <w:jc w:val="both"/>
              <w:rPr>
                <w:sz w:val="21"/>
              </w:rPr>
            </w:pPr>
            <w:r>
              <w:rPr>
                <w:sz w:val="21"/>
              </w:rPr>
              <w:t>（一）优化屠宰产能布局。以岳阳市、常德市、益阳市为重点的洞庭湖区，实施屠宰升级改造计划，鼓励屠宰加工企业加强冷链基础设施建设，配备冷库、低温分割车间等冷藏加工设施，配置冷藏车等冷链运输设备；引导屠宰企业发挥区域交通优势，向乡镇、农村延伸设立肉品经营网点，率先推进城乡肉品供应一体化。</w:t>
            </w:r>
          </w:p>
          <w:p w14:paraId="18DCF582">
            <w:pPr>
              <w:pStyle w:val="14"/>
              <w:spacing w:before="4" w:line="242" w:lineRule="auto"/>
              <w:ind w:left="107" w:right="97"/>
              <w:jc w:val="both"/>
              <w:rPr>
                <w:sz w:val="21"/>
              </w:rPr>
            </w:pPr>
            <w:r>
              <w:rPr>
                <w:sz w:val="21"/>
              </w:rPr>
              <w:t xml:space="preserve">（二）大力推进屠宰标准化示范创建。以质量管理制度化、厂区环境整洁化、设施设备标准化、生产经营规范化、检测检验科学化、废弃物处理无害化、配送冷链化及追溯信息化为主要内容，大力开展生猪定点屠宰厂（场）标准化示范创建。支持生猪定点屠宰场开展质量管理体系认证，建立健全屠宰质量标准体系，实现从生猪入场到肉品出场的全过程质量控制。到 </w:t>
            </w:r>
            <w:r>
              <w:rPr>
                <w:rFonts w:ascii="Times New Roman" w:eastAsia="Times New Roman"/>
                <w:sz w:val="21"/>
              </w:rPr>
              <w:t xml:space="preserve">2025 </w:t>
            </w:r>
            <w:r>
              <w:rPr>
                <w:sz w:val="21"/>
              </w:rPr>
              <w:t>年全省创建国家级、省级生猪屠宰标准化示范厂</w:t>
            </w:r>
          </w:p>
          <w:p w14:paraId="21340EF8">
            <w:pPr>
              <w:pStyle w:val="14"/>
              <w:spacing w:before="3" w:line="270" w:lineRule="atLeast"/>
              <w:ind w:left="107" w:right="97"/>
              <w:jc w:val="both"/>
              <w:rPr>
                <w:sz w:val="21"/>
              </w:rPr>
            </w:pPr>
            <w:r>
              <w:rPr>
                <w:sz w:val="21"/>
              </w:rPr>
              <w:t>（场）</w:t>
            </w:r>
            <w:r>
              <w:rPr>
                <w:rFonts w:ascii="Times New Roman" w:eastAsia="Times New Roman"/>
                <w:sz w:val="21"/>
              </w:rPr>
              <w:t xml:space="preserve">50 </w:t>
            </w:r>
            <w:r>
              <w:rPr>
                <w:sz w:val="21"/>
              </w:rPr>
              <w:t>个以上。规范小型生猪定点屠宰点建设，实行待宰、屠宰、肉品销售分区管理和机械化屠宰，净污道和出入场车道分离，建设运输车辆洗消通道和必要的冷藏设施，</w:t>
            </w:r>
            <w:r>
              <w:rPr>
                <w:rFonts w:ascii="Times New Roman" w:eastAsia="Times New Roman"/>
                <w:sz w:val="21"/>
              </w:rPr>
              <w:t xml:space="preserve">3 </w:t>
            </w:r>
            <w:r>
              <w:rPr>
                <w:sz w:val="21"/>
              </w:rPr>
              <w:t>年内基本达到标准化建设要求。</w:t>
            </w:r>
          </w:p>
        </w:tc>
        <w:tc>
          <w:tcPr>
            <w:tcW w:w="4153" w:type="dxa"/>
          </w:tcPr>
          <w:p w14:paraId="4C1BF5E6">
            <w:pPr>
              <w:pStyle w:val="14"/>
              <w:rPr>
                <w:rFonts w:ascii="Times New Roman"/>
                <w:sz w:val="20"/>
              </w:rPr>
            </w:pPr>
          </w:p>
          <w:p w14:paraId="540F9711">
            <w:pPr>
              <w:pStyle w:val="14"/>
              <w:rPr>
                <w:rFonts w:ascii="Times New Roman"/>
                <w:sz w:val="20"/>
              </w:rPr>
            </w:pPr>
          </w:p>
          <w:p w14:paraId="1D8FDACB">
            <w:pPr>
              <w:pStyle w:val="14"/>
              <w:rPr>
                <w:rFonts w:ascii="Times New Roman"/>
                <w:sz w:val="20"/>
              </w:rPr>
            </w:pPr>
          </w:p>
          <w:p w14:paraId="0D95FA37">
            <w:pPr>
              <w:pStyle w:val="14"/>
              <w:rPr>
                <w:rFonts w:ascii="Times New Roman"/>
                <w:sz w:val="20"/>
              </w:rPr>
            </w:pPr>
          </w:p>
          <w:p w14:paraId="2C761D63">
            <w:pPr>
              <w:pStyle w:val="14"/>
              <w:rPr>
                <w:rFonts w:ascii="Times New Roman"/>
                <w:sz w:val="20"/>
              </w:rPr>
            </w:pPr>
          </w:p>
          <w:p w14:paraId="1731B9A7">
            <w:pPr>
              <w:pStyle w:val="14"/>
              <w:rPr>
                <w:rFonts w:ascii="Times New Roman"/>
                <w:sz w:val="20"/>
              </w:rPr>
            </w:pPr>
          </w:p>
          <w:p w14:paraId="116F2095">
            <w:pPr>
              <w:pStyle w:val="14"/>
              <w:spacing w:before="1"/>
              <w:rPr>
                <w:rFonts w:ascii="Times New Roman"/>
                <w:sz w:val="22"/>
              </w:rPr>
            </w:pPr>
          </w:p>
          <w:p w14:paraId="2E63656E">
            <w:pPr>
              <w:pStyle w:val="14"/>
              <w:spacing w:line="242" w:lineRule="auto"/>
              <w:ind w:left="108" w:right="96"/>
              <w:jc w:val="both"/>
              <w:rPr>
                <w:sz w:val="21"/>
              </w:rPr>
            </w:pPr>
            <w:r>
              <w:rPr>
                <w:sz w:val="21"/>
              </w:rPr>
              <w:t>本项目配套完善的冷链物流，位于岳阳市岳阳县，正式运行后计划创新创建屠宰标准化示范基地，有力支持重点任务的完成</w:t>
            </w:r>
          </w:p>
        </w:tc>
        <w:tc>
          <w:tcPr>
            <w:tcW w:w="482" w:type="dxa"/>
          </w:tcPr>
          <w:p w14:paraId="67B7F4C4">
            <w:pPr>
              <w:pStyle w:val="14"/>
              <w:rPr>
                <w:rFonts w:ascii="Times New Roman"/>
                <w:sz w:val="20"/>
              </w:rPr>
            </w:pPr>
          </w:p>
          <w:p w14:paraId="5815F6B8">
            <w:pPr>
              <w:pStyle w:val="14"/>
              <w:rPr>
                <w:rFonts w:ascii="Times New Roman"/>
                <w:sz w:val="20"/>
              </w:rPr>
            </w:pPr>
          </w:p>
          <w:p w14:paraId="2597E471">
            <w:pPr>
              <w:pStyle w:val="14"/>
              <w:rPr>
                <w:rFonts w:ascii="Times New Roman"/>
                <w:sz w:val="20"/>
              </w:rPr>
            </w:pPr>
          </w:p>
          <w:p w14:paraId="12C4B9D8">
            <w:pPr>
              <w:pStyle w:val="14"/>
              <w:rPr>
                <w:rFonts w:ascii="Times New Roman"/>
                <w:sz w:val="20"/>
              </w:rPr>
            </w:pPr>
          </w:p>
          <w:p w14:paraId="6002065A">
            <w:pPr>
              <w:pStyle w:val="14"/>
              <w:rPr>
                <w:rFonts w:ascii="Times New Roman"/>
                <w:sz w:val="20"/>
              </w:rPr>
            </w:pPr>
          </w:p>
          <w:p w14:paraId="47D149C7">
            <w:pPr>
              <w:pStyle w:val="14"/>
              <w:rPr>
                <w:rFonts w:ascii="Times New Roman"/>
                <w:sz w:val="20"/>
              </w:rPr>
            </w:pPr>
          </w:p>
          <w:p w14:paraId="5F5FB13D">
            <w:pPr>
              <w:pStyle w:val="14"/>
              <w:rPr>
                <w:rFonts w:ascii="Times New Roman"/>
                <w:sz w:val="20"/>
              </w:rPr>
            </w:pPr>
          </w:p>
          <w:p w14:paraId="35B844F5">
            <w:pPr>
              <w:pStyle w:val="14"/>
              <w:spacing w:before="161" w:line="242" w:lineRule="auto"/>
              <w:ind w:left="107" w:right="153"/>
              <w:rPr>
                <w:sz w:val="21"/>
              </w:rPr>
            </w:pPr>
            <w:r>
              <w:rPr>
                <w:sz w:val="21"/>
              </w:rPr>
              <w:t>符合</w:t>
            </w:r>
          </w:p>
        </w:tc>
      </w:tr>
    </w:tbl>
    <w:p w14:paraId="2FB073A2">
      <w:pPr>
        <w:spacing w:after="0" w:line="242" w:lineRule="auto"/>
        <w:rPr>
          <w:sz w:val="21"/>
        </w:rPr>
        <w:sectPr>
          <w:pgSz w:w="16840" w:h="11910" w:orient="landscape"/>
          <w:pgMar w:top="1180" w:right="1220" w:bottom="1400" w:left="1220" w:header="878" w:footer="1204" w:gutter="0"/>
          <w:cols w:space="720" w:num="1"/>
        </w:sectPr>
      </w:pPr>
    </w:p>
    <w:p w14:paraId="533D2444">
      <w:pPr>
        <w:pStyle w:val="7"/>
        <w:rPr>
          <w:rFonts w:ascii="Times New Roman"/>
          <w:sz w:val="20"/>
        </w:rPr>
      </w:pPr>
    </w:p>
    <w:p w14:paraId="13EDB7E7">
      <w:pPr>
        <w:pStyle w:val="7"/>
        <w:rPr>
          <w:rFonts w:ascii="Times New Roman"/>
          <w:sz w:val="20"/>
        </w:rPr>
      </w:pPr>
    </w:p>
    <w:p w14:paraId="5DFE09FF">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1BEAC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456" w:type="dxa"/>
            <w:vMerge w:val="restart"/>
          </w:tcPr>
          <w:p w14:paraId="66BD85D6">
            <w:pPr>
              <w:pStyle w:val="14"/>
              <w:rPr>
                <w:rFonts w:ascii="Times New Roman"/>
                <w:sz w:val="20"/>
              </w:rPr>
            </w:pPr>
          </w:p>
        </w:tc>
        <w:tc>
          <w:tcPr>
            <w:tcW w:w="1069" w:type="dxa"/>
            <w:vMerge w:val="restart"/>
          </w:tcPr>
          <w:p w14:paraId="4AF359FC">
            <w:pPr>
              <w:pStyle w:val="14"/>
              <w:rPr>
                <w:rFonts w:ascii="Times New Roman"/>
                <w:sz w:val="20"/>
              </w:rPr>
            </w:pPr>
          </w:p>
        </w:tc>
        <w:tc>
          <w:tcPr>
            <w:tcW w:w="1134" w:type="dxa"/>
            <w:vMerge w:val="restart"/>
          </w:tcPr>
          <w:p w14:paraId="085C393F">
            <w:pPr>
              <w:pStyle w:val="14"/>
              <w:rPr>
                <w:rFonts w:ascii="Times New Roman"/>
                <w:sz w:val="20"/>
              </w:rPr>
            </w:pPr>
          </w:p>
        </w:tc>
        <w:tc>
          <w:tcPr>
            <w:tcW w:w="6880" w:type="dxa"/>
            <w:tcBorders>
              <w:bottom w:val="nil"/>
            </w:tcBorders>
          </w:tcPr>
          <w:p w14:paraId="535DCA9A">
            <w:pPr>
              <w:pStyle w:val="14"/>
              <w:spacing w:before="2" w:line="245" w:lineRule="exact"/>
              <w:ind w:left="107"/>
              <w:rPr>
                <w:sz w:val="21"/>
              </w:rPr>
            </w:pPr>
            <w:r>
              <w:rPr>
                <w:sz w:val="21"/>
              </w:rPr>
              <w:t>六、环境影响评价</w:t>
            </w:r>
          </w:p>
        </w:tc>
        <w:tc>
          <w:tcPr>
            <w:tcW w:w="4153" w:type="dxa"/>
            <w:tcBorders>
              <w:bottom w:val="nil"/>
            </w:tcBorders>
          </w:tcPr>
          <w:p w14:paraId="003B0DA4">
            <w:pPr>
              <w:pStyle w:val="14"/>
              <w:rPr>
                <w:rFonts w:ascii="Times New Roman"/>
                <w:sz w:val="18"/>
              </w:rPr>
            </w:pPr>
          </w:p>
        </w:tc>
        <w:tc>
          <w:tcPr>
            <w:tcW w:w="482" w:type="dxa"/>
            <w:vMerge w:val="restart"/>
          </w:tcPr>
          <w:p w14:paraId="5DDB0E9D">
            <w:pPr>
              <w:pStyle w:val="14"/>
              <w:rPr>
                <w:rFonts w:ascii="Times New Roman"/>
                <w:sz w:val="20"/>
              </w:rPr>
            </w:pPr>
          </w:p>
          <w:p w14:paraId="462C2BC3">
            <w:pPr>
              <w:pStyle w:val="14"/>
              <w:rPr>
                <w:rFonts w:ascii="Times New Roman"/>
                <w:sz w:val="20"/>
              </w:rPr>
            </w:pPr>
          </w:p>
          <w:p w14:paraId="523146A8">
            <w:pPr>
              <w:pStyle w:val="14"/>
              <w:rPr>
                <w:rFonts w:ascii="Times New Roman"/>
                <w:sz w:val="20"/>
              </w:rPr>
            </w:pPr>
          </w:p>
          <w:p w14:paraId="71725B7A">
            <w:pPr>
              <w:pStyle w:val="14"/>
              <w:rPr>
                <w:rFonts w:ascii="Times New Roman"/>
                <w:sz w:val="20"/>
              </w:rPr>
            </w:pPr>
          </w:p>
          <w:p w14:paraId="6AB59AC6">
            <w:pPr>
              <w:pStyle w:val="14"/>
              <w:rPr>
                <w:rFonts w:ascii="Times New Roman"/>
                <w:sz w:val="20"/>
              </w:rPr>
            </w:pPr>
          </w:p>
          <w:p w14:paraId="08F9A517">
            <w:pPr>
              <w:pStyle w:val="14"/>
              <w:rPr>
                <w:rFonts w:ascii="Times New Roman"/>
                <w:sz w:val="20"/>
              </w:rPr>
            </w:pPr>
          </w:p>
          <w:p w14:paraId="1A0BA92A">
            <w:pPr>
              <w:pStyle w:val="14"/>
              <w:rPr>
                <w:rFonts w:ascii="Times New Roman"/>
                <w:sz w:val="20"/>
              </w:rPr>
            </w:pPr>
          </w:p>
          <w:p w14:paraId="6EFE9A93">
            <w:pPr>
              <w:pStyle w:val="14"/>
              <w:rPr>
                <w:rFonts w:ascii="Times New Roman"/>
                <w:sz w:val="20"/>
              </w:rPr>
            </w:pPr>
          </w:p>
          <w:p w14:paraId="6192E4C0">
            <w:pPr>
              <w:pStyle w:val="14"/>
              <w:rPr>
                <w:rFonts w:ascii="Times New Roman"/>
                <w:sz w:val="20"/>
              </w:rPr>
            </w:pPr>
          </w:p>
          <w:p w14:paraId="1509BF95">
            <w:pPr>
              <w:pStyle w:val="14"/>
              <w:spacing w:before="1"/>
              <w:rPr>
                <w:rFonts w:ascii="Times New Roman"/>
                <w:sz w:val="20"/>
              </w:rPr>
            </w:pPr>
          </w:p>
          <w:p w14:paraId="62A9B163">
            <w:pPr>
              <w:pStyle w:val="14"/>
              <w:spacing w:line="242" w:lineRule="auto"/>
              <w:ind w:left="107" w:right="153"/>
              <w:rPr>
                <w:sz w:val="21"/>
              </w:rPr>
            </w:pPr>
            <w:r>
              <w:rPr>
                <w:sz w:val="21"/>
              </w:rPr>
              <w:t>符合</w:t>
            </w:r>
          </w:p>
        </w:tc>
      </w:tr>
      <w:tr w14:paraId="11F14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56" w:type="dxa"/>
            <w:vMerge w:val="continue"/>
            <w:tcBorders>
              <w:top w:val="nil"/>
            </w:tcBorders>
          </w:tcPr>
          <w:p w14:paraId="1CAE5554">
            <w:pPr>
              <w:rPr>
                <w:sz w:val="2"/>
                <w:szCs w:val="2"/>
              </w:rPr>
            </w:pPr>
          </w:p>
        </w:tc>
        <w:tc>
          <w:tcPr>
            <w:tcW w:w="1069" w:type="dxa"/>
            <w:vMerge w:val="continue"/>
            <w:tcBorders>
              <w:top w:val="nil"/>
            </w:tcBorders>
          </w:tcPr>
          <w:p w14:paraId="1EB5275D">
            <w:pPr>
              <w:rPr>
                <w:sz w:val="2"/>
                <w:szCs w:val="2"/>
              </w:rPr>
            </w:pPr>
          </w:p>
        </w:tc>
        <w:tc>
          <w:tcPr>
            <w:tcW w:w="1134" w:type="dxa"/>
            <w:vMerge w:val="continue"/>
            <w:tcBorders>
              <w:top w:val="nil"/>
            </w:tcBorders>
          </w:tcPr>
          <w:p w14:paraId="7BD299F7">
            <w:pPr>
              <w:rPr>
                <w:sz w:val="2"/>
                <w:szCs w:val="2"/>
              </w:rPr>
            </w:pPr>
          </w:p>
        </w:tc>
        <w:tc>
          <w:tcPr>
            <w:tcW w:w="6880" w:type="dxa"/>
            <w:tcBorders>
              <w:top w:val="nil"/>
              <w:bottom w:val="nil"/>
            </w:tcBorders>
          </w:tcPr>
          <w:p w14:paraId="43E56DDF">
            <w:pPr>
              <w:pStyle w:val="14"/>
              <w:spacing w:line="241" w:lineRule="exact"/>
              <w:ind w:left="107"/>
              <w:rPr>
                <w:sz w:val="21"/>
              </w:rPr>
            </w:pPr>
            <w:r>
              <w:rPr>
                <w:sz w:val="21"/>
              </w:rPr>
              <w:t>生猪屠宰场建设过程中和运行后，将对生产生活环境和生态环境造成一</w:t>
            </w:r>
          </w:p>
        </w:tc>
        <w:tc>
          <w:tcPr>
            <w:tcW w:w="4153" w:type="dxa"/>
            <w:tcBorders>
              <w:top w:val="nil"/>
              <w:bottom w:val="nil"/>
            </w:tcBorders>
          </w:tcPr>
          <w:p w14:paraId="1A033517">
            <w:pPr>
              <w:pStyle w:val="14"/>
              <w:rPr>
                <w:rFonts w:ascii="Times New Roman"/>
                <w:sz w:val="18"/>
              </w:rPr>
            </w:pPr>
          </w:p>
        </w:tc>
        <w:tc>
          <w:tcPr>
            <w:tcW w:w="482" w:type="dxa"/>
            <w:vMerge w:val="continue"/>
            <w:tcBorders>
              <w:top w:val="nil"/>
            </w:tcBorders>
          </w:tcPr>
          <w:p w14:paraId="01A81EE8">
            <w:pPr>
              <w:rPr>
                <w:sz w:val="2"/>
                <w:szCs w:val="2"/>
              </w:rPr>
            </w:pPr>
          </w:p>
        </w:tc>
      </w:tr>
      <w:tr w14:paraId="6912E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56" w:type="dxa"/>
            <w:vMerge w:val="continue"/>
            <w:tcBorders>
              <w:top w:val="nil"/>
            </w:tcBorders>
          </w:tcPr>
          <w:p w14:paraId="5267C287">
            <w:pPr>
              <w:rPr>
                <w:sz w:val="2"/>
                <w:szCs w:val="2"/>
              </w:rPr>
            </w:pPr>
          </w:p>
        </w:tc>
        <w:tc>
          <w:tcPr>
            <w:tcW w:w="1069" w:type="dxa"/>
            <w:vMerge w:val="continue"/>
            <w:tcBorders>
              <w:top w:val="nil"/>
            </w:tcBorders>
          </w:tcPr>
          <w:p w14:paraId="271BD3C8">
            <w:pPr>
              <w:rPr>
                <w:sz w:val="2"/>
                <w:szCs w:val="2"/>
              </w:rPr>
            </w:pPr>
          </w:p>
        </w:tc>
        <w:tc>
          <w:tcPr>
            <w:tcW w:w="1134" w:type="dxa"/>
            <w:vMerge w:val="continue"/>
            <w:tcBorders>
              <w:top w:val="nil"/>
            </w:tcBorders>
          </w:tcPr>
          <w:p w14:paraId="6E10EB17">
            <w:pPr>
              <w:rPr>
                <w:sz w:val="2"/>
                <w:szCs w:val="2"/>
              </w:rPr>
            </w:pPr>
          </w:p>
        </w:tc>
        <w:tc>
          <w:tcPr>
            <w:tcW w:w="6880" w:type="dxa"/>
            <w:tcBorders>
              <w:top w:val="nil"/>
              <w:bottom w:val="nil"/>
            </w:tcBorders>
          </w:tcPr>
          <w:p w14:paraId="3E4F7013">
            <w:pPr>
              <w:pStyle w:val="14"/>
              <w:spacing w:line="242" w:lineRule="exact"/>
              <w:ind w:left="107"/>
              <w:rPr>
                <w:sz w:val="21"/>
              </w:rPr>
            </w:pPr>
            <w:r>
              <w:rPr>
                <w:sz w:val="21"/>
              </w:rPr>
              <w:t>定影响。通过采取一系列的消除、减轻及环境保护措施，不利影响可以</w:t>
            </w:r>
          </w:p>
        </w:tc>
        <w:tc>
          <w:tcPr>
            <w:tcW w:w="4153" w:type="dxa"/>
            <w:tcBorders>
              <w:top w:val="nil"/>
              <w:bottom w:val="nil"/>
            </w:tcBorders>
          </w:tcPr>
          <w:p w14:paraId="3BAA32E4">
            <w:pPr>
              <w:pStyle w:val="14"/>
              <w:rPr>
                <w:rFonts w:ascii="Times New Roman"/>
                <w:sz w:val="18"/>
              </w:rPr>
            </w:pPr>
          </w:p>
        </w:tc>
        <w:tc>
          <w:tcPr>
            <w:tcW w:w="482" w:type="dxa"/>
            <w:vMerge w:val="continue"/>
            <w:tcBorders>
              <w:top w:val="nil"/>
            </w:tcBorders>
          </w:tcPr>
          <w:p w14:paraId="07FECB33">
            <w:pPr>
              <w:rPr>
                <w:sz w:val="2"/>
                <w:szCs w:val="2"/>
              </w:rPr>
            </w:pPr>
          </w:p>
        </w:tc>
      </w:tr>
      <w:tr w14:paraId="2DEAA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456" w:type="dxa"/>
            <w:vMerge w:val="continue"/>
            <w:tcBorders>
              <w:top w:val="nil"/>
            </w:tcBorders>
          </w:tcPr>
          <w:p w14:paraId="1860F56E">
            <w:pPr>
              <w:rPr>
                <w:sz w:val="2"/>
                <w:szCs w:val="2"/>
              </w:rPr>
            </w:pPr>
          </w:p>
        </w:tc>
        <w:tc>
          <w:tcPr>
            <w:tcW w:w="1069" w:type="dxa"/>
            <w:vMerge w:val="continue"/>
            <w:tcBorders>
              <w:top w:val="nil"/>
            </w:tcBorders>
          </w:tcPr>
          <w:p w14:paraId="3F1C7719">
            <w:pPr>
              <w:rPr>
                <w:sz w:val="2"/>
                <w:szCs w:val="2"/>
              </w:rPr>
            </w:pPr>
          </w:p>
        </w:tc>
        <w:tc>
          <w:tcPr>
            <w:tcW w:w="1134" w:type="dxa"/>
            <w:vMerge w:val="continue"/>
            <w:tcBorders>
              <w:top w:val="nil"/>
            </w:tcBorders>
          </w:tcPr>
          <w:p w14:paraId="07424FF7">
            <w:pPr>
              <w:rPr>
                <w:sz w:val="2"/>
                <w:szCs w:val="2"/>
              </w:rPr>
            </w:pPr>
          </w:p>
        </w:tc>
        <w:tc>
          <w:tcPr>
            <w:tcW w:w="6880" w:type="dxa"/>
            <w:tcBorders>
              <w:top w:val="nil"/>
              <w:bottom w:val="nil"/>
            </w:tcBorders>
          </w:tcPr>
          <w:p w14:paraId="796FFC97">
            <w:pPr>
              <w:pStyle w:val="14"/>
              <w:spacing w:line="266" w:lineRule="exact"/>
              <w:ind w:left="107"/>
              <w:rPr>
                <w:sz w:val="21"/>
              </w:rPr>
            </w:pPr>
            <w:r>
              <w:rPr>
                <w:sz w:val="21"/>
              </w:rPr>
              <w:t>得到规避和有效减轻。</w:t>
            </w:r>
          </w:p>
          <w:p w14:paraId="7B89A9C7">
            <w:pPr>
              <w:pStyle w:val="14"/>
              <w:spacing w:before="1"/>
              <w:ind w:left="107"/>
              <w:rPr>
                <w:rFonts w:ascii="Times New Roman" w:hAnsi="Times New Roman"/>
                <w:sz w:val="21"/>
              </w:rPr>
            </w:pPr>
            <w:r>
              <w:rPr>
                <w:rFonts w:ascii="Times New Roman" w:hAnsi="Times New Roman"/>
                <w:sz w:val="21"/>
              </w:rPr>
              <w:t>……</w:t>
            </w:r>
          </w:p>
          <w:p w14:paraId="364D6D3C">
            <w:pPr>
              <w:pStyle w:val="14"/>
              <w:spacing w:before="2" w:line="247" w:lineRule="exact"/>
              <w:ind w:left="107"/>
              <w:rPr>
                <w:sz w:val="21"/>
              </w:rPr>
            </w:pPr>
            <w:r>
              <w:rPr>
                <w:sz w:val="21"/>
              </w:rPr>
              <w:t>（二）不利环境影响分析。生猪屠宰主要污染为屠宰场建设施工期间施</w:t>
            </w:r>
          </w:p>
        </w:tc>
        <w:tc>
          <w:tcPr>
            <w:tcW w:w="4153" w:type="dxa"/>
            <w:tcBorders>
              <w:top w:val="nil"/>
              <w:bottom w:val="nil"/>
            </w:tcBorders>
          </w:tcPr>
          <w:p w14:paraId="20AC0E0C">
            <w:pPr>
              <w:pStyle w:val="14"/>
              <w:rPr>
                <w:rFonts w:ascii="Times New Roman"/>
                <w:sz w:val="20"/>
              </w:rPr>
            </w:pPr>
          </w:p>
        </w:tc>
        <w:tc>
          <w:tcPr>
            <w:tcW w:w="482" w:type="dxa"/>
            <w:vMerge w:val="continue"/>
            <w:tcBorders>
              <w:top w:val="nil"/>
            </w:tcBorders>
          </w:tcPr>
          <w:p w14:paraId="215BC9DF">
            <w:pPr>
              <w:rPr>
                <w:sz w:val="2"/>
                <w:szCs w:val="2"/>
              </w:rPr>
            </w:pPr>
          </w:p>
        </w:tc>
      </w:tr>
      <w:tr w14:paraId="35FFF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56" w:type="dxa"/>
            <w:vMerge w:val="continue"/>
            <w:tcBorders>
              <w:top w:val="nil"/>
            </w:tcBorders>
          </w:tcPr>
          <w:p w14:paraId="7EA74980">
            <w:pPr>
              <w:rPr>
                <w:sz w:val="2"/>
                <w:szCs w:val="2"/>
              </w:rPr>
            </w:pPr>
          </w:p>
        </w:tc>
        <w:tc>
          <w:tcPr>
            <w:tcW w:w="1069" w:type="dxa"/>
            <w:vMerge w:val="continue"/>
            <w:tcBorders>
              <w:top w:val="nil"/>
            </w:tcBorders>
          </w:tcPr>
          <w:p w14:paraId="1DAB099C">
            <w:pPr>
              <w:rPr>
                <w:sz w:val="2"/>
                <w:szCs w:val="2"/>
              </w:rPr>
            </w:pPr>
          </w:p>
        </w:tc>
        <w:tc>
          <w:tcPr>
            <w:tcW w:w="1134" w:type="dxa"/>
            <w:vMerge w:val="continue"/>
            <w:tcBorders>
              <w:top w:val="nil"/>
            </w:tcBorders>
          </w:tcPr>
          <w:p w14:paraId="79237ABA">
            <w:pPr>
              <w:rPr>
                <w:sz w:val="2"/>
                <w:szCs w:val="2"/>
              </w:rPr>
            </w:pPr>
          </w:p>
        </w:tc>
        <w:tc>
          <w:tcPr>
            <w:tcW w:w="6880" w:type="dxa"/>
            <w:tcBorders>
              <w:top w:val="nil"/>
              <w:bottom w:val="nil"/>
            </w:tcBorders>
          </w:tcPr>
          <w:p w14:paraId="13CCB057">
            <w:pPr>
              <w:pStyle w:val="14"/>
              <w:spacing w:line="242" w:lineRule="exact"/>
              <w:ind w:left="107"/>
              <w:rPr>
                <w:sz w:val="21"/>
              </w:rPr>
            </w:pPr>
            <w:r>
              <w:rPr>
                <w:sz w:val="21"/>
              </w:rPr>
              <w:t>工污染和运营污染。施工污染包括扬尘、施工机械及交通噪声产生的施</w:t>
            </w:r>
          </w:p>
        </w:tc>
        <w:tc>
          <w:tcPr>
            <w:tcW w:w="4153" w:type="dxa"/>
            <w:tcBorders>
              <w:top w:val="nil"/>
              <w:bottom w:val="nil"/>
            </w:tcBorders>
          </w:tcPr>
          <w:p w14:paraId="4AB087C7">
            <w:pPr>
              <w:pStyle w:val="14"/>
              <w:rPr>
                <w:rFonts w:ascii="Times New Roman"/>
                <w:sz w:val="18"/>
              </w:rPr>
            </w:pPr>
          </w:p>
        </w:tc>
        <w:tc>
          <w:tcPr>
            <w:tcW w:w="482" w:type="dxa"/>
            <w:vMerge w:val="continue"/>
            <w:tcBorders>
              <w:top w:val="nil"/>
            </w:tcBorders>
          </w:tcPr>
          <w:p w14:paraId="742E787B">
            <w:pPr>
              <w:rPr>
                <w:sz w:val="2"/>
                <w:szCs w:val="2"/>
              </w:rPr>
            </w:pPr>
          </w:p>
        </w:tc>
      </w:tr>
      <w:tr w14:paraId="3555D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56" w:type="dxa"/>
            <w:vMerge w:val="continue"/>
            <w:tcBorders>
              <w:top w:val="nil"/>
            </w:tcBorders>
          </w:tcPr>
          <w:p w14:paraId="2965E377">
            <w:pPr>
              <w:rPr>
                <w:sz w:val="2"/>
                <w:szCs w:val="2"/>
              </w:rPr>
            </w:pPr>
          </w:p>
        </w:tc>
        <w:tc>
          <w:tcPr>
            <w:tcW w:w="1069" w:type="dxa"/>
            <w:vMerge w:val="continue"/>
            <w:tcBorders>
              <w:top w:val="nil"/>
            </w:tcBorders>
          </w:tcPr>
          <w:p w14:paraId="7FCC5BB4">
            <w:pPr>
              <w:rPr>
                <w:sz w:val="2"/>
                <w:szCs w:val="2"/>
              </w:rPr>
            </w:pPr>
          </w:p>
        </w:tc>
        <w:tc>
          <w:tcPr>
            <w:tcW w:w="1134" w:type="dxa"/>
            <w:vMerge w:val="continue"/>
            <w:tcBorders>
              <w:top w:val="nil"/>
            </w:tcBorders>
          </w:tcPr>
          <w:p w14:paraId="4742DACC">
            <w:pPr>
              <w:rPr>
                <w:sz w:val="2"/>
                <w:szCs w:val="2"/>
              </w:rPr>
            </w:pPr>
          </w:p>
        </w:tc>
        <w:tc>
          <w:tcPr>
            <w:tcW w:w="6880" w:type="dxa"/>
            <w:tcBorders>
              <w:top w:val="nil"/>
              <w:bottom w:val="nil"/>
            </w:tcBorders>
          </w:tcPr>
          <w:p w14:paraId="5CC48FD1">
            <w:pPr>
              <w:pStyle w:val="14"/>
              <w:spacing w:line="248" w:lineRule="exact"/>
              <w:ind w:left="107"/>
              <w:rPr>
                <w:sz w:val="21"/>
              </w:rPr>
            </w:pPr>
            <w:r>
              <w:rPr>
                <w:sz w:val="21"/>
              </w:rPr>
              <w:t>工噪声、施工废水、施工固废，属于短期阶段性污染。运营污染是指运</w:t>
            </w:r>
          </w:p>
        </w:tc>
        <w:tc>
          <w:tcPr>
            <w:tcW w:w="4153" w:type="dxa"/>
            <w:tcBorders>
              <w:top w:val="nil"/>
              <w:bottom w:val="nil"/>
            </w:tcBorders>
          </w:tcPr>
          <w:p w14:paraId="485E17F2">
            <w:pPr>
              <w:pStyle w:val="14"/>
              <w:spacing w:before="10" w:line="238" w:lineRule="exact"/>
              <w:ind w:left="108"/>
              <w:rPr>
                <w:sz w:val="21"/>
              </w:rPr>
            </w:pPr>
            <w:r>
              <w:rPr>
                <w:sz w:val="21"/>
              </w:rPr>
              <w:t>本项目现阶段依法进行环评，评价期间暂</w:t>
            </w:r>
          </w:p>
        </w:tc>
        <w:tc>
          <w:tcPr>
            <w:tcW w:w="482" w:type="dxa"/>
            <w:vMerge w:val="continue"/>
            <w:tcBorders>
              <w:top w:val="nil"/>
            </w:tcBorders>
          </w:tcPr>
          <w:p w14:paraId="4A29DCC9">
            <w:pPr>
              <w:rPr>
                <w:sz w:val="2"/>
                <w:szCs w:val="2"/>
              </w:rPr>
            </w:pPr>
          </w:p>
        </w:tc>
      </w:tr>
      <w:tr w14:paraId="25FE9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56" w:type="dxa"/>
            <w:vMerge w:val="continue"/>
            <w:tcBorders>
              <w:top w:val="nil"/>
            </w:tcBorders>
          </w:tcPr>
          <w:p w14:paraId="7AFC21C7">
            <w:pPr>
              <w:rPr>
                <w:sz w:val="2"/>
                <w:szCs w:val="2"/>
              </w:rPr>
            </w:pPr>
          </w:p>
        </w:tc>
        <w:tc>
          <w:tcPr>
            <w:tcW w:w="1069" w:type="dxa"/>
            <w:vMerge w:val="continue"/>
            <w:tcBorders>
              <w:top w:val="nil"/>
            </w:tcBorders>
          </w:tcPr>
          <w:p w14:paraId="5DACBF96">
            <w:pPr>
              <w:rPr>
                <w:sz w:val="2"/>
                <w:szCs w:val="2"/>
              </w:rPr>
            </w:pPr>
          </w:p>
        </w:tc>
        <w:tc>
          <w:tcPr>
            <w:tcW w:w="1134" w:type="dxa"/>
            <w:vMerge w:val="continue"/>
            <w:tcBorders>
              <w:top w:val="nil"/>
            </w:tcBorders>
          </w:tcPr>
          <w:p w14:paraId="43698836">
            <w:pPr>
              <w:rPr>
                <w:sz w:val="2"/>
                <w:szCs w:val="2"/>
              </w:rPr>
            </w:pPr>
          </w:p>
        </w:tc>
        <w:tc>
          <w:tcPr>
            <w:tcW w:w="6880" w:type="dxa"/>
            <w:tcBorders>
              <w:top w:val="nil"/>
              <w:bottom w:val="nil"/>
            </w:tcBorders>
          </w:tcPr>
          <w:p w14:paraId="74A2B6BD">
            <w:pPr>
              <w:pStyle w:val="14"/>
              <w:spacing w:line="242" w:lineRule="exact"/>
              <w:ind w:left="107"/>
              <w:rPr>
                <w:sz w:val="21"/>
              </w:rPr>
            </w:pPr>
            <w:r>
              <w:rPr>
                <w:sz w:val="21"/>
              </w:rPr>
              <w:t>营期生猪屠宰加工产生的大气环境、水环境、声环境、固体废物污染。</w:t>
            </w:r>
          </w:p>
        </w:tc>
        <w:tc>
          <w:tcPr>
            <w:tcW w:w="4153" w:type="dxa"/>
            <w:tcBorders>
              <w:top w:val="nil"/>
              <w:bottom w:val="nil"/>
            </w:tcBorders>
          </w:tcPr>
          <w:p w14:paraId="2BD0D3F0">
            <w:pPr>
              <w:pStyle w:val="14"/>
              <w:spacing w:before="3" w:line="239" w:lineRule="exact"/>
              <w:ind w:left="108"/>
              <w:rPr>
                <w:sz w:val="21"/>
              </w:rPr>
            </w:pPr>
            <w:r>
              <w:rPr>
                <w:sz w:val="21"/>
              </w:rPr>
              <w:t>未开工建设，环境影响分析充分论证，根</w:t>
            </w:r>
          </w:p>
        </w:tc>
        <w:tc>
          <w:tcPr>
            <w:tcW w:w="482" w:type="dxa"/>
            <w:vMerge w:val="continue"/>
            <w:tcBorders>
              <w:top w:val="nil"/>
            </w:tcBorders>
          </w:tcPr>
          <w:p w14:paraId="24ECE05C">
            <w:pPr>
              <w:rPr>
                <w:sz w:val="2"/>
                <w:szCs w:val="2"/>
              </w:rPr>
            </w:pPr>
          </w:p>
        </w:tc>
      </w:tr>
      <w:tr w14:paraId="02915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56" w:type="dxa"/>
            <w:vMerge w:val="continue"/>
            <w:tcBorders>
              <w:top w:val="nil"/>
            </w:tcBorders>
          </w:tcPr>
          <w:p w14:paraId="595FC33F">
            <w:pPr>
              <w:rPr>
                <w:sz w:val="2"/>
                <w:szCs w:val="2"/>
              </w:rPr>
            </w:pPr>
          </w:p>
        </w:tc>
        <w:tc>
          <w:tcPr>
            <w:tcW w:w="1069" w:type="dxa"/>
            <w:vMerge w:val="continue"/>
            <w:tcBorders>
              <w:top w:val="nil"/>
            </w:tcBorders>
          </w:tcPr>
          <w:p w14:paraId="7D935EA0">
            <w:pPr>
              <w:rPr>
                <w:sz w:val="2"/>
                <w:szCs w:val="2"/>
              </w:rPr>
            </w:pPr>
          </w:p>
        </w:tc>
        <w:tc>
          <w:tcPr>
            <w:tcW w:w="1134" w:type="dxa"/>
            <w:vMerge w:val="continue"/>
            <w:tcBorders>
              <w:top w:val="nil"/>
            </w:tcBorders>
          </w:tcPr>
          <w:p w14:paraId="03F27458">
            <w:pPr>
              <w:rPr>
                <w:sz w:val="2"/>
                <w:szCs w:val="2"/>
              </w:rPr>
            </w:pPr>
          </w:p>
        </w:tc>
        <w:tc>
          <w:tcPr>
            <w:tcW w:w="6880" w:type="dxa"/>
            <w:tcBorders>
              <w:top w:val="nil"/>
              <w:bottom w:val="nil"/>
            </w:tcBorders>
          </w:tcPr>
          <w:p w14:paraId="453806A4">
            <w:pPr>
              <w:pStyle w:val="14"/>
              <w:spacing w:line="242" w:lineRule="exact"/>
              <w:ind w:left="107"/>
              <w:rPr>
                <w:sz w:val="21"/>
              </w:rPr>
            </w:pPr>
            <w:r>
              <w:rPr>
                <w:sz w:val="21"/>
              </w:rPr>
              <w:t>上述污染因素会对项目实施地的水质、土壤、空气产生局部影响。</w:t>
            </w:r>
          </w:p>
        </w:tc>
        <w:tc>
          <w:tcPr>
            <w:tcW w:w="4153" w:type="dxa"/>
            <w:tcBorders>
              <w:top w:val="nil"/>
              <w:bottom w:val="nil"/>
            </w:tcBorders>
          </w:tcPr>
          <w:p w14:paraId="53DC397C">
            <w:pPr>
              <w:pStyle w:val="14"/>
              <w:spacing w:before="4" w:line="238" w:lineRule="exact"/>
              <w:ind w:left="108"/>
              <w:rPr>
                <w:sz w:val="21"/>
              </w:rPr>
            </w:pPr>
            <w:r>
              <w:rPr>
                <w:sz w:val="21"/>
              </w:rPr>
              <w:t>据国家及地方规范选取最优的污染防治措</w:t>
            </w:r>
          </w:p>
        </w:tc>
        <w:tc>
          <w:tcPr>
            <w:tcW w:w="482" w:type="dxa"/>
            <w:vMerge w:val="continue"/>
            <w:tcBorders>
              <w:top w:val="nil"/>
            </w:tcBorders>
          </w:tcPr>
          <w:p w14:paraId="1A19CE9E">
            <w:pPr>
              <w:rPr>
                <w:sz w:val="2"/>
                <w:szCs w:val="2"/>
              </w:rPr>
            </w:pPr>
          </w:p>
        </w:tc>
      </w:tr>
      <w:tr w14:paraId="226ED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456" w:type="dxa"/>
            <w:vMerge w:val="continue"/>
            <w:tcBorders>
              <w:top w:val="nil"/>
            </w:tcBorders>
          </w:tcPr>
          <w:p w14:paraId="24E538CB">
            <w:pPr>
              <w:rPr>
                <w:sz w:val="2"/>
                <w:szCs w:val="2"/>
              </w:rPr>
            </w:pPr>
          </w:p>
        </w:tc>
        <w:tc>
          <w:tcPr>
            <w:tcW w:w="1069" w:type="dxa"/>
            <w:vMerge w:val="continue"/>
            <w:tcBorders>
              <w:top w:val="nil"/>
            </w:tcBorders>
          </w:tcPr>
          <w:p w14:paraId="122CB715">
            <w:pPr>
              <w:rPr>
                <w:sz w:val="2"/>
                <w:szCs w:val="2"/>
              </w:rPr>
            </w:pPr>
          </w:p>
        </w:tc>
        <w:tc>
          <w:tcPr>
            <w:tcW w:w="1134" w:type="dxa"/>
            <w:vMerge w:val="continue"/>
            <w:tcBorders>
              <w:top w:val="nil"/>
            </w:tcBorders>
          </w:tcPr>
          <w:p w14:paraId="6107DF71">
            <w:pPr>
              <w:rPr>
                <w:sz w:val="2"/>
                <w:szCs w:val="2"/>
              </w:rPr>
            </w:pPr>
          </w:p>
        </w:tc>
        <w:tc>
          <w:tcPr>
            <w:tcW w:w="6880" w:type="dxa"/>
            <w:tcBorders>
              <w:top w:val="nil"/>
              <w:bottom w:val="nil"/>
            </w:tcBorders>
          </w:tcPr>
          <w:p w14:paraId="0A22BB8E">
            <w:pPr>
              <w:pStyle w:val="14"/>
              <w:spacing w:line="244" w:lineRule="exact"/>
              <w:ind w:left="107"/>
              <w:rPr>
                <w:sz w:val="21"/>
              </w:rPr>
            </w:pPr>
            <w:r>
              <w:rPr>
                <w:sz w:val="21"/>
              </w:rPr>
              <w:t>（三）消除环境影响措施。严格执行国家有关规划及建设项目环境影响</w:t>
            </w:r>
          </w:p>
        </w:tc>
        <w:tc>
          <w:tcPr>
            <w:tcW w:w="4153" w:type="dxa"/>
            <w:tcBorders>
              <w:top w:val="nil"/>
              <w:bottom w:val="nil"/>
            </w:tcBorders>
          </w:tcPr>
          <w:p w14:paraId="725C031B">
            <w:pPr>
              <w:pStyle w:val="14"/>
              <w:spacing w:before="5" w:line="238" w:lineRule="exact"/>
              <w:ind w:left="108"/>
              <w:rPr>
                <w:sz w:val="21"/>
              </w:rPr>
            </w:pPr>
            <w:r>
              <w:rPr>
                <w:sz w:val="21"/>
              </w:rPr>
              <w:t>施，已满足达标排放，环境影响程度可接</w:t>
            </w:r>
          </w:p>
        </w:tc>
        <w:tc>
          <w:tcPr>
            <w:tcW w:w="482" w:type="dxa"/>
            <w:vMerge w:val="continue"/>
            <w:tcBorders>
              <w:top w:val="nil"/>
            </w:tcBorders>
          </w:tcPr>
          <w:p w14:paraId="28FF5082">
            <w:pPr>
              <w:rPr>
                <w:sz w:val="2"/>
                <w:szCs w:val="2"/>
              </w:rPr>
            </w:pPr>
          </w:p>
        </w:tc>
      </w:tr>
      <w:tr w14:paraId="48C24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56" w:type="dxa"/>
            <w:vMerge w:val="continue"/>
            <w:tcBorders>
              <w:top w:val="nil"/>
            </w:tcBorders>
          </w:tcPr>
          <w:p w14:paraId="6A7C2133">
            <w:pPr>
              <w:rPr>
                <w:sz w:val="2"/>
                <w:szCs w:val="2"/>
              </w:rPr>
            </w:pPr>
          </w:p>
        </w:tc>
        <w:tc>
          <w:tcPr>
            <w:tcW w:w="1069" w:type="dxa"/>
            <w:vMerge w:val="continue"/>
            <w:tcBorders>
              <w:top w:val="nil"/>
            </w:tcBorders>
          </w:tcPr>
          <w:p w14:paraId="7A4FB57D">
            <w:pPr>
              <w:rPr>
                <w:sz w:val="2"/>
                <w:szCs w:val="2"/>
              </w:rPr>
            </w:pPr>
          </w:p>
        </w:tc>
        <w:tc>
          <w:tcPr>
            <w:tcW w:w="1134" w:type="dxa"/>
            <w:vMerge w:val="continue"/>
            <w:tcBorders>
              <w:top w:val="nil"/>
            </w:tcBorders>
          </w:tcPr>
          <w:p w14:paraId="3D1D4F16">
            <w:pPr>
              <w:rPr>
                <w:sz w:val="2"/>
                <w:szCs w:val="2"/>
              </w:rPr>
            </w:pPr>
          </w:p>
        </w:tc>
        <w:tc>
          <w:tcPr>
            <w:tcW w:w="6880" w:type="dxa"/>
            <w:tcBorders>
              <w:top w:val="nil"/>
              <w:bottom w:val="nil"/>
            </w:tcBorders>
          </w:tcPr>
          <w:p w14:paraId="6150F6A9">
            <w:pPr>
              <w:pStyle w:val="14"/>
              <w:spacing w:line="241" w:lineRule="exact"/>
              <w:ind w:left="107"/>
              <w:rPr>
                <w:sz w:val="21"/>
              </w:rPr>
            </w:pPr>
            <w:r>
              <w:rPr>
                <w:sz w:val="21"/>
              </w:rPr>
              <w:t>评价和审查制度。加强工程项目实施后可能影响的重要生态环境敏感区</w:t>
            </w:r>
          </w:p>
        </w:tc>
        <w:tc>
          <w:tcPr>
            <w:tcW w:w="4153" w:type="dxa"/>
            <w:tcBorders>
              <w:top w:val="nil"/>
              <w:bottom w:val="nil"/>
            </w:tcBorders>
          </w:tcPr>
          <w:p w14:paraId="038D5BE9">
            <w:pPr>
              <w:pStyle w:val="14"/>
              <w:spacing w:before="3" w:line="238" w:lineRule="exact"/>
              <w:ind w:left="108"/>
              <w:rPr>
                <w:sz w:val="21"/>
              </w:rPr>
            </w:pPr>
            <w:r>
              <w:rPr>
                <w:w w:val="99"/>
                <w:sz w:val="21"/>
              </w:rPr>
              <w:t>受</w:t>
            </w:r>
          </w:p>
        </w:tc>
        <w:tc>
          <w:tcPr>
            <w:tcW w:w="482" w:type="dxa"/>
            <w:vMerge w:val="continue"/>
            <w:tcBorders>
              <w:top w:val="nil"/>
            </w:tcBorders>
          </w:tcPr>
          <w:p w14:paraId="7F43BC96">
            <w:pPr>
              <w:rPr>
                <w:sz w:val="2"/>
                <w:szCs w:val="2"/>
              </w:rPr>
            </w:pPr>
          </w:p>
        </w:tc>
      </w:tr>
      <w:tr w14:paraId="42D33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6" w:hRule="atLeast"/>
        </w:trPr>
        <w:tc>
          <w:tcPr>
            <w:tcW w:w="456" w:type="dxa"/>
            <w:vMerge w:val="continue"/>
            <w:tcBorders>
              <w:top w:val="nil"/>
            </w:tcBorders>
          </w:tcPr>
          <w:p w14:paraId="15C0FB46">
            <w:pPr>
              <w:rPr>
                <w:sz w:val="2"/>
                <w:szCs w:val="2"/>
              </w:rPr>
            </w:pPr>
          </w:p>
        </w:tc>
        <w:tc>
          <w:tcPr>
            <w:tcW w:w="1069" w:type="dxa"/>
            <w:vMerge w:val="continue"/>
            <w:tcBorders>
              <w:top w:val="nil"/>
            </w:tcBorders>
          </w:tcPr>
          <w:p w14:paraId="3D377BAF">
            <w:pPr>
              <w:rPr>
                <w:sz w:val="2"/>
                <w:szCs w:val="2"/>
              </w:rPr>
            </w:pPr>
          </w:p>
        </w:tc>
        <w:tc>
          <w:tcPr>
            <w:tcW w:w="1134" w:type="dxa"/>
            <w:vMerge w:val="continue"/>
            <w:tcBorders>
              <w:top w:val="nil"/>
            </w:tcBorders>
          </w:tcPr>
          <w:p w14:paraId="7CA5C32F">
            <w:pPr>
              <w:rPr>
                <w:sz w:val="2"/>
                <w:szCs w:val="2"/>
              </w:rPr>
            </w:pPr>
          </w:p>
        </w:tc>
        <w:tc>
          <w:tcPr>
            <w:tcW w:w="6880" w:type="dxa"/>
            <w:tcBorders>
              <w:top w:val="nil"/>
              <w:bottom w:val="nil"/>
            </w:tcBorders>
          </w:tcPr>
          <w:p w14:paraId="19A51ED6">
            <w:pPr>
              <w:pStyle w:val="14"/>
              <w:spacing w:line="244" w:lineRule="auto"/>
              <w:ind w:left="107" w:right="94"/>
              <w:jc w:val="both"/>
              <w:rPr>
                <w:rFonts w:ascii="Times New Roman" w:eastAsia="Times New Roman"/>
                <w:sz w:val="21"/>
              </w:rPr>
            </w:pPr>
            <w:r>
              <w:rPr>
                <w:sz w:val="21"/>
              </w:rPr>
              <w:t>和重要目标监测与保护，建立完善的监测体系。重点加强屠宰场运营期间环境风险评价与管理，严格执行《畜禽屠宰操作规程 生猪》（</w:t>
            </w:r>
            <w:r>
              <w:rPr>
                <w:rFonts w:ascii="Times New Roman" w:eastAsia="Times New Roman"/>
                <w:sz w:val="21"/>
              </w:rPr>
              <w:t>GB/T</w:t>
            </w:r>
          </w:p>
          <w:p w14:paraId="5A921662">
            <w:pPr>
              <w:pStyle w:val="14"/>
              <w:spacing w:line="242" w:lineRule="auto"/>
              <w:ind w:left="107" w:right="97"/>
              <w:jc w:val="both"/>
              <w:rPr>
                <w:sz w:val="21"/>
              </w:rPr>
            </w:pPr>
            <w:r>
              <w:rPr>
                <w:rFonts w:ascii="Times New Roman" w:eastAsia="Times New Roman"/>
                <w:spacing w:val="0"/>
                <w:w w:val="99"/>
                <w:sz w:val="21"/>
              </w:rPr>
              <w:t>172</w:t>
            </w:r>
            <w:r>
              <w:rPr>
                <w:rFonts w:ascii="Times New Roman" w:eastAsia="Times New Roman"/>
                <w:spacing w:val="-2"/>
                <w:w w:val="99"/>
                <w:sz w:val="21"/>
              </w:rPr>
              <w:t>3</w:t>
            </w:r>
            <w:r>
              <w:rPr>
                <w:rFonts w:ascii="Times New Roman" w:eastAsia="Times New Roman"/>
                <w:spacing w:val="5"/>
                <w:w w:val="99"/>
                <w:sz w:val="21"/>
              </w:rPr>
              <w:t>6</w:t>
            </w:r>
            <w:r>
              <w:rPr>
                <w:spacing w:val="-99"/>
                <w:w w:val="99"/>
                <w:sz w:val="21"/>
              </w:rPr>
              <w:t>）</w:t>
            </w:r>
            <w:r>
              <w:rPr>
                <w:w w:val="99"/>
                <w:sz w:val="21"/>
              </w:rPr>
              <w:t>，加强通风、定期清洗地面、消毒除臭，降低大气环境污染。加</w:t>
            </w:r>
            <w:r>
              <w:rPr>
                <w:spacing w:val="1"/>
                <w:sz w:val="21"/>
              </w:rPr>
              <w:t>强水资源节约利用和水体保护工作，严格执行《肉类加工工业水污染物</w:t>
            </w:r>
            <w:r>
              <w:rPr>
                <w:spacing w:val="-14"/>
                <w:w w:val="99"/>
                <w:sz w:val="21"/>
              </w:rPr>
              <w:t>排放标准》</w:t>
            </w:r>
            <w:r>
              <w:rPr>
                <w:spacing w:val="6"/>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0"/>
                <w:w w:val="99"/>
                <w:sz w:val="21"/>
              </w:rPr>
              <w:t>1345</w:t>
            </w:r>
            <w:r>
              <w:rPr>
                <w:rFonts w:ascii="Times New Roman" w:eastAsia="Times New Roman"/>
                <w:spacing w:val="2"/>
                <w:w w:val="99"/>
                <w:sz w:val="21"/>
              </w:rPr>
              <w:t>7</w:t>
            </w:r>
            <w:r>
              <w:rPr>
                <w:spacing w:val="-97"/>
                <w:w w:val="99"/>
                <w:sz w:val="21"/>
              </w:rPr>
              <w:t>）</w:t>
            </w:r>
            <w:r>
              <w:rPr>
                <w:spacing w:val="3"/>
                <w:w w:val="99"/>
                <w:sz w:val="21"/>
              </w:rPr>
              <w:t>，生产车间采用防渗措施，污水集中处理、达标</w:t>
            </w:r>
          </w:p>
          <w:p w14:paraId="16C97995">
            <w:pPr>
              <w:pStyle w:val="14"/>
              <w:spacing w:line="247" w:lineRule="exact"/>
              <w:ind w:left="107"/>
              <w:jc w:val="both"/>
              <w:rPr>
                <w:sz w:val="21"/>
              </w:rPr>
            </w:pPr>
            <w:r>
              <w:rPr>
                <w:w w:val="95"/>
                <w:sz w:val="21"/>
              </w:rPr>
              <w:t>排放，降低水环境污染；对宰前检疫不合格猪、不可食用内脏、胴体修</w:t>
            </w:r>
          </w:p>
        </w:tc>
        <w:tc>
          <w:tcPr>
            <w:tcW w:w="4153" w:type="dxa"/>
            <w:tcBorders>
              <w:top w:val="nil"/>
              <w:bottom w:val="nil"/>
            </w:tcBorders>
          </w:tcPr>
          <w:p w14:paraId="40C9B3EA">
            <w:pPr>
              <w:pStyle w:val="14"/>
              <w:rPr>
                <w:rFonts w:ascii="Times New Roman"/>
                <w:sz w:val="20"/>
              </w:rPr>
            </w:pPr>
          </w:p>
        </w:tc>
        <w:tc>
          <w:tcPr>
            <w:tcW w:w="482" w:type="dxa"/>
            <w:vMerge w:val="continue"/>
            <w:tcBorders>
              <w:top w:val="nil"/>
            </w:tcBorders>
          </w:tcPr>
          <w:p w14:paraId="43424C92">
            <w:pPr>
              <w:rPr>
                <w:sz w:val="2"/>
                <w:szCs w:val="2"/>
              </w:rPr>
            </w:pPr>
          </w:p>
        </w:tc>
      </w:tr>
      <w:tr w14:paraId="4CA9D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456" w:type="dxa"/>
            <w:vMerge w:val="continue"/>
            <w:tcBorders>
              <w:top w:val="nil"/>
            </w:tcBorders>
          </w:tcPr>
          <w:p w14:paraId="3E1D4012">
            <w:pPr>
              <w:rPr>
                <w:sz w:val="2"/>
                <w:szCs w:val="2"/>
              </w:rPr>
            </w:pPr>
          </w:p>
        </w:tc>
        <w:tc>
          <w:tcPr>
            <w:tcW w:w="1069" w:type="dxa"/>
            <w:vMerge w:val="continue"/>
            <w:tcBorders>
              <w:top w:val="nil"/>
            </w:tcBorders>
          </w:tcPr>
          <w:p w14:paraId="4C13A26C">
            <w:pPr>
              <w:rPr>
                <w:sz w:val="2"/>
                <w:szCs w:val="2"/>
              </w:rPr>
            </w:pPr>
          </w:p>
        </w:tc>
        <w:tc>
          <w:tcPr>
            <w:tcW w:w="1134" w:type="dxa"/>
            <w:vMerge w:val="continue"/>
            <w:tcBorders>
              <w:top w:val="nil"/>
            </w:tcBorders>
          </w:tcPr>
          <w:p w14:paraId="22611455">
            <w:pPr>
              <w:rPr>
                <w:sz w:val="2"/>
                <w:szCs w:val="2"/>
              </w:rPr>
            </w:pPr>
          </w:p>
        </w:tc>
        <w:tc>
          <w:tcPr>
            <w:tcW w:w="6880" w:type="dxa"/>
            <w:tcBorders>
              <w:top w:val="nil"/>
            </w:tcBorders>
          </w:tcPr>
          <w:p w14:paraId="11668A1A">
            <w:pPr>
              <w:pStyle w:val="14"/>
              <w:spacing w:line="249" w:lineRule="exact"/>
              <w:ind w:left="107"/>
              <w:rPr>
                <w:sz w:val="21"/>
              </w:rPr>
            </w:pPr>
            <w:r>
              <w:rPr>
                <w:sz w:val="21"/>
              </w:rPr>
              <w:t>整过程产生的三腺等严格进行无害化处理，降低固废污染等。</w:t>
            </w:r>
          </w:p>
        </w:tc>
        <w:tc>
          <w:tcPr>
            <w:tcW w:w="4153" w:type="dxa"/>
            <w:tcBorders>
              <w:top w:val="nil"/>
            </w:tcBorders>
          </w:tcPr>
          <w:p w14:paraId="40199871">
            <w:pPr>
              <w:pStyle w:val="14"/>
              <w:rPr>
                <w:rFonts w:ascii="Times New Roman"/>
                <w:sz w:val="18"/>
              </w:rPr>
            </w:pPr>
          </w:p>
        </w:tc>
        <w:tc>
          <w:tcPr>
            <w:tcW w:w="482" w:type="dxa"/>
            <w:vMerge w:val="continue"/>
            <w:tcBorders>
              <w:top w:val="nil"/>
            </w:tcBorders>
          </w:tcPr>
          <w:p w14:paraId="500DC7E8">
            <w:pPr>
              <w:rPr>
                <w:sz w:val="2"/>
                <w:szCs w:val="2"/>
              </w:rPr>
            </w:pPr>
          </w:p>
        </w:tc>
      </w:tr>
      <w:tr w14:paraId="717BD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456" w:type="dxa"/>
            <w:vMerge w:val="restart"/>
          </w:tcPr>
          <w:p w14:paraId="3D40E8DD">
            <w:pPr>
              <w:pStyle w:val="14"/>
              <w:rPr>
                <w:rFonts w:ascii="Times New Roman"/>
                <w:sz w:val="22"/>
              </w:rPr>
            </w:pPr>
          </w:p>
          <w:p w14:paraId="604E4707">
            <w:pPr>
              <w:pStyle w:val="14"/>
              <w:rPr>
                <w:rFonts w:ascii="Times New Roman"/>
                <w:sz w:val="22"/>
              </w:rPr>
            </w:pPr>
          </w:p>
          <w:p w14:paraId="770A054D">
            <w:pPr>
              <w:pStyle w:val="14"/>
              <w:rPr>
                <w:rFonts w:ascii="Times New Roman"/>
                <w:sz w:val="22"/>
              </w:rPr>
            </w:pPr>
          </w:p>
          <w:p w14:paraId="33BFA47D">
            <w:pPr>
              <w:pStyle w:val="14"/>
              <w:rPr>
                <w:rFonts w:ascii="Times New Roman"/>
                <w:sz w:val="22"/>
              </w:rPr>
            </w:pPr>
          </w:p>
          <w:p w14:paraId="30A72587">
            <w:pPr>
              <w:pStyle w:val="14"/>
              <w:rPr>
                <w:rFonts w:ascii="Times New Roman"/>
                <w:sz w:val="32"/>
              </w:rPr>
            </w:pPr>
          </w:p>
          <w:p w14:paraId="439B0F28">
            <w:pPr>
              <w:pStyle w:val="14"/>
              <w:ind w:left="8"/>
              <w:jc w:val="center"/>
              <w:rPr>
                <w:rFonts w:ascii="Times New Roman"/>
                <w:b/>
                <w:sz w:val="21"/>
              </w:rPr>
            </w:pPr>
            <w:r>
              <w:rPr>
                <w:rFonts w:ascii="Times New Roman"/>
                <w:b/>
                <w:w w:val="99"/>
                <w:sz w:val="21"/>
              </w:rPr>
              <w:t>2</w:t>
            </w:r>
          </w:p>
        </w:tc>
        <w:tc>
          <w:tcPr>
            <w:tcW w:w="1069" w:type="dxa"/>
            <w:vMerge w:val="restart"/>
          </w:tcPr>
          <w:p w14:paraId="1E038DD8">
            <w:pPr>
              <w:pStyle w:val="14"/>
              <w:rPr>
                <w:rFonts w:ascii="Times New Roman"/>
                <w:sz w:val="20"/>
              </w:rPr>
            </w:pPr>
          </w:p>
          <w:p w14:paraId="592D7534">
            <w:pPr>
              <w:pStyle w:val="14"/>
              <w:rPr>
                <w:rFonts w:ascii="Times New Roman"/>
                <w:sz w:val="20"/>
              </w:rPr>
            </w:pPr>
          </w:p>
          <w:p w14:paraId="2D52A7ED">
            <w:pPr>
              <w:pStyle w:val="14"/>
              <w:rPr>
                <w:rFonts w:ascii="Times New Roman"/>
                <w:sz w:val="20"/>
              </w:rPr>
            </w:pPr>
          </w:p>
          <w:p w14:paraId="68226A58">
            <w:pPr>
              <w:pStyle w:val="14"/>
              <w:spacing w:before="1"/>
              <w:rPr>
                <w:rFonts w:ascii="Times New Roman"/>
                <w:sz w:val="23"/>
              </w:rPr>
            </w:pPr>
          </w:p>
          <w:p w14:paraId="1C9E147C">
            <w:pPr>
              <w:pStyle w:val="14"/>
              <w:spacing w:line="242" w:lineRule="auto"/>
              <w:ind w:left="112" w:right="106"/>
              <w:jc w:val="center"/>
              <w:rPr>
                <w:sz w:val="21"/>
              </w:rPr>
            </w:pPr>
            <w:r>
              <w:rPr>
                <w:w w:val="95"/>
                <w:sz w:val="21"/>
              </w:rPr>
              <w:t>《湖南省生猪屠宰</w:t>
            </w:r>
            <w:r>
              <w:rPr>
                <w:sz w:val="21"/>
              </w:rPr>
              <w:t>管理条 例》</w:t>
            </w:r>
          </w:p>
        </w:tc>
        <w:tc>
          <w:tcPr>
            <w:tcW w:w="1134" w:type="dxa"/>
            <w:vMerge w:val="restart"/>
          </w:tcPr>
          <w:p w14:paraId="3207D48D">
            <w:pPr>
              <w:pStyle w:val="14"/>
              <w:spacing w:before="140" w:line="242" w:lineRule="auto"/>
              <w:ind w:left="147" w:right="136"/>
              <w:jc w:val="center"/>
              <w:rPr>
                <w:rFonts w:ascii="Times New Roman" w:eastAsia="Times New Roman"/>
                <w:sz w:val="21"/>
              </w:rPr>
            </w:pPr>
            <w:r>
              <w:rPr>
                <w:w w:val="95"/>
                <w:sz w:val="21"/>
              </w:rPr>
              <w:t>湖南省第十四届人民代表大会常务委员会公告</w:t>
            </w:r>
            <w:r>
              <w:rPr>
                <w:sz w:val="21"/>
              </w:rPr>
              <w:t xml:space="preserve">第 </w:t>
            </w:r>
            <w:r>
              <w:rPr>
                <w:rFonts w:ascii="Times New Roman" w:eastAsia="Times New Roman"/>
                <w:sz w:val="21"/>
              </w:rPr>
              <w:t>34</w:t>
            </w:r>
          </w:p>
          <w:p w14:paraId="3E7961E9">
            <w:pPr>
              <w:pStyle w:val="14"/>
              <w:spacing w:before="4"/>
              <w:ind w:left="250"/>
              <w:rPr>
                <w:sz w:val="21"/>
              </w:rPr>
            </w:pPr>
            <w:r>
              <w:rPr>
                <w:w w:val="95"/>
                <w:sz w:val="21"/>
              </w:rPr>
              <w:t>号，自</w:t>
            </w:r>
          </w:p>
          <w:p w14:paraId="18E1D3CF">
            <w:pPr>
              <w:pStyle w:val="14"/>
              <w:spacing w:before="2"/>
              <w:ind w:left="231"/>
              <w:rPr>
                <w:sz w:val="21"/>
              </w:rPr>
            </w:pPr>
            <w:r>
              <w:rPr>
                <w:rFonts w:ascii="Times New Roman" w:eastAsia="Times New Roman"/>
                <w:sz w:val="21"/>
              </w:rPr>
              <w:t xml:space="preserve">2024 </w:t>
            </w:r>
            <w:r>
              <w:rPr>
                <w:sz w:val="21"/>
              </w:rPr>
              <w:t>年</w:t>
            </w:r>
          </w:p>
          <w:p w14:paraId="2A5EB91D">
            <w:pPr>
              <w:pStyle w:val="14"/>
              <w:spacing w:before="4" w:line="242" w:lineRule="auto"/>
              <w:ind w:left="91" w:right="83"/>
              <w:jc w:val="center"/>
              <w:rPr>
                <w:sz w:val="21"/>
              </w:rPr>
            </w:pPr>
            <w:r>
              <w:rPr>
                <w:rFonts w:ascii="Times New Roman" w:eastAsia="Times New Roman"/>
                <w:sz w:val="21"/>
              </w:rPr>
              <w:t xml:space="preserve">10 </w:t>
            </w:r>
            <w:r>
              <w:rPr>
                <w:sz w:val="21"/>
              </w:rPr>
              <w:t xml:space="preserve">月 </w:t>
            </w:r>
            <w:r>
              <w:rPr>
                <w:rFonts w:ascii="Times New Roman" w:eastAsia="Times New Roman"/>
                <w:sz w:val="21"/>
              </w:rPr>
              <w:t xml:space="preserve">1 </w:t>
            </w:r>
            <w:r>
              <w:rPr>
                <w:sz w:val="21"/>
              </w:rPr>
              <w:t>日起施行</w:t>
            </w:r>
          </w:p>
        </w:tc>
        <w:tc>
          <w:tcPr>
            <w:tcW w:w="6880" w:type="dxa"/>
          </w:tcPr>
          <w:p w14:paraId="780383DA">
            <w:pPr>
              <w:pStyle w:val="14"/>
              <w:spacing w:before="135" w:line="242" w:lineRule="auto"/>
              <w:ind w:left="107" w:right="97"/>
              <w:rPr>
                <w:sz w:val="21"/>
              </w:rPr>
            </w:pPr>
            <w:r>
              <w:rPr>
                <w:sz w:val="21"/>
              </w:rPr>
              <w:t>第四条 鼓励支持生猪养殖、屠宰以及生猪产品加工、配送、销售等一体化发展，推行标准化屠宰，促进生猪屠宰行业优化升级。</w:t>
            </w:r>
          </w:p>
          <w:p w14:paraId="411AE293">
            <w:pPr>
              <w:pStyle w:val="14"/>
              <w:spacing w:before="1" w:line="242" w:lineRule="auto"/>
              <w:ind w:left="107" w:right="97"/>
              <w:rPr>
                <w:sz w:val="21"/>
              </w:rPr>
            </w:pPr>
            <w:r>
              <w:rPr>
                <w:sz w:val="21"/>
              </w:rPr>
              <w:t>鼓励支持地方特色生猪养殖企业依法配套发展屠宰和肉类加工，促进地方特色生猪产业发展</w:t>
            </w:r>
          </w:p>
        </w:tc>
        <w:tc>
          <w:tcPr>
            <w:tcW w:w="4153" w:type="dxa"/>
          </w:tcPr>
          <w:p w14:paraId="536C2D43">
            <w:pPr>
              <w:pStyle w:val="14"/>
              <w:spacing w:line="242" w:lineRule="auto"/>
              <w:ind w:left="108" w:right="96"/>
              <w:jc w:val="both"/>
              <w:rPr>
                <w:sz w:val="21"/>
              </w:rPr>
            </w:pPr>
            <w:r>
              <w:rPr>
                <w:sz w:val="21"/>
              </w:rPr>
              <w:t xml:space="preserve">本项目为岳阳县首家现代屠宰产业发展要求的县域内目前唯一一所 </w:t>
            </w:r>
            <w:r>
              <w:rPr>
                <w:rFonts w:ascii="Times New Roman" w:eastAsia="Times New Roman"/>
                <w:sz w:val="21"/>
              </w:rPr>
              <w:t xml:space="preserve">A </w:t>
            </w:r>
            <w:r>
              <w:rPr>
                <w:sz w:val="21"/>
              </w:rPr>
              <w:t>类现代化屠宰场，创新推建全集养殖、屠宰、加工、冷链配送于一体的健康猪肉供应链体系，设</w:t>
            </w:r>
          </w:p>
          <w:p w14:paraId="0CA7CF23">
            <w:pPr>
              <w:pStyle w:val="14"/>
              <w:spacing w:before="1" w:line="253" w:lineRule="exact"/>
              <w:ind w:left="108"/>
              <w:jc w:val="both"/>
              <w:rPr>
                <w:sz w:val="21"/>
              </w:rPr>
            </w:pPr>
            <w:r>
              <w:rPr>
                <w:sz w:val="21"/>
              </w:rPr>
              <w:t xml:space="preserve">计年屠宰量为 </w:t>
            </w:r>
            <w:r>
              <w:rPr>
                <w:rFonts w:ascii="Times New Roman" w:eastAsia="Times New Roman"/>
                <w:sz w:val="21"/>
              </w:rPr>
              <w:t xml:space="preserve">40 </w:t>
            </w:r>
            <w:r>
              <w:rPr>
                <w:sz w:val="21"/>
              </w:rPr>
              <w:t>万头</w:t>
            </w:r>
          </w:p>
        </w:tc>
        <w:tc>
          <w:tcPr>
            <w:tcW w:w="482" w:type="dxa"/>
          </w:tcPr>
          <w:p w14:paraId="13844BCC">
            <w:pPr>
              <w:pStyle w:val="14"/>
              <w:rPr>
                <w:rFonts w:ascii="Times New Roman"/>
                <w:sz w:val="20"/>
              </w:rPr>
            </w:pPr>
          </w:p>
          <w:p w14:paraId="1182E7EF">
            <w:pPr>
              <w:pStyle w:val="14"/>
              <w:spacing w:before="179" w:line="242" w:lineRule="auto"/>
              <w:ind w:left="107" w:right="153"/>
              <w:rPr>
                <w:sz w:val="21"/>
              </w:rPr>
            </w:pPr>
            <w:r>
              <w:rPr>
                <w:sz w:val="21"/>
              </w:rPr>
              <w:t>符合</w:t>
            </w:r>
          </w:p>
        </w:tc>
      </w:tr>
      <w:tr w14:paraId="6A46D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456" w:type="dxa"/>
            <w:vMerge w:val="continue"/>
            <w:tcBorders>
              <w:top w:val="nil"/>
            </w:tcBorders>
          </w:tcPr>
          <w:p w14:paraId="6BF4C2F2">
            <w:pPr>
              <w:rPr>
                <w:sz w:val="2"/>
                <w:szCs w:val="2"/>
              </w:rPr>
            </w:pPr>
          </w:p>
        </w:tc>
        <w:tc>
          <w:tcPr>
            <w:tcW w:w="1069" w:type="dxa"/>
            <w:vMerge w:val="continue"/>
            <w:tcBorders>
              <w:top w:val="nil"/>
            </w:tcBorders>
          </w:tcPr>
          <w:p w14:paraId="3601AEB0">
            <w:pPr>
              <w:rPr>
                <w:sz w:val="2"/>
                <w:szCs w:val="2"/>
              </w:rPr>
            </w:pPr>
          </w:p>
        </w:tc>
        <w:tc>
          <w:tcPr>
            <w:tcW w:w="1134" w:type="dxa"/>
            <w:vMerge w:val="continue"/>
            <w:tcBorders>
              <w:top w:val="nil"/>
            </w:tcBorders>
          </w:tcPr>
          <w:p w14:paraId="509787A8">
            <w:pPr>
              <w:rPr>
                <w:sz w:val="2"/>
                <w:szCs w:val="2"/>
              </w:rPr>
            </w:pPr>
          </w:p>
        </w:tc>
        <w:tc>
          <w:tcPr>
            <w:tcW w:w="6880" w:type="dxa"/>
          </w:tcPr>
          <w:p w14:paraId="0DFB222E">
            <w:pPr>
              <w:pStyle w:val="14"/>
              <w:spacing w:line="242" w:lineRule="auto"/>
              <w:ind w:left="107" w:right="97"/>
              <w:jc w:val="both"/>
              <w:rPr>
                <w:sz w:val="21"/>
              </w:rPr>
            </w:pPr>
            <w:r>
              <w:rPr>
                <w:sz w:val="21"/>
              </w:rPr>
              <w:t>第六条 设立生猪屠宰场，由设区的市、自治州人民政府审批；设立小型生猪屠宰场，由县级人民政府审批。设区的市、自治州和县级人民政府应当将批准设立的生猪屠宰场所名单及时向社会公布，并向上一级人民政府备案。</w:t>
            </w:r>
          </w:p>
          <w:p w14:paraId="57A77096">
            <w:pPr>
              <w:pStyle w:val="14"/>
              <w:spacing w:before="2" w:line="270" w:lineRule="atLeast"/>
              <w:ind w:left="107" w:right="97"/>
              <w:jc w:val="both"/>
              <w:rPr>
                <w:sz w:val="21"/>
              </w:rPr>
            </w:pPr>
            <w:r>
              <w:rPr>
                <w:sz w:val="21"/>
              </w:rPr>
              <w:t>小型生猪屠宰场应当具备待宰间、屠宰间以及屠宰设备，有符合国家规定标准的水源，有依法取得健康证明的屠宰技术人员和经考核合格的兽</w:t>
            </w:r>
          </w:p>
        </w:tc>
        <w:tc>
          <w:tcPr>
            <w:tcW w:w="4153" w:type="dxa"/>
          </w:tcPr>
          <w:p w14:paraId="4562E1CD">
            <w:pPr>
              <w:pStyle w:val="14"/>
              <w:spacing w:line="242" w:lineRule="auto"/>
              <w:ind w:left="108" w:right="96"/>
              <w:jc w:val="both"/>
              <w:rPr>
                <w:sz w:val="21"/>
              </w:rPr>
            </w:pPr>
            <w:r>
              <w:rPr>
                <w:sz w:val="21"/>
              </w:rPr>
              <w:t>项目符合当地规划和政府有关部门批准设立，配备必要的持证兽医卫生检验人员， 选址合理，项目所在区域大气、水、声环</w:t>
            </w:r>
            <w:r>
              <w:rPr>
                <w:w w:val="95"/>
                <w:sz w:val="21"/>
              </w:rPr>
              <w:t>境质量良好，通过采取报告提出的污染防</w:t>
            </w:r>
          </w:p>
          <w:p w14:paraId="01807B24">
            <w:pPr>
              <w:pStyle w:val="14"/>
              <w:spacing w:before="2" w:line="270" w:lineRule="atLeast"/>
              <w:ind w:left="108" w:right="96"/>
              <w:jc w:val="both"/>
              <w:rPr>
                <w:sz w:val="21"/>
              </w:rPr>
            </w:pPr>
            <w:r>
              <w:rPr>
                <w:sz w:val="21"/>
              </w:rPr>
              <w:t>治措施，本项目产生的污染物经处理后满足达标排放、合理处置，符合《条例》相</w:t>
            </w:r>
          </w:p>
        </w:tc>
        <w:tc>
          <w:tcPr>
            <w:tcW w:w="482" w:type="dxa"/>
          </w:tcPr>
          <w:p w14:paraId="40642769">
            <w:pPr>
              <w:pStyle w:val="14"/>
              <w:rPr>
                <w:rFonts w:ascii="Times New Roman"/>
                <w:sz w:val="20"/>
              </w:rPr>
            </w:pPr>
          </w:p>
          <w:p w14:paraId="3D51CAC1">
            <w:pPr>
              <w:pStyle w:val="14"/>
              <w:spacing w:before="4"/>
              <w:rPr>
                <w:rFonts w:ascii="Times New Roman"/>
                <w:sz w:val="27"/>
              </w:rPr>
            </w:pPr>
          </w:p>
          <w:p w14:paraId="76282C07">
            <w:pPr>
              <w:pStyle w:val="14"/>
              <w:spacing w:line="242" w:lineRule="auto"/>
              <w:ind w:left="107" w:right="153"/>
              <w:rPr>
                <w:sz w:val="21"/>
              </w:rPr>
            </w:pPr>
            <w:r>
              <w:rPr>
                <w:sz w:val="21"/>
              </w:rPr>
              <w:t>符合</w:t>
            </w:r>
          </w:p>
        </w:tc>
      </w:tr>
    </w:tbl>
    <w:p w14:paraId="60A071F4">
      <w:pPr>
        <w:spacing w:after="0" w:line="242" w:lineRule="auto"/>
        <w:rPr>
          <w:sz w:val="21"/>
        </w:rPr>
        <w:sectPr>
          <w:pgSz w:w="16840" w:h="11910" w:orient="landscape"/>
          <w:pgMar w:top="1180" w:right="1220" w:bottom="1400" w:left="1220" w:header="878" w:footer="1204" w:gutter="0"/>
          <w:cols w:space="720" w:num="1"/>
        </w:sectPr>
      </w:pPr>
    </w:p>
    <w:p w14:paraId="47DA4B2B">
      <w:pPr>
        <w:pStyle w:val="7"/>
        <w:rPr>
          <w:rFonts w:ascii="Times New Roman"/>
          <w:sz w:val="20"/>
        </w:rPr>
      </w:pPr>
    </w:p>
    <w:p w14:paraId="7B084747">
      <w:pPr>
        <w:pStyle w:val="7"/>
        <w:rPr>
          <w:rFonts w:ascii="Times New Roman"/>
          <w:sz w:val="20"/>
        </w:rPr>
      </w:pPr>
    </w:p>
    <w:p w14:paraId="3498ED03">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4890F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6" w:hRule="atLeast"/>
        </w:trPr>
        <w:tc>
          <w:tcPr>
            <w:tcW w:w="456" w:type="dxa"/>
            <w:vMerge w:val="restart"/>
          </w:tcPr>
          <w:p w14:paraId="41808E1F">
            <w:pPr>
              <w:pStyle w:val="14"/>
              <w:rPr>
                <w:rFonts w:ascii="Times New Roman"/>
                <w:sz w:val="20"/>
              </w:rPr>
            </w:pPr>
          </w:p>
        </w:tc>
        <w:tc>
          <w:tcPr>
            <w:tcW w:w="1069" w:type="dxa"/>
            <w:vMerge w:val="restart"/>
          </w:tcPr>
          <w:p w14:paraId="49D3C252">
            <w:pPr>
              <w:pStyle w:val="14"/>
              <w:rPr>
                <w:rFonts w:ascii="Times New Roman"/>
                <w:sz w:val="20"/>
              </w:rPr>
            </w:pPr>
          </w:p>
        </w:tc>
        <w:tc>
          <w:tcPr>
            <w:tcW w:w="1134" w:type="dxa"/>
            <w:vMerge w:val="restart"/>
          </w:tcPr>
          <w:p w14:paraId="34F4C939">
            <w:pPr>
              <w:pStyle w:val="14"/>
              <w:rPr>
                <w:rFonts w:ascii="Times New Roman"/>
                <w:sz w:val="20"/>
              </w:rPr>
            </w:pPr>
          </w:p>
        </w:tc>
        <w:tc>
          <w:tcPr>
            <w:tcW w:w="6880" w:type="dxa"/>
          </w:tcPr>
          <w:p w14:paraId="4A8B5586">
            <w:pPr>
              <w:pStyle w:val="14"/>
              <w:spacing w:before="2" w:line="242" w:lineRule="auto"/>
              <w:ind w:left="107" w:right="97"/>
              <w:jc w:val="both"/>
              <w:rPr>
                <w:sz w:val="21"/>
              </w:rPr>
            </w:pPr>
            <w:r>
              <w:rPr>
                <w:sz w:val="21"/>
              </w:rPr>
              <w:t>医卫生检验人员，有相应的检验设备、消毒设施和符合环境保护要求的污染防治设施，有无害化处理委托协议，并依法取得动物防疫条件合格证。</w:t>
            </w:r>
          </w:p>
          <w:p w14:paraId="0B4D40FE">
            <w:pPr>
              <w:pStyle w:val="14"/>
              <w:spacing w:line="242" w:lineRule="auto"/>
              <w:ind w:left="107" w:right="97"/>
              <w:jc w:val="both"/>
              <w:rPr>
                <w:sz w:val="21"/>
              </w:rPr>
            </w:pPr>
            <w:r>
              <w:rPr>
                <w:sz w:val="21"/>
              </w:rPr>
              <w:t>第七条 生猪屠宰场所的选址，应当符合生猪屠宰行业发展规划、国土空间规划，进行动物防疫条件和环境影响风险评估，与居民生活区、生活饮用水水源地以及学校、医院等公共场所保持安全距离。</w:t>
            </w:r>
          </w:p>
          <w:p w14:paraId="7C1CC26A">
            <w:pPr>
              <w:pStyle w:val="14"/>
              <w:spacing w:before="1" w:line="242" w:lineRule="auto"/>
              <w:ind w:left="107" w:right="97"/>
              <w:jc w:val="both"/>
              <w:rPr>
                <w:sz w:val="21"/>
              </w:rPr>
            </w:pPr>
            <w:r>
              <w:rPr>
                <w:sz w:val="21"/>
              </w:rPr>
              <w:t>县级以上人民政府自然资源主管部门在对生猪屠宰建设项目依法进行规划选址和用地规划许可时，应当征求农业农村、生态环境等有关部门的意见。</w:t>
            </w:r>
          </w:p>
          <w:p w14:paraId="2A67425E">
            <w:pPr>
              <w:pStyle w:val="14"/>
              <w:spacing w:before="3" w:line="242" w:lineRule="auto"/>
              <w:ind w:left="107" w:right="97"/>
              <w:jc w:val="both"/>
              <w:rPr>
                <w:sz w:val="21"/>
              </w:rPr>
            </w:pPr>
            <w:r>
              <w:rPr>
                <w:sz w:val="21"/>
              </w:rPr>
              <w:t>第八条 生猪屠宰场所应当建立生态环境保护责任制度，配建符合环境保护要求的污水处理等污染防治设施；屠宰生猪排放的废水、废气、噪声和产生的固体废物等应当符合国家、省规定的相关标准。</w:t>
            </w:r>
          </w:p>
          <w:p w14:paraId="24A1F379">
            <w:pPr>
              <w:pStyle w:val="14"/>
              <w:spacing w:before="1" w:line="242" w:lineRule="auto"/>
              <w:ind w:left="107" w:right="97"/>
              <w:jc w:val="both"/>
              <w:rPr>
                <w:sz w:val="21"/>
              </w:rPr>
            </w:pPr>
            <w:r>
              <w:rPr>
                <w:sz w:val="21"/>
              </w:rPr>
              <w:t>第九条 生猪屠宰场所的生猪产品存放应当符合食品安全要求；对未能及时销售或者出场的生猪产品，应当采取冷冻或者冷藏等措施予以储存。</w:t>
            </w:r>
          </w:p>
          <w:p w14:paraId="1A9B5E50">
            <w:pPr>
              <w:pStyle w:val="14"/>
              <w:spacing w:before="3" w:line="242" w:lineRule="auto"/>
              <w:ind w:left="107" w:right="97"/>
              <w:jc w:val="both"/>
              <w:rPr>
                <w:sz w:val="21"/>
              </w:rPr>
            </w:pPr>
            <w:r>
              <w:rPr>
                <w:sz w:val="21"/>
              </w:rPr>
              <w:t>生猪屠宰场所运输生猪产品，应当根据产品类型和特点使用专用的运输车辆，不得敞运。运输车辆使用前应当清洗、消毒。</w:t>
            </w:r>
          </w:p>
          <w:p w14:paraId="10B01722">
            <w:pPr>
              <w:pStyle w:val="14"/>
              <w:spacing w:line="268" w:lineRule="exact"/>
              <w:ind w:left="107"/>
              <w:jc w:val="both"/>
              <w:rPr>
                <w:sz w:val="21"/>
              </w:rPr>
            </w:pPr>
            <w:r>
              <w:rPr>
                <w:sz w:val="21"/>
              </w:rPr>
              <w:t>鼓励生猪屠宰场所或者其他生猪产品经营者建设生猪产品冷链流通和配</w:t>
            </w:r>
          </w:p>
          <w:p w14:paraId="4ED469B5">
            <w:pPr>
              <w:pStyle w:val="14"/>
              <w:spacing w:before="4" w:line="270" w:lineRule="atLeast"/>
              <w:ind w:left="107" w:right="97"/>
              <w:jc w:val="both"/>
              <w:rPr>
                <w:sz w:val="21"/>
              </w:rPr>
            </w:pPr>
            <w:r>
              <w:rPr>
                <w:sz w:val="21"/>
              </w:rPr>
              <w:t>送体系。县级以上人民政府可以对向边远和交通不便的农村地区配送生猪产品的生猪屠宰场所或者其他生猪产品经营者给予适当补贴。</w:t>
            </w:r>
          </w:p>
        </w:tc>
        <w:tc>
          <w:tcPr>
            <w:tcW w:w="4153" w:type="dxa"/>
          </w:tcPr>
          <w:p w14:paraId="0196FD9F">
            <w:pPr>
              <w:pStyle w:val="14"/>
              <w:spacing w:before="2"/>
              <w:ind w:left="108"/>
              <w:rPr>
                <w:sz w:val="21"/>
              </w:rPr>
            </w:pPr>
            <w:r>
              <w:rPr>
                <w:sz w:val="21"/>
              </w:rPr>
              <w:t>关规定</w:t>
            </w:r>
          </w:p>
        </w:tc>
        <w:tc>
          <w:tcPr>
            <w:tcW w:w="482" w:type="dxa"/>
          </w:tcPr>
          <w:p w14:paraId="00604836">
            <w:pPr>
              <w:pStyle w:val="14"/>
              <w:rPr>
                <w:rFonts w:ascii="Times New Roman"/>
                <w:sz w:val="20"/>
              </w:rPr>
            </w:pPr>
          </w:p>
        </w:tc>
      </w:tr>
      <w:tr w14:paraId="72884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1" w:hRule="atLeast"/>
        </w:trPr>
        <w:tc>
          <w:tcPr>
            <w:tcW w:w="456" w:type="dxa"/>
            <w:vMerge w:val="continue"/>
            <w:tcBorders>
              <w:top w:val="nil"/>
            </w:tcBorders>
          </w:tcPr>
          <w:p w14:paraId="713C9A97">
            <w:pPr>
              <w:rPr>
                <w:sz w:val="2"/>
                <w:szCs w:val="2"/>
              </w:rPr>
            </w:pPr>
          </w:p>
        </w:tc>
        <w:tc>
          <w:tcPr>
            <w:tcW w:w="1069" w:type="dxa"/>
            <w:vMerge w:val="continue"/>
            <w:tcBorders>
              <w:top w:val="nil"/>
            </w:tcBorders>
          </w:tcPr>
          <w:p w14:paraId="18F4F66C">
            <w:pPr>
              <w:rPr>
                <w:sz w:val="2"/>
                <w:szCs w:val="2"/>
              </w:rPr>
            </w:pPr>
          </w:p>
        </w:tc>
        <w:tc>
          <w:tcPr>
            <w:tcW w:w="1134" w:type="dxa"/>
            <w:vMerge w:val="continue"/>
            <w:tcBorders>
              <w:top w:val="nil"/>
            </w:tcBorders>
          </w:tcPr>
          <w:p w14:paraId="53F50881">
            <w:pPr>
              <w:rPr>
                <w:sz w:val="2"/>
                <w:szCs w:val="2"/>
              </w:rPr>
            </w:pPr>
          </w:p>
        </w:tc>
        <w:tc>
          <w:tcPr>
            <w:tcW w:w="6880" w:type="dxa"/>
          </w:tcPr>
          <w:p w14:paraId="6211CFAA">
            <w:pPr>
              <w:pStyle w:val="14"/>
              <w:spacing w:line="242" w:lineRule="auto"/>
              <w:ind w:left="107" w:right="97"/>
              <w:jc w:val="both"/>
              <w:rPr>
                <w:sz w:val="21"/>
              </w:rPr>
            </w:pPr>
            <w:r>
              <w:rPr>
                <w:sz w:val="21"/>
              </w:rPr>
              <w:t>第十三条 生猪屠宰场所发现有下列情形之一的，应当在县级人民政府农业农村主管部门监督下，按照国家有关规定进行无害化处理或者委托进行无害化处理：</w:t>
            </w:r>
          </w:p>
          <w:p w14:paraId="4D07A71A">
            <w:pPr>
              <w:pStyle w:val="14"/>
              <w:spacing w:before="1"/>
              <w:ind w:left="107"/>
              <w:rPr>
                <w:sz w:val="21"/>
              </w:rPr>
            </w:pPr>
            <w:r>
              <w:rPr>
                <w:sz w:val="21"/>
              </w:rPr>
              <w:t>（一）屠宰前确认为国家规定的病害活猪、病死或者死因不明的生猪；</w:t>
            </w:r>
          </w:p>
          <w:p w14:paraId="5CFB1630">
            <w:pPr>
              <w:pStyle w:val="14"/>
              <w:spacing w:before="4" w:line="242" w:lineRule="auto"/>
              <w:ind w:left="107" w:right="97"/>
              <w:rPr>
                <w:sz w:val="21"/>
              </w:rPr>
            </w:pPr>
            <w:r>
              <w:rPr>
                <w:sz w:val="21"/>
              </w:rPr>
              <w:t>（二）屠宰过程中经检疫或者肉品品质检验确认为不可食用的生猪产品；</w:t>
            </w:r>
          </w:p>
          <w:p w14:paraId="205D8BA8">
            <w:pPr>
              <w:pStyle w:val="14"/>
              <w:spacing w:before="1" w:line="242" w:lineRule="auto"/>
              <w:ind w:left="107" w:right="671"/>
              <w:rPr>
                <w:sz w:val="21"/>
              </w:rPr>
            </w:pPr>
            <w:r>
              <w:rPr>
                <w:w w:val="95"/>
                <w:sz w:val="21"/>
              </w:rPr>
              <w:t xml:space="preserve">（三）国家规定的其他应当进行无害化处理的生猪以及生猪产品。 </w:t>
            </w:r>
            <w:r>
              <w:rPr>
                <w:sz w:val="21"/>
              </w:rPr>
              <w:t>无害化处理记录保存期限不得少于二年。</w:t>
            </w:r>
          </w:p>
          <w:p w14:paraId="2F844059">
            <w:pPr>
              <w:pStyle w:val="14"/>
              <w:spacing w:line="268" w:lineRule="exact"/>
              <w:ind w:left="107"/>
              <w:jc w:val="both"/>
              <w:rPr>
                <w:sz w:val="21"/>
              </w:rPr>
            </w:pPr>
            <w:r>
              <w:rPr>
                <w:sz w:val="21"/>
              </w:rPr>
              <w:t>生猪屠宰场所对病害生猪以及生猪产品进行无害化处理的费用和损失，</w:t>
            </w:r>
          </w:p>
          <w:p w14:paraId="626B51C7">
            <w:pPr>
              <w:pStyle w:val="14"/>
              <w:spacing w:before="5" w:line="250" w:lineRule="exact"/>
              <w:ind w:left="107"/>
              <w:jc w:val="both"/>
              <w:rPr>
                <w:sz w:val="21"/>
              </w:rPr>
            </w:pPr>
            <w:r>
              <w:rPr>
                <w:sz w:val="21"/>
              </w:rPr>
              <w:t>由县级以上人民政府结合本地实际给予适当补贴。</w:t>
            </w:r>
          </w:p>
        </w:tc>
        <w:tc>
          <w:tcPr>
            <w:tcW w:w="4153" w:type="dxa"/>
          </w:tcPr>
          <w:p w14:paraId="62A29D2A">
            <w:pPr>
              <w:pStyle w:val="14"/>
              <w:rPr>
                <w:rFonts w:ascii="Times New Roman"/>
                <w:sz w:val="20"/>
              </w:rPr>
            </w:pPr>
          </w:p>
          <w:p w14:paraId="74330033">
            <w:pPr>
              <w:pStyle w:val="14"/>
              <w:rPr>
                <w:rFonts w:ascii="Times New Roman"/>
                <w:sz w:val="20"/>
              </w:rPr>
            </w:pPr>
          </w:p>
          <w:p w14:paraId="70B477DA">
            <w:pPr>
              <w:pStyle w:val="14"/>
              <w:rPr>
                <w:rFonts w:ascii="Times New Roman"/>
                <w:sz w:val="20"/>
              </w:rPr>
            </w:pPr>
          </w:p>
          <w:p w14:paraId="6FD0C4C0">
            <w:pPr>
              <w:pStyle w:val="14"/>
              <w:rPr>
                <w:rFonts w:ascii="Times New Roman"/>
                <w:sz w:val="20"/>
              </w:rPr>
            </w:pPr>
          </w:p>
          <w:p w14:paraId="08319918">
            <w:pPr>
              <w:pStyle w:val="14"/>
              <w:spacing w:before="170" w:line="242" w:lineRule="auto"/>
              <w:ind w:left="108" w:right="96"/>
              <w:rPr>
                <w:sz w:val="21"/>
              </w:rPr>
            </w:pPr>
            <w:r>
              <w:rPr>
                <w:sz w:val="21"/>
              </w:rPr>
              <w:t>项目设有独立无害化暂存间，送至岳阳县无害化处理中心满足相关无害化处理要求</w:t>
            </w:r>
          </w:p>
        </w:tc>
        <w:tc>
          <w:tcPr>
            <w:tcW w:w="482" w:type="dxa"/>
          </w:tcPr>
          <w:p w14:paraId="222129B9">
            <w:pPr>
              <w:pStyle w:val="14"/>
              <w:rPr>
                <w:rFonts w:ascii="Times New Roman"/>
                <w:sz w:val="20"/>
              </w:rPr>
            </w:pPr>
          </w:p>
          <w:p w14:paraId="10E0D3A9">
            <w:pPr>
              <w:pStyle w:val="14"/>
              <w:rPr>
                <w:rFonts w:ascii="Times New Roman"/>
                <w:sz w:val="20"/>
              </w:rPr>
            </w:pPr>
          </w:p>
          <w:p w14:paraId="34CC007E">
            <w:pPr>
              <w:pStyle w:val="14"/>
              <w:rPr>
                <w:rFonts w:ascii="Times New Roman"/>
                <w:sz w:val="20"/>
              </w:rPr>
            </w:pPr>
          </w:p>
          <w:p w14:paraId="1011D6E3">
            <w:pPr>
              <w:pStyle w:val="14"/>
              <w:rPr>
                <w:rFonts w:ascii="Times New Roman"/>
                <w:sz w:val="20"/>
              </w:rPr>
            </w:pPr>
          </w:p>
          <w:p w14:paraId="51C4DCA9">
            <w:pPr>
              <w:pStyle w:val="14"/>
              <w:spacing w:before="170" w:line="242" w:lineRule="auto"/>
              <w:ind w:left="107" w:right="153"/>
              <w:rPr>
                <w:sz w:val="21"/>
              </w:rPr>
            </w:pPr>
            <w:r>
              <w:rPr>
                <w:sz w:val="21"/>
              </w:rPr>
              <w:t>符合</w:t>
            </w:r>
          </w:p>
        </w:tc>
      </w:tr>
    </w:tbl>
    <w:p w14:paraId="7D942BAB">
      <w:pPr>
        <w:spacing w:after="0" w:line="242" w:lineRule="auto"/>
        <w:rPr>
          <w:sz w:val="21"/>
        </w:rPr>
        <w:sectPr>
          <w:pgSz w:w="16840" w:h="11910" w:orient="landscape"/>
          <w:pgMar w:top="1180" w:right="1220" w:bottom="1400" w:left="1220" w:header="878" w:footer="1204" w:gutter="0"/>
          <w:cols w:space="720" w:num="1"/>
        </w:sectPr>
      </w:pPr>
    </w:p>
    <w:p w14:paraId="3E60B454">
      <w:pPr>
        <w:pStyle w:val="7"/>
        <w:rPr>
          <w:rFonts w:ascii="Times New Roman"/>
          <w:sz w:val="20"/>
        </w:rPr>
      </w:pPr>
    </w:p>
    <w:p w14:paraId="23008814">
      <w:pPr>
        <w:pStyle w:val="7"/>
        <w:rPr>
          <w:rFonts w:ascii="Times New Roman"/>
          <w:sz w:val="20"/>
        </w:rPr>
      </w:pPr>
    </w:p>
    <w:p w14:paraId="0A5B0403">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42F61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456" w:type="dxa"/>
          </w:tcPr>
          <w:p w14:paraId="3A519562">
            <w:pPr>
              <w:pStyle w:val="14"/>
              <w:rPr>
                <w:rFonts w:ascii="Times New Roman"/>
                <w:sz w:val="20"/>
              </w:rPr>
            </w:pPr>
          </w:p>
        </w:tc>
        <w:tc>
          <w:tcPr>
            <w:tcW w:w="1069" w:type="dxa"/>
          </w:tcPr>
          <w:p w14:paraId="23E98EAE">
            <w:pPr>
              <w:pStyle w:val="14"/>
              <w:rPr>
                <w:rFonts w:ascii="Times New Roman"/>
                <w:sz w:val="20"/>
              </w:rPr>
            </w:pPr>
          </w:p>
        </w:tc>
        <w:tc>
          <w:tcPr>
            <w:tcW w:w="1134" w:type="dxa"/>
          </w:tcPr>
          <w:p w14:paraId="09CF90A7">
            <w:pPr>
              <w:pStyle w:val="14"/>
              <w:rPr>
                <w:rFonts w:ascii="Times New Roman"/>
                <w:sz w:val="20"/>
              </w:rPr>
            </w:pPr>
          </w:p>
        </w:tc>
        <w:tc>
          <w:tcPr>
            <w:tcW w:w="6880" w:type="dxa"/>
          </w:tcPr>
          <w:p w14:paraId="1CF28971">
            <w:pPr>
              <w:pStyle w:val="14"/>
              <w:spacing w:before="2" w:line="242" w:lineRule="auto"/>
              <w:ind w:left="107" w:right="97"/>
              <w:jc w:val="both"/>
              <w:rPr>
                <w:sz w:val="21"/>
              </w:rPr>
            </w:pPr>
            <w:r>
              <w:rPr>
                <w:sz w:val="21"/>
              </w:rPr>
              <w:t>第十七条 小型生猪屠宰场定点屠宰证书和定点屠宰标志牌的管理、生猪进场查验登记、委托屠宰、动物疫病检测、肉品品质检验，以及生猪产品的出场记录、质量安全、召回等依照国务院《生猪屠宰管理条例》有关规定执行。</w:t>
            </w:r>
          </w:p>
          <w:p w14:paraId="4A9BAF6E">
            <w:pPr>
              <w:pStyle w:val="14"/>
              <w:ind w:left="107"/>
              <w:jc w:val="both"/>
              <w:rPr>
                <w:sz w:val="21"/>
              </w:rPr>
            </w:pPr>
            <w:r>
              <w:rPr>
                <w:sz w:val="21"/>
              </w:rPr>
              <w:t>第十八条 生猪屠宰场违反生猪屠宰管理法律法规的，按照国务院《生猪</w:t>
            </w:r>
          </w:p>
          <w:p w14:paraId="4B3CB8E6">
            <w:pPr>
              <w:pStyle w:val="14"/>
              <w:spacing w:before="4" w:line="251" w:lineRule="exact"/>
              <w:ind w:left="107"/>
              <w:jc w:val="both"/>
              <w:rPr>
                <w:sz w:val="21"/>
              </w:rPr>
            </w:pPr>
            <w:r>
              <w:rPr>
                <w:sz w:val="21"/>
              </w:rPr>
              <w:t>屠宰管理条例》和其他相关法律法规的规定处罚。</w:t>
            </w:r>
          </w:p>
        </w:tc>
        <w:tc>
          <w:tcPr>
            <w:tcW w:w="4153" w:type="dxa"/>
          </w:tcPr>
          <w:p w14:paraId="64E9960D">
            <w:pPr>
              <w:pStyle w:val="14"/>
              <w:rPr>
                <w:rFonts w:ascii="Times New Roman"/>
                <w:sz w:val="20"/>
              </w:rPr>
            </w:pPr>
          </w:p>
          <w:p w14:paraId="6AE780C0">
            <w:pPr>
              <w:pStyle w:val="14"/>
              <w:spacing w:before="3"/>
              <w:rPr>
                <w:rFonts w:ascii="Times New Roman"/>
                <w:sz w:val="27"/>
              </w:rPr>
            </w:pPr>
          </w:p>
          <w:p w14:paraId="06115923">
            <w:pPr>
              <w:pStyle w:val="14"/>
              <w:spacing w:before="1" w:line="244" w:lineRule="auto"/>
              <w:ind w:left="108" w:right="96"/>
              <w:rPr>
                <w:sz w:val="21"/>
              </w:rPr>
            </w:pPr>
            <w:r>
              <w:rPr>
                <w:sz w:val="21"/>
              </w:rPr>
              <w:t>根据前述本项目符合国务院《生猪屠宰管理条例》</w:t>
            </w:r>
          </w:p>
        </w:tc>
        <w:tc>
          <w:tcPr>
            <w:tcW w:w="482" w:type="dxa"/>
          </w:tcPr>
          <w:p w14:paraId="2473D792">
            <w:pPr>
              <w:pStyle w:val="14"/>
              <w:rPr>
                <w:rFonts w:ascii="Times New Roman"/>
                <w:sz w:val="20"/>
              </w:rPr>
            </w:pPr>
          </w:p>
          <w:p w14:paraId="397BF181">
            <w:pPr>
              <w:pStyle w:val="14"/>
              <w:spacing w:before="3"/>
              <w:rPr>
                <w:rFonts w:ascii="Times New Roman"/>
                <w:sz w:val="27"/>
              </w:rPr>
            </w:pPr>
          </w:p>
          <w:p w14:paraId="1A48C466">
            <w:pPr>
              <w:pStyle w:val="14"/>
              <w:spacing w:before="1" w:line="244" w:lineRule="auto"/>
              <w:ind w:left="107" w:right="153"/>
              <w:rPr>
                <w:sz w:val="21"/>
              </w:rPr>
            </w:pPr>
            <w:r>
              <w:rPr>
                <w:sz w:val="21"/>
              </w:rPr>
              <w:t>符合</w:t>
            </w:r>
          </w:p>
        </w:tc>
      </w:tr>
      <w:tr w14:paraId="3E284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6" w:hRule="atLeast"/>
        </w:trPr>
        <w:tc>
          <w:tcPr>
            <w:tcW w:w="456" w:type="dxa"/>
            <w:vMerge w:val="restart"/>
          </w:tcPr>
          <w:p w14:paraId="5A849EFD">
            <w:pPr>
              <w:pStyle w:val="14"/>
              <w:rPr>
                <w:rFonts w:ascii="Times New Roman"/>
                <w:sz w:val="22"/>
              </w:rPr>
            </w:pPr>
          </w:p>
          <w:p w14:paraId="5B795F84">
            <w:pPr>
              <w:pStyle w:val="14"/>
              <w:rPr>
                <w:rFonts w:ascii="Times New Roman"/>
                <w:sz w:val="22"/>
              </w:rPr>
            </w:pPr>
          </w:p>
          <w:p w14:paraId="4DB435AD">
            <w:pPr>
              <w:pStyle w:val="14"/>
              <w:rPr>
                <w:rFonts w:ascii="Times New Roman"/>
                <w:sz w:val="22"/>
              </w:rPr>
            </w:pPr>
          </w:p>
          <w:p w14:paraId="7E0B167B">
            <w:pPr>
              <w:pStyle w:val="14"/>
              <w:rPr>
                <w:rFonts w:ascii="Times New Roman"/>
                <w:sz w:val="22"/>
              </w:rPr>
            </w:pPr>
          </w:p>
          <w:p w14:paraId="6758A9CC">
            <w:pPr>
              <w:pStyle w:val="14"/>
              <w:rPr>
                <w:rFonts w:ascii="Times New Roman"/>
                <w:sz w:val="22"/>
              </w:rPr>
            </w:pPr>
          </w:p>
          <w:p w14:paraId="11CFDABF">
            <w:pPr>
              <w:pStyle w:val="14"/>
              <w:rPr>
                <w:rFonts w:ascii="Times New Roman"/>
                <w:sz w:val="22"/>
              </w:rPr>
            </w:pPr>
          </w:p>
          <w:p w14:paraId="79AEDC4D">
            <w:pPr>
              <w:pStyle w:val="14"/>
              <w:rPr>
                <w:rFonts w:ascii="Times New Roman"/>
                <w:sz w:val="22"/>
              </w:rPr>
            </w:pPr>
          </w:p>
          <w:p w14:paraId="5C48FA5B">
            <w:pPr>
              <w:pStyle w:val="14"/>
              <w:rPr>
                <w:rFonts w:ascii="Times New Roman"/>
                <w:sz w:val="22"/>
              </w:rPr>
            </w:pPr>
          </w:p>
          <w:p w14:paraId="2643F52D">
            <w:pPr>
              <w:pStyle w:val="14"/>
              <w:rPr>
                <w:rFonts w:ascii="Times New Roman"/>
                <w:sz w:val="22"/>
              </w:rPr>
            </w:pPr>
          </w:p>
          <w:p w14:paraId="35DEA38F">
            <w:pPr>
              <w:pStyle w:val="14"/>
              <w:rPr>
                <w:rFonts w:ascii="Times New Roman"/>
                <w:sz w:val="22"/>
              </w:rPr>
            </w:pPr>
          </w:p>
          <w:p w14:paraId="5D3DADF6">
            <w:pPr>
              <w:pStyle w:val="14"/>
              <w:rPr>
                <w:rFonts w:ascii="Times New Roman"/>
                <w:sz w:val="22"/>
              </w:rPr>
            </w:pPr>
          </w:p>
          <w:p w14:paraId="7C137272">
            <w:pPr>
              <w:pStyle w:val="14"/>
              <w:spacing w:before="6"/>
              <w:rPr>
                <w:rFonts w:ascii="Times New Roman"/>
                <w:sz w:val="32"/>
              </w:rPr>
            </w:pPr>
          </w:p>
          <w:p w14:paraId="4ED9CA03">
            <w:pPr>
              <w:pStyle w:val="14"/>
              <w:spacing w:before="1"/>
              <w:ind w:left="8"/>
              <w:jc w:val="center"/>
              <w:rPr>
                <w:rFonts w:ascii="Times New Roman"/>
                <w:sz w:val="21"/>
              </w:rPr>
            </w:pPr>
            <w:r>
              <w:rPr>
                <w:rFonts w:ascii="Times New Roman"/>
                <w:w w:val="99"/>
                <w:sz w:val="21"/>
              </w:rPr>
              <w:t>3</w:t>
            </w:r>
          </w:p>
        </w:tc>
        <w:tc>
          <w:tcPr>
            <w:tcW w:w="1069" w:type="dxa"/>
            <w:vMerge w:val="restart"/>
          </w:tcPr>
          <w:p w14:paraId="0AB90A81">
            <w:pPr>
              <w:pStyle w:val="14"/>
              <w:rPr>
                <w:rFonts w:ascii="Times New Roman"/>
                <w:sz w:val="20"/>
              </w:rPr>
            </w:pPr>
          </w:p>
          <w:p w14:paraId="5AF13323">
            <w:pPr>
              <w:pStyle w:val="14"/>
              <w:rPr>
                <w:rFonts w:ascii="Times New Roman"/>
                <w:sz w:val="20"/>
              </w:rPr>
            </w:pPr>
          </w:p>
          <w:p w14:paraId="74184211">
            <w:pPr>
              <w:pStyle w:val="14"/>
              <w:rPr>
                <w:rFonts w:ascii="Times New Roman"/>
                <w:sz w:val="20"/>
              </w:rPr>
            </w:pPr>
          </w:p>
          <w:p w14:paraId="292060CA">
            <w:pPr>
              <w:pStyle w:val="14"/>
              <w:rPr>
                <w:rFonts w:ascii="Times New Roman"/>
                <w:sz w:val="20"/>
              </w:rPr>
            </w:pPr>
          </w:p>
          <w:p w14:paraId="3FF0E4A5">
            <w:pPr>
              <w:pStyle w:val="14"/>
              <w:rPr>
                <w:rFonts w:ascii="Times New Roman"/>
                <w:sz w:val="20"/>
              </w:rPr>
            </w:pPr>
          </w:p>
          <w:p w14:paraId="6FEBE964">
            <w:pPr>
              <w:pStyle w:val="14"/>
              <w:rPr>
                <w:rFonts w:ascii="Times New Roman"/>
                <w:sz w:val="20"/>
              </w:rPr>
            </w:pPr>
          </w:p>
          <w:p w14:paraId="26089F18">
            <w:pPr>
              <w:pStyle w:val="14"/>
              <w:rPr>
                <w:rFonts w:ascii="Times New Roman"/>
                <w:sz w:val="20"/>
              </w:rPr>
            </w:pPr>
          </w:p>
          <w:p w14:paraId="59FDC848">
            <w:pPr>
              <w:pStyle w:val="14"/>
              <w:rPr>
                <w:rFonts w:ascii="Times New Roman"/>
                <w:sz w:val="20"/>
              </w:rPr>
            </w:pPr>
          </w:p>
          <w:p w14:paraId="7296D162">
            <w:pPr>
              <w:pStyle w:val="14"/>
              <w:rPr>
                <w:rFonts w:ascii="Times New Roman"/>
                <w:sz w:val="20"/>
              </w:rPr>
            </w:pPr>
          </w:p>
          <w:p w14:paraId="3A978BC7">
            <w:pPr>
              <w:pStyle w:val="14"/>
              <w:spacing w:before="118" w:line="242" w:lineRule="auto"/>
              <w:ind w:left="112" w:right="51"/>
              <w:jc w:val="both"/>
              <w:rPr>
                <w:sz w:val="21"/>
              </w:rPr>
            </w:pPr>
            <w:r>
              <w:rPr>
                <w:sz w:val="21"/>
              </w:rPr>
              <w:t>《生猪屠宰质量管理规范》</w:t>
            </w:r>
          </w:p>
          <w:p w14:paraId="2FE660F1">
            <w:pPr>
              <w:pStyle w:val="14"/>
              <w:spacing w:before="3" w:line="242" w:lineRule="auto"/>
              <w:ind w:left="112" w:right="106"/>
              <w:jc w:val="both"/>
              <w:rPr>
                <w:rFonts w:ascii="Times New Roman" w:eastAsia="Times New Roman"/>
                <w:sz w:val="21"/>
              </w:rPr>
            </w:pPr>
            <w:r>
              <w:rPr>
                <w:w w:val="95"/>
                <w:sz w:val="21"/>
              </w:rPr>
              <w:t>（农业农村部公告</w:t>
            </w:r>
            <w:r>
              <w:rPr>
                <w:sz w:val="21"/>
              </w:rPr>
              <w:t xml:space="preserve">第 </w:t>
            </w:r>
            <w:r>
              <w:rPr>
                <w:rFonts w:ascii="Times New Roman" w:eastAsia="Times New Roman"/>
                <w:sz w:val="21"/>
              </w:rPr>
              <w:t>710</w:t>
            </w:r>
          </w:p>
          <w:p w14:paraId="2E5DE00C">
            <w:pPr>
              <w:pStyle w:val="14"/>
              <w:spacing w:before="1" w:line="242" w:lineRule="auto"/>
              <w:ind w:left="323" w:right="157" w:hanging="156"/>
              <w:rPr>
                <w:sz w:val="21"/>
              </w:rPr>
            </w:pPr>
            <w:r>
              <w:rPr>
                <w:spacing w:val="-1"/>
                <w:w w:val="99"/>
                <w:sz w:val="21"/>
              </w:rPr>
              <w:t>号</w:t>
            </w:r>
            <w:r>
              <w:rPr>
                <w:spacing w:val="-104"/>
                <w:w w:val="99"/>
                <w:sz w:val="21"/>
              </w:rPr>
              <w:t>）</w:t>
            </w:r>
            <w:r>
              <w:rPr>
                <w:spacing w:val="-1"/>
                <w:w w:val="99"/>
                <w:sz w:val="21"/>
              </w:rPr>
              <w:t>（</w:t>
            </w:r>
            <w:r>
              <w:rPr>
                <w:w w:val="99"/>
                <w:sz w:val="21"/>
              </w:rPr>
              <w:t>节</w:t>
            </w:r>
            <w:r>
              <w:rPr>
                <w:sz w:val="21"/>
              </w:rPr>
              <w:t>选）</w:t>
            </w:r>
          </w:p>
        </w:tc>
        <w:tc>
          <w:tcPr>
            <w:tcW w:w="1134" w:type="dxa"/>
            <w:vMerge w:val="restart"/>
          </w:tcPr>
          <w:p w14:paraId="60122B61">
            <w:pPr>
              <w:pStyle w:val="14"/>
              <w:rPr>
                <w:rFonts w:ascii="Times New Roman"/>
                <w:sz w:val="20"/>
              </w:rPr>
            </w:pPr>
          </w:p>
          <w:p w14:paraId="3B2C71DD">
            <w:pPr>
              <w:pStyle w:val="14"/>
              <w:rPr>
                <w:rFonts w:ascii="Times New Roman"/>
                <w:sz w:val="20"/>
              </w:rPr>
            </w:pPr>
          </w:p>
          <w:p w14:paraId="461D4F12">
            <w:pPr>
              <w:pStyle w:val="14"/>
              <w:rPr>
                <w:rFonts w:ascii="Times New Roman"/>
                <w:sz w:val="20"/>
              </w:rPr>
            </w:pPr>
          </w:p>
          <w:p w14:paraId="2F9C2977">
            <w:pPr>
              <w:pStyle w:val="14"/>
              <w:rPr>
                <w:rFonts w:ascii="Times New Roman"/>
                <w:sz w:val="20"/>
              </w:rPr>
            </w:pPr>
          </w:p>
          <w:p w14:paraId="6BDB7A63">
            <w:pPr>
              <w:pStyle w:val="14"/>
              <w:rPr>
                <w:rFonts w:ascii="Times New Roman"/>
                <w:sz w:val="20"/>
              </w:rPr>
            </w:pPr>
          </w:p>
          <w:p w14:paraId="1FC55A43">
            <w:pPr>
              <w:pStyle w:val="14"/>
              <w:rPr>
                <w:rFonts w:ascii="Times New Roman"/>
                <w:sz w:val="20"/>
              </w:rPr>
            </w:pPr>
          </w:p>
          <w:p w14:paraId="05A0B811">
            <w:pPr>
              <w:pStyle w:val="14"/>
              <w:rPr>
                <w:rFonts w:ascii="Times New Roman"/>
                <w:sz w:val="20"/>
              </w:rPr>
            </w:pPr>
          </w:p>
          <w:p w14:paraId="72DBD0FF">
            <w:pPr>
              <w:pStyle w:val="14"/>
              <w:rPr>
                <w:rFonts w:ascii="Times New Roman"/>
                <w:sz w:val="20"/>
              </w:rPr>
            </w:pPr>
          </w:p>
          <w:p w14:paraId="14FC8BB9">
            <w:pPr>
              <w:pStyle w:val="14"/>
              <w:rPr>
                <w:rFonts w:ascii="Times New Roman"/>
                <w:sz w:val="20"/>
              </w:rPr>
            </w:pPr>
          </w:p>
          <w:p w14:paraId="0F5B6474">
            <w:pPr>
              <w:pStyle w:val="14"/>
              <w:spacing w:before="2"/>
              <w:rPr>
                <w:rFonts w:ascii="Times New Roman"/>
                <w:sz w:val="22"/>
              </w:rPr>
            </w:pPr>
          </w:p>
          <w:p w14:paraId="29156229">
            <w:pPr>
              <w:pStyle w:val="14"/>
              <w:spacing w:line="242" w:lineRule="auto"/>
              <w:ind w:left="147" w:right="136"/>
              <w:jc w:val="center"/>
              <w:rPr>
                <w:sz w:val="21"/>
              </w:rPr>
            </w:pPr>
            <w:r>
              <w:rPr>
                <w:w w:val="95"/>
                <w:sz w:val="21"/>
              </w:rPr>
              <w:t>中华人民共和国农</w:t>
            </w:r>
            <w:r>
              <w:rPr>
                <w:sz w:val="21"/>
              </w:rPr>
              <w:t>业农村 部，自</w:t>
            </w:r>
          </w:p>
          <w:p w14:paraId="26A202FA">
            <w:pPr>
              <w:pStyle w:val="14"/>
              <w:spacing w:before="3"/>
              <w:ind w:left="152"/>
              <w:rPr>
                <w:rFonts w:ascii="Times New Roman" w:eastAsia="Times New Roman"/>
                <w:sz w:val="21"/>
              </w:rPr>
            </w:pPr>
            <w:r>
              <w:rPr>
                <w:rFonts w:ascii="Times New Roman" w:eastAsia="Times New Roman"/>
                <w:sz w:val="21"/>
              </w:rPr>
              <w:t xml:space="preserve">2024 </w:t>
            </w:r>
            <w:r>
              <w:rPr>
                <w:sz w:val="21"/>
              </w:rPr>
              <w:t xml:space="preserve">年 </w:t>
            </w:r>
            <w:r>
              <w:rPr>
                <w:rFonts w:ascii="Times New Roman" w:eastAsia="Times New Roman"/>
                <w:sz w:val="21"/>
              </w:rPr>
              <w:t>1</w:t>
            </w:r>
          </w:p>
          <w:p w14:paraId="770EEAE5">
            <w:pPr>
              <w:pStyle w:val="14"/>
              <w:spacing w:before="2" w:line="244" w:lineRule="auto"/>
              <w:ind w:left="116" w:right="107"/>
              <w:jc w:val="center"/>
              <w:rPr>
                <w:sz w:val="21"/>
              </w:rPr>
            </w:pPr>
            <w:r>
              <w:rPr>
                <w:sz w:val="21"/>
              </w:rPr>
              <w:t xml:space="preserve">月 </w:t>
            </w:r>
            <w:r>
              <w:rPr>
                <w:rFonts w:ascii="Times New Roman" w:eastAsia="Times New Roman"/>
                <w:sz w:val="21"/>
              </w:rPr>
              <w:t xml:space="preserve">1 </w:t>
            </w:r>
            <w:r>
              <w:rPr>
                <w:sz w:val="21"/>
              </w:rPr>
              <w:t>日起施行</w:t>
            </w:r>
          </w:p>
        </w:tc>
        <w:tc>
          <w:tcPr>
            <w:tcW w:w="6880" w:type="dxa"/>
          </w:tcPr>
          <w:p w14:paraId="23BD3B12">
            <w:pPr>
              <w:pStyle w:val="14"/>
              <w:spacing w:before="2"/>
              <w:ind w:left="107"/>
              <w:rPr>
                <w:sz w:val="21"/>
              </w:rPr>
            </w:pPr>
            <w:r>
              <w:rPr>
                <w:sz w:val="21"/>
              </w:rPr>
              <w:t>第十四条生猪定点屠宰厂</w:t>
            </w:r>
            <w:r>
              <w:rPr>
                <w:rFonts w:ascii="Times New Roman" w:eastAsia="Times New Roman"/>
                <w:sz w:val="21"/>
              </w:rPr>
              <w:t>(</w:t>
            </w:r>
            <w:r>
              <w:rPr>
                <w:sz w:val="21"/>
              </w:rPr>
              <w:t>场</w:t>
            </w:r>
            <w:r>
              <w:rPr>
                <w:rFonts w:ascii="Times New Roman" w:eastAsia="Times New Roman"/>
                <w:sz w:val="21"/>
              </w:rPr>
              <w:t>)</w:t>
            </w:r>
            <w:r>
              <w:rPr>
                <w:sz w:val="21"/>
              </w:rPr>
              <w:t>应当符合省级生猪屠宰行业发展规划。</w:t>
            </w:r>
          </w:p>
          <w:p w14:paraId="252D296E">
            <w:pPr>
              <w:pStyle w:val="14"/>
              <w:spacing w:before="2" w:line="242" w:lineRule="auto"/>
              <w:ind w:left="107" w:right="97"/>
              <w:jc w:val="both"/>
              <w:rPr>
                <w:sz w:val="21"/>
              </w:rPr>
            </w:pPr>
            <w:r>
              <w:rPr>
                <w:sz w:val="21"/>
              </w:rPr>
              <w:t>生猪定点屠宰厂</w:t>
            </w:r>
            <w:r>
              <w:rPr>
                <w:rFonts w:ascii="Times New Roman" w:eastAsia="Times New Roman"/>
                <w:sz w:val="21"/>
              </w:rPr>
              <w:t>(</w:t>
            </w:r>
            <w:r>
              <w:rPr>
                <w:sz w:val="21"/>
              </w:rPr>
              <w:t>场</w:t>
            </w:r>
            <w:r>
              <w:rPr>
                <w:rFonts w:ascii="Times New Roman" w:eastAsia="Times New Roman"/>
                <w:sz w:val="21"/>
              </w:rPr>
              <w:t>)</w:t>
            </w:r>
            <w:r>
              <w:rPr>
                <w:sz w:val="21"/>
              </w:rPr>
              <w:t>应当符合动物防疫条件，具备符合《生活饮用水卫生标准》</w:t>
            </w:r>
            <w:r>
              <w:rPr>
                <w:rFonts w:ascii="Times New Roman" w:eastAsia="Times New Roman"/>
                <w:sz w:val="21"/>
              </w:rPr>
              <w:t>(GB5749)</w:t>
            </w:r>
            <w:r>
              <w:rPr>
                <w:sz w:val="21"/>
              </w:rPr>
              <w:t>规定的水源和符合要求的电源厂区周围应当有良好的环境卫生条件，远离产生污染源的工业企业或其他场所，远离受污染的水体以及虫害大量孳生的场所。</w:t>
            </w:r>
          </w:p>
          <w:p w14:paraId="726574E1">
            <w:pPr>
              <w:pStyle w:val="14"/>
              <w:spacing w:before="1" w:line="270" w:lineRule="atLeast"/>
              <w:ind w:left="107" w:right="99"/>
              <w:jc w:val="both"/>
              <w:rPr>
                <w:sz w:val="21"/>
              </w:rPr>
            </w:pPr>
            <w:r>
              <w:rPr>
                <w:spacing w:val="-5"/>
                <w:sz w:val="21"/>
              </w:rPr>
              <w:t>第十五条 厂区周围应当建有围墙等离设施，厂区主要道路应当硬化，路面平整、易冲洗，不积水。</w:t>
            </w:r>
          </w:p>
        </w:tc>
        <w:tc>
          <w:tcPr>
            <w:tcW w:w="4153" w:type="dxa"/>
          </w:tcPr>
          <w:p w14:paraId="53CA09A9">
            <w:pPr>
              <w:pStyle w:val="14"/>
              <w:spacing w:before="2" w:line="242" w:lineRule="auto"/>
              <w:ind w:left="108" w:right="96"/>
              <w:jc w:val="both"/>
              <w:rPr>
                <w:sz w:val="21"/>
              </w:rPr>
            </w:pPr>
            <w:r>
              <w:rPr>
                <w:spacing w:val="6"/>
                <w:sz w:val="21"/>
              </w:rPr>
              <w:t>根据前述可知，本项目符合《湖南省生猪</w:t>
            </w:r>
            <w:r>
              <w:rPr>
                <w:sz w:val="21"/>
              </w:rPr>
              <w:t>屠宰行业发展规划（</w:t>
            </w:r>
            <w:r>
              <w:rPr>
                <w:rFonts w:ascii="Times New Roman" w:eastAsia="Times New Roman"/>
                <w:sz w:val="21"/>
              </w:rPr>
              <w:t xml:space="preserve">2022-2025 </w:t>
            </w:r>
            <w:r>
              <w:rPr>
                <w:spacing w:val="2"/>
                <w:sz w:val="21"/>
              </w:rPr>
              <w:t>年</w:t>
            </w:r>
            <w:r>
              <w:rPr>
                <w:spacing w:val="-101"/>
                <w:sz w:val="21"/>
              </w:rPr>
              <w:t>）</w:t>
            </w:r>
            <w:r>
              <w:rPr>
                <w:spacing w:val="-26"/>
                <w:sz w:val="21"/>
              </w:rPr>
              <w:t>》，且满</w:t>
            </w:r>
            <w:r>
              <w:rPr>
                <w:spacing w:val="6"/>
                <w:sz w:val="21"/>
              </w:rPr>
              <w:t>足生猪定点屠宰场的各项条件，项目位于乡道旁，周边主要为荒林地，零星少许散户居民，无潜在危害场所；</w:t>
            </w:r>
          </w:p>
          <w:p w14:paraId="13B20137">
            <w:pPr>
              <w:pStyle w:val="14"/>
              <w:spacing w:before="1" w:line="270" w:lineRule="atLeast"/>
              <w:ind w:left="108" w:right="96"/>
              <w:jc w:val="both"/>
              <w:rPr>
                <w:sz w:val="21"/>
              </w:rPr>
            </w:pPr>
            <w:r>
              <w:rPr>
                <w:sz w:val="21"/>
              </w:rPr>
              <w:t>厂区内设有专用硬化道路，布设雨污管网有效收集，符合相关要求</w:t>
            </w:r>
          </w:p>
        </w:tc>
        <w:tc>
          <w:tcPr>
            <w:tcW w:w="482" w:type="dxa"/>
          </w:tcPr>
          <w:p w14:paraId="5203DCB6">
            <w:pPr>
              <w:pStyle w:val="14"/>
              <w:rPr>
                <w:rFonts w:ascii="Times New Roman"/>
                <w:sz w:val="20"/>
              </w:rPr>
            </w:pPr>
          </w:p>
          <w:p w14:paraId="25B12B60">
            <w:pPr>
              <w:pStyle w:val="14"/>
              <w:rPr>
                <w:rFonts w:ascii="Times New Roman"/>
                <w:sz w:val="20"/>
              </w:rPr>
            </w:pPr>
          </w:p>
          <w:p w14:paraId="6F6AE644">
            <w:pPr>
              <w:pStyle w:val="14"/>
              <w:spacing w:before="2"/>
              <w:rPr>
                <w:rFonts w:ascii="Times New Roman"/>
                <w:sz w:val="19"/>
              </w:rPr>
            </w:pPr>
          </w:p>
          <w:p w14:paraId="476E90C2">
            <w:pPr>
              <w:pStyle w:val="14"/>
              <w:spacing w:line="242" w:lineRule="auto"/>
              <w:ind w:left="107" w:right="153"/>
              <w:rPr>
                <w:sz w:val="21"/>
              </w:rPr>
            </w:pPr>
            <w:r>
              <w:rPr>
                <w:sz w:val="21"/>
              </w:rPr>
              <w:t>符合</w:t>
            </w:r>
          </w:p>
        </w:tc>
      </w:tr>
      <w:tr w14:paraId="443A5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1" w:hRule="atLeast"/>
        </w:trPr>
        <w:tc>
          <w:tcPr>
            <w:tcW w:w="456" w:type="dxa"/>
            <w:vMerge w:val="continue"/>
            <w:tcBorders>
              <w:top w:val="nil"/>
            </w:tcBorders>
          </w:tcPr>
          <w:p w14:paraId="2ACDD88B">
            <w:pPr>
              <w:rPr>
                <w:sz w:val="2"/>
                <w:szCs w:val="2"/>
              </w:rPr>
            </w:pPr>
          </w:p>
        </w:tc>
        <w:tc>
          <w:tcPr>
            <w:tcW w:w="1069" w:type="dxa"/>
            <w:vMerge w:val="continue"/>
            <w:tcBorders>
              <w:top w:val="nil"/>
            </w:tcBorders>
          </w:tcPr>
          <w:p w14:paraId="2910FD5F">
            <w:pPr>
              <w:rPr>
                <w:sz w:val="2"/>
                <w:szCs w:val="2"/>
              </w:rPr>
            </w:pPr>
          </w:p>
        </w:tc>
        <w:tc>
          <w:tcPr>
            <w:tcW w:w="1134" w:type="dxa"/>
            <w:vMerge w:val="continue"/>
            <w:tcBorders>
              <w:top w:val="nil"/>
            </w:tcBorders>
          </w:tcPr>
          <w:p w14:paraId="617A77E3">
            <w:pPr>
              <w:rPr>
                <w:sz w:val="2"/>
                <w:szCs w:val="2"/>
              </w:rPr>
            </w:pPr>
          </w:p>
        </w:tc>
        <w:tc>
          <w:tcPr>
            <w:tcW w:w="6880" w:type="dxa"/>
          </w:tcPr>
          <w:p w14:paraId="010CABD9">
            <w:pPr>
              <w:pStyle w:val="14"/>
              <w:spacing w:before="1"/>
              <w:ind w:left="107"/>
              <w:rPr>
                <w:rFonts w:ascii="Times New Roman" w:eastAsia="Times New Roman"/>
                <w:sz w:val="21"/>
              </w:rPr>
            </w:pPr>
            <w:r>
              <w:rPr>
                <w:sz w:val="21"/>
              </w:rPr>
              <w:t>第十六条 厂区布局应当符合下列要求</w:t>
            </w:r>
            <w:r>
              <w:rPr>
                <w:rFonts w:ascii="Times New Roman" w:eastAsia="Times New Roman"/>
                <w:sz w:val="21"/>
              </w:rPr>
              <w:t>:</w:t>
            </w:r>
          </w:p>
          <w:p w14:paraId="706030F0">
            <w:pPr>
              <w:pStyle w:val="14"/>
              <w:spacing w:before="2"/>
              <w:ind w:left="107"/>
              <w:rPr>
                <w:rFonts w:ascii="Times New Roman" w:eastAsia="Times New Roman"/>
                <w:sz w:val="21"/>
              </w:rPr>
            </w:pPr>
            <w:r>
              <w:rPr>
                <w:rFonts w:ascii="Times New Roman" w:eastAsia="Times New Roman"/>
                <w:sz w:val="21"/>
              </w:rPr>
              <w:t>(</w:t>
            </w:r>
            <w:r>
              <w:rPr>
                <w:sz w:val="21"/>
              </w:rPr>
              <w:t>一</w:t>
            </w:r>
            <w:r>
              <w:rPr>
                <w:rFonts w:ascii="Times New Roman" w:eastAsia="Times New Roman"/>
                <w:sz w:val="21"/>
              </w:rPr>
              <w:t>)</w:t>
            </w:r>
            <w:r>
              <w:rPr>
                <w:sz w:val="21"/>
              </w:rPr>
              <w:t>厂区划分为生产区和非生产区，二者之间设有隔离设施</w:t>
            </w:r>
            <w:r>
              <w:rPr>
                <w:rFonts w:ascii="Times New Roman" w:eastAsia="Times New Roman"/>
                <w:sz w:val="21"/>
              </w:rPr>
              <w:t>;</w:t>
            </w:r>
          </w:p>
          <w:p w14:paraId="44830680">
            <w:pPr>
              <w:pStyle w:val="14"/>
              <w:spacing w:before="5" w:line="242" w:lineRule="auto"/>
              <w:ind w:left="107" w:right="97"/>
              <w:rPr>
                <w:sz w:val="21"/>
              </w:rPr>
            </w:pPr>
            <w:r>
              <w:rPr>
                <w:rFonts w:ascii="Times New Roman" w:eastAsia="Times New Roman"/>
                <w:sz w:val="21"/>
              </w:rPr>
              <w:t>(</w:t>
            </w:r>
            <w:r>
              <w:rPr>
                <w:sz w:val="21"/>
              </w:rPr>
              <w:t>二</w:t>
            </w:r>
            <w:r>
              <w:rPr>
                <w:rFonts w:ascii="Times New Roman" w:eastAsia="Times New Roman"/>
                <w:sz w:val="21"/>
              </w:rPr>
              <w:t>)</w:t>
            </w:r>
            <w:r>
              <w:rPr>
                <w:sz w:val="21"/>
              </w:rPr>
              <w:t>成品出厂应当使用专用通道和出入口，运送生猪和废弃物的，不得与其共用；</w:t>
            </w:r>
          </w:p>
          <w:p w14:paraId="5380DDE7">
            <w:pPr>
              <w:pStyle w:val="14"/>
              <w:spacing w:before="1" w:line="242" w:lineRule="auto"/>
              <w:ind w:left="107" w:right="97"/>
              <w:rPr>
                <w:sz w:val="21"/>
              </w:rPr>
            </w:pPr>
            <w:r>
              <w:rPr>
                <w:rFonts w:ascii="Times New Roman" w:eastAsia="Times New Roman"/>
                <w:sz w:val="21"/>
              </w:rPr>
              <w:t>(</w:t>
            </w:r>
            <w:r>
              <w:rPr>
                <w:sz w:val="21"/>
              </w:rPr>
              <w:t>三</w:t>
            </w:r>
            <w:r>
              <w:rPr>
                <w:rFonts w:ascii="Times New Roman" w:eastAsia="Times New Roman"/>
                <w:sz w:val="21"/>
              </w:rPr>
              <w:t>)</w:t>
            </w:r>
            <w:r>
              <w:rPr>
                <w:sz w:val="21"/>
              </w:rPr>
              <w:t>设有待宰间、隔离间、屠宰间、急宰间、检验室、官方兽医室和无害化暂存间</w:t>
            </w:r>
            <w:r>
              <w:rPr>
                <w:rFonts w:ascii="Times New Roman" w:eastAsia="Times New Roman"/>
                <w:sz w:val="21"/>
              </w:rPr>
              <w:t>(</w:t>
            </w:r>
            <w:r>
              <w:rPr>
                <w:sz w:val="21"/>
              </w:rPr>
              <w:t>或暂存设施</w:t>
            </w:r>
            <w:r>
              <w:rPr>
                <w:rFonts w:ascii="Times New Roman" w:eastAsia="Times New Roman"/>
                <w:sz w:val="21"/>
              </w:rPr>
              <w:t>)</w:t>
            </w:r>
            <w:r>
              <w:rPr>
                <w:sz w:val="21"/>
              </w:rPr>
              <w:t>等；</w:t>
            </w:r>
          </w:p>
          <w:p w14:paraId="1146866E">
            <w:pPr>
              <w:pStyle w:val="14"/>
              <w:spacing w:before="1" w:line="242" w:lineRule="auto"/>
              <w:ind w:left="107" w:right="97"/>
              <w:rPr>
                <w:sz w:val="21"/>
              </w:rPr>
            </w:pPr>
            <w:r>
              <w:rPr>
                <w:rFonts w:ascii="Times New Roman" w:eastAsia="Times New Roman"/>
                <w:sz w:val="21"/>
              </w:rPr>
              <w:t>(</w:t>
            </w:r>
            <w:r>
              <w:rPr>
                <w:sz w:val="21"/>
              </w:rPr>
              <w:t>四</w:t>
            </w:r>
            <w:r>
              <w:rPr>
                <w:rFonts w:ascii="Times New Roman" w:eastAsia="Times New Roman"/>
                <w:sz w:val="21"/>
              </w:rPr>
              <w:t>)</w:t>
            </w:r>
            <w:r>
              <w:rPr>
                <w:sz w:val="21"/>
              </w:rPr>
              <w:t>分别设有生猪运输车辆、产品运输车辆以及工具清洗消毒的区域</w:t>
            </w:r>
            <w:r>
              <w:rPr>
                <w:rFonts w:ascii="Times New Roman" w:eastAsia="Times New Roman"/>
                <w:sz w:val="21"/>
              </w:rPr>
              <w:t>,</w:t>
            </w:r>
            <w:r>
              <w:rPr>
                <w:sz w:val="21"/>
              </w:rPr>
              <w:t>生猪运输车辆清洗消毒区域应当临近生猪卸载区域；</w:t>
            </w:r>
          </w:p>
          <w:p w14:paraId="23C6376E">
            <w:pPr>
              <w:pStyle w:val="14"/>
              <w:spacing w:line="253" w:lineRule="exact"/>
              <w:ind w:left="107"/>
              <w:rPr>
                <w:sz w:val="21"/>
              </w:rPr>
            </w:pPr>
            <w:r>
              <w:rPr>
                <w:rFonts w:ascii="Times New Roman" w:eastAsia="Times New Roman"/>
                <w:sz w:val="21"/>
              </w:rPr>
              <w:t>(</w:t>
            </w:r>
            <w:r>
              <w:rPr>
                <w:sz w:val="21"/>
              </w:rPr>
              <w:t>五</w:t>
            </w:r>
            <w:r>
              <w:rPr>
                <w:rFonts w:ascii="Times New Roman" w:eastAsia="Times New Roman"/>
                <w:sz w:val="21"/>
              </w:rPr>
              <w:t>)</w:t>
            </w:r>
            <w:r>
              <w:rPr>
                <w:sz w:val="21"/>
              </w:rPr>
              <w:t>有符合环境保护要求的污染防治设施。</w:t>
            </w:r>
          </w:p>
        </w:tc>
        <w:tc>
          <w:tcPr>
            <w:tcW w:w="4153" w:type="dxa"/>
          </w:tcPr>
          <w:p w14:paraId="4A2EBA5D">
            <w:pPr>
              <w:pStyle w:val="14"/>
              <w:rPr>
                <w:rFonts w:ascii="Times New Roman"/>
                <w:sz w:val="20"/>
              </w:rPr>
            </w:pPr>
          </w:p>
          <w:p w14:paraId="43DB4761">
            <w:pPr>
              <w:pStyle w:val="14"/>
              <w:spacing w:before="179" w:line="242" w:lineRule="auto"/>
              <w:ind w:left="108" w:right="96"/>
              <w:jc w:val="both"/>
              <w:rPr>
                <w:sz w:val="21"/>
              </w:rPr>
            </w:pPr>
            <w:r>
              <w:rPr>
                <w:sz w:val="21"/>
              </w:rPr>
              <w:t>本项目主体分为生产区和非生产区，以道路或绿化带相隔，生猪、产品、无害化废料等均有专用路线和专门出入口，根据前述厂区内部各功能主体布设完善，配有专业物流团队及车辆，厂区设有专门清消设施，本次评价的污染防治措施明确</w:t>
            </w:r>
          </w:p>
        </w:tc>
        <w:tc>
          <w:tcPr>
            <w:tcW w:w="482" w:type="dxa"/>
          </w:tcPr>
          <w:p w14:paraId="0B2ED5C5">
            <w:pPr>
              <w:pStyle w:val="14"/>
              <w:rPr>
                <w:rFonts w:ascii="Times New Roman"/>
                <w:sz w:val="20"/>
              </w:rPr>
            </w:pPr>
          </w:p>
          <w:p w14:paraId="1CFBC1EE">
            <w:pPr>
              <w:pStyle w:val="14"/>
              <w:rPr>
                <w:rFonts w:ascii="Times New Roman"/>
                <w:sz w:val="20"/>
              </w:rPr>
            </w:pPr>
          </w:p>
          <w:p w14:paraId="60EE273F">
            <w:pPr>
              <w:pStyle w:val="14"/>
              <w:rPr>
                <w:rFonts w:ascii="Times New Roman"/>
                <w:sz w:val="20"/>
              </w:rPr>
            </w:pPr>
          </w:p>
          <w:p w14:paraId="217EC9DA">
            <w:pPr>
              <w:pStyle w:val="14"/>
              <w:spacing w:before="11"/>
              <w:rPr>
                <w:rFonts w:ascii="Times New Roman"/>
                <w:sz w:val="22"/>
              </w:rPr>
            </w:pPr>
          </w:p>
          <w:p w14:paraId="29DF6340">
            <w:pPr>
              <w:pStyle w:val="14"/>
              <w:spacing w:line="242" w:lineRule="auto"/>
              <w:ind w:left="107" w:right="153"/>
              <w:rPr>
                <w:sz w:val="21"/>
              </w:rPr>
            </w:pPr>
            <w:r>
              <w:rPr>
                <w:sz w:val="21"/>
              </w:rPr>
              <w:t>符合</w:t>
            </w:r>
          </w:p>
        </w:tc>
      </w:tr>
      <w:tr w14:paraId="75952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6" w:hRule="atLeast"/>
        </w:trPr>
        <w:tc>
          <w:tcPr>
            <w:tcW w:w="456" w:type="dxa"/>
            <w:vMerge w:val="continue"/>
            <w:tcBorders>
              <w:top w:val="nil"/>
            </w:tcBorders>
          </w:tcPr>
          <w:p w14:paraId="75B87114">
            <w:pPr>
              <w:rPr>
                <w:sz w:val="2"/>
                <w:szCs w:val="2"/>
              </w:rPr>
            </w:pPr>
          </w:p>
        </w:tc>
        <w:tc>
          <w:tcPr>
            <w:tcW w:w="1069" w:type="dxa"/>
            <w:vMerge w:val="continue"/>
            <w:tcBorders>
              <w:top w:val="nil"/>
            </w:tcBorders>
          </w:tcPr>
          <w:p w14:paraId="6C343C4D">
            <w:pPr>
              <w:rPr>
                <w:sz w:val="2"/>
                <w:szCs w:val="2"/>
              </w:rPr>
            </w:pPr>
          </w:p>
        </w:tc>
        <w:tc>
          <w:tcPr>
            <w:tcW w:w="1134" w:type="dxa"/>
            <w:vMerge w:val="continue"/>
            <w:tcBorders>
              <w:top w:val="nil"/>
            </w:tcBorders>
          </w:tcPr>
          <w:p w14:paraId="579F7D81">
            <w:pPr>
              <w:rPr>
                <w:sz w:val="2"/>
                <w:szCs w:val="2"/>
              </w:rPr>
            </w:pPr>
          </w:p>
        </w:tc>
        <w:tc>
          <w:tcPr>
            <w:tcW w:w="6880" w:type="dxa"/>
          </w:tcPr>
          <w:p w14:paraId="1DF38586">
            <w:pPr>
              <w:pStyle w:val="14"/>
              <w:spacing w:line="244" w:lineRule="auto"/>
              <w:ind w:left="107" w:right="99"/>
              <w:rPr>
                <w:sz w:val="21"/>
              </w:rPr>
            </w:pPr>
            <w:r>
              <w:rPr>
                <w:sz w:val="21"/>
              </w:rPr>
              <w:t>第十七条 生产区各车间的布局与设施应当满足生产工艺流程和卫生要求。</w:t>
            </w:r>
          </w:p>
          <w:p w14:paraId="4F905C70">
            <w:pPr>
              <w:pStyle w:val="14"/>
              <w:spacing w:line="244" w:lineRule="auto"/>
              <w:ind w:left="107" w:right="97"/>
              <w:rPr>
                <w:sz w:val="21"/>
              </w:rPr>
            </w:pPr>
            <w:r>
              <w:rPr>
                <w:sz w:val="21"/>
              </w:rPr>
              <w:t>屠宰间不应设置在无害化暂存间、废弃物集存场所、污水处理设施、锅炉房等建筑物及场所主导风向的下风侧。</w:t>
            </w:r>
          </w:p>
          <w:p w14:paraId="6B7AF214">
            <w:pPr>
              <w:pStyle w:val="14"/>
              <w:spacing w:line="265" w:lineRule="exact"/>
              <w:ind w:left="107"/>
              <w:rPr>
                <w:sz w:val="21"/>
              </w:rPr>
            </w:pPr>
            <w:r>
              <w:rPr>
                <w:sz w:val="21"/>
              </w:rPr>
              <w:t>屠宰间清洁区与非清洁区应当分隔。</w:t>
            </w:r>
          </w:p>
          <w:p w14:paraId="15D3D8CB">
            <w:pPr>
              <w:pStyle w:val="14"/>
              <w:spacing w:line="244" w:lineRule="auto"/>
              <w:ind w:left="107" w:right="99"/>
              <w:rPr>
                <w:sz w:val="21"/>
              </w:rPr>
            </w:pPr>
            <w:r>
              <w:rPr>
                <w:spacing w:val="-5"/>
                <w:sz w:val="21"/>
              </w:rPr>
              <w:t>第十八条 待宰间应当有足够的圈舍容量，能容纳不少于设计单班屠宰能力的生猪。</w:t>
            </w:r>
          </w:p>
          <w:p w14:paraId="7F637AC8">
            <w:pPr>
              <w:pStyle w:val="14"/>
              <w:spacing w:line="247" w:lineRule="exact"/>
              <w:ind w:left="107"/>
              <w:rPr>
                <w:sz w:val="21"/>
              </w:rPr>
            </w:pPr>
            <w:r>
              <w:rPr>
                <w:sz w:val="21"/>
              </w:rPr>
              <w:t xml:space="preserve">圈舍隔墙高度不低于 </w:t>
            </w:r>
            <w:r>
              <w:rPr>
                <w:rFonts w:ascii="Times New Roman" w:eastAsia="Times New Roman"/>
                <w:sz w:val="21"/>
              </w:rPr>
              <w:t xml:space="preserve">1 </w:t>
            </w:r>
            <w:r>
              <w:rPr>
                <w:sz w:val="21"/>
              </w:rPr>
              <w:t>米</w:t>
            </w:r>
            <w:r>
              <w:rPr>
                <w:rFonts w:ascii="Times New Roman" w:eastAsia="Times New Roman"/>
                <w:sz w:val="21"/>
              </w:rPr>
              <w:t>,</w:t>
            </w:r>
            <w:r>
              <w:rPr>
                <w:sz w:val="21"/>
              </w:rPr>
              <w:t>隔墙和地面应当采用不渗水、易清洗材料。</w:t>
            </w:r>
          </w:p>
        </w:tc>
        <w:tc>
          <w:tcPr>
            <w:tcW w:w="4153" w:type="dxa"/>
          </w:tcPr>
          <w:p w14:paraId="77393172">
            <w:pPr>
              <w:pStyle w:val="14"/>
              <w:spacing w:line="242" w:lineRule="auto"/>
              <w:ind w:left="108" w:right="96"/>
              <w:jc w:val="both"/>
              <w:rPr>
                <w:sz w:val="21"/>
              </w:rPr>
            </w:pPr>
            <w:r>
              <w:rPr>
                <w:sz w:val="21"/>
              </w:rPr>
              <w:t>项目布局满足生产工艺流程和卫生要求， 无害化暂存间、废水处理站和锅炉房均位于所在区域最低频次侧风向，屠宰间位于其上风向</w:t>
            </w:r>
          </w:p>
          <w:p w14:paraId="0497D8FA">
            <w:pPr>
              <w:pStyle w:val="14"/>
              <w:spacing w:before="1" w:line="242" w:lineRule="auto"/>
              <w:ind w:left="108" w:right="96"/>
              <w:jc w:val="both"/>
              <w:rPr>
                <w:sz w:val="21"/>
              </w:rPr>
            </w:pPr>
            <w:r>
              <w:rPr>
                <w:sz w:val="21"/>
              </w:rPr>
              <w:t>本次评价将该要求发送至设计单位，严格参照执行并落实到建设，本项目仅进行生</w:t>
            </w:r>
            <w:r>
              <w:rPr>
                <w:w w:val="95"/>
                <w:sz w:val="21"/>
              </w:rPr>
              <w:t>猪屠宰，全套设备设施均不属于落后淘汰</w:t>
            </w:r>
          </w:p>
          <w:p w14:paraId="1892D391">
            <w:pPr>
              <w:pStyle w:val="14"/>
              <w:spacing w:before="4" w:line="249" w:lineRule="exact"/>
              <w:ind w:left="108"/>
              <w:jc w:val="both"/>
              <w:rPr>
                <w:sz w:val="21"/>
              </w:rPr>
            </w:pPr>
            <w:r>
              <w:rPr>
                <w:w w:val="95"/>
                <w:sz w:val="21"/>
              </w:rPr>
              <w:t>类，具备检测检疫、冷冻仓储、清洁消毒</w:t>
            </w:r>
          </w:p>
        </w:tc>
        <w:tc>
          <w:tcPr>
            <w:tcW w:w="482" w:type="dxa"/>
          </w:tcPr>
          <w:p w14:paraId="745DEA81">
            <w:pPr>
              <w:pStyle w:val="14"/>
              <w:rPr>
                <w:rFonts w:ascii="Times New Roman"/>
                <w:sz w:val="20"/>
              </w:rPr>
            </w:pPr>
          </w:p>
          <w:p w14:paraId="0A108694">
            <w:pPr>
              <w:pStyle w:val="14"/>
              <w:rPr>
                <w:rFonts w:ascii="Times New Roman"/>
                <w:sz w:val="20"/>
              </w:rPr>
            </w:pPr>
          </w:p>
          <w:p w14:paraId="4AACB7D2">
            <w:pPr>
              <w:pStyle w:val="14"/>
              <w:rPr>
                <w:rFonts w:ascii="Times New Roman"/>
                <w:sz w:val="20"/>
              </w:rPr>
            </w:pPr>
          </w:p>
          <w:p w14:paraId="77526D0E">
            <w:pPr>
              <w:pStyle w:val="14"/>
              <w:spacing w:before="125" w:line="244" w:lineRule="auto"/>
              <w:ind w:left="107" w:right="153"/>
              <w:rPr>
                <w:sz w:val="21"/>
              </w:rPr>
            </w:pPr>
            <w:r>
              <w:rPr>
                <w:sz w:val="21"/>
              </w:rPr>
              <w:t>符合</w:t>
            </w:r>
          </w:p>
        </w:tc>
      </w:tr>
    </w:tbl>
    <w:p w14:paraId="3F2CBC58">
      <w:pPr>
        <w:spacing w:after="0" w:line="244" w:lineRule="auto"/>
        <w:rPr>
          <w:sz w:val="21"/>
        </w:rPr>
        <w:sectPr>
          <w:pgSz w:w="16840" w:h="11910" w:orient="landscape"/>
          <w:pgMar w:top="1180" w:right="1220" w:bottom="1400" w:left="1220" w:header="878" w:footer="1204" w:gutter="0"/>
          <w:cols w:space="720" w:num="1"/>
        </w:sectPr>
      </w:pPr>
    </w:p>
    <w:p w14:paraId="5EF8193A">
      <w:pPr>
        <w:pStyle w:val="7"/>
        <w:rPr>
          <w:rFonts w:ascii="Times New Roman"/>
          <w:sz w:val="20"/>
        </w:rPr>
      </w:pPr>
    </w:p>
    <w:p w14:paraId="7BE60E02">
      <w:pPr>
        <w:pStyle w:val="7"/>
        <w:rPr>
          <w:rFonts w:ascii="Times New Roman"/>
          <w:sz w:val="20"/>
        </w:rPr>
      </w:pPr>
    </w:p>
    <w:p w14:paraId="3FF8E7E5">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7E312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8" w:hRule="atLeast"/>
        </w:trPr>
        <w:tc>
          <w:tcPr>
            <w:tcW w:w="456" w:type="dxa"/>
          </w:tcPr>
          <w:p w14:paraId="7B7233D0">
            <w:pPr>
              <w:pStyle w:val="14"/>
              <w:rPr>
                <w:rFonts w:ascii="Times New Roman"/>
                <w:sz w:val="20"/>
              </w:rPr>
            </w:pPr>
          </w:p>
        </w:tc>
        <w:tc>
          <w:tcPr>
            <w:tcW w:w="1069" w:type="dxa"/>
          </w:tcPr>
          <w:p w14:paraId="4608839E">
            <w:pPr>
              <w:pStyle w:val="14"/>
              <w:rPr>
                <w:rFonts w:ascii="Times New Roman"/>
                <w:sz w:val="20"/>
              </w:rPr>
            </w:pPr>
          </w:p>
        </w:tc>
        <w:tc>
          <w:tcPr>
            <w:tcW w:w="1134" w:type="dxa"/>
          </w:tcPr>
          <w:p w14:paraId="1DCC043D">
            <w:pPr>
              <w:pStyle w:val="14"/>
              <w:rPr>
                <w:rFonts w:ascii="Times New Roman"/>
                <w:sz w:val="20"/>
              </w:rPr>
            </w:pPr>
          </w:p>
        </w:tc>
        <w:tc>
          <w:tcPr>
            <w:tcW w:w="6880" w:type="dxa"/>
          </w:tcPr>
          <w:p w14:paraId="7AA1F654">
            <w:pPr>
              <w:pStyle w:val="14"/>
              <w:spacing w:before="2" w:line="242" w:lineRule="auto"/>
              <w:ind w:left="107" w:right="99"/>
              <w:jc w:val="both"/>
              <w:rPr>
                <w:sz w:val="21"/>
              </w:rPr>
            </w:pPr>
            <w:r>
              <w:rPr>
                <w:spacing w:val="-5"/>
                <w:sz w:val="21"/>
              </w:rPr>
              <w:t>第十九条 隔离间应当单独设立，位于待宰间主导风向的下风侧，宜靠近卸猪台。</w:t>
            </w:r>
          </w:p>
          <w:p w14:paraId="4B1946A3">
            <w:pPr>
              <w:pStyle w:val="14"/>
              <w:spacing w:line="244" w:lineRule="auto"/>
              <w:ind w:left="107" w:right="99"/>
              <w:jc w:val="both"/>
              <w:rPr>
                <w:sz w:val="21"/>
              </w:rPr>
            </w:pPr>
            <w:r>
              <w:rPr>
                <w:spacing w:val="-5"/>
                <w:sz w:val="21"/>
              </w:rPr>
              <w:t>第二十条 急宰间应当设在待宰间和隔离间附近，有冷、热水供应装置， 出入口设置便于手推车出入的消毒池。</w:t>
            </w:r>
          </w:p>
          <w:p w14:paraId="0E3A9A93">
            <w:pPr>
              <w:pStyle w:val="14"/>
              <w:spacing w:line="242" w:lineRule="auto"/>
              <w:ind w:left="107" w:right="97"/>
              <w:jc w:val="both"/>
              <w:rPr>
                <w:sz w:val="21"/>
              </w:rPr>
            </w:pPr>
            <w:r>
              <w:rPr>
                <w:sz w:val="21"/>
              </w:rPr>
              <w:t>第二十一条 屠宰间的建筑面积与设施应当与设计屠宰能力相适应。地面应当采用易清洗、耐腐蚀的材料，其表面应当平整无裂缝、无积水。车间内各加工区应当划分明确，人流、物流互不干扰，符合生产工艺、卫生及检验检疫要求。</w:t>
            </w:r>
          </w:p>
          <w:p w14:paraId="31BC2AEC">
            <w:pPr>
              <w:pStyle w:val="14"/>
              <w:ind w:left="107"/>
              <w:rPr>
                <w:sz w:val="21"/>
              </w:rPr>
            </w:pPr>
            <w:r>
              <w:rPr>
                <w:sz w:val="21"/>
              </w:rPr>
              <w:t>屠宰间不得用于屠宰生猪以外的其他动物。</w:t>
            </w:r>
          </w:p>
          <w:p w14:paraId="61B13299">
            <w:pPr>
              <w:pStyle w:val="14"/>
              <w:spacing w:before="2" w:line="242" w:lineRule="auto"/>
              <w:ind w:left="107" w:right="97"/>
              <w:jc w:val="both"/>
              <w:rPr>
                <w:sz w:val="21"/>
              </w:rPr>
            </w:pPr>
            <w:r>
              <w:rPr>
                <w:sz w:val="21"/>
              </w:rPr>
              <w:t>检验检疫操作区域的长度应当按照每位检验检疫人员不小于</w:t>
            </w:r>
            <w:r>
              <w:rPr>
                <w:rFonts w:ascii="Times New Roman" w:eastAsia="Times New Roman"/>
                <w:sz w:val="21"/>
              </w:rPr>
              <w:t xml:space="preserve">.5 </w:t>
            </w:r>
            <w:r>
              <w:rPr>
                <w:sz w:val="21"/>
              </w:rPr>
              <w:t>米计算</w:t>
            </w:r>
            <w:r>
              <w:rPr>
                <w:rFonts w:ascii="Times New Roman" w:eastAsia="Times New Roman"/>
                <w:sz w:val="21"/>
              </w:rPr>
              <w:t>,</w:t>
            </w:r>
            <w:r>
              <w:rPr>
                <w:sz w:val="21"/>
              </w:rPr>
              <w:t>踏脚台高度应当适合检验检疫操作的要求</w:t>
            </w:r>
          </w:p>
          <w:p w14:paraId="00EA9F66">
            <w:pPr>
              <w:pStyle w:val="14"/>
              <w:spacing w:before="1" w:line="242" w:lineRule="auto"/>
              <w:ind w:left="107" w:right="99"/>
              <w:jc w:val="both"/>
              <w:rPr>
                <w:sz w:val="21"/>
              </w:rPr>
            </w:pPr>
            <w:r>
              <w:rPr>
                <w:spacing w:val="-5"/>
                <w:sz w:val="21"/>
              </w:rPr>
              <w:t>第二十二条 屠宰间的清洁区和非清洁区应当分别设有与屠宰能力相适应并与屠宰间相连通的更衣室。</w:t>
            </w:r>
          </w:p>
          <w:p w14:paraId="6F6E7139">
            <w:pPr>
              <w:pStyle w:val="14"/>
              <w:spacing w:before="1" w:line="242" w:lineRule="auto"/>
              <w:ind w:left="107" w:right="97"/>
              <w:jc w:val="both"/>
              <w:rPr>
                <w:sz w:val="21"/>
              </w:rPr>
            </w:pPr>
            <w:r>
              <w:rPr>
                <w:sz w:val="21"/>
              </w:rPr>
              <w:t>屠宰间根据需要设置卫生间。卫生间不得与屠宰加工、包装或储存等区域直接连通。卫生间的门应当能自动关闭，门窗不应直接开向车间。</w:t>
            </w:r>
          </w:p>
          <w:p w14:paraId="41A82E5B">
            <w:pPr>
              <w:pStyle w:val="14"/>
              <w:spacing w:before="2" w:line="242" w:lineRule="auto"/>
              <w:ind w:left="107" w:right="99"/>
              <w:jc w:val="both"/>
              <w:rPr>
                <w:sz w:val="21"/>
              </w:rPr>
            </w:pPr>
            <w:r>
              <w:rPr>
                <w:spacing w:val="-5"/>
                <w:sz w:val="21"/>
              </w:rPr>
              <w:t>第二十三条 屠宰间应当根据工艺流程的需要，在用水位置分别设置冷、热水供应装置</w:t>
            </w:r>
            <w:r>
              <w:rPr>
                <w:rFonts w:ascii="Times New Roman" w:hAnsi="Times New Roman" w:eastAsia="Times New Roman"/>
                <w:spacing w:val="-5"/>
                <w:sz w:val="21"/>
              </w:rPr>
              <w:t>,</w:t>
            </w:r>
            <w:r>
              <w:rPr>
                <w:spacing w:val="-10"/>
                <w:sz w:val="21"/>
              </w:rPr>
              <w:t xml:space="preserve">消毒用热水温度不应低于 </w:t>
            </w:r>
            <w:r>
              <w:rPr>
                <w:rFonts w:ascii="Times New Roman" w:hAnsi="Times New Roman" w:eastAsia="Times New Roman"/>
                <w:sz w:val="21"/>
              </w:rPr>
              <w:t>82</w:t>
            </w:r>
            <w:r>
              <w:rPr>
                <w:sz w:val="21"/>
              </w:rPr>
              <w:t>℃。</w:t>
            </w:r>
          </w:p>
          <w:p w14:paraId="65F9A4EE">
            <w:pPr>
              <w:pStyle w:val="14"/>
              <w:spacing w:line="244" w:lineRule="auto"/>
              <w:ind w:left="107" w:right="97"/>
              <w:jc w:val="both"/>
              <w:rPr>
                <w:sz w:val="21"/>
              </w:rPr>
            </w:pPr>
            <w:r>
              <w:rPr>
                <w:sz w:val="21"/>
              </w:rPr>
              <w:t>加工用水的管道应当有防虹吸或防回流装置</w:t>
            </w:r>
            <w:r>
              <w:rPr>
                <w:rFonts w:ascii="Times New Roman" w:eastAsia="Times New Roman"/>
                <w:sz w:val="21"/>
              </w:rPr>
              <w:t>;</w:t>
            </w:r>
            <w:r>
              <w:rPr>
                <w:sz w:val="21"/>
              </w:rPr>
              <w:t>明沟排水口处应当设置不易腐蚀材料格栅</w:t>
            </w:r>
            <w:r>
              <w:rPr>
                <w:rFonts w:ascii="Times New Roman" w:eastAsia="Times New Roman"/>
                <w:sz w:val="21"/>
              </w:rPr>
              <w:t>,</w:t>
            </w:r>
            <w:r>
              <w:rPr>
                <w:sz w:val="21"/>
              </w:rPr>
              <w:t>并有防鼠、防臭设施。</w:t>
            </w:r>
          </w:p>
          <w:p w14:paraId="334949DC">
            <w:pPr>
              <w:pStyle w:val="14"/>
              <w:spacing w:line="242" w:lineRule="auto"/>
              <w:ind w:left="107" w:right="97"/>
              <w:jc w:val="both"/>
              <w:rPr>
                <w:sz w:val="21"/>
              </w:rPr>
            </w:pPr>
            <w:r>
              <w:rPr>
                <w:sz w:val="21"/>
              </w:rPr>
              <w:t xml:space="preserve">第二十四条 屠宰间内应当有适宜的自然光线或人工照明照度应当能满足检验检疫人员和屠宰技术人员的工作需要。屠宰间加工线操作部位的照度应当不低于 </w:t>
            </w:r>
            <w:r>
              <w:rPr>
                <w:rFonts w:ascii="Times New Roman" w:eastAsia="Times New Roman"/>
                <w:sz w:val="21"/>
              </w:rPr>
              <w:t xml:space="preserve">200 </w:t>
            </w:r>
            <w:r>
              <w:rPr>
                <w:sz w:val="21"/>
              </w:rPr>
              <w:t xml:space="preserve">勒克斯，检验检疫操作部位的照度应当不低于 </w:t>
            </w:r>
            <w:r>
              <w:rPr>
                <w:rFonts w:ascii="Times New Roman" w:eastAsia="Times New Roman"/>
                <w:sz w:val="21"/>
              </w:rPr>
              <w:t xml:space="preserve">500 </w:t>
            </w:r>
            <w:r>
              <w:rPr>
                <w:sz w:val="21"/>
              </w:rPr>
              <w:t>勒克斯。</w:t>
            </w:r>
          </w:p>
          <w:p w14:paraId="5E3E7EA0">
            <w:pPr>
              <w:pStyle w:val="14"/>
              <w:spacing w:line="244" w:lineRule="auto"/>
              <w:ind w:left="107" w:right="99"/>
              <w:jc w:val="both"/>
              <w:rPr>
                <w:sz w:val="21"/>
              </w:rPr>
            </w:pPr>
            <w:r>
              <w:rPr>
                <w:spacing w:val="-5"/>
                <w:sz w:val="21"/>
              </w:rPr>
              <w:t>第二十五条 屠宰间内应当有良好的通风、排气装置，空气流动的方向应当从清洁区流向非清洁区。</w:t>
            </w:r>
          </w:p>
          <w:p w14:paraId="1CCBB584">
            <w:pPr>
              <w:pStyle w:val="14"/>
              <w:spacing w:line="242" w:lineRule="auto"/>
              <w:ind w:left="107" w:right="97"/>
              <w:jc w:val="both"/>
              <w:rPr>
                <w:sz w:val="21"/>
              </w:rPr>
            </w:pPr>
            <w:r>
              <w:rPr>
                <w:sz w:val="21"/>
              </w:rPr>
              <w:t>第二十六条 生猪定点屠宰厂</w:t>
            </w:r>
            <w:r>
              <w:rPr>
                <w:rFonts w:ascii="Times New Roman" w:eastAsia="Times New Roman"/>
                <w:sz w:val="21"/>
              </w:rPr>
              <w:t>(</w:t>
            </w:r>
            <w:r>
              <w:rPr>
                <w:sz w:val="21"/>
              </w:rPr>
              <w:t>场</w:t>
            </w:r>
            <w:r>
              <w:rPr>
                <w:rFonts w:ascii="Times New Roman" w:eastAsia="Times New Roman"/>
                <w:sz w:val="21"/>
              </w:rPr>
              <w:t>)</w:t>
            </w:r>
            <w:r>
              <w:rPr>
                <w:sz w:val="21"/>
              </w:rPr>
              <w:t>应当配备与设计屠宰能力相适应、符合国家规定的屠宰设备和工器具，并按工艺流程有序排列，避免引起交叉污染。与生猪产品接触的设备和工器具，应当耐腐蚀、可反复清洗消毒，不与生猪产品、清洁剂和消毒剂等发生反应。</w:t>
            </w:r>
          </w:p>
          <w:p w14:paraId="63F2C6E3">
            <w:pPr>
              <w:pStyle w:val="14"/>
              <w:spacing w:line="250" w:lineRule="exact"/>
              <w:ind w:left="107"/>
              <w:jc w:val="both"/>
              <w:rPr>
                <w:sz w:val="21"/>
              </w:rPr>
            </w:pPr>
            <w:r>
              <w:rPr>
                <w:sz w:val="21"/>
              </w:rPr>
              <w:t>不得使用产业结构调整指导目录中规定的淘汰类生产工艺装备。</w:t>
            </w:r>
          </w:p>
        </w:tc>
        <w:tc>
          <w:tcPr>
            <w:tcW w:w="4153" w:type="dxa"/>
          </w:tcPr>
          <w:p w14:paraId="46EBCCDE">
            <w:pPr>
              <w:pStyle w:val="14"/>
              <w:spacing w:before="2"/>
              <w:ind w:left="108"/>
              <w:rPr>
                <w:sz w:val="21"/>
              </w:rPr>
            </w:pPr>
            <w:r>
              <w:rPr>
                <w:sz w:val="21"/>
              </w:rPr>
              <w:t>等能力</w:t>
            </w:r>
          </w:p>
        </w:tc>
        <w:tc>
          <w:tcPr>
            <w:tcW w:w="482" w:type="dxa"/>
          </w:tcPr>
          <w:p w14:paraId="00D799D2">
            <w:pPr>
              <w:pStyle w:val="14"/>
              <w:rPr>
                <w:rFonts w:ascii="Times New Roman"/>
                <w:sz w:val="20"/>
              </w:rPr>
            </w:pPr>
          </w:p>
        </w:tc>
      </w:tr>
    </w:tbl>
    <w:p w14:paraId="71B650B5">
      <w:pPr>
        <w:spacing w:after="0"/>
        <w:rPr>
          <w:rFonts w:ascii="Times New Roman"/>
          <w:sz w:val="20"/>
        </w:rPr>
        <w:sectPr>
          <w:pgSz w:w="16840" w:h="11910" w:orient="landscape"/>
          <w:pgMar w:top="1180" w:right="1220" w:bottom="1400" w:left="1220" w:header="878" w:footer="1204" w:gutter="0"/>
          <w:cols w:space="720" w:num="1"/>
        </w:sectPr>
      </w:pPr>
    </w:p>
    <w:p w14:paraId="0A1EC9E1">
      <w:pPr>
        <w:pStyle w:val="7"/>
        <w:rPr>
          <w:rFonts w:ascii="Times New Roman"/>
          <w:sz w:val="20"/>
        </w:rPr>
      </w:pPr>
    </w:p>
    <w:p w14:paraId="2FBAACF7">
      <w:pPr>
        <w:pStyle w:val="7"/>
        <w:rPr>
          <w:rFonts w:ascii="Times New Roman"/>
          <w:sz w:val="20"/>
        </w:rPr>
      </w:pPr>
    </w:p>
    <w:p w14:paraId="277AB918">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3E47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4" w:hRule="atLeast"/>
        </w:trPr>
        <w:tc>
          <w:tcPr>
            <w:tcW w:w="456" w:type="dxa"/>
            <w:vMerge w:val="restart"/>
          </w:tcPr>
          <w:p w14:paraId="538D787F">
            <w:pPr>
              <w:pStyle w:val="14"/>
              <w:rPr>
                <w:rFonts w:ascii="Times New Roman"/>
                <w:sz w:val="20"/>
              </w:rPr>
            </w:pPr>
          </w:p>
        </w:tc>
        <w:tc>
          <w:tcPr>
            <w:tcW w:w="1069" w:type="dxa"/>
            <w:vMerge w:val="restart"/>
          </w:tcPr>
          <w:p w14:paraId="12D5F3CC">
            <w:pPr>
              <w:pStyle w:val="14"/>
              <w:rPr>
                <w:rFonts w:ascii="Times New Roman"/>
                <w:sz w:val="20"/>
              </w:rPr>
            </w:pPr>
          </w:p>
        </w:tc>
        <w:tc>
          <w:tcPr>
            <w:tcW w:w="1134" w:type="dxa"/>
            <w:vMerge w:val="restart"/>
          </w:tcPr>
          <w:p w14:paraId="437E6435">
            <w:pPr>
              <w:pStyle w:val="14"/>
              <w:rPr>
                <w:rFonts w:ascii="Times New Roman"/>
                <w:sz w:val="20"/>
              </w:rPr>
            </w:pPr>
          </w:p>
        </w:tc>
        <w:tc>
          <w:tcPr>
            <w:tcW w:w="6880" w:type="dxa"/>
          </w:tcPr>
          <w:p w14:paraId="33398FC1">
            <w:pPr>
              <w:pStyle w:val="14"/>
              <w:spacing w:before="2" w:line="242" w:lineRule="auto"/>
              <w:ind w:left="107" w:right="97"/>
              <w:jc w:val="both"/>
              <w:rPr>
                <w:sz w:val="21"/>
              </w:rPr>
            </w:pPr>
            <w:r>
              <w:rPr>
                <w:spacing w:val="-5"/>
                <w:sz w:val="21"/>
              </w:rPr>
              <w:t>第二十七条 生猪定点屠宰厂</w:t>
            </w:r>
            <w:r>
              <w:rPr>
                <w:rFonts w:ascii="Times New Roman" w:hAnsi="Times New Roman" w:eastAsia="Times New Roman"/>
                <w:spacing w:val="2"/>
                <w:sz w:val="21"/>
              </w:rPr>
              <w:t>(</w:t>
            </w:r>
            <w:r>
              <w:rPr>
                <w:spacing w:val="2"/>
                <w:sz w:val="21"/>
              </w:rPr>
              <w:t>场</w:t>
            </w:r>
            <w:r>
              <w:rPr>
                <w:rFonts w:ascii="Times New Roman" w:hAnsi="Times New Roman" w:eastAsia="Times New Roman"/>
                <w:spacing w:val="2"/>
                <w:sz w:val="21"/>
              </w:rPr>
              <w:t>)</w:t>
            </w:r>
            <w:r>
              <w:rPr>
                <w:spacing w:val="1"/>
                <w:sz w:val="21"/>
              </w:rPr>
              <w:t>应当设有符合要求的检验室</w:t>
            </w:r>
            <w:r>
              <w:rPr>
                <w:rFonts w:ascii="Times New Roman" w:hAnsi="Times New Roman" w:eastAsia="Times New Roman"/>
                <w:spacing w:val="5"/>
                <w:sz w:val="21"/>
              </w:rPr>
              <w:t>,</w:t>
            </w:r>
            <w:r>
              <w:rPr>
                <w:spacing w:val="1"/>
                <w:sz w:val="21"/>
              </w:rPr>
              <w:t>配备满足日</w:t>
            </w:r>
            <w:r>
              <w:rPr>
                <w:spacing w:val="-4"/>
                <w:w w:val="99"/>
                <w:sz w:val="21"/>
              </w:rPr>
              <w:t>常检验检测需要的设施设备，能够开展常见理化指标检测，“瘦肉精”等</w:t>
            </w:r>
            <w:r>
              <w:rPr>
                <w:spacing w:val="1"/>
                <w:sz w:val="21"/>
              </w:rPr>
              <w:t>的快速筛查，以及国家规定的动物疫病检测，并具备一定的兽药残留检测能力。</w:t>
            </w:r>
          </w:p>
          <w:p w14:paraId="3316221D">
            <w:pPr>
              <w:pStyle w:val="14"/>
              <w:spacing w:line="244" w:lineRule="auto"/>
              <w:ind w:left="107" w:right="97"/>
              <w:jc w:val="both"/>
              <w:rPr>
                <w:sz w:val="21"/>
              </w:rPr>
            </w:pPr>
            <w:r>
              <w:rPr>
                <w:sz w:val="21"/>
              </w:rPr>
              <w:t>第二十八条 生猪定点屠宰厂</w:t>
            </w:r>
            <w:r>
              <w:rPr>
                <w:rFonts w:ascii="Times New Roman" w:eastAsia="Times New Roman"/>
                <w:sz w:val="21"/>
              </w:rPr>
              <w:t>(</w:t>
            </w:r>
            <w:r>
              <w:rPr>
                <w:sz w:val="21"/>
              </w:rPr>
              <w:t>场</w:t>
            </w:r>
            <w:r>
              <w:rPr>
                <w:rFonts w:ascii="Times New Roman" w:eastAsia="Times New Roman"/>
                <w:sz w:val="21"/>
              </w:rPr>
              <w:t>)</w:t>
            </w:r>
            <w:r>
              <w:rPr>
                <w:sz w:val="21"/>
              </w:rPr>
              <w:t>应当根据生产工艺和产品类型等需要， 设置相应的储存库，储存库内应当有防霉、防鼠、防虫设施。</w:t>
            </w:r>
          </w:p>
          <w:p w14:paraId="55C433F4">
            <w:pPr>
              <w:pStyle w:val="14"/>
              <w:spacing w:line="244" w:lineRule="auto"/>
              <w:ind w:left="107" w:right="97"/>
              <w:jc w:val="both"/>
              <w:rPr>
                <w:sz w:val="21"/>
              </w:rPr>
            </w:pPr>
            <w:r>
              <w:rPr>
                <w:sz w:val="21"/>
              </w:rPr>
              <w:t>储存库的温度应当符合所储存产品的特定要求。冷藏、冷冻储存库应当具有温度监控设备。</w:t>
            </w:r>
          </w:p>
          <w:p w14:paraId="40D86421">
            <w:pPr>
              <w:pStyle w:val="14"/>
              <w:spacing w:line="244" w:lineRule="auto"/>
              <w:ind w:left="107" w:right="97"/>
              <w:jc w:val="both"/>
              <w:rPr>
                <w:sz w:val="21"/>
              </w:rPr>
            </w:pPr>
            <w:r>
              <w:rPr>
                <w:sz w:val="21"/>
              </w:rPr>
              <w:t>第二十九条 生猪定点屠宰厂</w:t>
            </w:r>
            <w:r>
              <w:rPr>
                <w:rFonts w:ascii="Times New Roman" w:eastAsia="Times New Roman"/>
                <w:sz w:val="21"/>
              </w:rPr>
              <w:t>(</w:t>
            </w:r>
            <w:r>
              <w:rPr>
                <w:sz w:val="21"/>
              </w:rPr>
              <w:t>场</w:t>
            </w:r>
            <w:r>
              <w:rPr>
                <w:rFonts w:ascii="Times New Roman" w:eastAsia="Times New Roman"/>
                <w:sz w:val="21"/>
              </w:rPr>
              <w:t>)</w:t>
            </w:r>
            <w:r>
              <w:rPr>
                <w:sz w:val="21"/>
              </w:rPr>
              <w:t>应当在不同场所配备必要的清洗消毒设施设备，不同场所清洗消毒设施设备不得混用。</w:t>
            </w:r>
          </w:p>
          <w:p w14:paraId="15FB3A16">
            <w:pPr>
              <w:pStyle w:val="14"/>
              <w:spacing w:line="242" w:lineRule="auto"/>
              <w:ind w:left="107" w:right="97"/>
              <w:jc w:val="both"/>
              <w:rPr>
                <w:sz w:val="21"/>
              </w:rPr>
            </w:pPr>
            <w:r>
              <w:rPr>
                <w:sz w:val="21"/>
              </w:rPr>
              <w:t>厂</w:t>
            </w:r>
            <w:r>
              <w:rPr>
                <w:rFonts w:ascii="Times New Roman" w:eastAsia="Times New Roman"/>
                <w:sz w:val="21"/>
              </w:rPr>
              <w:t>(</w:t>
            </w:r>
            <w:r>
              <w:rPr>
                <w:sz w:val="21"/>
              </w:rPr>
              <w:t>场</w:t>
            </w:r>
            <w:r>
              <w:rPr>
                <w:rFonts w:ascii="Times New Roman" w:eastAsia="Times New Roman"/>
                <w:sz w:val="21"/>
              </w:rPr>
              <w:t>)</w:t>
            </w:r>
            <w:r>
              <w:rPr>
                <w:sz w:val="21"/>
              </w:rPr>
              <w:t xml:space="preserve">区出入口处应当单独设置人员消毒通道。生猪运输车辆入口处应当设置与门同宽，长 </w:t>
            </w:r>
            <w:r>
              <w:rPr>
                <w:rFonts w:ascii="Times New Roman" w:eastAsia="Times New Roman"/>
                <w:sz w:val="21"/>
              </w:rPr>
              <w:t xml:space="preserve">4 </w:t>
            </w:r>
            <w:r>
              <w:rPr>
                <w:sz w:val="21"/>
              </w:rPr>
              <w:t xml:space="preserve">米以上、深 </w:t>
            </w:r>
            <w:r>
              <w:rPr>
                <w:rFonts w:ascii="Times New Roman" w:eastAsia="Times New Roman"/>
                <w:sz w:val="21"/>
              </w:rPr>
              <w:t xml:space="preserve">0.3 </w:t>
            </w:r>
            <w:r>
              <w:rPr>
                <w:sz w:val="21"/>
              </w:rPr>
              <w:t>米以上的消毒池</w:t>
            </w:r>
            <w:r>
              <w:rPr>
                <w:rFonts w:ascii="Times New Roman" w:eastAsia="Times New Roman"/>
                <w:sz w:val="21"/>
              </w:rPr>
              <w:t>,</w:t>
            </w:r>
            <w:r>
              <w:rPr>
                <w:sz w:val="21"/>
              </w:rPr>
              <w:t>配置消毒喷雾器或设置消毒通道。</w:t>
            </w:r>
          </w:p>
          <w:p w14:paraId="4A8D6C37">
            <w:pPr>
              <w:pStyle w:val="14"/>
              <w:spacing w:line="242" w:lineRule="auto"/>
              <w:ind w:left="107" w:right="97"/>
              <w:jc w:val="both"/>
              <w:rPr>
                <w:sz w:val="21"/>
              </w:rPr>
            </w:pPr>
            <w:r>
              <w:rPr>
                <w:sz w:val="21"/>
              </w:rPr>
              <w:t>屠宰间入口处应当设置与屠宰规模相适应的洗手设施、换鞋设施或工作鞋靴消毒设施</w:t>
            </w:r>
            <w:r>
              <w:rPr>
                <w:rFonts w:ascii="Times New Roman" w:eastAsia="Times New Roman"/>
                <w:sz w:val="21"/>
              </w:rPr>
              <w:t>;</w:t>
            </w:r>
            <w:r>
              <w:rPr>
                <w:sz w:val="21"/>
              </w:rPr>
              <w:t>车间内应当设有工器具、容器和固定设备的清洗消毒设施，并有充足的冷热水源。</w:t>
            </w:r>
          </w:p>
          <w:p w14:paraId="24E4F00B">
            <w:pPr>
              <w:pStyle w:val="14"/>
              <w:ind w:left="107"/>
              <w:jc w:val="both"/>
              <w:rPr>
                <w:sz w:val="21"/>
              </w:rPr>
            </w:pPr>
            <w:r>
              <w:rPr>
                <w:sz w:val="21"/>
              </w:rPr>
              <w:t>隔离间、无害化暂存间的门口应当设置车轮、鞋靴消毒设施。</w:t>
            </w:r>
          </w:p>
          <w:p w14:paraId="6EB7F16B">
            <w:pPr>
              <w:pStyle w:val="14"/>
              <w:spacing w:line="242" w:lineRule="auto"/>
              <w:ind w:left="107" w:right="97"/>
              <w:jc w:val="both"/>
              <w:rPr>
                <w:sz w:val="21"/>
              </w:rPr>
            </w:pPr>
            <w:r>
              <w:rPr>
                <w:sz w:val="21"/>
              </w:rPr>
              <w:t>第三十条 生猪定点屠宰厂</w:t>
            </w:r>
            <w:r>
              <w:rPr>
                <w:rFonts w:ascii="Times New Roman" w:eastAsia="Times New Roman"/>
                <w:sz w:val="21"/>
              </w:rPr>
              <w:t>(</w:t>
            </w:r>
            <w:r>
              <w:rPr>
                <w:sz w:val="21"/>
              </w:rPr>
              <w:t>场</w:t>
            </w:r>
            <w:r>
              <w:rPr>
                <w:rFonts w:ascii="Times New Roman" w:eastAsia="Times New Roman"/>
                <w:sz w:val="21"/>
              </w:rPr>
              <w:t>)</w:t>
            </w:r>
            <w:r>
              <w:rPr>
                <w:sz w:val="21"/>
              </w:rPr>
              <w:t>应当在远离车间的地点设置废弃物临时存放设施。废弃物临时存放设施应当便于清洗消毒，结构严密，能防止虫害、鼠害等。</w:t>
            </w:r>
          </w:p>
          <w:p w14:paraId="3C13A6B9">
            <w:pPr>
              <w:pStyle w:val="14"/>
              <w:ind w:left="107"/>
              <w:jc w:val="both"/>
              <w:rPr>
                <w:sz w:val="21"/>
              </w:rPr>
            </w:pPr>
            <w:r>
              <w:rPr>
                <w:sz w:val="21"/>
              </w:rPr>
              <w:t>车间内存放废弃物的设施和容器应当有清晰。</w:t>
            </w:r>
          </w:p>
          <w:p w14:paraId="0FCDDFF7">
            <w:pPr>
              <w:pStyle w:val="14"/>
              <w:spacing w:line="270" w:lineRule="atLeast"/>
              <w:ind w:left="107" w:right="97"/>
              <w:jc w:val="both"/>
              <w:rPr>
                <w:sz w:val="21"/>
              </w:rPr>
            </w:pPr>
            <w:r>
              <w:rPr>
                <w:sz w:val="21"/>
              </w:rPr>
              <w:t>明显标识厂区内废弃物应当及时清除或处理，不应堆放废弃设备和其他杂物。</w:t>
            </w:r>
          </w:p>
        </w:tc>
        <w:tc>
          <w:tcPr>
            <w:tcW w:w="4153" w:type="dxa"/>
          </w:tcPr>
          <w:p w14:paraId="1C5BB7A8">
            <w:pPr>
              <w:pStyle w:val="14"/>
              <w:rPr>
                <w:rFonts w:ascii="Times New Roman"/>
                <w:sz w:val="20"/>
              </w:rPr>
            </w:pPr>
          </w:p>
        </w:tc>
        <w:tc>
          <w:tcPr>
            <w:tcW w:w="482" w:type="dxa"/>
          </w:tcPr>
          <w:p w14:paraId="3AF8DC11">
            <w:pPr>
              <w:pStyle w:val="14"/>
              <w:rPr>
                <w:rFonts w:ascii="Times New Roman"/>
                <w:sz w:val="20"/>
              </w:rPr>
            </w:pPr>
          </w:p>
        </w:tc>
      </w:tr>
      <w:tr w14:paraId="3912E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56" w:type="dxa"/>
            <w:vMerge w:val="continue"/>
            <w:tcBorders>
              <w:top w:val="nil"/>
            </w:tcBorders>
          </w:tcPr>
          <w:p w14:paraId="2B920C22">
            <w:pPr>
              <w:rPr>
                <w:sz w:val="2"/>
                <w:szCs w:val="2"/>
              </w:rPr>
            </w:pPr>
          </w:p>
        </w:tc>
        <w:tc>
          <w:tcPr>
            <w:tcW w:w="1069" w:type="dxa"/>
            <w:vMerge w:val="continue"/>
            <w:tcBorders>
              <w:top w:val="nil"/>
            </w:tcBorders>
          </w:tcPr>
          <w:p w14:paraId="75179CE6">
            <w:pPr>
              <w:rPr>
                <w:sz w:val="2"/>
                <w:szCs w:val="2"/>
              </w:rPr>
            </w:pPr>
          </w:p>
        </w:tc>
        <w:tc>
          <w:tcPr>
            <w:tcW w:w="1134" w:type="dxa"/>
            <w:vMerge w:val="continue"/>
            <w:tcBorders>
              <w:top w:val="nil"/>
            </w:tcBorders>
          </w:tcPr>
          <w:p w14:paraId="1F526416">
            <w:pPr>
              <w:rPr>
                <w:sz w:val="2"/>
                <w:szCs w:val="2"/>
              </w:rPr>
            </w:pPr>
          </w:p>
        </w:tc>
        <w:tc>
          <w:tcPr>
            <w:tcW w:w="6880" w:type="dxa"/>
          </w:tcPr>
          <w:p w14:paraId="72A6CEB0">
            <w:pPr>
              <w:pStyle w:val="14"/>
              <w:spacing w:line="244" w:lineRule="auto"/>
              <w:ind w:left="107" w:right="97"/>
              <w:rPr>
                <w:sz w:val="21"/>
              </w:rPr>
            </w:pPr>
            <w:r>
              <w:rPr>
                <w:sz w:val="21"/>
              </w:rPr>
              <w:t>第三十一条 生猪定点屠宰厂</w:t>
            </w:r>
            <w:r>
              <w:rPr>
                <w:rFonts w:ascii="Times New Roman" w:eastAsia="Times New Roman"/>
                <w:sz w:val="21"/>
              </w:rPr>
              <w:t>(</w:t>
            </w:r>
            <w:r>
              <w:rPr>
                <w:sz w:val="21"/>
              </w:rPr>
              <w:t>场</w:t>
            </w:r>
            <w:r>
              <w:rPr>
                <w:rFonts w:ascii="Times New Roman" w:eastAsia="Times New Roman"/>
                <w:sz w:val="21"/>
              </w:rPr>
              <w:t>)</w:t>
            </w:r>
            <w:r>
              <w:rPr>
                <w:sz w:val="21"/>
              </w:rPr>
              <w:t>应当配备与设计屠宰能力相适应的病死生猪及病害生猪产品无害化处理设施设备，采用的处理方法应当符合</w:t>
            </w:r>
          </w:p>
          <w:p w14:paraId="4062FA66">
            <w:pPr>
              <w:pStyle w:val="14"/>
              <w:spacing w:line="249" w:lineRule="exact"/>
              <w:ind w:left="107"/>
              <w:rPr>
                <w:sz w:val="21"/>
              </w:rPr>
            </w:pPr>
            <w:r>
              <w:rPr>
                <w:sz w:val="21"/>
              </w:rPr>
              <w:t>《病死及病害动物无害化处理技术规范》及相关要求</w:t>
            </w:r>
          </w:p>
        </w:tc>
        <w:tc>
          <w:tcPr>
            <w:tcW w:w="4153" w:type="dxa"/>
          </w:tcPr>
          <w:p w14:paraId="7708A184">
            <w:pPr>
              <w:pStyle w:val="14"/>
              <w:spacing w:before="136" w:line="242" w:lineRule="auto"/>
              <w:ind w:left="108" w:right="96"/>
              <w:rPr>
                <w:sz w:val="21"/>
              </w:rPr>
            </w:pPr>
            <w:r>
              <w:rPr>
                <w:sz w:val="21"/>
              </w:rPr>
              <w:t>项目设有独立无害化暂存间，岳阳县无害化处理中心满足相关无害化处理要求</w:t>
            </w:r>
          </w:p>
        </w:tc>
        <w:tc>
          <w:tcPr>
            <w:tcW w:w="482" w:type="dxa"/>
          </w:tcPr>
          <w:p w14:paraId="64974B93">
            <w:pPr>
              <w:pStyle w:val="14"/>
              <w:spacing w:before="136" w:line="242" w:lineRule="auto"/>
              <w:ind w:left="107" w:right="153"/>
              <w:rPr>
                <w:sz w:val="21"/>
              </w:rPr>
            </w:pPr>
            <w:r>
              <w:rPr>
                <w:sz w:val="21"/>
              </w:rPr>
              <w:t>符合</w:t>
            </w:r>
          </w:p>
        </w:tc>
      </w:tr>
      <w:tr w14:paraId="722EA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456" w:type="dxa"/>
          </w:tcPr>
          <w:p w14:paraId="10457EA6">
            <w:pPr>
              <w:pStyle w:val="14"/>
              <w:rPr>
                <w:rFonts w:ascii="Times New Roman"/>
                <w:sz w:val="22"/>
              </w:rPr>
            </w:pPr>
          </w:p>
          <w:p w14:paraId="24914173">
            <w:pPr>
              <w:pStyle w:val="14"/>
              <w:spacing w:before="169"/>
              <w:ind w:left="107"/>
              <w:rPr>
                <w:rFonts w:ascii="Times New Roman"/>
                <w:sz w:val="21"/>
              </w:rPr>
            </w:pPr>
            <w:r>
              <w:rPr>
                <w:rFonts w:ascii="Times New Roman"/>
                <w:w w:val="99"/>
                <w:sz w:val="21"/>
              </w:rPr>
              <w:t>4</w:t>
            </w:r>
          </w:p>
        </w:tc>
        <w:tc>
          <w:tcPr>
            <w:tcW w:w="1069" w:type="dxa"/>
          </w:tcPr>
          <w:p w14:paraId="05AC6CB3">
            <w:pPr>
              <w:pStyle w:val="14"/>
              <w:spacing w:line="242" w:lineRule="auto"/>
              <w:ind w:left="107" w:right="97"/>
              <w:jc w:val="both"/>
              <w:rPr>
                <w:sz w:val="21"/>
              </w:rPr>
            </w:pPr>
            <w:r>
              <w:rPr>
                <w:spacing w:val="1"/>
                <w:sz w:val="21"/>
              </w:rPr>
              <w:t>《生猪屠宰检疫规</w:t>
            </w:r>
            <w:r>
              <w:rPr>
                <w:spacing w:val="-28"/>
                <w:sz w:val="21"/>
              </w:rPr>
              <w:t xml:space="preserve">程 》 </w:t>
            </w:r>
            <w:r>
              <w:rPr>
                <w:rFonts w:ascii="Times New Roman" w:eastAsia="Times New Roman"/>
                <w:spacing w:val="-3"/>
                <w:sz w:val="21"/>
              </w:rPr>
              <w:t xml:space="preserve">( </w:t>
            </w:r>
            <w:r>
              <w:rPr>
                <w:sz w:val="21"/>
              </w:rPr>
              <w:t>农</w:t>
            </w:r>
          </w:p>
          <w:p w14:paraId="733E520E">
            <w:pPr>
              <w:pStyle w:val="14"/>
              <w:spacing w:before="1" w:line="251" w:lineRule="exact"/>
              <w:ind w:left="107"/>
              <w:jc w:val="both"/>
              <w:rPr>
                <w:sz w:val="21"/>
              </w:rPr>
            </w:pPr>
            <w:r>
              <w:rPr>
                <w:sz w:val="21"/>
              </w:rPr>
              <w:t>牧    发</w:t>
            </w:r>
          </w:p>
        </w:tc>
        <w:tc>
          <w:tcPr>
            <w:tcW w:w="1134" w:type="dxa"/>
          </w:tcPr>
          <w:p w14:paraId="536213D3">
            <w:pPr>
              <w:pStyle w:val="14"/>
              <w:spacing w:line="242" w:lineRule="auto"/>
              <w:ind w:left="106" w:right="98"/>
              <w:jc w:val="both"/>
              <w:rPr>
                <w:sz w:val="21"/>
              </w:rPr>
            </w:pPr>
            <w:r>
              <w:rPr>
                <w:spacing w:val="17"/>
                <w:sz w:val="21"/>
              </w:rPr>
              <w:t>中华人民共和国农</w:t>
            </w:r>
            <w:r>
              <w:rPr>
                <w:spacing w:val="5"/>
                <w:sz w:val="21"/>
              </w:rPr>
              <w:t>业  农 村</w:t>
            </w:r>
          </w:p>
          <w:p w14:paraId="2048ED58">
            <w:pPr>
              <w:pStyle w:val="14"/>
              <w:spacing w:before="1" w:line="251" w:lineRule="exact"/>
              <w:ind w:left="106"/>
              <w:jc w:val="both"/>
              <w:rPr>
                <w:rFonts w:ascii="Times New Roman" w:eastAsia="Times New Roman"/>
                <w:sz w:val="21"/>
              </w:rPr>
            </w:pPr>
            <w:r>
              <w:rPr>
                <w:spacing w:val="-34"/>
                <w:sz w:val="21"/>
              </w:rPr>
              <w:t xml:space="preserve">部 ， </w:t>
            </w:r>
            <w:r>
              <w:rPr>
                <w:rFonts w:ascii="Times New Roman" w:eastAsia="Times New Roman"/>
                <w:sz w:val="21"/>
              </w:rPr>
              <w:t>2023</w:t>
            </w:r>
          </w:p>
        </w:tc>
        <w:tc>
          <w:tcPr>
            <w:tcW w:w="6880" w:type="dxa"/>
          </w:tcPr>
          <w:p w14:paraId="06F5EAB2">
            <w:pPr>
              <w:pStyle w:val="14"/>
              <w:spacing w:line="242" w:lineRule="auto"/>
              <w:ind w:left="107" w:right="303"/>
              <w:jc w:val="both"/>
              <w:rPr>
                <w:sz w:val="21"/>
              </w:rPr>
            </w:pPr>
            <w:r>
              <w:rPr>
                <w:w w:val="95"/>
                <w:sz w:val="21"/>
              </w:rPr>
              <w:t>为进一步规范动物检疫工作</w:t>
            </w:r>
            <w:r>
              <w:rPr>
                <w:rFonts w:ascii="Times New Roman" w:eastAsia="Times New Roman"/>
                <w:w w:val="95"/>
                <w:sz w:val="21"/>
              </w:rPr>
              <w:t>,</w:t>
            </w:r>
            <w:r>
              <w:rPr>
                <w:spacing w:val="-7"/>
                <w:w w:val="95"/>
                <w:sz w:val="21"/>
              </w:rPr>
              <w:t xml:space="preserve">按照《中华人民共和国动物防疫法》《动物  </w:t>
            </w:r>
            <w:r>
              <w:rPr>
                <w:spacing w:val="-7"/>
                <w:sz w:val="21"/>
              </w:rPr>
              <w:t>检疫管理办法》规定</w:t>
            </w:r>
            <w:r>
              <w:rPr>
                <w:rFonts w:ascii="Times New Roman" w:eastAsia="Times New Roman"/>
                <w:spacing w:val="-7"/>
                <w:sz w:val="21"/>
              </w:rPr>
              <w:t>,</w:t>
            </w:r>
            <w:r>
              <w:rPr>
                <w:spacing w:val="-11"/>
                <w:sz w:val="21"/>
              </w:rPr>
              <w:t xml:space="preserve">我部修订了《生猪产地检疫规程》等 </w:t>
            </w:r>
            <w:r>
              <w:rPr>
                <w:rFonts w:ascii="Times New Roman" w:eastAsia="Times New Roman"/>
                <w:sz w:val="21"/>
              </w:rPr>
              <w:t>19</w:t>
            </w:r>
            <w:r>
              <w:rPr>
                <w:rFonts w:ascii="Times New Roman" w:eastAsia="Times New Roman"/>
                <w:spacing w:val="-18"/>
                <w:sz w:val="21"/>
              </w:rPr>
              <w:t xml:space="preserve"> </w:t>
            </w:r>
            <w:r>
              <w:rPr>
                <w:sz w:val="21"/>
              </w:rPr>
              <w:t>个检疫规程。</w:t>
            </w:r>
          </w:p>
          <w:p w14:paraId="346BE444">
            <w:pPr>
              <w:pStyle w:val="14"/>
              <w:spacing w:before="1" w:line="251" w:lineRule="exact"/>
              <w:ind w:left="107"/>
              <w:jc w:val="both"/>
              <w:rPr>
                <w:sz w:val="21"/>
              </w:rPr>
            </w:pPr>
            <w:r>
              <w:rPr>
                <w:sz w:val="21"/>
              </w:rPr>
              <w:t>本规程规定了生猪产地检疫的检疫范围及对象、检疫合格标准、检疫程</w:t>
            </w:r>
          </w:p>
        </w:tc>
        <w:tc>
          <w:tcPr>
            <w:tcW w:w="4153" w:type="dxa"/>
          </w:tcPr>
          <w:p w14:paraId="3B254CD9">
            <w:pPr>
              <w:pStyle w:val="14"/>
              <w:ind w:left="108"/>
              <w:rPr>
                <w:sz w:val="21"/>
              </w:rPr>
            </w:pPr>
            <w:r>
              <w:rPr>
                <w:sz w:val="21"/>
              </w:rPr>
              <w:t>本项目为生猪屠宰，具体情况如下：</w:t>
            </w:r>
          </w:p>
          <w:p w14:paraId="3850EF08">
            <w:pPr>
              <w:pStyle w:val="14"/>
              <w:spacing w:before="2"/>
              <w:ind w:left="108"/>
              <w:rPr>
                <w:sz w:val="21"/>
              </w:rPr>
            </w:pPr>
            <w:r>
              <w:rPr>
                <w:sz w:val="21"/>
              </w:rPr>
              <w:t>①项目位于城东村乡道旁，四周不涉及</w:t>
            </w:r>
          </w:p>
          <w:p w14:paraId="212CA948">
            <w:pPr>
              <w:pStyle w:val="14"/>
              <w:spacing w:before="4" w:line="270" w:lineRule="atLeast"/>
              <w:ind w:left="108" w:right="254"/>
              <w:rPr>
                <w:sz w:val="21"/>
              </w:rPr>
            </w:pPr>
            <w:r>
              <w:rPr>
                <w:w w:val="95"/>
                <w:sz w:val="21"/>
              </w:rPr>
              <w:t>《管理办法》中相关环境敏感区，无环境防护距离，卫生防护距离内无相关保护目</w:t>
            </w:r>
          </w:p>
        </w:tc>
        <w:tc>
          <w:tcPr>
            <w:tcW w:w="482" w:type="dxa"/>
          </w:tcPr>
          <w:p w14:paraId="248DA1DF">
            <w:pPr>
              <w:pStyle w:val="14"/>
              <w:spacing w:before="6"/>
              <w:rPr>
                <w:rFonts w:ascii="Times New Roman"/>
                <w:sz w:val="23"/>
              </w:rPr>
            </w:pPr>
          </w:p>
          <w:p w14:paraId="601531E3">
            <w:pPr>
              <w:pStyle w:val="14"/>
              <w:spacing w:before="1" w:line="244" w:lineRule="auto"/>
              <w:ind w:left="107" w:right="153"/>
              <w:rPr>
                <w:sz w:val="21"/>
              </w:rPr>
            </w:pPr>
            <w:r>
              <w:rPr>
                <w:sz w:val="21"/>
              </w:rPr>
              <w:t>符合</w:t>
            </w:r>
          </w:p>
        </w:tc>
      </w:tr>
    </w:tbl>
    <w:p w14:paraId="5BD4ACF0">
      <w:pPr>
        <w:spacing w:after="0" w:line="244" w:lineRule="auto"/>
        <w:rPr>
          <w:sz w:val="21"/>
        </w:rPr>
        <w:sectPr>
          <w:pgSz w:w="16840" w:h="11910" w:orient="landscape"/>
          <w:pgMar w:top="1180" w:right="1220" w:bottom="1400" w:left="1220" w:header="878" w:footer="1204" w:gutter="0"/>
          <w:cols w:space="720" w:num="1"/>
        </w:sectPr>
      </w:pPr>
    </w:p>
    <w:p w14:paraId="4F1E7404">
      <w:pPr>
        <w:pStyle w:val="7"/>
        <w:rPr>
          <w:rFonts w:ascii="Times New Roman"/>
          <w:sz w:val="20"/>
        </w:rPr>
      </w:pPr>
    </w:p>
    <w:p w14:paraId="4AD4B042">
      <w:pPr>
        <w:pStyle w:val="7"/>
        <w:rPr>
          <w:rFonts w:ascii="Times New Roman"/>
          <w:sz w:val="20"/>
        </w:rPr>
      </w:pPr>
    </w:p>
    <w:p w14:paraId="687FB515">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787B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6" w:hRule="atLeast"/>
        </w:trPr>
        <w:tc>
          <w:tcPr>
            <w:tcW w:w="456" w:type="dxa"/>
          </w:tcPr>
          <w:p w14:paraId="5FF13819">
            <w:pPr>
              <w:pStyle w:val="14"/>
              <w:rPr>
                <w:rFonts w:ascii="Times New Roman"/>
                <w:sz w:val="20"/>
              </w:rPr>
            </w:pPr>
          </w:p>
        </w:tc>
        <w:tc>
          <w:tcPr>
            <w:tcW w:w="1069" w:type="dxa"/>
          </w:tcPr>
          <w:p w14:paraId="14D03E2D">
            <w:pPr>
              <w:pStyle w:val="14"/>
              <w:spacing w:before="2"/>
              <w:ind w:left="107"/>
              <w:rPr>
                <w:sz w:val="21"/>
              </w:rPr>
            </w:pPr>
            <w:r>
              <w:rPr>
                <w:sz w:val="21"/>
              </w:rPr>
              <w:t>〔</w:t>
            </w:r>
            <w:r>
              <w:rPr>
                <w:rFonts w:ascii="Times New Roman" w:eastAsia="Times New Roman"/>
                <w:sz w:val="21"/>
              </w:rPr>
              <w:t>2023</w:t>
            </w:r>
            <w:r>
              <w:rPr>
                <w:sz w:val="21"/>
              </w:rPr>
              <w:t>〕</w:t>
            </w:r>
          </w:p>
          <w:p w14:paraId="369EF838">
            <w:pPr>
              <w:pStyle w:val="14"/>
              <w:spacing w:before="2"/>
              <w:ind w:left="107"/>
              <w:rPr>
                <w:rFonts w:ascii="Times New Roman" w:eastAsia="Times New Roman"/>
                <w:sz w:val="21"/>
              </w:rPr>
            </w:pPr>
            <w:r>
              <w:rPr>
                <w:rFonts w:ascii="Times New Roman" w:eastAsia="Times New Roman"/>
                <w:sz w:val="21"/>
              </w:rPr>
              <w:t xml:space="preserve">16 </w:t>
            </w:r>
            <w:r>
              <w:rPr>
                <w:sz w:val="21"/>
              </w:rPr>
              <w:t>号</w:t>
            </w:r>
            <w:r>
              <w:rPr>
                <w:rFonts w:ascii="Times New Roman" w:eastAsia="Times New Roman"/>
                <w:sz w:val="21"/>
              </w:rPr>
              <w:t>)</w:t>
            </w:r>
          </w:p>
        </w:tc>
        <w:tc>
          <w:tcPr>
            <w:tcW w:w="1134" w:type="dxa"/>
          </w:tcPr>
          <w:p w14:paraId="386E224D">
            <w:pPr>
              <w:pStyle w:val="14"/>
              <w:spacing w:before="2"/>
              <w:ind w:left="106"/>
              <w:rPr>
                <w:rFonts w:ascii="Times New Roman" w:eastAsia="Times New Roman"/>
                <w:sz w:val="21"/>
              </w:rPr>
            </w:pP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1</w:t>
            </w:r>
          </w:p>
          <w:p w14:paraId="35691A3D">
            <w:pPr>
              <w:pStyle w:val="14"/>
              <w:spacing w:before="2"/>
              <w:ind w:left="106"/>
              <w:rPr>
                <w:sz w:val="21"/>
              </w:rPr>
            </w:pPr>
            <w:r>
              <w:rPr>
                <w:w w:val="99"/>
                <w:sz w:val="21"/>
              </w:rPr>
              <w:t>日</w:t>
            </w:r>
          </w:p>
        </w:tc>
        <w:tc>
          <w:tcPr>
            <w:tcW w:w="6880" w:type="dxa"/>
          </w:tcPr>
          <w:p w14:paraId="15AA3632">
            <w:pPr>
              <w:pStyle w:val="14"/>
              <w:spacing w:before="2"/>
              <w:ind w:left="107"/>
              <w:rPr>
                <w:rFonts w:ascii="Times New Roman" w:hAnsi="Times New Roman" w:eastAsia="Times New Roman"/>
                <w:sz w:val="21"/>
              </w:rPr>
            </w:pPr>
            <w:r>
              <w:rPr>
                <w:sz w:val="21"/>
              </w:rPr>
              <w:t>序、检疫结果处理和检疫记录</w:t>
            </w:r>
            <w:r>
              <w:rPr>
                <w:rFonts w:ascii="Times New Roman" w:hAnsi="Times New Roman" w:eastAsia="Times New Roman"/>
                <w:sz w:val="21"/>
              </w:rPr>
              <w:t>……</w:t>
            </w:r>
          </w:p>
          <w:p w14:paraId="0B2CE9BA">
            <w:pPr>
              <w:pStyle w:val="14"/>
              <w:spacing w:before="2" w:line="242" w:lineRule="auto"/>
              <w:ind w:left="107" w:right="147"/>
              <w:rPr>
                <w:sz w:val="21"/>
              </w:rPr>
            </w:pPr>
            <w:r>
              <w:rPr>
                <w:sz w:val="21"/>
              </w:rPr>
              <w:t>第六条 动物饲养场、动物隔离场所、动物屠宰加工场所以及动物和动物产品无害化处理场所应当符合下列条件：</w:t>
            </w:r>
          </w:p>
          <w:p w14:paraId="43E774CA">
            <w:pPr>
              <w:pStyle w:val="14"/>
              <w:spacing w:before="1" w:line="242" w:lineRule="auto"/>
              <w:ind w:left="107" w:right="251"/>
              <w:rPr>
                <w:sz w:val="21"/>
              </w:rPr>
            </w:pPr>
            <w:r>
              <w:rPr>
                <w:w w:val="95"/>
                <w:sz w:val="21"/>
              </w:rPr>
              <w:t xml:space="preserve">（一）各场所之间，各场所与动物诊疗场所、居民生活区、生活饮用水  </w:t>
            </w:r>
            <w:r>
              <w:rPr>
                <w:sz w:val="21"/>
              </w:rPr>
              <w:t>水源地、学校、医院等公共场所之间保持必要的距离；</w:t>
            </w:r>
          </w:p>
          <w:p w14:paraId="0DBAD49F">
            <w:pPr>
              <w:pStyle w:val="14"/>
              <w:spacing w:before="1" w:line="242" w:lineRule="auto"/>
              <w:ind w:left="107" w:right="251"/>
              <w:jc w:val="both"/>
              <w:rPr>
                <w:sz w:val="21"/>
              </w:rPr>
            </w:pPr>
            <w:r>
              <w:rPr>
                <w:w w:val="95"/>
                <w:sz w:val="21"/>
              </w:rPr>
              <w:t xml:space="preserve">（二）场区周围建有围墙等隔离设施；场区出入口处设置运输车辆消毒  通道或者消毒池，并单独设置人员消毒通道；生产经营区与生活办公区  </w:t>
            </w:r>
            <w:r>
              <w:rPr>
                <w:sz w:val="21"/>
              </w:rPr>
              <w:t>分开，并有隔离设施；生产经营区入口处设置人员更衣消毒室；</w:t>
            </w:r>
          </w:p>
          <w:p w14:paraId="14161F7F">
            <w:pPr>
              <w:pStyle w:val="14"/>
              <w:spacing w:before="1" w:line="244" w:lineRule="auto"/>
              <w:ind w:left="107" w:right="462"/>
              <w:rPr>
                <w:sz w:val="21"/>
              </w:rPr>
            </w:pPr>
            <w:r>
              <w:rPr>
                <w:w w:val="95"/>
                <w:sz w:val="21"/>
              </w:rPr>
              <w:t xml:space="preserve">（三）配备与其生产经营规模相适应的执业兽医或者动物防疫技术人  </w:t>
            </w:r>
            <w:r>
              <w:rPr>
                <w:sz w:val="21"/>
              </w:rPr>
              <w:t>员；</w:t>
            </w:r>
          </w:p>
          <w:p w14:paraId="54CD75DA">
            <w:pPr>
              <w:pStyle w:val="14"/>
              <w:spacing w:line="244" w:lineRule="auto"/>
              <w:ind w:left="107" w:right="251"/>
              <w:rPr>
                <w:sz w:val="21"/>
              </w:rPr>
            </w:pPr>
            <w:r>
              <w:rPr>
                <w:w w:val="95"/>
                <w:sz w:val="21"/>
              </w:rPr>
              <w:t xml:space="preserve">（四）配备与其生产经营规模相适应的污水、污物处理设施，清洗消毒  </w:t>
            </w:r>
            <w:r>
              <w:rPr>
                <w:sz w:val="21"/>
              </w:rPr>
              <w:t>设施设备，以及必要的防鼠、防鸟、防虫设施设备；</w:t>
            </w:r>
          </w:p>
          <w:p w14:paraId="1A487187">
            <w:pPr>
              <w:pStyle w:val="14"/>
              <w:spacing w:line="265" w:lineRule="exact"/>
              <w:ind w:left="107"/>
              <w:rPr>
                <w:sz w:val="21"/>
              </w:rPr>
            </w:pPr>
            <w:r>
              <w:rPr>
                <w:sz w:val="21"/>
              </w:rPr>
              <w:t>（五）建立隔离消毒、购销台账、日常巡查等动物防疫制度。</w:t>
            </w:r>
          </w:p>
          <w:p w14:paraId="55DCDC15">
            <w:pPr>
              <w:pStyle w:val="14"/>
              <w:spacing w:before="1" w:line="242" w:lineRule="auto"/>
              <w:ind w:left="107" w:right="147"/>
              <w:rPr>
                <w:sz w:val="21"/>
              </w:rPr>
            </w:pPr>
            <w:r>
              <w:rPr>
                <w:sz w:val="21"/>
              </w:rPr>
              <w:t>第九条 动物屠宰加工场所除符合本办法第六条规定外，还应当符合下列条件：</w:t>
            </w:r>
          </w:p>
          <w:p w14:paraId="7F0C1EEB">
            <w:pPr>
              <w:pStyle w:val="14"/>
              <w:spacing w:before="1" w:line="242" w:lineRule="auto"/>
              <w:ind w:left="107" w:right="251"/>
              <w:rPr>
                <w:sz w:val="21"/>
              </w:rPr>
            </w:pPr>
            <w:r>
              <w:rPr>
                <w:w w:val="95"/>
                <w:sz w:val="21"/>
              </w:rPr>
              <w:t xml:space="preserve">（一）入场动物卸载区域有固定的车辆消毒场地，并配备车辆清洗消毒  </w:t>
            </w:r>
            <w:r>
              <w:rPr>
                <w:sz w:val="21"/>
              </w:rPr>
              <w:t>设备；</w:t>
            </w:r>
          </w:p>
          <w:p w14:paraId="51D15899">
            <w:pPr>
              <w:pStyle w:val="14"/>
              <w:spacing w:line="244" w:lineRule="auto"/>
              <w:ind w:left="107" w:right="251"/>
              <w:rPr>
                <w:sz w:val="21"/>
              </w:rPr>
            </w:pPr>
            <w:r>
              <w:rPr>
                <w:w w:val="95"/>
                <w:sz w:val="21"/>
              </w:rPr>
              <w:t>（二）有与其屠宰规模相适应的独立检疫室和休息室；有待宰圈、急宰  间，加工原毛、生皮、绒、骨、角的，还应当设置封闭式熏蒸消毒间；</w:t>
            </w:r>
          </w:p>
          <w:p w14:paraId="18F2F267">
            <w:pPr>
              <w:pStyle w:val="14"/>
              <w:spacing w:line="265" w:lineRule="exact"/>
              <w:ind w:left="107"/>
              <w:rPr>
                <w:sz w:val="21"/>
              </w:rPr>
            </w:pPr>
            <w:r>
              <w:rPr>
                <w:w w:val="95"/>
                <w:sz w:val="21"/>
              </w:rPr>
              <w:t>（三）屠宰间配备检疫操作台；</w:t>
            </w:r>
          </w:p>
          <w:p w14:paraId="1C9342E1">
            <w:pPr>
              <w:pStyle w:val="14"/>
              <w:spacing w:before="3" w:line="244" w:lineRule="auto"/>
              <w:ind w:left="107" w:right="251"/>
              <w:rPr>
                <w:sz w:val="21"/>
              </w:rPr>
            </w:pPr>
            <w:r>
              <w:rPr>
                <w:w w:val="95"/>
                <w:sz w:val="21"/>
              </w:rPr>
              <w:t xml:space="preserve">（四）有符合国家规定的病死动物和病害动物产品无害化处理设施设备  </w:t>
            </w:r>
            <w:r>
              <w:rPr>
                <w:sz w:val="21"/>
              </w:rPr>
              <w:t>或者冷藏冷冻等暂存设施设备；</w:t>
            </w:r>
          </w:p>
          <w:p w14:paraId="33AB3770">
            <w:pPr>
              <w:pStyle w:val="14"/>
              <w:spacing w:line="265" w:lineRule="exact"/>
              <w:ind w:left="107"/>
              <w:rPr>
                <w:sz w:val="21"/>
              </w:rPr>
            </w:pPr>
            <w:r>
              <w:rPr>
                <w:sz w:val="21"/>
              </w:rPr>
              <w:t>（五）建立动物进场查验登记、动物产品出场登记、检疫申报、疫情报</w:t>
            </w:r>
          </w:p>
          <w:p w14:paraId="7484E27C">
            <w:pPr>
              <w:pStyle w:val="14"/>
              <w:spacing w:before="2" w:line="252" w:lineRule="exact"/>
              <w:ind w:left="107"/>
              <w:rPr>
                <w:sz w:val="21"/>
              </w:rPr>
            </w:pPr>
            <w:r>
              <w:rPr>
                <w:sz w:val="21"/>
              </w:rPr>
              <w:t>告、无害化处理等动物防疫制度。</w:t>
            </w:r>
          </w:p>
        </w:tc>
        <w:tc>
          <w:tcPr>
            <w:tcW w:w="4153" w:type="dxa"/>
          </w:tcPr>
          <w:p w14:paraId="097D4BAD">
            <w:pPr>
              <w:pStyle w:val="14"/>
              <w:spacing w:before="2"/>
              <w:ind w:left="108"/>
              <w:rPr>
                <w:sz w:val="21"/>
              </w:rPr>
            </w:pPr>
            <w:r>
              <w:rPr>
                <w:sz w:val="21"/>
              </w:rPr>
              <w:t>标；</w:t>
            </w:r>
          </w:p>
          <w:p w14:paraId="676FF87A">
            <w:pPr>
              <w:pStyle w:val="14"/>
              <w:spacing w:before="2" w:line="242" w:lineRule="auto"/>
              <w:ind w:left="108" w:right="254"/>
              <w:jc w:val="both"/>
              <w:rPr>
                <w:sz w:val="21"/>
              </w:rPr>
            </w:pPr>
            <w:r>
              <w:rPr>
                <w:w w:val="95"/>
                <w:sz w:val="21"/>
              </w:rPr>
              <w:t>②场地四周设有围墙，生猪进场入口处设有标准消毒池，卸货区位于进场入口旁， 生产区与办公生活区分隔，设有专用人员</w:t>
            </w:r>
            <w:r>
              <w:rPr>
                <w:sz w:val="21"/>
              </w:rPr>
              <w:t>更衣消毒室；</w:t>
            </w:r>
          </w:p>
          <w:p w14:paraId="2FF40CE2">
            <w:pPr>
              <w:pStyle w:val="14"/>
              <w:spacing w:before="2" w:line="242" w:lineRule="auto"/>
              <w:ind w:left="108" w:right="254"/>
              <w:jc w:val="both"/>
              <w:rPr>
                <w:sz w:val="21"/>
              </w:rPr>
            </w:pPr>
            <w:r>
              <w:rPr>
                <w:w w:val="95"/>
                <w:sz w:val="21"/>
              </w:rPr>
              <w:t>③厂区配备一定数量的专业兽医和防疫人</w:t>
            </w:r>
            <w:r>
              <w:rPr>
                <w:sz w:val="21"/>
              </w:rPr>
              <w:t>员；</w:t>
            </w:r>
          </w:p>
          <w:p w14:paraId="3BBA132C">
            <w:pPr>
              <w:pStyle w:val="14"/>
              <w:spacing w:before="2" w:line="242" w:lineRule="auto"/>
              <w:ind w:left="108" w:right="254"/>
              <w:jc w:val="both"/>
              <w:rPr>
                <w:sz w:val="21"/>
              </w:rPr>
            </w:pPr>
            <w:r>
              <w:rPr>
                <w:w w:val="95"/>
                <w:sz w:val="21"/>
              </w:rPr>
              <w:t>④本次评价明确污染防治措施完善，清消</w:t>
            </w:r>
            <w:r>
              <w:rPr>
                <w:sz w:val="21"/>
              </w:rPr>
              <w:t>及“四防”有效；</w:t>
            </w:r>
          </w:p>
          <w:p w14:paraId="3CAD161B">
            <w:pPr>
              <w:pStyle w:val="14"/>
              <w:spacing w:before="1" w:line="242" w:lineRule="auto"/>
              <w:ind w:left="108" w:right="254"/>
              <w:jc w:val="both"/>
              <w:rPr>
                <w:sz w:val="21"/>
              </w:rPr>
            </w:pPr>
            <w:r>
              <w:rPr>
                <w:w w:val="95"/>
                <w:sz w:val="21"/>
              </w:rPr>
              <w:t>⑤企业建立的动物防疫制度较为完善且符</w:t>
            </w:r>
            <w:r>
              <w:rPr>
                <w:sz w:val="21"/>
              </w:rPr>
              <w:t>合企业实际情况便于操作；</w:t>
            </w:r>
          </w:p>
          <w:p w14:paraId="44473908">
            <w:pPr>
              <w:pStyle w:val="14"/>
              <w:spacing w:before="1" w:line="242" w:lineRule="auto"/>
              <w:ind w:left="108" w:right="254"/>
              <w:jc w:val="both"/>
              <w:rPr>
                <w:sz w:val="21"/>
              </w:rPr>
            </w:pPr>
            <w:r>
              <w:rPr>
                <w:w w:val="95"/>
                <w:sz w:val="21"/>
              </w:rPr>
              <w:t>⑥设有专门人员更衣消毒室；生猪入场口位于厂界北侧东大门，产品出场口位于厂界北侧西大门；厂区设有待宰圈、患病动物隔离观察圈、急宰间，生猪屠宰不涉及</w:t>
            </w:r>
            <w:r>
              <w:rPr>
                <w:sz w:val="21"/>
              </w:rPr>
              <w:t>原毛、生皮、绒、骨、角等加工。</w:t>
            </w:r>
          </w:p>
          <w:p w14:paraId="04763C31">
            <w:pPr>
              <w:pStyle w:val="14"/>
              <w:spacing w:before="2" w:line="242" w:lineRule="auto"/>
              <w:ind w:left="108" w:right="96"/>
              <w:jc w:val="both"/>
              <w:rPr>
                <w:sz w:val="21"/>
              </w:rPr>
            </w:pPr>
            <w:r>
              <w:rPr>
                <w:spacing w:val="6"/>
                <w:sz w:val="21"/>
              </w:rPr>
              <w:t>本项目检疫工作严格按照《生猪屠宰检疫</w:t>
            </w:r>
            <w:r>
              <w:rPr>
                <w:spacing w:val="-8"/>
                <w:sz w:val="21"/>
              </w:rPr>
              <w:t>规程》、《动物检疫管理办法》中相关规定严格执行</w:t>
            </w:r>
          </w:p>
        </w:tc>
        <w:tc>
          <w:tcPr>
            <w:tcW w:w="482" w:type="dxa"/>
          </w:tcPr>
          <w:p w14:paraId="09FAD74D">
            <w:pPr>
              <w:pStyle w:val="14"/>
              <w:rPr>
                <w:rFonts w:ascii="Times New Roman"/>
                <w:sz w:val="20"/>
              </w:rPr>
            </w:pPr>
          </w:p>
        </w:tc>
      </w:tr>
      <w:tr w14:paraId="6930B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1" w:hRule="atLeast"/>
        </w:trPr>
        <w:tc>
          <w:tcPr>
            <w:tcW w:w="456" w:type="dxa"/>
          </w:tcPr>
          <w:p w14:paraId="1CECA65C">
            <w:pPr>
              <w:pStyle w:val="14"/>
              <w:rPr>
                <w:rFonts w:ascii="Times New Roman"/>
                <w:sz w:val="22"/>
              </w:rPr>
            </w:pPr>
          </w:p>
          <w:p w14:paraId="2212A82D">
            <w:pPr>
              <w:pStyle w:val="14"/>
              <w:rPr>
                <w:rFonts w:ascii="Times New Roman"/>
                <w:sz w:val="22"/>
              </w:rPr>
            </w:pPr>
          </w:p>
          <w:p w14:paraId="3853931D">
            <w:pPr>
              <w:pStyle w:val="14"/>
              <w:spacing w:before="190"/>
              <w:ind w:left="107"/>
              <w:rPr>
                <w:rFonts w:ascii="Times New Roman"/>
                <w:sz w:val="21"/>
              </w:rPr>
            </w:pPr>
            <w:r>
              <w:rPr>
                <w:rFonts w:ascii="Times New Roman"/>
                <w:w w:val="99"/>
                <w:sz w:val="21"/>
              </w:rPr>
              <w:t>5</w:t>
            </w:r>
          </w:p>
        </w:tc>
        <w:tc>
          <w:tcPr>
            <w:tcW w:w="1069" w:type="dxa"/>
          </w:tcPr>
          <w:p w14:paraId="7FC21FCA">
            <w:pPr>
              <w:pStyle w:val="14"/>
              <w:spacing w:line="242" w:lineRule="auto"/>
              <w:ind w:left="107" w:right="97"/>
              <w:jc w:val="both"/>
              <w:rPr>
                <w:sz w:val="21"/>
              </w:rPr>
            </w:pPr>
            <w:r>
              <w:rPr>
                <w:sz w:val="21"/>
              </w:rPr>
              <w:t>《湖南省长江经济带发展负面清单实施 细 则</w:t>
            </w:r>
          </w:p>
          <w:p w14:paraId="30FE52BF">
            <w:pPr>
              <w:pStyle w:val="14"/>
              <w:spacing w:before="3" w:line="260" w:lineRule="exact"/>
              <w:ind w:left="107"/>
              <w:jc w:val="both"/>
              <w:rPr>
                <w:sz w:val="21"/>
              </w:rPr>
            </w:pPr>
            <w:r>
              <w:rPr>
                <w:w w:val="95"/>
                <w:sz w:val="21"/>
              </w:rPr>
              <w:t>（试行，</w:t>
            </w:r>
          </w:p>
        </w:tc>
        <w:tc>
          <w:tcPr>
            <w:tcW w:w="1134" w:type="dxa"/>
          </w:tcPr>
          <w:p w14:paraId="7D4CC791">
            <w:pPr>
              <w:pStyle w:val="14"/>
              <w:spacing w:line="242" w:lineRule="auto"/>
              <w:ind w:left="106" w:right="98"/>
              <w:jc w:val="both"/>
              <w:rPr>
                <w:sz w:val="21"/>
              </w:rPr>
            </w:pPr>
            <w:r>
              <w:rPr>
                <w:sz w:val="21"/>
              </w:rPr>
              <w:t>湖南省推动长江经济带发展领导小组</w:t>
            </w:r>
            <w:r>
              <w:rPr>
                <w:w w:val="95"/>
                <w:sz w:val="21"/>
              </w:rPr>
              <w:t>办公室，</w:t>
            </w:r>
          </w:p>
          <w:p w14:paraId="4249DD46">
            <w:pPr>
              <w:pStyle w:val="14"/>
              <w:spacing w:before="3" w:line="260" w:lineRule="exact"/>
              <w:ind w:left="106"/>
              <w:jc w:val="both"/>
              <w:rPr>
                <w:rFonts w:ascii="Times New Roman" w:eastAsia="Times New Roman"/>
                <w:sz w:val="21"/>
              </w:rPr>
            </w:pPr>
            <w:r>
              <w:rPr>
                <w:sz w:val="21"/>
              </w:rPr>
              <w:t xml:space="preserve">截止 </w:t>
            </w:r>
            <w:r>
              <w:rPr>
                <w:rFonts w:ascii="Times New Roman" w:eastAsia="Times New Roman"/>
                <w:sz w:val="21"/>
              </w:rPr>
              <w:t>2022</w:t>
            </w:r>
          </w:p>
        </w:tc>
        <w:tc>
          <w:tcPr>
            <w:tcW w:w="6880" w:type="dxa"/>
          </w:tcPr>
          <w:p w14:paraId="0F221A90">
            <w:pPr>
              <w:pStyle w:val="14"/>
              <w:spacing w:line="242" w:lineRule="auto"/>
              <w:ind w:left="107" w:right="409"/>
              <w:rPr>
                <w:sz w:val="21"/>
              </w:rPr>
            </w:pPr>
            <w:r>
              <w:rPr>
                <w:spacing w:val="-8"/>
                <w:sz w:val="21"/>
              </w:rPr>
              <w:t>第十六条 禁止在合规园区外新建、扩建钢铁、石化、化工、焦化、建材、有色、制浆造纸等高污染项目。高污染项目严格按照生态环境部</w:t>
            </w:r>
          </w:p>
          <w:p w14:paraId="6E975F1C">
            <w:pPr>
              <w:pStyle w:val="14"/>
              <w:spacing w:before="2"/>
              <w:ind w:left="107"/>
              <w:rPr>
                <w:sz w:val="21"/>
              </w:rPr>
            </w:pPr>
            <w:r>
              <w:rPr>
                <w:sz w:val="21"/>
              </w:rPr>
              <w:t>《环境保护综合名录</w:t>
            </w:r>
            <w:r>
              <w:rPr>
                <w:rFonts w:ascii="Times New Roman" w:eastAsia="Times New Roman"/>
                <w:sz w:val="21"/>
              </w:rPr>
              <w:t xml:space="preserve">(2021 </w:t>
            </w:r>
            <w:r>
              <w:rPr>
                <w:sz w:val="21"/>
              </w:rPr>
              <w:t>年版</w:t>
            </w:r>
            <w:r>
              <w:rPr>
                <w:rFonts w:ascii="Times New Roman" w:eastAsia="Times New Roman"/>
                <w:sz w:val="21"/>
              </w:rPr>
              <w:t>)</w:t>
            </w:r>
            <w:r>
              <w:rPr>
                <w:sz w:val="21"/>
              </w:rPr>
              <w:t>》有关要求执行。</w:t>
            </w:r>
          </w:p>
          <w:p w14:paraId="37EB8F65">
            <w:pPr>
              <w:pStyle w:val="14"/>
              <w:spacing w:before="3" w:line="270" w:lineRule="atLeast"/>
              <w:ind w:left="107" w:right="181"/>
              <w:rPr>
                <w:sz w:val="21"/>
              </w:rPr>
            </w:pPr>
            <w:r>
              <w:rPr>
                <w:spacing w:val="-6"/>
                <w:sz w:val="21"/>
              </w:rPr>
              <w:t>第十八条 禁止新建、扩建法律法规和相关政策明令禁止的落后产能项目；对不符合要求的落后产能存量项目依法依规退出。禁止新建、扩建</w:t>
            </w:r>
            <w:r>
              <w:rPr>
                <w:spacing w:val="-6"/>
                <w:w w:val="95"/>
                <w:sz w:val="21"/>
              </w:rPr>
              <w:t>不符合国家产能置换要求的严重过剩产能行业</w:t>
            </w:r>
            <w:r>
              <w:rPr>
                <w:rFonts w:ascii="Times New Roman" w:eastAsia="Times New Roman"/>
                <w:spacing w:val="-6"/>
                <w:w w:val="95"/>
                <w:sz w:val="21"/>
              </w:rPr>
              <w:t>(</w:t>
            </w:r>
            <w:r>
              <w:rPr>
                <w:spacing w:val="-6"/>
                <w:w w:val="95"/>
                <w:sz w:val="21"/>
              </w:rPr>
              <w:t>钢铁、水泥、电解铝、平</w:t>
            </w:r>
          </w:p>
        </w:tc>
        <w:tc>
          <w:tcPr>
            <w:tcW w:w="4153" w:type="dxa"/>
          </w:tcPr>
          <w:p w14:paraId="38F1B982">
            <w:pPr>
              <w:pStyle w:val="14"/>
              <w:rPr>
                <w:rFonts w:ascii="Times New Roman"/>
                <w:sz w:val="20"/>
              </w:rPr>
            </w:pPr>
          </w:p>
          <w:p w14:paraId="07FF6CB6">
            <w:pPr>
              <w:pStyle w:val="14"/>
              <w:spacing w:before="179" w:line="242" w:lineRule="auto"/>
              <w:ind w:left="108" w:right="254"/>
              <w:rPr>
                <w:sz w:val="21"/>
              </w:rPr>
            </w:pPr>
            <w:r>
              <w:rPr>
                <w:sz w:val="21"/>
              </w:rPr>
              <w:t xml:space="preserve">本项目为 </w:t>
            </w:r>
            <w:r>
              <w:rPr>
                <w:rFonts w:ascii="Times New Roman" w:eastAsia="Times New Roman"/>
                <w:sz w:val="21"/>
              </w:rPr>
              <w:t xml:space="preserve">C1341 </w:t>
            </w:r>
            <w:r>
              <w:rPr>
                <w:sz w:val="21"/>
              </w:rPr>
              <w:t>牲畜屠宰，不属于《名</w:t>
            </w:r>
            <w:r>
              <w:rPr>
                <w:w w:val="95"/>
                <w:sz w:val="21"/>
              </w:rPr>
              <w:t xml:space="preserve">录》中高污染项目，项目为国家允许类， </w:t>
            </w:r>
            <w:r>
              <w:rPr>
                <w:sz w:val="21"/>
              </w:rPr>
              <w:t>符合当地产业规划</w:t>
            </w:r>
          </w:p>
        </w:tc>
        <w:tc>
          <w:tcPr>
            <w:tcW w:w="482" w:type="dxa"/>
          </w:tcPr>
          <w:p w14:paraId="2E1328EF">
            <w:pPr>
              <w:pStyle w:val="14"/>
              <w:rPr>
                <w:rFonts w:ascii="Times New Roman"/>
                <w:sz w:val="20"/>
              </w:rPr>
            </w:pPr>
          </w:p>
          <w:p w14:paraId="70FDD281">
            <w:pPr>
              <w:pStyle w:val="14"/>
              <w:spacing w:before="5"/>
              <w:rPr>
                <w:rFonts w:ascii="Times New Roman"/>
                <w:sz w:val="27"/>
              </w:rPr>
            </w:pPr>
          </w:p>
          <w:p w14:paraId="3784416B">
            <w:pPr>
              <w:pStyle w:val="14"/>
              <w:spacing w:line="242" w:lineRule="auto"/>
              <w:ind w:left="107" w:right="153"/>
              <w:rPr>
                <w:sz w:val="21"/>
              </w:rPr>
            </w:pPr>
            <w:r>
              <w:rPr>
                <w:sz w:val="21"/>
              </w:rPr>
              <w:t>符合</w:t>
            </w:r>
          </w:p>
        </w:tc>
      </w:tr>
    </w:tbl>
    <w:p w14:paraId="1ECFB80C">
      <w:pPr>
        <w:spacing w:after="0" w:line="242" w:lineRule="auto"/>
        <w:rPr>
          <w:sz w:val="21"/>
        </w:rPr>
        <w:sectPr>
          <w:pgSz w:w="16840" w:h="11910" w:orient="landscape"/>
          <w:pgMar w:top="1180" w:right="1220" w:bottom="1400" w:left="1220" w:header="878" w:footer="1204" w:gutter="0"/>
          <w:cols w:space="720" w:num="1"/>
        </w:sectPr>
      </w:pPr>
    </w:p>
    <w:p w14:paraId="0677E62D">
      <w:pPr>
        <w:pStyle w:val="7"/>
        <w:rPr>
          <w:rFonts w:ascii="Times New Roman"/>
          <w:sz w:val="20"/>
        </w:rPr>
      </w:pPr>
    </w:p>
    <w:p w14:paraId="25CE74E1">
      <w:pPr>
        <w:pStyle w:val="7"/>
        <w:rPr>
          <w:rFonts w:ascii="Times New Roman"/>
          <w:sz w:val="20"/>
        </w:rPr>
      </w:pPr>
    </w:p>
    <w:p w14:paraId="0844BD3E">
      <w:pPr>
        <w:pStyle w:val="7"/>
        <w:spacing w:before="9" w:after="1"/>
        <w:rPr>
          <w:rFonts w:ascii="Times New Roman"/>
          <w:sz w:val="13"/>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069"/>
        <w:gridCol w:w="1134"/>
        <w:gridCol w:w="6880"/>
        <w:gridCol w:w="4153"/>
        <w:gridCol w:w="482"/>
      </w:tblGrid>
      <w:tr w14:paraId="001B0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56" w:type="dxa"/>
          </w:tcPr>
          <w:p w14:paraId="698D626D">
            <w:pPr>
              <w:pStyle w:val="14"/>
              <w:rPr>
                <w:rFonts w:ascii="Times New Roman"/>
                <w:sz w:val="22"/>
              </w:rPr>
            </w:pPr>
          </w:p>
        </w:tc>
        <w:tc>
          <w:tcPr>
            <w:tcW w:w="1069" w:type="dxa"/>
          </w:tcPr>
          <w:p w14:paraId="282CC4F5">
            <w:pPr>
              <w:pStyle w:val="14"/>
              <w:tabs>
                <w:tab w:val="left" w:pos="750"/>
              </w:tabs>
              <w:spacing w:before="2"/>
              <w:ind w:left="107"/>
              <w:rPr>
                <w:sz w:val="21"/>
              </w:rPr>
            </w:pPr>
            <w:r>
              <w:rPr>
                <w:rFonts w:ascii="Times New Roman" w:eastAsia="Times New Roman"/>
                <w:sz w:val="21"/>
              </w:rPr>
              <w:t>2022</w:t>
            </w:r>
            <w:r>
              <w:rPr>
                <w:rFonts w:ascii="Times New Roman" w:eastAsia="Times New Roman"/>
                <w:sz w:val="21"/>
              </w:rPr>
              <w:tab/>
            </w:r>
            <w:r>
              <w:rPr>
                <w:sz w:val="21"/>
              </w:rPr>
              <w:t>年</w:t>
            </w:r>
          </w:p>
          <w:p w14:paraId="51E6A57E">
            <w:pPr>
              <w:pStyle w:val="14"/>
              <w:spacing w:before="2"/>
              <w:ind w:left="107"/>
              <w:rPr>
                <w:sz w:val="21"/>
              </w:rPr>
            </w:pPr>
            <w:r>
              <w:rPr>
                <w:sz w:val="21"/>
              </w:rPr>
              <w:t>版</w:t>
            </w:r>
            <w:r>
              <w:rPr>
                <w:spacing w:val="-104"/>
                <w:sz w:val="21"/>
              </w:rPr>
              <w:t>）</w:t>
            </w:r>
            <w:r>
              <w:rPr>
                <w:sz w:val="21"/>
              </w:rPr>
              <w:t>》</w:t>
            </w:r>
          </w:p>
        </w:tc>
        <w:tc>
          <w:tcPr>
            <w:tcW w:w="1134" w:type="dxa"/>
          </w:tcPr>
          <w:p w14:paraId="0EA3E634">
            <w:pPr>
              <w:pStyle w:val="14"/>
              <w:spacing w:before="2"/>
              <w:ind w:left="106"/>
              <w:rPr>
                <w:rFonts w:ascii="Times New Roman" w:eastAsia="Times New Roman"/>
                <w:sz w:val="21"/>
              </w:rPr>
            </w:pP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30</w:t>
            </w:r>
          </w:p>
          <w:p w14:paraId="23937A15">
            <w:pPr>
              <w:pStyle w:val="14"/>
              <w:spacing w:before="2"/>
              <w:ind w:left="106"/>
              <w:rPr>
                <w:sz w:val="21"/>
              </w:rPr>
            </w:pPr>
            <w:r>
              <w:rPr>
                <w:w w:val="99"/>
                <w:sz w:val="21"/>
              </w:rPr>
              <w:t>日</w:t>
            </w:r>
          </w:p>
        </w:tc>
        <w:tc>
          <w:tcPr>
            <w:tcW w:w="6880" w:type="dxa"/>
          </w:tcPr>
          <w:p w14:paraId="36A6FB77">
            <w:pPr>
              <w:pStyle w:val="14"/>
              <w:spacing w:before="1" w:line="270" w:lineRule="atLeast"/>
              <w:ind w:left="107" w:right="183"/>
              <w:rPr>
                <w:sz w:val="21"/>
              </w:rPr>
            </w:pPr>
            <w:r>
              <w:rPr>
                <w:w w:val="95"/>
                <w:sz w:val="21"/>
              </w:rPr>
              <w:t>板玻璃、船舶等行业</w:t>
            </w:r>
            <w:r>
              <w:rPr>
                <w:rFonts w:ascii="Times New Roman" w:eastAsia="Times New Roman"/>
                <w:w w:val="95"/>
                <w:sz w:val="21"/>
              </w:rPr>
              <w:t>)</w:t>
            </w:r>
            <w:r>
              <w:rPr>
                <w:w w:val="95"/>
                <w:sz w:val="21"/>
              </w:rPr>
              <w:t xml:space="preserve">的项目。对确有必要新建、扩建的，必须严格执行  </w:t>
            </w:r>
            <w:r>
              <w:rPr>
                <w:sz w:val="21"/>
              </w:rPr>
              <w:t>产能置换实施办法，实施减量或等量置换，依法依规办理有关手续。禁止新建、扩建不符合要求的高耗能高排放项目</w:t>
            </w:r>
          </w:p>
        </w:tc>
        <w:tc>
          <w:tcPr>
            <w:tcW w:w="4153" w:type="dxa"/>
          </w:tcPr>
          <w:p w14:paraId="0E41B0C2">
            <w:pPr>
              <w:pStyle w:val="14"/>
              <w:rPr>
                <w:rFonts w:ascii="Times New Roman"/>
                <w:sz w:val="22"/>
              </w:rPr>
            </w:pPr>
          </w:p>
        </w:tc>
        <w:tc>
          <w:tcPr>
            <w:tcW w:w="482" w:type="dxa"/>
          </w:tcPr>
          <w:p w14:paraId="17E161FC">
            <w:pPr>
              <w:pStyle w:val="14"/>
              <w:rPr>
                <w:rFonts w:ascii="Times New Roman"/>
                <w:sz w:val="22"/>
              </w:rPr>
            </w:pPr>
          </w:p>
        </w:tc>
      </w:tr>
    </w:tbl>
    <w:p w14:paraId="58C225A5">
      <w:pPr>
        <w:pStyle w:val="7"/>
        <w:spacing w:before="2" w:line="364" w:lineRule="auto"/>
        <w:ind w:left="220" w:right="217" w:firstLine="480"/>
        <w:jc w:val="both"/>
      </w:pPr>
      <w:r>
        <w:t>结合上述，本次评价编制阶段初期，建设方组织设计单位、环保设施施工单位、项目运营单位等召开交流会，针对项目合规性和一致性进行充分讨论，项目设计、环保等均对照《畜类屠宰加工通用技术条件》（</w:t>
      </w:r>
      <w:r>
        <w:rPr>
          <w:rFonts w:ascii="Times New Roman" w:eastAsia="Times New Roman"/>
        </w:rPr>
        <w:t>GBT17237-2008</w:t>
      </w:r>
      <w:r>
        <w:t>）、《猪屠宰与分割车间设计规范》（</w:t>
      </w:r>
      <w:r>
        <w:rPr>
          <w:rFonts w:ascii="Times New Roman" w:eastAsia="Times New Roman"/>
        </w:rPr>
        <w:t>GB 50317-2009</w:t>
      </w:r>
      <w:r>
        <w:t>）、《食品安全国家标准 畜禽屠宰加工卫生规范》（</w:t>
      </w:r>
      <w:r>
        <w:rPr>
          <w:rFonts w:ascii="Times New Roman" w:eastAsia="Times New Roman"/>
        </w:rPr>
        <w:t>GB 12694-2016</w:t>
      </w:r>
      <w:r>
        <w:t>）中技术规范要求严格执行，经比对发现</w:t>
      </w:r>
    </w:p>
    <w:p w14:paraId="02808B32">
      <w:pPr>
        <w:pStyle w:val="7"/>
        <w:spacing w:line="304" w:lineRule="exact"/>
        <w:ind w:left="220"/>
      </w:pPr>
      <w:r>
        <w:t xml:space="preserve">《生猪屠宰质量管理规范》（农业农村部公告 第 </w:t>
      </w:r>
      <w:r>
        <w:rPr>
          <w:rFonts w:ascii="Times New Roman" w:eastAsia="Times New Roman"/>
        </w:rPr>
        <w:t xml:space="preserve">710 </w:t>
      </w:r>
      <w:r>
        <w:t>号）是依据前三份文件进一步完善，项目也符合《湖南省生猪定点屠宰厂</w:t>
      </w:r>
    </w:p>
    <w:p w14:paraId="1ECC3C25">
      <w:pPr>
        <w:pStyle w:val="7"/>
        <w:spacing w:before="160" w:line="364" w:lineRule="auto"/>
        <w:ind w:left="220" w:right="170"/>
      </w:pPr>
      <w:r>
        <w:t>（场）设置管理办法》（湘政发</w:t>
      </w:r>
      <w:r>
        <w:rPr>
          <w:rFonts w:ascii="Times New Roman" w:eastAsia="Times New Roman"/>
        </w:rPr>
        <w:t xml:space="preserve">[2008]35 </w:t>
      </w:r>
      <w:r>
        <w:t>号）中设置规划，正式运行严格按照《畜禽屠宰操作规程 生猪》（</w:t>
      </w:r>
      <w:r>
        <w:rPr>
          <w:rFonts w:ascii="Times New Roman" w:eastAsia="Times New Roman"/>
        </w:rPr>
        <w:t>GBT17236-2019</w:t>
      </w:r>
      <w:r>
        <w:t>）中流程操作。</w:t>
      </w:r>
    </w:p>
    <w:p w14:paraId="77833FCD">
      <w:pPr>
        <w:pStyle w:val="7"/>
        <w:spacing w:line="306" w:lineRule="exact"/>
        <w:ind w:left="700"/>
      </w:pPr>
      <w:r>
        <w:t>因此，项目符合国家、地方相关行业规范及管理文件。</w:t>
      </w:r>
    </w:p>
    <w:p w14:paraId="71ABD35B">
      <w:pPr>
        <w:spacing w:after="0" w:line="306" w:lineRule="exact"/>
        <w:sectPr>
          <w:pgSz w:w="16840" w:h="11910" w:orient="landscape"/>
          <w:pgMar w:top="1180" w:right="1220" w:bottom="1400" w:left="1220" w:header="878" w:footer="1204" w:gutter="0"/>
          <w:cols w:space="720" w:num="1"/>
        </w:sectPr>
      </w:pPr>
    </w:p>
    <w:p w14:paraId="588CFB04">
      <w:pPr>
        <w:pStyle w:val="3"/>
        <w:numPr>
          <w:ilvl w:val="1"/>
          <w:numId w:val="9"/>
        </w:numPr>
        <w:tabs>
          <w:tab w:val="left" w:pos="688"/>
        </w:tabs>
        <w:spacing w:before="69" w:after="0" w:line="240" w:lineRule="auto"/>
        <w:ind w:left="688" w:right="0" w:hanging="408"/>
        <w:jc w:val="left"/>
      </w:pPr>
      <w:bookmarkStart w:id="23" w:name="_bookmark4"/>
      <w:bookmarkEnd w:id="23"/>
      <w:bookmarkStart w:id="24" w:name="1.4关注的主要环境问题和环境影响"/>
      <w:bookmarkEnd w:id="24"/>
      <w:bookmarkStart w:id="25" w:name="_bookmark4"/>
      <w:bookmarkEnd w:id="25"/>
      <w:r>
        <w:t>关注的主要环境问题和环境影响</w:t>
      </w:r>
    </w:p>
    <w:p w14:paraId="6444477A">
      <w:pPr>
        <w:pStyle w:val="6"/>
        <w:numPr>
          <w:ilvl w:val="2"/>
          <w:numId w:val="9"/>
        </w:numPr>
        <w:tabs>
          <w:tab w:val="left" w:pos="811"/>
        </w:tabs>
        <w:spacing w:before="185" w:after="0" w:line="240" w:lineRule="auto"/>
        <w:ind w:left="810" w:right="0" w:hanging="530"/>
        <w:jc w:val="left"/>
      </w:pPr>
      <w:bookmarkStart w:id="26" w:name="1.4.1项目环境影响可行性分析"/>
      <w:bookmarkEnd w:id="26"/>
      <w:bookmarkStart w:id="27" w:name="1.4.1项目环境影响可行性分析"/>
      <w:bookmarkEnd w:id="27"/>
      <w:r>
        <w:t>项目环境影响可行性分析</w:t>
      </w:r>
    </w:p>
    <w:p w14:paraId="38EFE1AE">
      <w:pPr>
        <w:pStyle w:val="7"/>
        <w:spacing w:before="160" w:line="364" w:lineRule="auto"/>
        <w:ind w:left="280" w:right="337" w:firstLine="480"/>
        <w:jc w:val="both"/>
      </w:pPr>
      <w:r>
        <w:t>本项目建设单位取得地块后已对厂区遗留构筑物等进行拆除，评价期间现状无历史遗留问题。施工期间不新建施工营地，乡道旁厂区范围内现存两栋办公民房作为临时营地；其大气污染源主要为施工扬尘按照规范采取降尘措施， 施工设备废气和车辆运输尾气开阔场地自然消散；水污染源主要为施工废水回用于降尘，施工人员生活污水经现有化粪池处理后清掏；声污染源主要由施工机械设备作业、施工车辆行驶等过程产生施工噪声，仅昼间施工满足达标排放；固体废物主要为弃方、建筑垃圾以及施工人员产生的生活垃圾均合理处置。施工期在落实上述措施的基础上，其环境影响基本可控，随施工期结束而消失。</w:t>
      </w:r>
    </w:p>
    <w:p w14:paraId="205253C1">
      <w:pPr>
        <w:pStyle w:val="7"/>
        <w:spacing w:line="364" w:lineRule="auto"/>
        <w:ind w:left="280" w:right="337" w:firstLine="480"/>
        <w:jc w:val="both"/>
      </w:pPr>
      <w:r>
        <w:t>运营期建设项目采取雨污分流、污污分流，生产均进行在标准化厂房内， 厂区雨水经导流沟收集，经雨水总排口同污水管路排至项目北侧农灌渠；厂区内有效收集全厂废水，生产废水配备污水处理站预处理达到《肉类加工工业水污染物排放标准》（</w:t>
      </w:r>
      <w:r>
        <w:rPr>
          <w:rFonts w:ascii="Times New Roman" w:eastAsia="Times New Roman"/>
        </w:rPr>
        <w:t>GB13457-92</w:t>
      </w:r>
      <w:r>
        <w:t xml:space="preserve">）表 </w:t>
      </w:r>
      <w:r>
        <w:rPr>
          <w:rFonts w:ascii="Times New Roman" w:eastAsia="Times New Roman"/>
        </w:rPr>
        <w:t xml:space="preserve">3 </w:t>
      </w:r>
      <w:r>
        <w:t>中规定的三级标准值以及岳阳县污水处理厂进水水质要求，厂区生活污水经独立式化粪池预处理达标后，废污水经厂区总排口经污水管网送至岳阳县污水处理厂，对地表水环境影响较小；项目营运期产生的废气经处理后达标排放，对周边环境影响较小；主要生产设备均位于标准化厂房内，经采取基础减振、厂房隔声等降噪措施后，不会引起所在区域声环境质量功能的改变；猪血、猪心以及可食用内脏作为副产品外售进行综合利用，病死生猪、病害生猪或不合格的生猪产品暂存于无害间后委托岳阳县病死畜禽无害化处理厂（具备处理资质）进行处置； 粪便、肠胃容物等清洗过程中进入废水，污水处理站产生的栅渣及污泥脱水后外售有机肥制肥厂；生活垃圾日产日清，由环卫部门统一清理。</w:t>
      </w:r>
    </w:p>
    <w:p w14:paraId="0BD725D2">
      <w:pPr>
        <w:pStyle w:val="7"/>
        <w:spacing w:line="364" w:lineRule="auto"/>
        <w:ind w:left="280" w:right="337" w:firstLine="480"/>
        <w:jc w:val="both"/>
      </w:pPr>
      <w:r>
        <w:t>项目所在区域大气、水、声环境质量良好，通过采取报告提出的污染防治措施，本项目产生的污染物经处理后满足达标排放、合理处置，建成后可以基本维持当地环境质量现状。在认真落实本报告提出的各项污染防治措施，严格执行“三同时”的前提下，从环保角度分析，本项目建设是可行的，各项措施经济上可行、技术上合理有效。</w:t>
      </w:r>
    </w:p>
    <w:p w14:paraId="416A7803">
      <w:pPr>
        <w:pStyle w:val="6"/>
        <w:numPr>
          <w:ilvl w:val="2"/>
          <w:numId w:val="9"/>
        </w:numPr>
        <w:tabs>
          <w:tab w:val="left" w:pos="811"/>
        </w:tabs>
        <w:spacing w:before="0" w:after="0" w:line="306" w:lineRule="exact"/>
        <w:ind w:left="810" w:right="0" w:hanging="530"/>
        <w:jc w:val="left"/>
      </w:pPr>
      <w:bookmarkStart w:id="28" w:name="1.4.2关注的主要环境问题"/>
      <w:bookmarkEnd w:id="28"/>
      <w:bookmarkStart w:id="29" w:name="1.4.2关注的主要环境问题"/>
      <w:bookmarkEnd w:id="29"/>
      <w:r>
        <w:t>关注的主要环境问题</w:t>
      </w:r>
    </w:p>
    <w:p w14:paraId="796964A6">
      <w:pPr>
        <w:spacing w:after="0" w:line="306" w:lineRule="exact"/>
        <w:jc w:val="left"/>
        <w:sectPr>
          <w:headerReference r:id="rId15" w:type="default"/>
          <w:footerReference r:id="rId16" w:type="default"/>
          <w:pgSz w:w="11910" w:h="16840"/>
          <w:pgMar w:top="1360" w:right="1460" w:bottom="1400" w:left="1520" w:header="878" w:footer="1204" w:gutter="0"/>
          <w:pgNumType w:start="19"/>
          <w:cols w:space="720" w:num="1"/>
        </w:sectPr>
      </w:pPr>
    </w:p>
    <w:p w14:paraId="7EDB878F">
      <w:pPr>
        <w:pStyle w:val="7"/>
        <w:spacing w:before="68" w:line="364" w:lineRule="auto"/>
        <w:ind w:left="280" w:right="337" w:firstLine="480"/>
        <w:jc w:val="both"/>
      </w:pPr>
      <w:r>
        <w:t>（</w:t>
      </w:r>
      <w:r>
        <w:rPr>
          <w:rFonts w:ascii="Times New Roman" w:eastAsia="Times New Roman"/>
        </w:rPr>
        <w:t>1</w:t>
      </w:r>
      <w:r>
        <w:t>）项目运营期产生的废物主要以屠宰废水、恶臭气体、锅炉燃料废气、固体废物和设备噪声为主，职工生产生活会产生生活废水和生活垃圾。其中屠宰废水产生量大，且为中等浓度有机废水，屠宰废水收集、处置方式的可行性及废水排放对周围环境的影响为本次环评重点关注的环境问题。</w:t>
      </w:r>
    </w:p>
    <w:p w14:paraId="5B19D0AE">
      <w:pPr>
        <w:pStyle w:val="7"/>
        <w:spacing w:line="364" w:lineRule="auto"/>
        <w:ind w:left="280" w:right="337" w:firstLine="480"/>
        <w:jc w:val="both"/>
      </w:pPr>
      <w:r>
        <w:t>（</w:t>
      </w:r>
      <w:r>
        <w:rPr>
          <w:rFonts w:ascii="Times New Roman" w:eastAsia="Times New Roman"/>
        </w:rPr>
        <w:t>2</w:t>
      </w:r>
      <w:r>
        <w:t>）项目所在地暂未配套污水管网，已与岳阳县住建局确定，本项目厂区内雨污管网由建设单位配套布设，厂区外污水管网由县住建局负责配套布设和衔接至县城市政污水主管，确保与建设项目同时投入运行。</w:t>
      </w:r>
    </w:p>
    <w:p w14:paraId="508BC886">
      <w:pPr>
        <w:pStyle w:val="7"/>
        <w:spacing w:line="307" w:lineRule="exact"/>
        <w:ind w:left="760"/>
      </w:pPr>
      <w:r>
        <w:t>（</w:t>
      </w:r>
      <w:r>
        <w:rPr>
          <w:rFonts w:ascii="Times New Roman" w:eastAsia="Times New Roman"/>
        </w:rPr>
        <w:t>3</w:t>
      </w:r>
      <w:r>
        <w:t>）根据最新发布的《病死畜禽和病害畜禽产品无害化处理管理办法》</w:t>
      </w:r>
    </w:p>
    <w:p w14:paraId="0B2F5208">
      <w:pPr>
        <w:pStyle w:val="7"/>
        <w:spacing w:before="158" w:line="362" w:lineRule="auto"/>
        <w:ind w:left="280" w:right="337"/>
        <w:jc w:val="both"/>
      </w:pPr>
      <w:r>
        <w:t>（</w:t>
      </w:r>
      <w:r>
        <w:rPr>
          <w:spacing w:val="-4"/>
        </w:rPr>
        <w:t xml:space="preserve">中华人民共和国农业农村部令 </w:t>
      </w:r>
      <w:r>
        <w:rPr>
          <w:rFonts w:ascii="Times New Roman" w:eastAsia="Times New Roman"/>
        </w:rPr>
        <w:t xml:space="preserve">2022 </w:t>
      </w:r>
      <w:r>
        <w:rPr>
          <w:spacing w:val="-17"/>
        </w:rPr>
        <w:t xml:space="preserve">年第 </w:t>
      </w:r>
      <w:r>
        <w:rPr>
          <w:rFonts w:ascii="Times New Roman" w:eastAsia="Times New Roman"/>
        </w:rPr>
        <w:t xml:space="preserve">3 </w:t>
      </w:r>
      <w:r>
        <w:t>号），屠宰厂（场）等应当及时对</w:t>
      </w:r>
      <w:r>
        <w:rPr>
          <w:spacing w:val="10"/>
        </w:rPr>
        <w:t>病死畜禽和病害畜禽产品进行贮存和清运，委托病死畜禽无害化处理场处理的，应当符合必要冷冻消毒、专用通道和处置单位及暂存要求等措施要求；</w:t>
      </w:r>
    </w:p>
    <w:p w14:paraId="1E5FA277">
      <w:pPr>
        <w:pStyle w:val="7"/>
        <w:spacing w:before="6" w:line="364" w:lineRule="auto"/>
        <w:ind w:left="280" w:right="337" w:firstLine="480"/>
        <w:jc w:val="both"/>
      </w:pPr>
      <w:r>
        <w:t>此外，关注工程环境保护措施的有效性与国家产业政策和当地相关规划的相符性。</w:t>
      </w:r>
    </w:p>
    <w:p w14:paraId="5DCC66E1">
      <w:pPr>
        <w:pStyle w:val="3"/>
        <w:spacing w:line="358" w:lineRule="exact"/>
        <w:ind w:left="280" w:firstLine="0"/>
      </w:pPr>
      <w:bookmarkStart w:id="30" w:name="1.5环境影响评价的主要结论"/>
      <w:bookmarkEnd w:id="30"/>
      <w:bookmarkStart w:id="31" w:name="_bookmark5"/>
      <w:bookmarkEnd w:id="31"/>
      <w:r>
        <w:rPr>
          <w:rFonts w:ascii="Times New Roman" w:eastAsia="Times New Roman"/>
        </w:rPr>
        <w:t xml:space="preserve">1.5 </w:t>
      </w:r>
      <w:r>
        <w:t>环境影响评价的主要结论</w:t>
      </w:r>
    </w:p>
    <w:p w14:paraId="5018B3B5">
      <w:pPr>
        <w:pStyle w:val="7"/>
        <w:spacing w:before="185" w:line="364" w:lineRule="auto"/>
        <w:ind w:left="280" w:right="337" w:firstLine="480"/>
        <w:jc w:val="both"/>
      </w:pPr>
      <w:r>
        <w:rPr>
          <w:spacing w:val="-4"/>
        </w:rPr>
        <w:t xml:space="preserve">岳阳县惠康农业有限公司于 </w:t>
      </w:r>
      <w:r>
        <w:rPr>
          <w:rFonts w:ascii="Times New Roman" w:hAnsi="Times New Roman" w:eastAsia="Times New Roman"/>
        </w:rPr>
        <w:t xml:space="preserve">2024 </w:t>
      </w:r>
      <w:r>
        <w:t>年计划位于湖南省岳阳市岳阳县荣家湾镇</w:t>
      </w:r>
      <w:r>
        <w:rPr>
          <w:spacing w:val="2"/>
        </w:rPr>
        <w:t>城东村，拟建岳阳县畜禽屠宰场及冷链物流建设项目</w:t>
      </w:r>
      <w:r>
        <w:rPr>
          <w:spacing w:val="5"/>
        </w:rPr>
        <w:t>（</w:t>
      </w:r>
      <w:r>
        <w:rPr>
          <w:spacing w:val="2"/>
        </w:rPr>
        <w:t>项目代码</w:t>
      </w:r>
      <w:r>
        <w:rPr>
          <w:rFonts w:ascii="Times New Roman" w:hAnsi="Times New Roman" w:eastAsia="Times New Roman"/>
        </w:rPr>
        <w:t>:2104-430621- 04-01-334765</w:t>
      </w:r>
      <w:r>
        <w:t>），</w:t>
      </w:r>
      <w:r>
        <w:rPr>
          <w:spacing w:val="-7"/>
        </w:rPr>
        <w:t xml:space="preserve">年屠宰生猪 </w:t>
      </w:r>
      <w:r>
        <w:rPr>
          <w:rFonts w:ascii="Times New Roman" w:hAnsi="Times New Roman" w:eastAsia="Times New Roman"/>
        </w:rPr>
        <w:t xml:space="preserve">40 </w:t>
      </w:r>
      <w:r>
        <w:t>万头，项目符合产业政策、环境功能区划的要求，在建设和运行当中，如能遵守相关的环保法律法规，落实本报告提出的各</w:t>
      </w:r>
      <w:r>
        <w:rPr>
          <w:spacing w:val="2"/>
        </w:rPr>
        <w:t>项环保措施，落实环保</w:t>
      </w:r>
      <w:r>
        <w:rPr>
          <w:rFonts w:ascii="Times New Roman" w:hAnsi="Times New Roman" w:eastAsia="Times New Roman"/>
        </w:rPr>
        <w:t>“</w:t>
      </w:r>
      <w:r>
        <w:rPr>
          <w:spacing w:val="2"/>
        </w:rPr>
        <w:t>三同时</w:t>
      </w:r>
      <w:r>
        <w:rPr>
          <w:rFonts w:ascii="Times New Roman" w:hAnsi="Times New Roman" w:eastAsia="Times New Roman"/>
        </w:rPr>
        <w:t>”</w:t>
      </w:r>
      <w:r>
        <w:rPr>
          <w:spacing w:val="1"/>
        </w:rPr>
        <w:t>制度，严格按照本环评提出的环境管理及环境</w:t>
      </w:r>
      <w:r>
        <w:t>监测计划去执行，妥善处理处置各类污染物，项目运营期的环境影响和环境风险均处于可防可控的水平，基本维持了所在区域环境质量现状。因此，从环境保护角度分析，本项目建设是可行的。</w:t>
      </w:r>
    </w:p>
    <w:p w14:paraId="7D073C22">
      <w:pPr>
        <w:spacing w:after="0" w:line="364" w:lineRule="auto"/>
        <w:jc w:val="both"/>
        <w:sectPr>
          <w:footerReference r:id="rId17" w:type="default"/>
          <w:pgSz w:w="11910" w:h="16840"/>
          <w:pgMar w:top="1360" w:right="1460" w:bottom="1400" w:left="1520" w:header="878" w:footer="1204" w:gutter="0"/>
          <w:pgNumType w:start="20"/>
          <w:cols w:space="720" w:num="1"/>
        </w:sectPr>
      </w:pPr>
    </w:p>
    <w:p w14:paraId="47919709">
      <w:pPr>
        <w:pStyle w:val="7"/>
        <w:spacing w:before="10"/>
        <w:rPr>
          <w:sz w:val="9"/>
        </w:rPr>
      </w:pPr>
    </w:p>
    <w:p w14:paraId="48B3F9BB">
      <w:pPr>
        <w:pStyle w:val="2"/>
        <w:numPr>
          <w:ilvl w:val="0"/>
          <w:numId w:val="9"/>
        </w:numPr>
        <w:tabs>
          <w:tab w:val="left" w:pos="4144"/>
        </w:tabs>
        <w:spacing w:before="64" w:after="0" w:line="240" w:lineRule="auto"/>
        <w:ind w:left="4144" w:right="62" w:hanging="228"/>
        <w:jc w:val="left"/>
        <w:rPr>
          <w:rFonts w:ascii="Times New Roman" w:eastAsia="Times New Roman"/>
        </w:rPr>
      </w:pPr>
      <w:bookmarkStart w:id="32" w:name="2总  则"/>
      <w:bookmarkEnd w:id="32"/>
      <w:bookmarkStart w:id="33" w:name="_bookmark6"/>
      <w:bookmarkEnd w:id="33"/>
      <w:bookmarkStart w:id="34" w:name="_bookmark6"/>
      <w:bookmarkEnd w:id="34"/>
      <w:r>
        <w:t>总 则</w:t>
      </w:r>
    </w:p>
    <w:p w14:paraId="06E2825B">
      <w:pPr>
        <w:pStyle w:val="7"/>
        <w:rPr>
          <w:b/>
          <w:sz w:val="26"/>
        </w:rPr>
      </w:pPr>
    </w:p>
    <w:p w14:paraId="66D63A70">
      <w:pPr>
        <w:pStyle w:val="3"/>
        <w:numPr>
          <w:ilvl w:val="1"/>
          <w:numId w:val="10"/>
        </w:numPr>
        <w:tabs>
          <w:tab w:val="left" w:pos="688"/>
        </w:tabs>
        <w:spacing w:before="0" w:after="0" w:line="240" w:lineRule="auto"/>
        <w:ind w:left="688" w:right="0" w:hanging="408"/>
        <w:jc w:val="left"/>
      </w:pPr>
      <w:bookmarkStart w:id="35" w:name="2.1编制依据"/>
      <w:bookmarkEnd w:id="35"/>
      <w:bookmarkStart w:id="36" w:name="_bookmark7"/>
      <w:bookmarkEnd w:id="36"/>
      <w:bookmarkStart w:id="37" w:name="_bookmark7"/>
      <w:bookmarkEnd w:id="37"/>
      <w:r>
        <w:t>编制依据</w:t>
      </w:r>
    </w:p>
    <w:p w14:paraId="5CB324F6">
      <w:pPr>
        <w:pStyle w:val="6"/>
        <w:numPr>
          <w:ilvl w:val="2"/>
          <w:numId w:val="10"/>
        </w:numPr>
        <w:tabs>
          <w:tab w:val="left" w:pos="811"/>
        </w:tabs>
        <w:spacing w:before="186" w:after="0" w:line="240" w:lineRule="auto"/>
        <w:ind w:left="810" w:right="0" w:hanging="530"/>
        <w:jc w:val="left"/>
      </w:pPr>
      <w:bookmarkStart w:id="38" w:name="2.1.1国家法律、法规和相关规划"/>
      <w:bookmarkEnd w:id="38"/>
      <w:bookmarkStart w:id="39" w:name="2.1.1国家法律、法规和相关规划"/>
      <w:bookmarkEnd w:id="39"/>
      <w:r>
        <w:t>国家法律、法规和相关规划</w:t>
      </w:r>
    </w:p>
    <w:p w14:paraId="1B6454C8">
      <w:pPr>
        <w:pStyle w:val="7"/>
        <w:spacing w:before="158"/>
        <w:ind w:left="760"/>
      </w:pPr>
      <w:r>
        <w:t>（</w:t>
      </w:r>
      <w:r>
        <w:rPr>
          <w:rFonts w:ascii="Times New Roman" w:eastAsia="Times New Roman"/>
        </w:rPr>
        <w:t>1</w:t>
      </w:r>
      <w:r>
        <w:t>）《中华人民共和国环境保护法》，</w:t>
      </w:r>
      <w:r>
        <w:rPr>
          <w:rFonts w:ascii="Times New Roman" w:eastAsia="Times New Roman"/>
        </w:rPr>
        <w:t xml:space="preserve">2015 </w:t>
      </w:r>
      <w:r>
        <w:t xml:space="preserve">年 </w:t>
      </w:r>
      <w:r>
        <w:rPr>
          <w:rFonts w:ascii="Times New Roman" w:eastAsia="Times New Roman"/>
        </w:rPr>
        <w:t xml:space="preserve">1 </w:t>
      </w:r>
      <w:r>
        <w:t xml:space="preserve">月 </w:t>
      </w:r>
      <w:r>
        <w:rPr>
          <w:rFonts w:ascii="Times New Roman" w:eastAsia="Times New Roman"/>
        </w:rPr>
        <w:t xml:space="preserve">1 </w:t>
      </w:r>
      <w:r>
        <w:t>日实施；</w:t>
      </w:r>
    </w:p>
    <w:p w14:paraId="008BF0FD">
      <w:pPr>
        <w:pStyle w:val="7"/>
        <w:spacing w:before="158"/>
        <w:ind w:left="760"/>
      </w:pPr>
      <w:r>
        <w:t>（</w:t>
      </w:r>
      <w:r>
        <w:rPr>
          <w:rFonts w:ascii="Times New Roman" w:eastAsia="Times New Roman"/>
        </w:rPr>
        <w:t>2</w:t>
      </w:r>
      <w:r>
        <w:t>）《中华人民共和国环境影响评价法》，</w:t>
      </w:r>
      <w:r>
        <w:rPr>
          <w:rFonts w:ascii="Times New Roman" w:eastAsia="Times New Roman"/>
        </w:rPr>
        <w:t xml:space="preserve">2018 </w:t>
      </w:r>
      <w:r>
        <w:t xml:space="preserve">年 </w:t>
      </w:r>
      <w:r>
        <w:rPr>
          <w:rFonts w:ascii="Times New Roman" w:eastAsia="Times New Roman"/>
        </w:rPr>
        <w:t xml:space="preserve">12 </w:t>
      </w:r>
      <w:r>
        <w:t xml:space="preserve">月 </w:t>
      </w:r>
      <w:r>
        <w:rPr>
          <w:rFonts w:ascii="Times New Roman" w:eastAsia="Times New Roman"/>
        </w:rPr>
        <w:t xml:space="preserve">29 </w:t>
      </w:r>
      <w:r>
        <w:t>日第二次修</w:t>
      </w:r>
    </w:p>
    <w:p w14:paraId="370B6B2D">
      <w:pPr>
        <w:pStyle w:val="7"/>
        <w:spacing w:before="160"/>
        <w:ind w:left="280"/>
      </w:pPr>
      <w:r>
        <w:t xml:space="preserve">正，自 </w:t>
      </w:r>
      <w:r>
        <w:rPr>
          <w:rFonts w:ascii="Times New Roman" w:eastAsia="Times New Roman"/>
        </w:rPr>
        <w:t xml:space="preserve">2003 </w:t>
      </w:r>
      <w:r>
        <w:t xml:space="preserve">年 </w:t>
      </w:r>
      <w:r>
        <w:rPr>
          <w:rFonts w:ascii="Times New Roman" w:eastAsia="Times New Roman"/>
        </w:rPr>
        <w:t xml:space="preserve">9 </w:t>
      </w:r>
      <w:r>
        <w:t xml:space="preserve">月 </w:t>
      </w:r>
      <w:r>
        <w:rPr>
          <w:rFonts w:ascii="Times New Roman" w:eastAsia="Times New Roman"/>
        </w:rPr>
        <w:t xml:space="preserve">1 </w:t>
      </w:r>
      <w:r>
        <w:t>日起施行；</w:t>
      </w:r>
    </w:p>
    <w:p w14:paraId="151C5BD7">
      <w:pPr>
        <w:pStyle w:val="7"/>
        <w:spacing w:before="161"/>
        <w:ind w:left="760"/>
        <w:rPr>
          <w:rFonts w:ascii="Times New Roman" w:eastAsia="Times New Roman"/>
        </w:rPr>
      </w:pPr>
      <w:r>
        <w:t>（</w:t>
      </w:r>
      <w:r>
        <w:rPr>
          <w:rFonts w:ascii="Times New Roman" w:eastAsia="Times New Roman"/>
        </w:rPr>
        <w:t>3</w:t>
      </w:r>
      <w:r>
        <w:t>）《中华人民共和国水法》，</w:t>
      </w:r>
      <w:r>
        <w:rPr>
          <w:rFonts w:ascii="Times New Roman" w:eastAsia="Times New Roman"/>
        </w:rPr>
        <w:t xml:space="preserve">2016 </w:t>
      </w:r>
      <w:r>
        <w:t xml:space="preserve">年 </w:t>
      </w:r>
      <w:r>
        <w:rPr>
          <w:rFonts w:ascii="Times New Roman" w:eastAsia="Times New Roman"/>
        </w:rPr>
        <w:t xml:space="preserve">7 </w:t>
      </w:r>
      <w:r>
        <w:t xml:space="preserve">月 </w:t>
      </w:r>
      <w:r>
        <w:rPr>
          <w:rFonts w:ascii="Times New Roman" w:eastAsia="Times New Roman"/>
        </w:rPr>
        <w:t xml:space="preserve">2 </w:t>
      </w:r>
      <w:r>
        <w:t xml:space="preserve">日修正，自 </w:t>
      </w:r>
      <w:r>
        <w:rPr>
          <w:rFonts w:ascii="Times New Roman" w:eastAsia="Times New Roman"/>
        </w:rPr>
        <w:t xml:space="preserve">2002 </w:t>
      </w:r>
      <w:r>
        <w:t xml:space="preserve">年 </w:t>
      </w:r>
      <w:r>
        <w:rPr>
          <w:rFonts w:ascii="Times New Roman" w:eastAsia="Times New Roman"/>
        </w:rPr>
        <w:t xml:space="preserve">10 </w:t>
      </w:r>
      <w:r>
        <w:t xml:space="preserve">月 </w:t>
      </w:r>
      <w:r>
        <w:rPr>
          <w:rFonts w:ascii="Times New Roman" w:eastAsia="Times New Roman"/>
        </w:rPr>
        <w:t>1</w:t>
      </w:r>
    </w:p>
    <w:p w14:paraId="617A23D0">
      <w:pPr>
        <w:pStyle w:val="7"/>
        <w:spacing w:before="158"/>
        <w:ind w:left="280"/>
      </w:pPr>
      <w:r>
        <w:t>日起施行；</w:t>
      </w:r>
    </w:p>
    <w:p w14:paraId="492C7021">
      <w:pPr>
        <w:pStyle w:val="7"/>
        <w:spacing w:before="160"/>
        <w:ind w:left="760"/>
      </w:pPr>
      <w:r>
        <w:t>（</w:t>
      </w:r>
      <w:r>
        <w:rPr>
          <w:rFonts w:ascii="Times New Roman" w:eastAsia="Times New Roman"/>
        </w:rPr>
        <w:t>4</w:t>
      </w:r>
      <w:r>
        <w:t>）《中华人民共和国水污染防治法》，</w:t>
      </w:r>
      <w:r>
        <w:rPr>
          <w:rFonts w:ascii="Times New Roman" w:eastAsia="Times New Roman"/>
        </w:rPr>
        <w:t xml:space="preserve">2017 </w:t>
      </w:r>
      <w:r>
        <w:t xml:space="preserve">年 </w:t>
      </w:r>
      <w:r>
        <w:rPr>
          <w:rFonts w:ascii="Times New Roman" w:eastAsia="Times New Roman"/>
        </w:rPr>
        <w:t xml:space="preserve">6 </w:t>
      </w:r>
      <w:r>
        <w:t xml:space="preserve">月 </w:t>
      </w:r>
      <w:r>
        <w:rPr>
          <w:rFonts w:ascii="Times New Roman" w:eastAsia="Times New Roman"/>
        </w:rPr>
        <w:t xml:space="preserve">27 </w:t>
      </w:r>
      <w:r>
        <w:t>日第二次修正，</w:t>
      </w:r>
    </w:p>
    <w:p w14:paraId="39D58DA5">
      <w:pPr>
        <w:pStyle w:val="7"/>
        <w:spacing w:before="158"/>
        <w:ind w:left="280"/>
      </w:pPr>
      <w:r>
        <w:rPr>
          <w:rFonts w:ascii="Times New Roman" w:eastAsia="Times New Roman"/>
        </w:rPr>
        <w:t xml:space="preserve">2018 </w:t>
      </w:r>
      <w:r>
        <w:t xml:space="preserve">年 </w:t>
      </w:r>
      <w:r>
        <w:rPr>
          <w:rFonts w:ascii="Times New Roman" w:eastAsia="Times New Roman"/>
        </w:rPr>
        <w:t xml:space="preserve">1 </w:t>
      </w:r>
      <w:r>
        <w:t xml:space="preserve">月 </w:t>
      </w:r>
      <w:r>
        <w:rPr>
          <w:rFonts w:ascii="Times New Roman" w:eastAsia="Times New Roman"/>
        </w:rPr>
        <w:t xml:space="preserve">1 </w:t>
      </w:r>
      <w:r>
        <w:t>日施行；</w:t>
      </w:r>
    </w:p>
    <w:p w14:paraId="0AF0560B">
      <w:pPr>
        <w:pStyle w:val="7"/>
        <w:spacing w:before="161" w:line="362" w:lineRule="auto"/>
        <w:ind w:left="280" w:right="337" w:firstLine="480"/>
      </w:pPr>
      <w:r>
        <w:t>（</w:t>
      </w:r>
      <w:r>
        <w:rPr>
          <w:rFonts w:ascii="Times New Roman" w:eastAsia="Times New Roman"/>
        </w:rPr>
        <w:t>5</w:t>
      </w:r>
      <w:r>
        <w:t>）《中华人民共和国大气污染防治法》，</w:t>
      </w:r>
      <w:r>
        <w:rPr>
          <w:rFonts w:ascii="Times New Roman" w:eastAsia="Times New Roman"/>
        </w:rPr>
        <w:t xml:space="preserve">2018 </w:t>
      </w:r>
      <w:r>
        <w:t xml:space="preserve">年 </w:t>
      </w:r>
      <w:r>
        <w:rPr>
          <w:rFonts w:ascii="Times New Roman" w:eastAsia="Times New Roman"/>
        </w:rPr>
        <w:t xml:space="preserve">10 </w:t>
      </w:r>
      <w:r>
        <w:t xml:space="preserve">月 </w:t>
      </w:r>
      <w:r>
        <w:rPr>
          <w:rFonts w:ascii="Times New Roman" w:eastAsia="Times New Roman"/>
        </w:rPr>
        <w:t xml:space="preserve">26 </w:t>
      </w:r>
      <w:r>
        <w:t>日第二次修正，自公布之日起施行；</w:t>
      </w:r>
    </w:p>
    <w:p w14:paraId="15FBD823">
      <w:pPr>
        <w:pStyle w:val="7"/>
        <w:spacing w:before="5" w:line="362" w:lineRule="auto"/>
        <w:ind w:left="280" w:right="281" w:firstLine="480"/>
      </w:pPr>
      <w:r>
        <w:t>（</w:t>
      </w:r>
      <w:r>
        <w:rPr>
          <w:rFonts w:ascii="Times New Roman" w:eastAsia="Times New Roman"/>
        </w:rPr>
        <w:t>6</w:t>
      </w:r>
      <w:r>
        <w:t xml:space="preserve">）《中华人民共和国环境噪声污染防治法》，自 </w:t>
      </w:r>
      <w:r>
        <w:rPr>
          <w:rFonts w:ascii="Times New Roman" w:eastAsia="Times New Roman"/>
        </w:rPr>
        <w:t xml:space="preserve">2022 </w:t>
      </w:r>
      <w:r>
        <w:t xml:space="preserve">年 </w:t>
      </w:r>
      <w:r>
        <w:rPr>
          <w:rFonts w:ascii="Times New Roman" w:eastAsia="Times New Roman"/>
        </w:rPr>
        <w:t xml:space="preserve">6 </w:t>
      </w:r>
      <w:r>
        <w:t xml:space="preserve">月 </w:t>
      </w:r>
      <w:r>
        <w:rPr>
          <w:rFonts w:ascii="Times New Roman" w:eastAsia="Times New Roman"/>
        </w:rPr>
        <w:t xml:space="preserve">5 </w:t>
      </w:r>
      <w:r>
        <w:t>日起施行；</w:t>
      </w:r>
    </w:p>
    <w:p w14:paraId="04F9BA0A">
      <w:pPr>
        <w:pStyle w:val="7"/>
        <w:spacing w:before="5" w:line="362" w:lineRule="auto"/>
        <w:ind w:left="280" w:right="284" w:firstLine="480"/>
      </w:pPr>
      <w:r>
        <w:t>（</w:t>
      </w:r>
      <w:r>
        <w:rPr>
          <w:rFonts w:ascii="Times New Roman" w:eastAsia="Times New Roman"/>
        </w:rPr>
        <w:t>7</w:t>
      </w:r>
      <w:r>
        <w:t>）《中华人民共和国固体废物污染环境防治法》，</w:t>
      </w:r>
      <w:r>
        <w:rPr>
          <w:rFonts w:ascii="Times New Roman" w:eastAsia="Times New Roman"/>
        </w:rPr>
        <w:t xml:space="preserve">2020 </w:t>
      </w:r>
      <w:r>
        <w:rPr>
          <w:spacing w:val="-31"/>
        </w:rPr>
        <w:t xml:space="preserve">年 </w:t>
      </w:r>
      <w:r>
        <w:rPr>
          <w:rFonts w:ascii="Times New Roman" w:eastAsia="Times New Roman"/>
        </w:rPr>
        <w:t xml:space="preserve">9 </w:t>
      </w:r>
      <w:r>
        <w:rPr>
          <w:spacing w:val="-30"/>
        </w:rPr>
        <w:t xml:space="preserve">月 </w:t>
      </w:r>
      <w:r>
        <w:rPr>
          <w:rFonts w:ascii="Times New Roman" w:eastAsia="Times New Roman"/>
        </w:rPr>
        <w:t xml:space="preserve">1 </w:t>
      </w:r>
      <w:r>
        <w:t>日起施行；</w:t>
      </w:r>
    </w:p>
    <w:p w14:paraId="5DE3116A">
      <w:pPr>
        <w:pStyle w:val="7"/>
        <w:spacing w:before="5"/>
        <w:ind w:left="760"/>
      </w:pPr>
      <w:r>
        <w:t>（</w:t>
      </w:r>
      <w:r>
        <w:rPr>
          <w:rFonts w:ascii="Times New Roman" w:eastAsia="Times New Roman"/>
        </w:rPr>
        <w:t>8</w:t>
      </w:r>
      <w:r>
        <w:t xml:space="preserve">）《中华人民共和国土壤污染防治法》，自 </w:t>
      </w:r>
      <w:r>
        <w:rPr>
          <w:rFonts w:ascii="Times New Roman" w:eastAsia="Times New Roman"/>
        </w:rPr>
        <w:t xml:space="preserve">2019 </w:t>
      </w:r>
      <w:r>
        <w:t xml:space="preserve">年 </w:t>
      </w:r>
      <w:r>
        <w:rPr>
          <w:rFonts w:ascii="Times New Roman" w:eastAsia="Times New Roman"/>
        </w:rPr>
        <w:t xml:space="preserve">1 </w:t>
      </w:r>
      <w:r>
        <w:t xml:space="preserve">月 </w:t>
      </w:r>
      <w:r>
        <w:rPr>
          <w:rFonts w:ascii="Times New Roman" w:eastAsia="Times New Roman"/>
        </w:rPr>
        <w:t xml:space="preserve">1 </w:t>
      </w:r>
      <w:r>
        <w:t>日起施行；</w:t>
      </w:r>
    </w:p>
    <w:p w14:paraId="3601ADF3">
      <w:pPr>
        <w:pStyle w:val="7"/>
        <w:spacing w:before="160"/>
        <w:ind w:left="760"/>
      </w:pPr>
      <w:r>
        <w:t>（</w:t>
      </w:r>
      <w:r>
        <w:rPr>
          <w:rFonts w:ascii="Times New Roman" w:eastAsia="Times New Roman"/>
        </w:rPr>
        <w:t>9</w:t>
      </w:r>
      <w:r>
        <w:t>）《中华人民共和国动物防疫法》，</w:t>
      </w:r>
      <w:r>
        <w:rPr>
          <w:rFonts w:ascii="Times New Roman" w:eastAsia="Times New Roman"/>
        </w:rPr>
        <w:t xml:space="preserve">2015 </w:t>
      </w:r>
      <w:r>
        <w:t xml:space="preserve">年 </w:t>
      </w:r>
      <w:r>
        <w:rPr>
          <w:rFonts w:ascii="Times New Roman" w:eastAsia="Times New Roman"/>
        </w:rPr>
        <w:t xml:space="preserve">4 </w:t>
      </w:r>
      <w:r>
        <w:t xml:space="preserve">月 </w:t>
      </w:r>
      <w:r>
        <w:rPr>
          <w:rFonts w:ascii="Times New Roman" w:eastAsia="Times New Roman"/>
        </w:rPr>
        <w:t xml:space="preserve">24 </w:t>
      </w:r>
      <w:r>
        <w:t>日修；</w:t>
      </w:r>
    </w:p>
    <w:p w14:paraId="5DD87BE7">
      <w:pPr>
        <w:pStyle w:val="7"/>
        <w:spacing w:before="158"/>
        <w:ind w:left="760"/>
      </w:pPr>
      <w:r>
        <w:t>（</w:t>
      </w:r>
      <w:r>
        <w:rPr>
          <w:rFonts w:ascii="Times New Roman" w:eastAsia="Times New Roman"/>
        </w:rPr>
        <w:t>10</w:t>
      </w:r>
      <w:r>
        <w:t>）《中华人民共和国食品安全法》（</w:t>
      </w:r>
      <w:r>
        <w:rPr>
          <w:rFonts w:ascii="Times New Roman" w:eastAsia="Times New Roman"/>
        </w:rPr>
        <w:t xml:space="preserve">2021 </w:t>
      </w:r>
      <w:r>
        <w:t xml:space="preserve">年 </w:t>
      </w:r>
      <w:r>
        <w:rPr>
          <w:rFonts w:ascii="Times New Roman" w:eastAsia="Times New Roman"/>
        </w:rPr>
        <w:t xml:space="preserve">4 </w:t>
      </w:r>
      <w:r>
        <w:t xml:space="preserve">月 </w:t>
      </w:r>
      <w:r>
        <w:rPr>
          <w:rFonts w:ascii="Times New Roman" w:eastAsia="Times New Roman"/>
        </w:rPr>
        <w:t xml:space="preserve">29 </w:t>
      </w:r>
      <w:r>
        <w:t>第二次修正，自</w:t>
      </w:r>
    </w:p>
    <w:p w14:paraId="7309B437">
      <w:pPr>
        <w:pStyle w:val="7"/>
        <w:spacing w:before="161"/>
        <w:ind w:left="280"/>
      </w:pPr>
      <w:r>
        <w:rPr>
          <w:rFonts w:ascii="Times New Roman" w:eastAsia="Times New Roman"/>
        </w:rPr>
        <w:t xml:space="preserve">2015 </w:t>
      </w:r>
      <w:r>
        <w:t xml:space="preserve">年 </w:t>
      </w:r>
      <w:r>
        <w:rPr>
          <w:rFonts w:ascii="Times New Roman" w:eastAsia="Times New Roman"/>
        </w:rPr>
        <w:t xml:space="preserve">10 </w:t>
      </w:r>
      <w:r>
        <w:t xml:space="preserve">月 </w:t>
      </w:r>
      <w:r>
        <w:rPr>
          <w:rFonts w:ascii="Times New Roman" w:eastAsia="Times New Roman"/>
        </w:rPr>
        <w:t xml:space="preserve">1 </w:t>
      </w:r>
      <w:r>
        <w:t>日起施行；</w:t>
      </w:r>
    </w:p>
    <w:p w14:paraId="3E039BC9">
      <w:pPr>
        <w:pStyle w:val="7"/>
        <w:spacing w:before="158"/>
        <w:ind w:left="760"/>
      </w:pPr>
      <w:r>
        <w:t>（</w:t>
      </w:r>
      <w:r>
        <w:rPr>
          <w:rFonts w:ascii="Times New Roman" w:eastAsia="Times New Roman"/>
        </w:rPr>
        <w:t>11</w:t>
      </w:r>
      <w:r>
        <w:t>）《中华人民共和国清洁生产促进法》，</w:t>
      </w:r>
      <w:r>
        <w:rPr>
          <w:rFonts w:ascii="Times New Roman" w:eastAsia="Times New Roman"/>
        </w:rPr>
        <w:t xml:space="preserve">2012 </w:t>
      </w:r>
      <w:r>
        <w:t xml:space="preserve">年 </w:t>
      </w:r>
      <w:r>
        <w:rPr>
          <w:rFonts w:ascii="Times New Roman" w:eastAsia="Times New Roman"/>
        </w:rPr>
        <w:t xml:space="preserve">2 </w:t>
      </w:r>
      <w:r>
        <w:t xml:space="preserve">月 </w:t>
      </w:r>
      <w:r>
        <w:rPr>
          <w:rFonts w:ascii="Times New Roman" w:eastAsia="Times New Roman"/>
        </w:rPr>
        <w:t xml:space="preserve">29 </w:t>
      </w:r>
      <w:r>
        <w:t>日修正，自</w:t>
      </w:r>
    </w:p>
    <w:p w14:paraId="322A3925">
      <w:pPr>
        <w:pStyle w:val="7"/>
        <w:spacing w:before="158"/>
        <w:ind w:left="280"/>
      </w:pPr>
      <w:r>
        <w:rPr>
          <w:rFonts w:ascii="Times New Roman" w:eastAsia="Times New Roman"/>
        </w:rPr>
        <w:t xml:space="preserve">2012 </w:t>
      </w:r>
      <w:r>
        <w:t xml:space="preserve">年 </w:t>
      </w:r>
      <w:r>
        <w:rPr>
          <w:rFonts w:ascii="Times New Roman" w:eastAsia="Times New Roman"/>
        </w:rPr>
        <w:t xml:space="preserve">7 </w:t>
      </w:r>
      <w:r>
        <w:t xml:space="preserve">月 </w:t>
      </w:r>
      <w:r>
        <w:rPr>
          <w:rFonts w:ascii="Times New Roman" w:eastAsia="Times New Roman"/>
        </w:rPr>
        <w:t xml:space="preserve">1 </w:t>
      </w:r>
      <w:r>
        <w:t>日起施行；</w:t>
      </w:r>
    </w:p>
    <w:p w14:paraId="260CE174">
      <w:pPr>
        <w:pStyle w:val="7"/>
        <w:spacing w:before="161"/>
        <w:ind w:left="760"/>
      </w:pPr>
      <w:r>
        <w:t>（</w:t>
      </w:r>
      <w:r>
        <w:rPr>
          <w:rFonts w:ascii="Times New Roman" w:eastAsia="Times New Roman"/>
        </w:rPr>
        <w:t>12</w:t>
      </w:r>
      <w:r>
        <w:t xml:space="preserve">）《建设项目环境保护管理条例》（国务院令第 </w:t>
      </w:r>
      <w:r>
        <w:rPr>
          <w:rFonts w:ascii="Times New Roman" w:eastAsia="Times New Roman"/>
        </w:rPr>
        <w:t xml:space="preserve">682 </w:t>
      </w:r>
      <w:r>
        <w:t xml:space="preserve">号，自 </w:t>
      </w:r>
      <w:r>
        <w:rPr>
          <w:rFonts w:ascii="Times New Roman" w:eastAsia="Times New Roman"/>
        </w:rPr>
        <w:t xml:space="preserve">2017 </w:t>
      </w:r>
      <w:r>
        <w:t>年</w:t>
      </w:r>
    </w:p>
    <w:p w14:paraId="0181EF20">
      <w:pPr>
        <w:pStyle w:val="7"/>
        <w:spacing w:before="160"/>
        <w:ind w:left="280"/>
      </w:pPr>
      <w:r>
        <w:rPr>
          <w:rFonts w:ascii="Times New Roman" w:eastAsia="Times New Roman"/>
        </w:rPr>
        <w:t xml:space="preserve">10 </w:t>
      </w:r>
      <w:r>
        <w:t xml:space="preserve">月 </w:t>
      </w:r>
      <w:r>
        <w:rPr>
          <w:rFonts w:ascii="Times New Roman" w:eastAsia="Times New Roman"/>
        </w:rPr>
        <w:t xml:space="preserve">1 </w:t>
      </w:r>
      <w:r>
        <w:t>日起施行）；</w:t>
      </w:r>
    </w:p>
    <w:p w14:paraId="3413BD01">
      <w:pPr>
        <w:pStyle w:val="7"/>
        <w:spacing w:before="158" w:line="364" w:lineRule="auto"/>
        <w:ind w:left="280" w:right="282" w:firstLine="480"/>
      </w:pPr>
      <w:r>
        <w:t>（</w:t>
      </w:r>
      <w:r>
        <w:rPr>
          <w:rFonts w:ascii="Times New Roman" w:eastAsia="Times New Roman"/>
        </w:rPr>
        <w:t>13</w:t>
      </w:r>
      <w:r>
        <w:t xml:space="preserve">）《中华人民共和国国民经济和社会发展第十四个五年规划和 </w:t>
      </w:r>
      <w:r>
        <w:rPr>
          <w:rFonts w:ascii="Times New Roman" w:eastAsia="Times New Roman"/>
        </w:rPr>
        <w:t xml:space="preserve">2035 </w:t>
      </w:r>
      <w:r>
        <w:t>年远景目标纲要》；</w:t>
      </w:r>
    </w:p>
    <w:p w14:paraId="7CABF7F5">
      <w:pPr>
        <w:pStyle w:val="7"/>
        <w:spacing w:line="306" w:lineRule="exact"/>
        <w:ind w:left="760"/>
      </w:pPr>
      <w:r>
        <w:t>（</w:t>
      </w:r>
      <w:r>
        <w:rPr>
          <w:rFonts w:ascii="Times New Roman" w:eastAsia="Times New Roman"/>
        </w:rPr>
        <w:t>14</w:t>
      </w:r>
      <w:r>
        <w:t>）《国民经济行业分类》（</w:t>
      </w:r>
      <w:r>
        <w:rPr>
          <w:rFonts w:ascii="Times New Roman" w:eastAsia="Times New Roman"/>
        </w:rPr>
        <w:t>GB/T 4754-2017</w:t>
      </w:r>
      <w:r>
        <w:t>）及其修改单（国统字</w:t>
      </w:r>
    </w:p>
    <w:p w14:paraId="3009BEBE">
      <w:pPr>
        <w:pStyle w:val="7"/>
        <w:spacing w:before="161"/>
        <w:ind w:left="280"/>
      </w:pPr>
      <w:r>
        <w:rPr>
          <w:rFonts w:ascii="Times New Roman" w:eastAsia="Times New Roman"/>
        </w:rPr>
        <w:t xml:space="preserve">[2019]66 </w:t>
      </w:r>
      <w:r>
        <w:t xml:space="preserve">号），自 </w:t>
      </w:r>
      <w:r>
        <w:rPr>
          <w:rFonts w:ascii="Times New Roman" w:eastAsia="Times New Roman"/>
        </w:rPr>
        <w:t xml:space="preserve">2019 </w:t>
      </w:r>
      <w:r>
        <w:t xml:space="preserve">年 </w:t>
      </w:r>
      <w:r>
        <w:rPr>
          <w:rFonts w:ascii="Times New Roman" w:eastAsia="Times New Roman"/>
        </w:rPr>
        <w:t xml:space="preserve">3 </w:t>
      </w:r>
      <w:r>
        <w:t xml:space="preserve">月 </w:t>
      </w:r>
      <w:r>
        <w:rPr>
          <w:rFonts w:ascii="Times New Roman" w:eastAsia="Times New Roman"/>
        </w:rPr>
        <w:t xml:space="preserve">29 </w:t>
      </w:r>
      <w:r>
        <w:t>日起实施；</w:t>
      </w:r>
    </w:p>
    <w:p w14:paraId="16320B1D">
      <w:pPr>
        <w:pStyle w:val="7"/>
        <w:spacing w:before="158"/>
        <w:ind w:left="760"/>
      </w:pPr>
      <w:r>
        <w:t>（</w:t>
      </w:r>
      <w:r>
        <w:rPr>
          <w:rFonts w:ascii="Times New Roman" w:eastAsia="Times New Roman"/>
        </w:rPr>
        <w:t>15</w:t>
      </w:r>
      <w:r>
        <w:t>）《产业结构调整指导目录（</w:t>
      </w:r>
      <w:r>
        <w:rPr>
          <w:rFonts w:ascii="Times New Roman" w:eastAsia="Times New Roman"/>
        </w:rPr>
        <w:t xml:space="preserve">2024 </w:t>
      </w:r>
      <w:r>
        <w:t>年本）》（中华人民共和国国家发</w:t>
      </w:r>
    </w:p>
    <w:p w14:paraId="0D5DC6B3">
      <w:pPr>
        <w:spacing w:after="0"/>
        <w:sectPr>
          <w:pgSz w:w="11910" w:h="16840"/>
          <w:pgMar w:top="1360" w:right="1460" w:bottom="1400" w:left="1520" w:header="878" w:footer="1204" w:gutter="0"/>
          <w:cols w:space="720" w:num="1"/>
        </w:sectPr>
      </w:pPr>
    </w:p>
    <w:p w14:paraId="59162D7F">
      <w:pPr>
        <w:pStyle w:val="7"/>
        <w:spacing w:before="68"/>
        <w:ind w:left="280"/>
      </w:pPr>
      <w:r>
        <w:t xml:space="preserve">展和改革委员会令第 </w:t>
      </w:r>
      <w:r>
        <w:rPr>
          <w:rFonts w:ascii="Times New Roman" w:eastAsia="Times New Roman"/>
        </w:rPr>
        <w:t xml:space="preserve">7 </w:t>
      </w:r>
      <w:r>
        <w:t xml:space="preserve">号，自 </w:t>
      </w:r>
      <w:r>
        <w:rPr>
          <w:rFonts w:ascii="Times New Roman" w:eastAsia="Times New Roman"/>
        </w:rPr>
        <w:t xml:space="preserve">2024 </w:t>
      </w:r>
      <w:r>
        <w:t xml:space="preserve">年 </w:t>
      </w:r>
      <w:r>
        <w:rPr>
          <w:rFonts w:ascii="Times New Roman" w:eastAsia="Times New Roman"/>
        </w:rPr>
        <w:t xml:space="preserve">2 </w:t>
      </w:r>
      <w:r>
        <w:t xml:space="preserve">月 </w:t>
      </w:r>
      <w:r>
        <w:rPr>
          <w:rFonts w:ascii="Times New Roman" w:eastAsia="Times New Roman"/>
        </w:rPr>
        <w:t xml:space="preserve">1 </w:t>
      </w:r>
      <w:r>
        <w:t>日起施行）；</w:t>
      </w:r>
    </w:p>
    <w:p w14:paraId="6FE7F5CA">
      <w:pPr>
        <w:pStyle w:val="7"/>
        <w:spacing w:before="160"/>
        <w:ind w:left="760"/>
      </w:pPr>
      <w:r>
        <w:t>（</w:t>
      </w:r>
      <w:r>
        <w:rPr>
          <w:rFonts w:ascii="Times New Roman" w:eastAsia="Times New Roman"/>
        </w:rPr>
        <w:t>16</w:t>
      </w:r>
      <w:r>
        <w:t xml:space="preserve">）《排污许可管理条例》（中华人民共和国国务院令 第 </w:t>
      </w:r>
      <w:r>
        <w:rPr>
          <w:rFonts w:ascii="Times New Roman" w:eastAsia="Times New Roman"/>
        </w:rPr>
        <w:t xml:space="preserve">736 </w:t>
      </w:r>
      <w:r>
        <w:t>号，自</w:t>
      </w:r>
    </w:p>
    <w:p w14:paraId="0A5CA569">
      <w:pPr>
        <w:pStyle w:val="7"/>
        <w:spacing w:before="159"/>
        <w:ind w:left="280"/>
      </w:pPr>
      <w:r>
        <w:rPr>
          <w:rFonts w:ascii="Times New Roman" w:eastAsia="Times New Roman"/>
        </w:rPr>
        <w:t xml:space="preserve">2021 </w:t>
      </w:r>
      <w:r>
        <w:t xml:space="preserve">年 </w:t>
      </w:r>
      <w:r>
        <w:rPr>
          <w:rFonts w:ascii="Times New Roman" w:eastAsia="Times New Roman"/>
        </w:rPr>
        <w:t xml:space="preserve">3 </w:t>
      </w:r>
      <w:r>
        <w:t xml:space="preserve">月 </w:t>
      </w:r>
      <w:r>
        <w:rPr>
          <w:rFonts w:ascii="Times New Roman" w:eastAsia="Times New Roman"/>
        </w:rPr>
        <w:t xml:space="preserve">1 </w:t>
      </w:r>
      <w:r>
        <w:t>日起施行）；</w:t>
      </w:r>
    </w:p>
    <w:p w14:paraId="4ABEBC39">
      <w:pPr>
        <w:pStyle w:val="7"/>
        <w:spacing w:before="160"/>
        <w:ind w:left="760"/>
      </w:pPr>
      <w:r>
        <w:t>（</w:t>
      </w:r>
      <w:r>
        <w:rPr>
          <w:rFonts w:ascii="Times New Roman" w:eastAsia="Times New Roman"/>
        </w:rPr>
        <w:t>17</w:t>
      </w:r>
      <w:r>
        <w:t xml:space="preserve">）《生猪屠宰管理条例》（中华人民共和国国务院令 第 </w:t>
      </w:r>
      <w:r>
        <w:rPr>
          <w:rFonts w:ascii="Times New Roman" w:eastAsia="Times New Roman"/>
        </w:rPr>
        <w:t xml:space="preserve">742 </w:t>
      </w:r>
      <w:r>
        <w:t>号，自</w:t>
      </w:r>
    </w:p>
    <w:p w14:paraId="4B6486FE">
      <w:pPr>
        <w:pStyle w:val="7"/>
        <w:spacing w:before="158"/>
        <w:ind w:left="280"/>
      </w:pPr>
      <w:r>
        <w:rPr>
          <w:rFonts w:ascii="Times New Roman" w:eastAsia="Times New Roman"/>
        </w:rPr>
        <w:t xml:space="preserve">2021 </w:t>
      </w:r>
      <w:r>
        <w:t xml:space="preserve">年 </w:t>
      </w:r>
      <w:r>
        <w:rPr>
          <w:rFonts w:ascii="Times New Roman" w:eastAsia="Times New Roman"/>
        </w:rPr>
        <w:t xml:space="preserve">8 </w:t>
      </w:r>
      <w:r>
        <w:t xml:space="preserve">月 </w:t>
      </w:r>
      <w:r>
        <w:rPr>
          <w:rFonts w:ascii="Times New Roman" w:eastAsia="Times New Roman"/>
        </w:rPr>
        <w:t xml:space="preserve">1 </w:t>
      </w:r>
      <w:r>
        <w:t>日起施行）。</w:t>
      </w:r>
    </w:p>
    <w:p w14:paraId="0CED3347">
      <w:pPr>
        <w:pStyle w:val="6"/>
        <w:numPr>
          <w:ilvl w:val="2"/>
          <w:numId w:val="10"/>
        </w:numPr>
        <w:tabs>
          <w:tab w:val="left" w:pos="811"/>
        </w:tabs>
        <w:spacing w:before="161" w:after="0" w:line="240" w:lineRule="auto"/>
        <w:ind w:left="810" w:right="0" w:hanging="530"/>
        <w:jc w:val="left"/>
      </w:pPr>
      <w:bookmarkStart w:id="40" w:name="2.1.2部门规章及地方法规"/>
      <w:bookmarkEnd w:id="40"/>
      <w:bookmarkStart w:id="41" w:name="2.1.2部门规章及地方法规"/>
      <w:bookmarkEnd w:id="41"/>
      <w:r>
        <w:t>部门规章及地方法规</w:t>
      </w:r>
    </w:p>
    <w:p w14:paraId="3996696E">
      <w:pPr>
        <w:pStyle w:val="7"/>
        <w:spacing w:before="158"/>
        <w:ind w:left="760"/>
        <w:rPr>
          <w:rFonts w:ascii="Times New Roman" w:eastAsia="Times New Roman"/>
        </w:rPr>
      </w:pPr>
      <w:r>
        <w:t>（</w:t>
      </w:r>
      <w:r>
        <w:rPr>
          <w:rFonts w:ascii="Times New Roman" w:eastAsia="Times New Roman"/>
        </w:rPr>
        <w:t>1</w:t>
      </w:r>
      <w:r>
        <w:t>）《建设项目环境影响评价分类管理名录（</w:t>
      </w:r>
      <w:r>
        <w:rPr>
          <w:rFonts w:ascii="Times New Roman" w:eastAsia="Times New Roman"/>
        </w:rPr>
        <w:t xml:space="preserve">2021 </w:t>
      </w:r>
      <w:r>
        <w:t xml:space="preserve">年版）》（部令 第 </w:t>
      </w:r>
      <w:r>
        <w:rPr>
          <w:rFonts w:ascii="Times New Roman" w:eastAsia="Times New Roman"/>
        </w:rPr>
        <w:t>16</w:t>
      </w:r>
    </w:p>
    <w:p w14:paraId="68A97168">
      <w:pPr>
        <w:pStyle w:val="7"/>
        <w:spacing w:before="160"/>
        <w:ind w:left="280"/>
      </w:pPr>
      <w:r>
        <w:t xml:space="preserve">号，自 </w:t>
      </w:r>
      <w:r>
        <w:rPr>
          <w:rFonts w:ascii="Times New Roman" w:eastAsia="Times New Roman"/>
        </w:rPr>
        <w:t xml:space="preserve">2021 </w:t>
      </w:r>
      <w:r>
        <w:t xml:space="preserve">年 </w:t>
      </w:r>
      <w:r>
        <w:rPr>
          <w:rFonts w:ascii="Times New Roman" w:eastAsia="Times New Roman"/>
        </w:rPr>
        <w:t xml:space="preserve">1 </w:t>
      </w:r>
      <w:r>
        <w:t xml:space="preserve">月 </w:t>
      </w:r>
      <w:r>
        <w:rPr>
          <w:rFonts w:ascii="Times New Roman" w:eastAsia="Times New Roman"/>
        </w:rPr>
        <w:t xml:space="preserve">1 </w:t>
      </w:r>
      <w:r>
        <w:t>日起施行）；</w:t>
      </w:r>
    </w:p>
    <w:p w14:paraId="493879D4">
      <w:pPr>
        <w:pStyle w:val="7"/>
        <w:spacing w:before="161" w:line="362" w:lineRule="auto"/>
        <w:ind w:left="280" w:right="340" w:firstLine="480"/>
      </w:pPr>
      <w:r>
        <w:t>（</w:t>
      </w:r>
      <w:r>
        <w:rPr>
          <w:rFonts w:ascii="Times New Roman" w:eastAsia="Times New Roman"/>
        </w:rPr>
        <w:t>2</w:t>
      </w:r>
      <w:r>
        <w:t>）《固定污染源排污许可分类管理名录（</w:t>
      </w:r>
      <w:r>
        <w:rPr>
          <w:rFonts w:ascii="Times New Roman" w:eastAsia="Times New Roman"/>
        </w:rPr>
        <w:t xml:space="preserve">2019 </w:t>
      </w:r>
      <w:r>
        <w:t xml:space="preserve">年版）》部令（中华人民共和国生态环境部令 第 </w:t>
      </w:r>
      <w:r>
        <w:rPr>
          <w:rFonts w:ascii="Times New Roman" w:eastAsia="Times New Roman"/>
        </w:rPr>
        <w:t xml:space="preserve">11 </w:t>
      </w:r>
      <w:r>
        <w:t>号，</w:t>
      </w:r>
      <w:r>
        <w:rPr>
          <w:rFonts w:ascii="Times New Roman" w:eastAsia="Times New Roman"/>
        </w:rPr>
        <w:t xml:space="preserve">2019 </w:t>
      </w:r>
      <w:r>
        <w:t xml:space="preserve">年 </w:t>
      </w:r>
      <w:r>
        <w:rPr>
          <w:rFonts w:ascii="Times New Roman" w:eastAsia="Times New Roman"/>
        </w:rPr>
        <w:t xml:space="preserve">12 </w:t>
      </w:r>
      <w:r>
        <w:t xml:space="preserve">月 </w:t>
      </w:r>
      <w:r>
        <w:rPr>
          <w:rFonts w:ascii="Times New Roman" w:eastAsia="Times New Roman"/>
        </w:rPr>
        <w:t xml:space="preserve">20 </w:t>
      </w:r>
      <w:r>
        <w:t>日发布）；</w:t>
      </w:r>
    </w:p>
    <w:p w14:paraId="17B7DF84">
      <w:pPr>
        <w:pStyle w:val="7"/>
        <w:spacing w:before="2"/>
        <w:ind w:left="760"/>
      </w:pPr>
      <w:r>
        <w:t>（</w:t>
      </w:r>
      <w:r>
        <w:rPr>
          <w:rFonts w:ascii="Times New Roman" w:eastAsia="Times New Roman"/>
        </w:rPr>
        <w:t>3</w:t>
      </w:r>
      <w:r>
        <w:t>）《建设项目环境影响报告书（表）编制监督管理办法》及配套文件</w:t>
      </w:r>
    </w:p>
    <w:p w14:paraId="24227412">
      <w:pPr>
        <w:pStyle w:val="7"/>
        <w:spacing w:before="161"/>
        <w:ind w:left="280"/>
      </w:pPr>
      <w:r>
        <w:t xml:space="preserve">（生态环境部部令 第 </w:t>
      </w:r>
      <w:r>
        <w:rPr>
          <w:rFonts w:ascii="Times New Roman" w:eastAsia="Times New Roman"/>
        </w:rPr>
        <w:t xml:space="preserve">9 </w:t>
      </w:r>
      <w:r>
        <w:t>号，</w:t>
      </w:r>
      <w:r>
        <w:rPr>
          <w:rFonts w:ascii="Times New Roman" w:eastAsia="Times New Roman"/>
        </w:rPr>
        <w:t xml:space="preserve">2019 </w:t>
      </w:r>
      <w:r>
        <w:t xml:space="preserve">年 </w:t>
      </w:r>
      <w:r>
        <w:rPr>
          <w:rFonts w:ascii="Times New Roman" w:eastAsia="Times New Roman"/>
        </w:rPr>
        <w:t xml:space="preserve">9 </w:t>
      </w:r>
      <w:r>
        <w:t xml:space="preserve">月 </w:t>
      </w:r>
      <w:r>
        <w:rPr>
          <w:rFonts w:ascii="Times New Roman" w:eastAsia="Times New Roman"/>
        </w:rPr>
        <w:t xml:space="preserve">20 </w:t>
      </w:r>
      <w:r>
        <w:t>日发布）；</w:t>
      </w:r>
    </w:p>
    <w:p w14:paraId="460EC374">
      <w:pPr>
        <w:pStyle w:val="7"/>
        <w:spacing w:before="160" w:line="362" w:lineRule="auto"/>
        <w:ind w:left="280" w:right="337" w:firstLine="480"/>
      </w:pPr>
      <w:r>
        <w:rPr>
          <w:spacing w:val="1"/>
        </w:rPr>
        <w:t>（</w:t>
      </w:r>
      <w:r>
        <w:rPr>
          <w:rFonts w:ascii="Times New Roman" w:eastAsia="Times New Roman"/>
          <w:spacing w:val="1"/>
        </w:rPr>
        <w:t>4</w:t>
      </w:r>
      <w:r>
        <w:rPr>
          <w:spacing w:val="1"/>
        </w:rPr>
        <w:t>）</w:t>
      </w:r>
      <w:r>
        <w:t>《环境影响评价公众参与办法》</w:t>
      </w:r>
      <w:r>
        <w:rPr>
          <w:spacing w:val="2"/>
        </w:rPr>
        <w:t>（</w:t>
      </w:r>
      <w:r>
        <w:rPr>
          <w:spacing w:val="-21"/>
        </w:rPr>
        <w:t xml:space="preserve">部令 第 </w:t>
      </w:r>
      <w:r>
        <w:rPr>
          <w:rFonts w:ascii="Times New Roman" w:eastAsia="Times New Roman"/>
        </w:rPr>
        <w:t xml:space="preserve">4 </w:t>
      </w:r>
      <w:r>
        <w:rPr>
          <w:spacing w:val="-13"/>
        </w:rPr>
        <w:t xml:space="preserve">号，自 </w:t>
      </w:r>
      <w:r>
        <w:rPr>
          <w:rFonts w:ascii="Times New Roman" w:eastAsia="Times New Roman"/>
        </w:rPr>
        <w:t xml:space="preserve">2019 </w:t>
      </w:r>
      <w:r>
        <w:rPr>
          <w:spacing w:val="-27"/>
        </w:rPr>
        <w:t xml:space="preserve">年 </w:t>
      </w:r>
      <w:r>
        <w:rPr>
          <w:rFonts w:ascii="Times New Roman" w:eastAsia="Times New Roman"/>
        </w:rPr>
        <w:t xml:space="preserve">1 </w:t>
      </w:r>
      <w:r>
        <w:rPr>
          <w:spacing w:val="-27"/>
        </w:rPr>
        <w:t xml:space="preserve">月 </w:t>
      </w:r>
      <w:r>
        <w:rPr>
          <w:rFonts w:ascii="Times New Roman" w:eastAsia="Times New Roman"/>
        </w:rPr>
        <w:t xml:space="preserve">1 </w:t>
      </w:r>
      <w:r>
        <w:t>日起施行）；</w:t>
      </w:r>
    </w:p>
    <w:p w14:paraId="19DF7238">
      <w:pPr>
        <w:pStyle w:val="7"/>
        <w:spacing w:before="5"/>
        <w:ind w:left="760"/>
      </w:pPr>
      <w:r>
        <w:t>（</w:t>
      </w:r>
      <w:r>
        <w:rPr>
          <w:rFonts w:ascii="Times New Roman" w:eastAsia="Times New Roman"/>
        </w:rPr>
        <w:t>5</w:t>
      </w:r>
      <w:r>
        <w:t>）《建设项目环境影响报告书审批基础信息表》（环办环评函〔</w:t>
      </w:r>
      <w:r>
        <w:rPr>
          <w:rFonts w:ascii="Times New Roman" w:eastAsia="Times New Roman"/>
        </w:rPr>
        <w:t>2020</w:t>
      </w:r>
      <w:r>
        <w:t>〕</w:t>
      </w:r>
    </w:p>
    <w:p w14:paraId="033E019C">
      <w:pPr>
        <w:pStyle w:val="7"/>
        <w:spacing w:before="158"/>
        <w:ind w:left="280"/>
      </w:pPr>
      <w:r>
        <w:rPr>
          <w:rFonts w:ascii="Times New Roman" w:eastAsia="Times New Roman"/>
        </w:rPr>
        <w:t xml:space="preserve">711 </w:t>
      </w:r>
      <w:r>
        <w:t xml:space="preserve">号，于 </w:t>
      </w:r>
      <w:r>
        <w:rPr>
          <w:rFonts w:ascii="Times New Roman" w:eastAsia="Times New Roman"/>
        </w:rPr>
        <w:t xml:space="preserve">2021 </w:t>
      </w:r>
      <w:r>
        <w:t xml:space="preserve">年 </w:t>
      </w:r>
      <w:r>
        <w:rPr>
          <w:rFonts w:ascii="Times New Roman" w:eastAsia="Times New Roman"/>
        </w:rPr>
        <w:t xml:space="preserve">4 </w:t>
      </w:r>
      <w:r>
        <w:t xml:space="preserve">月 </w:t>
      </w:r>
      <w:r>
        <w:rPr>
          <w:rFonts w:ascii="Times New Roman" w:eastAsia="Times New Roman"/>
        </w:rPr>
        <w:t xml:space="preserve">1 </w:t>
      </w:r>
      <w:r>
        <w:t>日启用）</w:t>
      </w:r>
    </w:p>
    <w:p w14:paraId="4A287795">
      <w:pPr>
        <w:pStyle w:val="7"/>
        <w:spacing w:before="161" w:line="362" w:lineRule="auto"/>
        <w:ind w:left="280" w:right="340" w:firstLine="480"/>
      </w:pPr>
      <w:r>
        <w:t>（</w:t>
      </w:r>
      <w:r>
        <w:rPr>
          <w:rFonts w:ascii="Times New Roman" w:eastAsia="Times New Roman"/>
        </w:rPr>
        <w:t>6</w:t>
      </w:r>
      <w:r>
        <w:t xml:space="preserve">）《生态环境部建设项目环境影响报告书（表）审批程序规定》（生态环境部令第 </w:t>
      </w:r>
      <w:r>
        <w:rPr>
          <w:rFonts w:ascii="Times New Roman" w:eastAsia="Times New Roman"/>
        </w:rPr>
        <w:t xml:space="preserve">14 </w:t>
      </w:r>
      <w:r>
        <w:t xml:space="preserve">号，自 </w:t>
      </w:r>
      <w:r>
        <w:rPr>
          <w:rFonts w:ascii="Times New Roman" w:eastAsia="Times New Roman"/>
        </w:rPr>
        <w:t xml:space="preserve">2021 </w:t>
      </w:r>
      <w:r>
        <w:t xml:space="preserve">年 </w:t>
      </w:r>
      <w:r>
        <w:rPr>
          <w:rFonts w:ascii="Times New Roman" w:eastAsia="Times New Roman"/>
        </w:rPr>
        <w:t xml:space="preserve">1 </w:t>
      </w:r>
      <w:r>
        <w:t xml:space="preserve">月 </w:t>
      </w:r>
      <w:r>
        <w:rPr>
          <w:rFonts w:ascii="Times New Roman" w:eastAsia="Times New Roman"/>
        </w:rPr>
        <w:t xml:space="preserve">1 </w:t>
      </w:r>
      <w:r>
        <w:t>日起施行）</w:t>
      </w:r>
    </w:p>
    <w:p w14:paraId="09EFF692">
      <w:pPr>
        <w:pStyle w:val="7"/>
        <w:spacing w:before="5" w:line="362" w:lineRule="auto"/>
        <w:ind w:left="280" w:right="340" w:firstLine="480"/>
      </w:pPr>
      <w:r>
        <w:t>（</w:t>
      </w:r>
      <w:r>
        <w:rPr>
          <w:rFonts w:ascii="Times New Roman" w:hAnsi="Times New Roman" w:eastAsia="Times New Roman"/>
        </w:rPr>
        <w:t>7</w:t>
      </w:r>
      <w:r>
        <w:t>）关于印发《“十四五”环境影响评价与排污许可工作实施方案》的通知（环环评〔</w:t>
      </w:r>
      <w:r>
        <w:rPr>
          <w:rFonts w:ascii="Times New Roman" w:hAnsi="Times New Roman" w:eastAsia="Times New Roman"/>
        </w:rPr>
        <w:t>2022</w:t>
      </w:r>
      <w:r>
        <w:t>〕</w:t>
      </w:r>
      <w:r>
        <w:rPr>
          <w:rFonts w:ascii="Times New Roman" w:hAnsi="Times New Roman" w:eastAsia="Times New Roman"/>
        </w:rPr>
        <w:t xml:space="preserve">26 </w:t>
      </w:r>
      <w:r>
        <w:t>号）；</w:t>
      </w:r>
    </w:p>
    <w:p w14:paraId="16170814">
      <w:pPr>
        <w:pStyle w:val="7"/>
        <w:spacing w:before="5" w:line="362" w:lineRule="auto"/>
        <w:ind w:left="280" w:right="337" w:firstLine="480"/>
      </w:pPr>
      <w:r>
        <w:t>（</w:t>
      </w:r>
      <w:r>
        <w:rPr>
          <w:rFonts w:ascii="Times New Roman" w:eastAsia="Times New Roman"/>
        </w:rPr>
        <w:t>8</w:t>
      </w:r>
      <w:r>
        <w:t xml:space="preserve">）《排污许可管理办法》（部令 第 </w:t>
      </w:r>
      <w:r>
        <w:rPr>
          <w:rFonts w:ascii="Times New Roman" w:eastAsia="Times New Roman"/>
        </w:rPr>
        <w:t xml:space="preserve">32 </w:t>
      </w:r>
      <w:r>
        <w:t xml:space="preserve">号，自 </w:t>
      </w:r>
      <w:r>
        <w:rPr>
          <w:rFonts w:ascii="Times New Roman" w:eastAsia="Times New Roman"/>
        </w:rPr>
        <w:t xml:space="preserve">2024 </w:t>
      </w:r>
      <w:r>
        <w:t xml:space="preserve">年 </w:t>
      </w:r>
      <w:r>
        <w:rPr>
          <w:rFonts w:ascii="Times New Roman" w:eastAsia="Times New Roman"/>
        </w:rPr>
        <w:t xml:space="preserve">7 </w:t>
      </w:r>
      <w:r>
        <w:t xml:space="preserve">月 </w:t>
      </w:r>
      <w:r>
        <w:rPr>
          <w:rFonts w:ascii="Times New Roman" w:eastAsia="Times New Roman"/>
        </w:rPr>
        <w:t xml:space="preserve">1 </w:t>
      </w:r>
      <w:r>
        <w:t>日起施行）；</w:t>
      </w:r>
    </w:p>
    <w:p w14:paraId="5E415E9B">
      <w:pPr>
        <w:pStyle w:val="7"/>
        <w:spacing w:before="5" w:line="364" w:lineRule="auto"/>
        <w:ind w:left="280" w:right="341" w:firstLine="480"/>
      </w:pPr>
      <w:r>
        <w:t>（</w:t>
      </w:r>
      <w:r>
        <w:rPr>
          <w:rFonts w:ascii="Times New Roman" w:eastAsia="Times New Roman"/>
        </w:rPr>
        <w:t>9</w:t>
      </w:r>
      <w:r>
        <w:t>）《建设项目竣工环境保护验收暂行办法》（国环规环评〔</w:t>
      </w:r>
      <w:r>
        <w:rPr>
          <w:rFonts w:ascii="Times New Roman" w:eastAsia="Times New Roman"/>
        </w:rPr>
        <w:t>2017</w:t>
      </w:r>
      <w:r>
        <w:t>〕</w:t>
      </w:r>
      <w:r>
        <w:rPr>
          <w:rFonts w:ascii="Times New Roman" w:eastAsia="Times New Roman"/>
        </w:rPr>
        <w:t xml:space="preserve">4 </w:t>
      </w:r>
      <w:r>
        <w:t xml:space="preserve">号，自 </w:t>
      </w:r>
      <w:r>
        <w:rPr>
          <w:rFonts w:ascii="Times New Roman" w:eastAsia="Times New Roman"/>
        </w:rPr>
        <w:t xml:space="preserve">2017 </w:t>
      </w:r>
      <w:r>
        <w:t xml:space="preserve">年 </w:t>
      </w:r>
      <w:r>
        <w:rPr>
          <w:rFonts w:ascii="Times New Roman" w:eastAsia="Times New Roman"/>
        </w:rPr>
        <w:t xml:space="preserve">11 </w:t>
      </w:r>
      <w:r>
        <w:t xml:space="preserve">月 </w:t>
      </w:r>
      <w:r>
        <w:rPr>
          <w:rFonts w:ascii="Times New Roman" w:eastAsia="Times New Roman"/>
        </w:rPr>
        <w:t xml:space="preserve">22 </w:t>
      </w:r>
      <w:r>
        <w:t>日起施行）</w:t>
      </w:r>
    </w:p>
    <w:p w14:paraId="0356ED7E">
      <w:pPr>
        <w:pStyle w:val="7"/>
        <w:spacing w:line="306" w:lineRule="exact"/>
        <w:ind w:left="760"/>
      </w:pPr>
      <w:r>
        <w:t>（</w:t>
      </w:r>
      <w:r>
        <w:rPr>
          <w:spacing w:val="-91"/>
        </w:rPr>
        <w:t xml:space="preserve"> </w:t>
      </w:r>
      <w:r>
        <w:rPr>
          <w:rFonts w:ascii="Times New Roman" w:eastAsia="Times New Roman"/>
        </w:rPr>
        <w:t xml:space="preserve">10 </w:t>
      </w:r>
      <w:r>
        <w:t>）</w:t>
      </w:r>
      <w:r>
        <w:rPr>
          <w:spacing w:val="16"/>
        </w:rPr>
        <w:t xml:space="preserve"> 《建设项目环境保护事中事后监督管理办法</w:t>
      </w:r>
      <w:r>
        <w:t>（</w:t>
      </w:r>
      <w:r>
        <w:rPr>
          <w:spacing w:val="-11"/>
        </w:rPr>
        <w:t xml:space="preserve"> 试行</w:t>
      </w:r>
      <w:r>
        <w:t>）</w:t>
      </w:r>
      <w:r>
        <w:rPr>
          <w:spacing w:val="-8"/>
        </w:rPr>
        <w:t xml:space="preserve"> 》环发</w:t>
      </w:r>
    </w:p>
    <w:p w14:paraId="143AE0E1">
      <w:pPr>
        <w:pStyle w:val="7"/>
        <w:spacing w:before="158"/>
        <w:ind w:left="280"/>
      </w:pPr>
      <w:r>
        <w:t>〔</w:t>
      </w:r>
      <w:r>
        <w:rPr>
          <w:rFonts w:ascii="Times New Roman" w:eastAsia="Times New Roman"/>
        </w:rPr>
        <w:t>2015</w:t>
      </w:r>
      <w:r>
        <w:t>〕</w:t>
      </w:r>
      <w:r>
        <w:rPr>
          <w:rFonts w:ascii="Times New Roman" w:eastAsia="Times New Roman"/>
        </w:rPr>
        <w:t xml:space="preserve">163 </w:t>
      </w:r>
      <w:r>
        <w:t xml:space="preserve">号，自 </w:t>
      </w:r>
      <w:r>
        <w:rPr>
          <w:rFonts w:ascii="Times New Roman" w:eastAsia="Times New Roman"/>
        </w:rPr>
        <w:t xml:space="preserve">2015 </w:t>
      </w:r>
      <w:r>
        <w:t xml:space="preserve">年 </w:t>
      </w:r>
      <w:r>
        <w:rPr>
          <w:rFonts w:ascii="Times New Roman" w:eastAsia="Times New Roman"/>
        </w:rPr>
        <w:t xml:space="preserve">12 </w:t>
      </w:r>
      <w:r>
        <w:t xml:space="preserve">月 </w:t>
      </w:r>
      <w:r>
        <w:rPr>
          <w:rFonts w:ascii="Times New Roman" w:eastAsia="Times New Roman"/>
        </w:rPr>
        <w:t xml:space="preserve">11 </w:t>
      </w:r>
      <w:r>
        <w:t>日起施行）</w:t>
      </w:r>
    </w:p>
    <w:p w14:paraId="252EE627">
      <w:pPr>
        <w:pStyle w:val="7"/>
        <w:spacing w:before="160"/>
        <w:ind w:left="760"/>
        <w:rPr>
          <w:rFonts w:ascii="Times New Roman" w:eastAsia="Times New Roman"/>
        </w:rPr>
      </w:pPr>
      <w:r>
        <w:t>（</w:t>
      </w:r>
      <w:r>
        <w:rPr>
          <w:rFonts w:ascii="Times New Roman" w:eastAsia="Times New Roman"/>
        </w:rPr>
        <w:t>11</w:t>
      </w:r>
      <w:r>
        <w:t>）《国家危险废物名录（</w:t>
      </w:r>
      <w:r>
        <w:rPr>
          <w:rFonts w:ascii="Times New Roman" w:eastAsia="Times New Roman"/>
        </w:rPr>
        <w:t xml:space="preserve">2021 </w:t>
      </w:r>
      <w:r>
        <w:t xml:space="preserve">年版）》（部令 第 </w:t>
      </w:r>
      <w:r>
        <w:rPr>
          <w:rFonts w:ascii="Times New Roman" w:eastAsia="Times New Roman"/>
        </w:rPr>
        <w:t xml:space="preserve">15 </w:t>
      </w:r>
      <w:r>
        <w:t xml:space="preserve">号，自 </w:t>
      </w:r>
      <w:r>
        <w:rPr>
          <w:rFonts w:ascii="Times New Roman" w:eastAsia="Times New Roman"/>
        </w:rPr>
        <w:t xml:space="preserve">2021 </w:t>
      </w:r>
      <w:r>
        <w:t xml:space="preserve">年 </w:t>
      </w:r>
      <w:r>
        <w:rPr>
          <w:rFonts w:ascii="Times New Roman" w:eastAsia="Times New Roman"/>
        </w:rPr>
        <w:t>1</w:t>
      </w:r>
    </w:p>
    <w:p w14:paraId="3C962D96">
      <w:pPr>
        <w:pStyle w:val="7"/>
        <w:spacing w:before="158"/>
        <w:ind w:left="280"/>
      </w:pPr>
      <w:r>
        <w:t xml:space="preserve">月 </w:t>
      </w:r>
      <w:r>
        <w:rPr>
          <w:rFonts w:ascii="Times New Roman" w:eastAsia="Times New Roman"/>
        </w:rPr>
        <w:t xml:space="preserve">1 </w:t>
      </w:r>
      <w:r>
        <w:t>日起施行）；</w:t>
      </w:r>
    </w:p>
    <w:p w14:paraId="28B6AFA3">
      <w:pPr>
        <w:pStyle w:val="7"/>
        <w:spacing w:before="161" w:line="364" w:lineRule="auto"/>
        <w:ind w:left="280" w:right="337" w:firstLine="480"/>
      </w:pPr>
      <w:r>
        <w:t>（</w:t>
      </w:r>
      <w:r>
        <w:rPr>
          <w:rFonts w:ascii="Times New Roman" w:eastAsia="Times New Roman"/>
        </w:rPr>
        <w:t>12</w:t>
      </w:r>
      <w:r>
        <w:t>）《危险废物转移管理办法》</w:t>
      </w:r>
      <w:r>
        <w:rPr>
          <w:spacing w:val="2"/>
        </w:rPr>
        <w:t>（</w:t>
      </w:r>
      <w:r>
        <w:rPr>
          <w:spacing w:val="-21"/>
        </w:rPr>
        <w:t xml:space="preserve">部令 第 </w:t>
      </w:r>
      <w:r>
        <w:rPr>
          <w:rFonts w:ascii="Times New Roman" w:eastAsia="Times New Roman"/>
        </w:rPr>
        <w:t xml:space="preserve">23 </w:t>
      </w:r>
      <w:r>
        <w:rPr>
          <w:spacing w:val="-13"/>
        </w:rPr>
        <w:t xml:space="preserve">号，自 </w:t>
      </w:r>
      <w:r>
        <w:rPr>
          <w:rFonts w:ascii="Times New Roman" w:eastAsia="Times New Roman"/>
        </w:rPr>
        <w:t xml:space="preserve">2022 </w:t>
      </w:r>
      <w:r>
        <w:rPr>
          <w:spacing w:val="-27"/>
        </w:rPr>
        <w:t xml:space="preserve">年 </w:t>
      </w:r>
      <w:r>
        <w:rPr>
          <w:rFonts w:ascii="Times New Roman" w:eastAsia="Times New Roman"/>
        </w:rPr>
        <w:t xml:space="preserve">1 </w:t>
      </w:r>
      <w:r>
        <w:rPr>
          <w:spacing w:val="-27"/>
        </w:rPr>
        <w:t xml:space="preserve">月 </w:t>
      </w:r>
      <w:r>
        <w:rPr>
          <w:rFonts w:ascii="Times New Roman" w:eastAsia="Times New Roman"/>
        </w:rPr>
        <w:t xml:space="preserve">1 </w:t>
      </w:r>
      <w:r>
        <w:rPr>
          <w:spacing w:val="0"/>
        </w:rPr>
        <w:t>日起施行）。</w:t>
      </w:r>
    </w:p>
    <w:p w14:paraId="43B9B167">
      <w:pPr>
        <w:spacing w:after="0" w:line="364" w:lineRule="auto"/>
        <w:sectPr>
          <w:pgSz w:w="11910" w:h="16840"/>
          <w:pgMar w:top="1360" w:right="1460" w:bottom="1400" w:left="1520" w:header="878" w:footer="1204" w:gutter="0"/>
          <w:cols w:space="720" w:num="1"/>
        </w:sectPr>
      </w:pPr>
    </w:p>
    <w:p w14:paraId="441855A0">
      <w:pPr>
        <w:pStyle w:val="7"/>
        <w:spacing w:before="68" w:line="364" w:lineRule="auto"/>
        <w:ind w:left="280" w:right="337" w:firstLine="480"/>
      </w:pPr>
      <w:r>
        <w:t>（</w:t>
      </w:r>
      <w:r>
        <w:rPr>
          <w:rFonts w:ascii="Times New Roman" w:eastAsia="Times New Roman"/>
        </w:rPr>
        <w:t>13</w:t>
      </w:r>
      <w:r>
        <w:t>）《国家发展改革委 商务部关于印发</w:t>
      </w:r>
      <w:r>
        <w:rPr>
          <w:rFonts w:ascii="Times New Roman" w:eastAsia="Times New Roman"/>
        </w:rPr>
        <w:t>&lt;</w:t>
      </w:r>
      <w:r>
        <w:t>市场准入负面清单（</w:t>
      </w:r>
      <w:r>
        <w:rPr>
          <w:rFonts w:ascii="Times New Roman" w:eastAsia="Times New Roman"/>
        </w:rPr>
        <w:t xml:space="preserve">2020 </w:t>
      </w:r>
      <w:r>
        <w:t>年版）</w:t>
      </w:r>
      <w:r>
        <w:rPr>
          <w:rFonts w:ascii="Times New Roman" w:eastAsia="Times New Roman"/>
        </w:rPr>
        <w:t>&gt;</w:t>
      </w:r>
      <w:r>
        <w:t>的通知》（发改体改规〔</w:t>
      </w:r>
      <w:r>
        <w:rPr>
          <w:rFonts w:ascii="Times New Roman" w:eastAsia="Times New Roman"/>
        </w:rPr>
        <w:t>2020</w:t>
      </w:r>
      <w:r>
        <w:t>〕</w:t>
      </w:r>
      <w:r>
        <w:rPr>
          <w:rFonts w:ascii="Times New Roman" w:eastAsia="Times New Roman"/>
        </w:rPr>
        <w:t xml:space="preserve">1880 </w:t>
      </w:r>
      <w:r>
        <w:t>号）；</w:t>
      </w:r>
    </w:p>
    <w:p w14:paraId="387FD296">
      <w:pPr>
        <w:pStyle w:val="7"/>
        <w:spacing w:line="306" w:lineRule="exact"/>
        <w:ind w:left="760"/>
        <w:rPr>
          <w:rFonts w:ascii="Times New Roman" w:eastAsia="Times New Roman"/>
        </w:rPr>
      </w:pPr>
      <w:r>
        <w:t>（</w:t>
      </w:r>
      <w:r>
        <w:rPr>
          <w:rFonts w:ascii="Times New Roman" w:eastAsia="Times New Roman"/>
        </w:rPr>
        <w:t>14</w:t>
      </w:r>
      <w:r>
        <w:t xml:space="preserve">）《生猪屠宰质量管理规范》（农业部公告 </w:t>
      </w:r>
      <w:r>
        <w:rPr>
          <w:rFonts w:ascii="Times New Roman" w:eastAsia="Times New Roman"/>
        </w:rPr>
        <w:t xml:space="preserve">710 </w:t>
      </w:r>
      <w:r>
        <w:t>号</w:t>
      </w:r>
      <w:r>
        <w:rPr>
          <w:rFonts w:ascii="Times New Roman" w:eastAsia="Times New Roman"/>
        </w:rPr>
        <w:t xml:space="preserve">, </w:t>
      </w:r>
      <w:r>
        <w:t xml:space="preserve">，自 </w:t>
      </w:r>
      <w:r>
        <w:rPr>
          <w:rFonts w:ascii="Times New Roman" w:eastAsia="Times New Roman"/>
        </w:rPr>
        <w:t xml:space="preserve">2024 </w:t>
      </w:r>
      <w:r>
        <w:t xml:space="preserve">年 </w:t>
      </w:r>
      <w:r>
        <w:rPr>
          <w:rFonts w:ascii="Times New Roman" w:eastAsia="Times New Roman"/>
        </w:rPr>
        <w:t xml:space="preserve">1 </w:t>
      </w:r>
      <w:r>
        <w:t xml:space="preserve">月 </w:t>
      </w:r>
      <w:r>
        <w:rPr>
          <w:rFonts w:ascii="Times New Roman" w:eastAsia="Times New Roman"/>
        </w:rPr>
        <w:t>1</w:t>
      </w:r>
    </w:p>
    <w:p w14:paraId="0146C302">
      <w:pPr>
        <w:pStyle w:val="7"/>
        <w:spacing w:before="160"/>
        <w:ind w:left="280"/>
      </w:pPr>
      <w:r>
        <w:t>日起施行）；</w:t>
      </w:r>
    </w:p>
    <w:p w14:paraId="538F6DE1">
      <w:pPr>
        <w:pStyle w:val="7"/>
        <w:spacing w:before="158"/>
        <w:ind w:left="760"/>
      </w:pPr>
      <w:r>
        <w:t>（</w:t>
      </w:r>
      <w:r>
        <w:rPr>
          <w:rFonts w:ascii="Times New Roman" w:eastAsia="Times New Roman"/>
        </w:rPr>
        <w:t>15</w:t>
      </w:r>
      <w:r>
        <w:t xml:space="preserve">）《动物检疫管理办法》（农业农村部令 </w:t>
      </w:r>
      <w:r>
        <w:rPr>
          <w:rFonts w:ascii="Times New Roman" w:eastAsia="Times New Roman"/>
        </w:rPr>
        <w:t xml:space="preserve">2022 </w:t>
      </w:r>
      <w:r>
        <w:t xml:space="preserve">年第 </w:t>
      </w:r>
      <w:r>
        <w:rPr>
          <w:rFonts w:ascii="Times New Roman" w:eastAsia="Times New Roman"/>
        </w:rPr>
        <w:t xml:space="preserve">7 </w:t>
      </w:r>
      <w:r>
        <w:t>号公布，自</w:t>
      </w:r>
    </w:p>
    <w:p w14:paraId="19FCC2A2">
      <w:pPr>
        <w:pStyle w:val="7"/>
        <w:spacing w:before="161"/>
        <w:ind w:left="280"/>
      </w:pPr>
      <w:r>
        <w:rPr>
          <w:rFonts w:ascii="Times New Roman" w:eastAsia="Times New Roman"/>
        </w:rPr>
        <w:t xml:space="preserve">2022 </w:t>
      </w:r>
      <w:r>
        <w:t xml:space="preserve">年 </w:t>
      </w:r>
      <w:r>
        <w:rPr>
          <w:rFonts w:ascii="Times New Roman" w:eastAsia="Times New Roman"/>
        </w:rPr>
        <w:t xml:space="preserve">12 </w:t>
      </w:r>
      <w:r>
        <w:t xml:space="preserve">月 </w:t>
      </w:r>
      <w:r>
        <w:rPr>
          <w:rFonts w:ascii="Times New Roman" w:eastAsia="Times New Roman"/>
        </w:rPr>
        <w:t xml:space="preserve">1 </w:t>
      </w:r>
      <w:r>
        <w:t>日起施行）；</w:t>
      </w:r>
    </w:p>
    <w:p w14:paraId="753F74B2">
      <w:pPr>
        <w:pStyle w:val="7"/>
        <w:spacing w:before="158"/>
        <w:ind w:left="760"/>
      </w:pPr>
      <w:r>
        <w:t>（</w:t>
      </w:r>
      <w:r>
        <w:rPr>
          <w:rFonts w:ascii="Times New Roman" w:eastAsia="Times New Roman"/>
        </w:rPr>
        <w:t>16</w:t>
      </w:r>
      <w:r>
        <w:t xml:space="preserve">）《动物防疫条件审查办法》（农业农村部令 </w:t>
      </w:r>
      <w:r>
        <w:rPr>
          <w:rFonts w:ascii="Times New Roman" w:eastAsia="Times New Roman"/>
        </w:rPr>
        <w:t xml:space="preserve">2022 </w:t>
      </w:r>
      <w:r>
        <w:t xml:space="preserve">年第 </w:t>
      </w:r>
      <w:r>
        <w:rPr>
          <w:rFonts w:ascii="Times New Roman" w:eastAsia="Times New Roman"/>
        </w:rPr>
        <w:t xml:space="preserve">8 </w:t>
      </w:r>
      <w:r>
        <w:t>号公布，自</w:t>
      </w:r>
    </w:p>
    <w:p w14:paraId="768DF0CC">
      <w:pPr>
        <w:pStyle w:val="7"/>
        <w:spacing w:before="161"/>
        <w:ind w:left="280"/>
      </w:pPr>
      <w:r>
        <w:rPr>
          <w:rFonts w:ascii="Times New Roman" w:eastAsia="Times New Roman"/>
        </w:rPr>
        <w:t xml:space="preserve">2022 </w:t>
      </w:r>
      <w:r>
        <w:t xml:space="preserve">年 </w:t>
      </w:r>
      <w:r>
        <w:rPr>
          <w:rFonts w:ascii="Times New Roman" w:eastAsia="Times New Roman"/>
        </w:rPr>
        <w:t xml:space="preserve">12 </w:t>
      </w:r>
      <w:r>
        <w:t xml:space="preserve">月 </w:t>
      </w:r>
      <w:r>
        <w:rPr>
          <w:rFonts w:ascii="Times New Roman" w:eastAsia="Times New Roman"/>
        </w:rPr>
        <w:t xml:space="preserve">1 </w:t>
      </w:r>
      <w:r>
        <w:t>日起施行）；</w:t>
      </w:r>
    </w:p>
    <w:p w14:paraId="0049C08A">
      <w:pPr>
        <w:pStyle w:val="7"/>
        <w:spacing w:before="160" w:line="362" w:lineRule="auto"/>
        <w:ind w:left="280" w:right="268" w:firstLine="480"/>
      </w:pPr>
      <w:r>
        <w:t>（</w:t>
      </w:r>
      <w:r>
        <w:rPr>
          <w:rFonts w:ascii="Times New Roman" w:eastAsia="Times New Roman"/>
        </w:rPr>
        <w:t>17</w:t>
      </w:r>
      <w:r>
        <w:t>）《农业农村部关于印发</w:t>
      </w:r>
      <w:r>
        <w:rPr>
          <w:rFonts w:ascii="Times New Roman" w:eastAsia="Times New Roman"/>
        </w:rPr>
        <w:t>&lt;</w:t>
      </w:r>
      <w:r>
        <w:t>生猪产地检疫规程</w:t>
      </w:r>
      <w:r>
        <w:rPr>
          <w:rFonts w:ascii="Times New Roman" w:eastAsia="Times New Roman"/>
        </w:rPr>
        <w:t>&gt;</w:t>
      </w:r>
      <w:r>
        <w:t xml:space="preserve">等 </w:t>
      </w:r>
      <w:r>
        <w:rPr>
          <w:rFonts w:ascii="Times New Roman" w:eastAsia="Times New Roman"/>
        </w:rPr>
        <w:t xml:space="preserve">22 </w:t>
      </w:r>
      <w:r>
        <w:t>个动物检疫规程的通知》（农牧发〔</w:t>
      </w:r>
      <w:r>
        <w:rPr>
          <w:rFonts w:ascii="Times New Roman" w:eastAsia="Times New Roman"/>
        </w:rPr>
        <w:t>2023</w:t>
      </w:r>
      <w:r>
        <w:t>〕</w:t>
      </w:r>
      <w:r>
        <w:rPr>
          <w:rFonts w:ascii="Times New Roman" w:eastAsia="Times New Roman"/>
        </w:rPr>
        <w:t xml:space="preserve">16 </w:t>
      </w:r>
      <w:r>
        <w:t>号，</w:t>
      </w:r>
      <w:r>
        <w:rPr>
          <w:rFonts w:ascii="Times New Roman" w:eastAsia="Times New Roman"/>
        </w:rPr>
        <w:t xml:space="preserve">2023 </w:t>
      </w:r>
      <w:r>
        <w:t xml:space="preserve">年 </w:t>
      </w:r>
      <w:r>
        <w:rPr>
          <w:rFonts w:ascii="Times New Roman" w:eastAsia="Times New Roman"/>
        </w:rPr>
        <w:t xml:space="preserve">4 </w:t>
      </w:r>
      <w:r>
        <w:t xml:space="preserve">月 </w:t>
      </w:r>
      <w:r>
        <w:rPr>
          <w:rFonts w:ascii="Times New Roman" w:eastAsia="Times New Roman"/>
        </w:rPr>
        <w:t xml:space="preserve">3 </w:t>
      </w:r>
      <w:r>
        <w:t>日公布）；</w:t>
      </w:r>
    </w:p>
    <w:p w14:paraId="5A6302DD">
      <w:pPr>
        <w:pStyle w:val="7"/>
        <w:spacing w:before="3" w:line="364" w:lineRule="auto"/>
        <w:ind w:left="280" w:right="337" w:firstLine="480"/>
      </w:pPr>
      <w:r>
        <w:t>（</w:t>
      </w:r>
      <w:r>
        <w:rPr>
          <w:rFonts w:ascii="Times New Roman" w:eastAsia="Times New Roman"/>
        </w:rPr>
        <w:t>18</w:t>
      </w:r>
      <w:r>
        <w:t xml:space="preserve">）《病死畜禽和病害畜禽产品无害化处理管理办法》（中华人民共和国农业农村部令 </w:t>
      </w:r>
      <w:r>
        <w:rPr>
          <w:rFonts w:ascii="Times New Roman" w:eastAsia="Times New Roman"/>
        </w:rPr>
        <w:t xml:space="preserve">2022 </w:t>
      </w:r>
      <w:r>
        <w:t xml:space="preserve">年第 </w:t>
      </w:r>
      <w:r>
        <w:rPr>
          <w:rFonts w:ascii="Times New Roman" w:eastAsia="Times New Roman"/>
        </w:rPr>
        <w:t xml:space="preserve">3 </w:t>
      </w:r>
      <w:r>
        <w:t xml:space="preserve">号，自 </w:t>
      </w:r>
      <w:r>
        <w:rPr>
          <w:rFonts w:ascii="Times New Roman" w:eastAsia="Times New Roman"/>
        </w:rPr>
        <w:t xml:space="preserve">2022 </w:t>
      </w:r>
      <w:r>
        <w:t xml:space="preserve">年 </w:t>
      </w:r>
      <w:r>
        <w:rPr>
          <w:rFonts w:ascii="Times New Roman" w:eastAsia="Times New Roman"/>
        </w:rPr>
        <w:t xml:space="preserve">7 </w:t>
      </w:r>
      <w:r>
        <w:t xml:space="preserve">月 </w:t>
      </w:r>
      <w:r>
        <w:rPr>
          <w:rFonts w:ascii="Times New Roman" w:eastAsia="Times New Roman"/>
        </w:rPr>
        <w:t xml:space="preserve">1 </w:t>
      </w:r>
      <w:r>
        <w:t>日起施行）。</w:t>
      </w:r>
    </w:p>
    <w:p w14:paraId="1A375743">
      <w:pPr>
        <w:pStyle w:val="7"/>
        <w:spacing w:before="1"/>
        <w:ind w:left="760"/>
        <w:rPr>
          <w:rFonts w:ascii="Times New Roman" w:eastAsia="Times New Roman"/>
        </w:rPr>
      </w:pPr>
      <w:r>
        <w:t>（</w:t>
      </w:r>
      <w:r>
        <w:rPr>
          <w:rFonts w:ascii="Times New Roman" w:eastAsia="Times New Roman"/>
        </w:rPr>
        <w:t>19</w:t>
      </w:r>
      <w:r>
        <w:t>）《湖南省环境保护条例》，</w:t>
      </w:r>
      <w:r>
        <w:rPr>
          <w:rFonts w:ascii="Times New Roman" w:eastAsia="Times New Roman"/>
        </w:rPr>
        <w:t xml:space="preserve">2019 </w:t>
      </w:r>
      <w:r>
        <w:t xml:space="preserve">年 </w:t>
      </w:r>
      <w:r>
        <w:rPr>
          <w:rFonts w:ascii="Times New Roman" w:eastAsia="Times New Roman"/>
        </w:rPr>
        <w:t xml:space="preserve">9 </w:t>
      </w:r>
      <w:r>
        <w:t xml:space="preserve">月 </w:t>
      </w:r>
      <w:r>
        <w:rPr>
          <w:rFonts w:ascii="Times New Roman" w:eastAsia="Times New Roman"/>
        </w:rPr>
        <w:t xml:space="preserve">28 </w:t>
      </w:r>
      <w:r>
        <w:t>日修正，</w:t>
      </w:r>
      <w:r>
        <w:rPr>
          <w:rFonts w:ascii="Times New Roman" w:eastAsia="Times New Roman"/>
        </w:rPr>
        <w:t xml:space="preserve">2020 </w:t>
      </w:r>
      <w:r>
        <w:t xml:space="preserve">年 </w:t>
      </w:r>
      <w:r>
        <w:rPr>
          <w:rFonts w:ascii="Times New Roman" w:eastAsia="Times New Roman"/>
        </w:rPr>
        <w:t xml:space="preserve">1 </w:t>
      </w:r>
      <w:r>
        <w:t xml:space="preserve">月 </w:t>
      </w:r>
      <w:r>
        <w:rPr>
          <w:rFonts w:ascii="Times New Roman" w:eastAsia="Times New Roman"/>
        </w:rPr>
        <w:t>1</w:t>
      </w:r>
    </w:p>
    <w:p w14:paraId="76A0C2A3">
      <w:pPr>
        <w:pStyle w:val="7"/>
        <w:spacing w:before="158"/>
        <w:ind w:left="280"/>
      </w:pPr>
      <w:r>
        <w:t>日起实施；</w:t>
      </w:r>
    </w:p>
    <w:p w14:paraId="652994E8">
      <w:pPr>
        <w:pStyle w:val="7"/>
        <w:spacing w:before="160"/>
        <w:ind w:left="760"/>
      </w:pPr>
      <w:r>
        <w:t>（</w:t>
      </w:r>
      <w:r>
        <w:rPr>
          <w:rFonts w:ascii="Times New Roman" w:eastAsia="Times New Roman"/>
        </w:rPr>
        <w:t>20</w:t>
      </w:r>
      <w:r>
        <w:t>）《湖南省主体功能区规划》（湘政发【</w:t>
      </w:r>
      <w:r>
        <w:rPr>
          <w:rFonts w:ascii="Times New Roman" w:eastAsia="Times New Roman"/>
        </w:rPr>
        <w:t>2012</w:t>
      </w:r>
      <w:r>
        <w:t>】</w:t>
      </w:r>
      <w:r>
        <w:rPr>
          <w:rFonts w:ascii="Times New Roman" w:eastAsia="Times New Roman"/>
        </w:rPr>
        <w:t xml:space="preserve">39 </w:t>
      </w:r>
      <w:r>
        <w:t>号）；</w:t>
      </w:r>
    </w:p>
    <w:p w14:paraId="74BD0F3E">
      <w:pPr>
        <w:pStyle w:val="7"/>
        <w:spacing w:before="159"/>
        <w:ind w:left="760"/>
      </w:pPr>
      <w:r>
        <w:t>（</w:t>
      </w:r>
      <w:r>
        <w:rPr>
          <w:rFonts w:ascii="Times New Roman" w:eastAsia="Times New Roman"/>
        </w:rPr>
        <w:t>21</w:t>
      </w:r>
      <w:r>
        <w:t>）《湖南省主要地表水系水环境功能区划》（</w:t>
      </w:r>
      <w:r>
        <w:rPr>
          <w:rFonts w:ascii="Times New Roman" w:eastAsia="Times New Roman"/>
        </w:rPr>
        <w:t>DB43/023-2005</w:t>
      </w:r>
      <w:r>
        <w:t>）；</w:t>
      </w:r>
    </w:p>
    <w:p w14:paraId="6ABA7077">
      <w:pPr>
        <w:pStyle w:val="7"/>
        <w:spacing w:before="160"/>
        <w:ind w:left="760"/>
      </w:pPr>
      <w:r>
        <w:t>（</w:t>
      </w:r>
      <w:r>
        <w:rPr>
          <w:rFonts w:ascii="Times New Roman" w:eastAsia="Times New Roman"/>
        </w:rPr>
        <w:t>22</w:t>
      </w:r>
      <w:r>
        <w:t>）《湖南省长江经济带发展负面清单实施细则（</w:t>
      </w:r>
      <w:r>
        <w:rPr>
          <w:rFonts w:ascii="Times New Roman" w:eastAsia="Times New Roman"/>
        </w:rPr>
        <w:t xml:space="preserve">2022 </w:t>
      </w:r>
      <w:r>
        <w:t>年，试行）》；</w:t>
      </w:r>
    </w:p>
    <w:p w14:paraId="2FAE625E">
      <w:pPr>
        <w:pStyle w:val="7"/>
        <w:spacing w:before="158"/>
        <w:ind w:left="760"/>
      </w:pPr>
      <w:r>
        <w:t>（</w:t>
      </w:r>
      <w:r>
        <w:rPr>
          <w:rFonts w:ascii="Times New Roman" w:eastAsia="Times New Roman"/>
        </w:rPr>
        <w:t>23</w:t>
      </w:r>
      <w:r>
        <w:t>）《湖南省用水定额》</w:t>
      </w:r>
      <w:r>
        <w:rPr>
          <w:rFonts w:ascii="Times New Roman" w:eastAsia="Times New Roman"/>
        </w:rPr>
        <w:t>(DB43/T388-2020)</w:t>
      </w:r>
      <w:r>
        <w:t>；</w:t>
      </w:r>
    </w:p>
    <w:p w14:paraId="45D5FCD5">
      <w:pPr>
        <w:pStyle w:val="7"/>
        <w:spacing w:before="161" w:line="362" w:lineRule="auto"/>
        <w:ind w:left="280" w:right="337" w:firstLine="480"/>
      </w:pPr>
      <w:r>
        <w:t>（</w:t>
      </w:r>
      <w:r>
        <w:rPr>
          <w:rFonts w:ascii="Times New Roman" w:eastAsia="Times New Roman"/>
        </w:rPr>
        <w:t>24</w:t>
      </w:r>
      <w:r>
        <w:t xml:space="preserve">）《湖南省生猪屠宰管理条例》（湖南省第十四届人民代表大会常务委员会公告 第 </w:t>
      </w:r>
      <w:r>
        <w:rPr>
          <w:rFonts w:ascii="Times New Roman" w:eastAsia="Times New Roman"/>
        </w:rPr>
        <w:t xml:space="preserve">34 </w:t>
      </w:r>
      <w:r>
        <w:t xml:space="preserve">号，自 </w:t>
      </w:r>
      <w:r>
        <w:rPr>
          <w:rFonts w:ascii="Times New Roman" w:eastAsia="Times New Roman"/>
        </w:rPr>
        <w:t xml:space="preserve">2024 </w:t>
      </w:r>
      <w:r>
        <w:t xml:space="preserve">年 </w:t>
      </w:r>
      <w:r>
        <w:rPr>
          <w:rFonts w:ascii="Times New Roman" w:eastAsia="Times New Roman"/>
        </w:rPr>
        <w:t xml:space="preserve">10 </w:t>
      </w:r>
      <w:r>
        <w:t xml:space="preserve">月 </w:t>
      </w:r>
      <w:r>
        <w:rPr>
          <w:rFonts w:ascii="Times New Roman" w:eastAsia="Times New Roman"/>
        </w:rPr>
        <w:t xml:space="preserve">1 </w:t>
      </w:r>
      <w:r>
        <w:t>日起施行）；</w:t>
      </w:r>
    </w:p>
    <w:p w14:paraId="051B1F7B">
      <w:pPr>
        <w:pStyle w:val="7"/>
        <w:spacing w:before="5"/>
        <w:ind w:left="760"/>
      </w:pPr>
      <w:r>
        <w:t>（</w:t>
      </w:r>
      <w:r>
        <w:rPr>
          <w:spacing w:val="-92"/>
        </w:rPr>
        <w:t xml:space="preserve"> </w:t>
      </w:r>
      <w:r>
        <w:rPr>
          <w:rFonts w:ascii="Times New Roman" w:eastAsia="Times New Roman"/>
        </w:rPr>
        <w:t xml:space="preserve">25 </w:t>
      </w:r>
      <w:r>
        <w:t>）</w:t>
      </w:r>
      <w:r>
        <w:rPr>
          <w:spacing w:val="15"/>
        </w:rPr>
        <w:t xml:space="preserve"> 《湖南省生猪屠宰行业发展规划</w:t>
      </w:r>
      <w:r>
        <w:t>（</w:t>
      </w:r>
      <w:r>
        <w:rPr>
          <w:spacing w:val="-92"/>
        </w:rPr>
        <w:t xml:space="preserve"> </w:t>
      </w:r>
      <w:r>
        <w:rPr>
          <w:rFonts w:ascii="Times New Roman" w:eastAsia="Times New Roman"/>
        </w:rPr>
        <w:t xml:space="preserve">2022-2025 </w:t>
      </w:r>
      <w:r>
        <w:rPr>
          <w:spacing w:val="26"/>
        </w:rPr>
        <w:t>年</w:t>
      </w:r>
      <w:r>
        <w:t>）</w:t>
      </w:r>
      <w:r>
        <w:rPr>
          <w:spacing w:val="-31"/>
        </w:rPr>
        <w:t xml:space="preserve"> 》</w:t>
      </w:r>
      <w:r>
        <w:t>（</w:t>
      </w:r>
      <w:r>
        <w:rPr>
          <w:spacing w:val="-9"/>
        </w:rPr>
        <w:t xml:space="preserve"> 湘农发</w:t>
      </w:r>
    </w:p>
    <w:p w14:paraId="1CA33081">
      <w:pPr>
        <w:pStyle w:val="7"/>
        <w:spacing w:before="158"/>
        <w:ind w:left="280"/>
      </w:pPr>
      <w:r>
        <w:t>〔</w:t>
      </w:r>
      <w:r>
        <w:rPr>
          <w:rFonts w:ascii="Times New Roman" w:eastAsia="Times New Roman"/>
        </w:rPr>
        <w:t>2023</w:t>
      </w:r>
      <w:r>
        <w:t>〕</w:t>
      </w:r>
      <w:r>
        <w:rPr>
          <w:rFonts w:ascii="Times New Roman" w:eastAsia="Times New Roman"/>
        </w:rPr>
        <w:t xml:space="preserve">26 </w:t>
      </w:r>
      <w:r>
        <w:t>号）；</w:t>
      </w:r>
    </w:p>
    <w:p w14:paraId="06BAE5B5">
      <w:pPr>
        <w:pStyle w:val="7"/>
        <w:spacing w:before="160" w:line="364" w:lineRule="auto"/>
        <w:ind w:left="280" w:right="341" w:firstLine="480"/>
      </w:pPr>
      <w:r>
        <w:t>（</w:t>
      </w:r>
      <w:r>
        <w:rPr>
          <w:rFonts w:ascii="Times New Roman" w:eastAsia="Times New Roman"/>
        </w:rPr>
        <w:t>26</w:t>
      </w:r>
      <w:r>
        <w:t>）《湖南省生猪定点屠宰厂（场）设置管理办法》（湘政发</w:t>
      </w:r>
      <w:r>
        <w:rPr>
          <w:rFonts w:ascii="Times New Roman" w:eastAsia="Times New Roman"/>
        </w:rPr>
        <w:t xml:space="preserve">[2008]35 </w:t>
      </w:r>
      <w:r>
        <w:t>号）；</w:t>
      </w:r>
    </w:p>
    <w:p w14:paraId="20117B2B">
      <w:pPr>
        <w:pStyle w:val="7"/>
        <w:spacing w:line="306" w:lineRule="exact"/>
        <w:ind w:left="760"/>
      </w:pPr>
      <w:r>
        <w:t>（</w:t>
      </w:r>
      <w:r>
        <w:rPr>
          <w:rFonts w:ascii="Times New Roman" w:eastAsia="Times New Roman"/>
        </w:rPr>
        <w:t>27</w:t>
      </w:r>
      <w:r>
        <w:t>）《关于进一步规范小型生猪定点屠宰场点设置的意见》（湘农发</w:t>
      </w:r>
    </w:p>
    <w:p w14:paraId="2EF9C1EB">
      <w:pPr>
        <w:pStyle w:val="7"/>
        <w:spacing w:before="158"/>
        <w:ind w:left="280"/>
      </w:pPr>
      <w:r>
        <w:t>〔</w:t>
      </w:r>
      <w:r>
        <w:rPr>
          <w:rFonts w:ascii="Times New Roman" w:eastAsia="Times New Roman"/>
        </w:rPr>
        <w:t>2022</w:t>
      </w:r>
      <w:r>
        <w:t>〕</w:t>
      </w:r>
      <w:r>
        <w:rPr>
          <w:rFonts w:ascii="Times New Roman" w:eastAsia="Times New Roman"/>
        </w:rPr>
        <w:t xml:space="preserve">3 </w:t>
      </w:r>
      <w:r>
        <w:t>号）；</w:t>
      </w:r>
    </w:p>
    <w:p w14:paraId="039157CE">
      <w:pPr>
        <w:pStyle w:val="7"/>
        <w:spacing w:before="161"/>
        <w:ind w:left="760"/>
      </w:pPr>
      <w:r>
        <w:t>（</w:t>
      </w:r>
      <w:r>
        <w:rPr>
          <w:rFonts w:ascii="Times New Roman" w:eastAsia="Times New Roman"/>
        </w:rPr>
        <w:t>28</w:t>
      </w:r>
      <w:r>
        <w:t xml:space="preserve">）《岳阳市 </w:t>
      </w:r>
      <w:r>
        <w:rPr>
          <w:rFonts w:ascii="Times New Roman" w:eastAsia="Times New Roman"/>
        </w:rPr>
        <w:t xml:space="preserve">2023 </w:t>
      </w:r>
      <w:r>
        <w:t>年国民经济和社会发展统计公报》；</w:t>
      </w:r>
    </w:p>
    <w:p w14:paraId="35B75354">
      <w:pPr>
        <w:pStyle w:val="7"/>
        <w:spacing w:before="158" w:line="364" w:lineRule="auto"/>
        <w:ind w:left="280" w:right="337" w:firstLine="480"/>
      </w:pPr>
      <w:r>
        <w:t>（</w:t>
      </w:r>
      <w:r>
        <w:rPr>
          <w:rFonts w:ascii="Times New Roman" w:hAnsi="Times New Roman" w:eastAsia="Times New Roman"/>
        </w:rPr>
        <w:t>29</w:t>
      </w:r>
      <w:r>
        <w:t>）《岳阳市人民政府关于实施岳阳市“三线一单”生态环境分区管控的意见》（岳政发〔</w:t>
      </w:r>
      <w:r>
        <w:rPr>
          <w:rFonts w:ascii="Times New Roman" w:hAnsi="Times New Roman" w:eastAsia="Times New Roman"/>
        </w:rPr>
        <w:t>2021</w:t>
      </w:r>
      <w:r>
        <w:t>〕</w:t>
      </w:r>
      <w:r>
        <w:rPr>
          <w:rFonts w:ascii="Times New Roman" w:hAnsi="Times New Roman" w:eastAsia="Times New Roman"/>
        </w:rPr>
        <w:t xml:space="preserve">2 </w:t>
      </w:r>
      <w:r>
        <w:t>号）；</w:t>
      </w:r>
    </w:p>
    <w:p w14:paraId="0A1344E9">
      <w:pPr>
        <w:pStyle w:val="7"/>
        <w:spacing w:before="1"/>
        <w:ind w:left="760"/>
      </w:pPr>
      <w:r>
        <w:t>（</w:t>
      </w:r>
      <w:r>
        <w:rPr>
          <w:rFonts w:ascii="Times New Roman" w:eastAsia="Times New Roman"/>
        </w:rPr>
        <w:t>30</w:t>
      </w:r>
      <w:r>
        <w:t>）《岳阳市人民政府关于加强市中心城区生猪定点屠宰管理的通告》</w:t>
      </w:r>
    </w:p>
    <w:p w14:paraId="2C8CF718">
      <w:pPr>
        <w:spacing w:after="0"/>
        <w:sectPr>
          <w:pgSz w:w="11910" w:h="16840"/>
          <w:pgMar w:top="1360" w:right="1460" w:bottom="1400" w:left="1520" w:header="878" w:footer="1204" w:gutter="0"/>
          <w:cols w:space="720" w:num="1"/>
        </w:sectPr>
      </w:pPr>
    </w:p>
    <w:p w14:paraId="556286E3">
      <w:pPr>
        <w:pStyle w:val="7"/>
        <w:spacing w:before="68"/>
        <w:ind w:left="280"/>
      </w:pPr>
      <w:r>
        <w:t>（岳政告</w:t>
      </w:r>
      <w:r>
        <w:rPr>
          <w:rFonts w:ascii="Times New Roman" w:eastAsia="Times New Roman"/>
        </w:rPr>
        <w:t xml:space="preserve">[2012]1 </w:t>
      </w:r>
      <w:r>
        <w:t>号）；</w:t>
      </w:r>
    </w:p>
    <w:p w14:paraId="747D13DA">
      <w:pPr>
        <w:pStyle w:val="7"/>
        <w:spacing w:before="160"/>
        <w:ind w:left="760"/>
      </w:pPr>
      <w:r>
        <w:t>（</w:t>
      </w:r>
      <w:r>
        <w:rPr>
          <w:spacing w:val="-98"/>
        </w:rPr>
        <w:t xml:space="preserve"> </w:t>
      </w:r>
      <w:r>
        <w:rPr>
          <w:rFonts w:ascii="Times New Roman" w:eastAsia="Times New Roman"/>
        </w:rPr>
        <w:t xml:space="preserve">31 </w:t>
      </w:r>
      <w:r>
        <w:t>）</w:t>
      </w:r>
      <w:r>
        <w:rPr>
          <w:spacing w:val="7"/>
        </w:rPr>
        <w:t xml:space="preserve"> 《岳阳县人民政府关于加强生猪屠宰管理的通告》</w:t>
      </w:r>
      <w:r>
        <w:t>（</w:t>
      </w:r>
      <w:r>
        <w:rPr>
          <w:spacing w:val="-8"/>
        </w:rPr>
        <w:t xml:space="preserve"> 岳县政通</w:t>
      </w:r>
    </w:p>
    <w:p w14:paraId="7AC57712">
      <w:pPr>
        <w:pStyle w:val="7"/>
        <w:spacing w:before="159"/>
        <w:ind w:left="280"/>
      </w:pPr>
      <w:r>
        <w:t>〔</w:t>
      </w:r>
      <w:r>
        <w:rPr>
          <w:rFonts w:ascii="Times New Roman" w:eastAsia="Times New Roman"/>
        </w:rPr>
        <w:t>2018</w:t>
      </w:r>
      <w:r>
        <w:t>〕</w:t>
      </w:r>
      <w:r>
        <w:rPr>
          <w:rFonts w:ascii="Times New Roman" w:eastAsia="Times New Roman"/>
        </w:rPr>
        <w:t xml:space="preserve">3 </w:t>
      </w:r>
      <w:r>
        <w:t>号）；</w:t>
      </w:r>
    </w:p>
    <w:p w14:paraId="2DCAA59B">
      <w:pPr>
        <w:pStyle w:val="7"/>
        <w:spacing w:before="160"/>
        <w:ind w:left="760"/>
      </w:pPr>
      <w:r>
        <w:t>（</w:t>
      </w:r>
      <w:r>
        <w:rPr>
          <w:rFonts w:ascii="Times New Roman" w:eastAsia="Times New Roman"/>
        </w:rPr>
        <w:t>32</w:t>
      </w:r>
      <w:r>
        <w:t>）《岳阳县人民政府关于畜禽规模养殖区域划分的通知》（岳县政函</w:t>
      </w:r>
    </w:p>
    <w:p w14:paraId="4BB3E542">
      <w:pPr>
        <w:pStyle w:val="7"/>
        <w:spacing w:before="158"/>
        <w:ind w:left="280"/>
      </w:pPr>
      <w:r>
        <w:t>﹝</w:t>
      </w:r>
      <w:r>
        <w:rPr>
          <w:rFonts w:ascii="Times New Roman" w:eastAsia="Times New Roman"/>
        </w:rPr>
        <w:t>2016</w:t>
      </w:r>
      <w:r>
        <w:t>﹞</w:t>
      </w:r>
      <w:r>
        <w:rPr>
          <w:rFonts w:ascii="Times New Roman" w:eastAsia="Times New Roman"/>
        </w:rPr>
        <w:t xml:space="preserve">37 </w:t>
      </w:r>
      <w:r>
        <w:t>号）；</w:t>
      </w:r>
    </w:p>
    <w:p w14:paraId="1FD0A80A">
      <w:pPr>
        <w:pStyle w:val="7"/>
        <w:spacing w:before="161" w:line="362" w:lineRule="auto"/>
        <w:ind w:left="280" w:right="341" w:firstLine="480"/>
      </w:pPr>
      <w:r>
        <w:t>（</w:t>
      </w:r>
      <w:r>
        <w:rPr>
          <w:rFonts w:ascii="Times New Roman" w:eastAsia="Times New Roman"/>
        </w:rPr>
        <w:t>33</w:t>
      </w:r>
      <w:r>
        <w:t>）《岳阳县人民政府关于调整全县畜禽规模养殖区域的通知》（</w:t>
      </w:r>
      <w:r>
        <w:rPr>
          <w:rFonts w:ascii="Times New Roman" w:eastAsia="Times New Roman"/>
        </w:rPr>
        <w:t xml:space="preserve">2020 </w:t>
      </w:r>
      <w:r>
        <w:t>年）。</w:t>
      </w:r>
    </w:p>
    <w:p w14:paraId="7905789E">
      <w:pPr>
        <w:pStyle w:val="6"/>
        <w:numPr>
          <w:ilvl w:val="2"/>
          <w:numId w:val="10"/>
        </w:numPr>
        <w:tabs>
          <w:tab w:val="left" w:pos="811"/>
        </w:tabs>
        <w:spacing w:before="5" w:after="0" w:line="240" w:lineRule="auto"/>
        <w:ind w:left="810" w:right="0" w:hanging="530"/>
        <w:jc w:val="left"/>
      </w:pPr>
      <w:bookmarkStart w:id="42" w:name="2.1.3技术导则、规范及标准"/>
      <w:bookmarkEnd w:id="42"/>
      <w:bookmarkStart w:id="43" w:name="2.1.3技术导则、规范及标准"/>
      <w:bookmarkEnd w:id="43"/>
      <w:r>
        <w:t>技术导则、规范及标准</w:t>
      </w:r>
    </w:p>
    <w:p w14:paraId="7A51994A">
      <w:pPr>
        <w:pStyle w:val="7"/>
        <w:spacing w:before="160"/>
        <w:ind w:left="760"/>
      </w:pPr>
      <w:r>
        <w:t>（</w:t>
      </w:r>
      <w:r>
        <w:rPr>
          <w:rFonts w:ascii="Times New Roman" w:hAnsi="Times New Roman" w:eastAsia="Times New Roman"/>
        </w:rPr>
        <w:t>1</w:t>
      </w:r>
      <w:r>
        <w:t>）《建设项目环境影响评价技术导则 总纲》</w:t>
      </w:r>
      <w:r>
        <w:rPr>
          <w:rFonts w:ascii="Times New Roman" w:hAnsi="Times New Roman" w:eastAsia="Times New Roman"/>
        </w:rPr>
        <w:t>(HJ2.1</w:t>
      </w:r>
      <w:r>
        <w:t>—</w:t>
      </w:r>
      <w:r>
        <w:rPr>
          <w:rFonts w:ascii="Times New Roman" w:hAnsi="Times New Roman" w:eastAsia="Times New Roman"/>
        </w:rPr>
        <w:t>2016</w:t>
      </w:r>
      <w:r>
        <w:t>）；</w:t>
      </w:r>
    </w:p>
    <w:p w14:paraId="1FF3C5C0">
      <w:pPr>
        <w:pStyle w:val="7"/>
        <w:spacing w:before="158"/>
        <w:ind w:left="760"/>
      </w:pPr>
      <w:r>
        <w:t>（</w:t>
      </w:r>
      <w:r>
        <w:rPr>
          <w:rFonts w:ascii="Times New Roman" w:hAnsi="Times New Roman" w:eastAsia="Times New Roman"/>
        </w:rPr>
        <w:t>2</w:t>
      </w:r>
      <w:r>
        <w:t>）《环境影响评价技术导则 大气环境》（</w:t>
      </w:r>
      <w:r>
        <w:rPr>
          <w:rFonts w:ascii="Times New Roman" w:hAnsi="Times New Roman" w:eastAsia="Times New Roman"/>
        </w:rPr>
        <w:t>HJ 2.2</w:t>
      </w:r>
      <w:r>
        <w:t>—</w:t>
      </w:r>
      <w:r>
        <w:rPr>
          <w:rFonts w:ascii="Times New Roman" w:hAnsi="Times New Roman" w:eastAsia="Times New Roman"/>
        </w:rPr>
        <w:t>2018</w:t>
      </w:r>
      <w:r>
        <w:t>）；</w:t>
      </w:r>
    </w:p>
    <w:p w14:paraId="09D8BA02">
      <w:pPr>
        <w:pStyle w:val="7"/>
        <w:spacing w:before="158"/>
        <w:ind w:left="760"/>
      </w:pPr>
      <w:r>
        <w:t>（</w:t>
      </w:r>
      <w:r>
        <w:rPr>
          <w:rFonts w:ascii="Times New Roman" w:hAnsi="Times New Roman" w:eastAsia="Times New Roman"/>
        </w:rPr>
        <w:t>3</w:t>
      </w:r>
      <w:r>
        <w:t>）《环境影响评价技术导则 地表水环境》（</w:t>
      </w:r>
      <w:r>
        <w:rPr>
          <w:rFonts w:ascii="Times New Roman" w:hAnsi="Times New Roman" w:eastAsia="Times New Roman"/>
        </w:rPr>
        <w:t>HJ 2.3</w:t>
      </w:r>
      <w:r>
        <w:t>—</w:t>
      </w:r>
      <w:r>
        <w:rPr>
          <w:rFonts w:ascii="Times New Roman" w:hAnsi="Times New Roman" w:eastAsia="Times New Roman"/>
        </w:rPr>
        <w:t>2018</w:t>
      </w:r>
      <w:r>
        <w:t>）；</w:t>
      </w:r>
    </w:p>
    <w:p w14:paraId="1C8AFF84">
      <w:pPr>
        <w:pStyle w:val="7"/>
        <w:spacing w:before="161"/>
        <w:ind w:left="760"/>
      </w:pPr>
      <w:r>
        <w:t>（</w:t>
      </w:r>
      <w:r>
        <w:rPr>
          <w:rFonts w:ascii="Times New Roman" w:eastAsia="Times New Roman"/>
        </w:rPr>
        <w:t>4</w:t>
      </w:r>
      <w:r>
        <w:t>）《环境影响评价技术导则 地下水环境》（</w:t>
      </w:r>
      <w:r>
        <w:rPr>
          <w:rFonts w:ascii="Times New Roman" w:eastAsia="Times New Roman"/>
        </w:rPr>
        <w:t>HJ 610-2016</w:t>
      </w:r>
      <w:r>
        <w:t>）；</w:t>
      </w:r>
    </w:p>
    <w:p w14:paraId="63314C0B">
      <w:pPr>
        <w:pStyle w:val="7"/>
        <w:spacing w:before="160"/>
        <w:ind w:left="760"/>
      </w:pPr>
      <w:r>
        <w:t>（</w:t>
      </w:r>
      <w:r>
        <w:rPr>
          <w:rFonts w:ascii="Times New Roman" w:eastAsia="Times New Roman"/>
        </w:rPr>
        <w:t>5</w:t>
      </w:r>
      <w:r>
        <w:t>）《环境影响评价技术导则 声环境》（</w:t>
      </w:r>
      <w:r>
        <w:rPr>
          <w:rFonts w:ascii="Times New Roman" w:eastAsia="Times New Roman"/>
        </w:rPr>
        <w:t>HJ 2.4-2021</w:t>
      </w:r>
      <w:r>
        <w:t>）；</w:t>
      </w:r>
    </w:p>
    <w:p w14:paraId="2CD577B1">
      <w:pPr>
        <w:pStyle w:val="7"/>
        <w:spacing w:before="158"/>
        <w:ind w:left="760"/>
      </w:pPr>
      <w:r>
        <w:t>（</w:t>
      </w:r>
      <w:r>
        <w:rPr>
          <w:rFonts w:ascii="Times New Roman" w:hAnsi="Times New Roman" w:eastAsia="Times New Roman"/>
        </w:rPr>
        <w:t>6</w:t>
      </w:r>
      <w:r>
        <w:t>）《环境影响评价技术导则 土壤环境（试行）》（</w:t>
      </w:r>
      <w:r>
        <w:rPr>
          <w:rFonts w:ascii="Times New Roman" w:hAnsi="Times New Roman" w:eastAsia="Times New Roman"/>
        </w:rPr>
        <w:t>HJ964</w:t>
      </w:r>
      <w:r>
        <w:t>—</w:t>
      </w:r>
      <w:r>
        <w:rPr>
          <w:rFonts w:ascii="Times New Roman" w:hAnsi="Times New Roman" w:eastAsia="Times New Roman"/>
        </w:rPr>
        <w:t>2018</w:t>
      </w:r>
      <w:r>
        <w:t>）；</w:t>
      </w:r>
    </w:p>
    <w:p w14:paraId="47E5AD65">
      <w:pPr>
        <w:pStyle w:val="7"/>
        <w:spacing w:before="161"/>
        <w:ind w:left="760"/>
      </w:pPr>
      <w:r>
        <w:t>（</w:t>
      </w:r>
      <w:r>
        <w:rPr>
          <w:rFonts w:ascii="Times New Roman" w:hAnsi="Times New Roman" w:eastAsia="Times New Roman"/>
        </w:rPr>
        <w:t>7</w:t>
      </w:r>
      <w:r>
        <w:t>）《环境影响评价技术导则 生态影响》（</w:t>
      </w:r>
      <w:r>
        <w:rPr>
          <w:rFonts w:ascii="Times New Roman" w:hAnsi="Times New Roman" w:eastAsia="Times New Roman"/>
        </w:rPr>
        <w:t>HJ 19</w:t>
      </w:r>
      <w:r>
        <w:t>—</w:t>
      </w:r>
      <w:r>
        <w:rPr>
          <w:rFonts w:ascii="Times New Roman" w:hAnsi="Times New Roman" w:eastAsia="Times New Roman"/>
        </w:rPr>
        <w:t>2022</w:t>
      </w:r>
      <w:r>
        <w:t>）；</w:t>
      </w:r>
    </w:p>
    <w:p w14:paraId="34AD2C32">
      <w:pPr>
        <w:pStyle w:val="7"/>
        <w:spacing w:before="158"/>
        <w:ind w:left="760"/>
      </w:pPr>
      <w:r>
        <w:t>（</w:t>
      </w:r>
      <w:r>
        <w:rPr>
          <w:rFonts w:ascii="Times New Roman" w:hAnsi="Times New Roman" w:eastAsia="Times New Roman"/>
        </w:rPr>
        <w:t>8</w:t>
      </w:r>
      <w:r>
        <w:t>）《建设项目环境风险评价技术导则》（</w:t>
      </w:r>
      <w:r>
        <w:rPr>
          <w:rFonts w:ascii="Times New Roman" w:hAnsi="Times New Roman" w:eastAsia="Times New Roman"/>
        </w:rPr>
        <w:t>HJ 169</w:t>
      </w:r>
      <w:r>
        <w:t>—</w:t>
      </w:r>
      <w:r>
        <w:rPr>
          <w:rFonts w:ascii="Times New Roman" w:hAnsi="Times New Roman" w:eastAsia="Times New Roman"/>
        </w:rPr>
        <w:t>2018</w:t>
      </w:r>
      <w:r>
        <w:t>）；</w:t>
      </w:r>
    </w:p>
    <w:p w14:paraId="1FA81EDC">
      <w:pPr>
        <w:pStyle w:val="7"/>
        <w:spacing w:before="160"/>
        <w:ind w:left="760"/>
      </w:pPr>
      <w:r>
        <w:t>（</w:t>
      </w:r>
      <w:r>
        <w:rPr>
          <w:rFonts w:ascii="Times New Roman" w:eastAsia="Times New Roman"/>
        </w:rPr>
        <w:t>9</w:t>
      </w:r>
      <w:r>
        <w:t>）《危险废物收集、贮存、运输技术规范》（</w:t>
      </w:r>
      <w:r>
        <w:rPr>
          <w:rFonts w:ascii="Times New Roman" w:eastAsia="Times New Roman"/>
        </w:rPr>
        <w:t>HJ2025-2012</w:t>
      </w:r>
      <w:r>
        <w:t>）；</w:t>
      </w:r>
    </w:p>
    <w:p w14:paraId="70167C86">
      <w:pPr>
        <w:pStyle w:val="7"/>
        <w:spacing w:before="159" w:line="364" w:lineRule="auto"/>
        <w:ind w:left="280" w:right="340" w:firstLine="480"/>
      </w:pPr>
      <w:r>
        <w:t>（</w:t>
      </w:r>
      <w:r>
        <w:rPr>
          <w:rFonts w:ascii="Times New Roman" w:hAnsi="Times New Roman" w:eastAsia="Times New Roman"/>
        </w:rPr>
        <w:t>10</w:t>
      </w:r>
      <w:r>
        <w:t>）《排污许可证申请与核发技术规范 农副食品加工工业—屠宰及肉类加工工业》（</w:t>
      </w:r>
      <w:r>
        <w:rPr>
          <w:rFonts w:ascii="Times New Roman" w:hAnsi="Times New Roman" w:eastAsia="Times New Roman"/>
        </w:rPr>
        <w:t>HJ 860.3</w:t>
      </w:r>
      <w:r>
        <w:t>—</w:t>
      </w:r>
      <w:r>
        <w:rPr>
          <w:rFonts w:ascii="Times New Roman" w:hAnsi="Times New Roman" w:eastAsia="Times New Roman"/>
        </w:rPr>
        <w:t>2018</w:t>
      </w:r>
      <w:r>
        <w:t>）；</w:t>
      </w:r>
    </w:p>
    <w:p w14:paraId="4651129F">
      <w:pPr>
        <w:pStyle w:val="7"/>
        <w:spacing w:line="306" w:lineRule="exact"/>
        <w:ind w:left="760"/>
      </w:pPr>
      <w:r>
        <w:t>（</w:t>
      </w:r>
      <w:r>
        <w:rPr>
          <w:rFonts w:ascii="Times New Roman" w:hAnsi="Times New Roman" w:eastAsia="Times New Roman"/>
        </w:rPr>
        <w:t>11</w:t>
      </w:r>
      <w:r>
        <w:t>）《排污单位自行监测技术指南 农副食品加工业》</w:t>
      </w:r>
      <w:r>
        <w:rPr>
          <w:rFonts w:ascii="Times New Roman" w:hAnsi="Times New Roman" w:eastAsia="Times New Roman"/>
        </w:rPr>
        <w:t>(HJ 986</w:t>
      </w:r>
      <w:r>
        <w:t>—</w:t>
      </w:r>
      <w:r>
        <w:rPr>
          <w:rFonts w:ascii="Times New Roman" w:hAnsi="Times New Roman" w:eastAsia="Times New Roman"/>
        </w:rPr>
        <w:t>2018)</w:t>
      </w:r>
      <w:r>
        <w:t>；</w:t>
      </w:r>
    </w:p>
    <w:p w14:paraId="13CED7F7">
      <w:pPr>
        <w:pStyle w:val="7"/>
        <w:spacing w:before="160"/>
        <w:ind w:left="760"/>
      </w:pPr>
      <w:r>
        <w:t>（</w:t>
      </w:r>
      <w:r>
        <w:rPr>
          <w:rFonts w:ascii="Times New Roman" w:eastAsia="Times New Roman"/>
        </w:rPr>
        <w:t>12</w:t>
      </w:r>
      <w:r>
        <w:t>）《畜类屠宰加工通用技术条件》（</w:t>
      </w:r>
      <w:r>
        <w:rPr>
          <w:rFonts w:ascii="Times New Roman" w:eastAsia="Times New Roman"/>
        </w:rPr>
        <w:t>GBT17237-2008</w:t>
      </w:r>
      <w:r>
        <w:t>）；</w:t>
      </w:r>
    </w:p>
    <w:p w14:paraId="1F13DFC0">
      <w:pPr>
        <w:pStyle w:val="7"/>
        <w:spacing w:before="158"/>
        <w:ind w:left="760"/>
      </w:pPr>
      <w:r>
        <w:t>（</w:t>
      </w:r>
      <w:r>
        <w:rPr>
          <w:rFonts w:ascii="Times New Roman" w:eastAsia="Times New Roman"/>
        </w:rPr>
        <w:t>13</w:t>
      </w:r>
      <w:r>
        <w:t>）《猪屠宰与分割车间设计规范》（</w:t>
      </w:r>
      <w:r>
        <w:rPr>
          <w:rFonts w:ascii="Times New Roman" w:eastAsia="Times New Roman"/>
        </w:rPr>
        <w:t>GB 50317-2009</w:t>
      </w:r>
      <w:r>
        <w:t>）；</w:t>
      </w:r>
    </w:p>
    <w:p w14:paraId="7744BBFC">
      <w:pPr>
        <w:pStyle w:val="7"/>
        <w:spacing w:before="161" w:line="364" w:lineRule="auto"/>
        <w:ind w:left="280" w:firstLine="480"/>
      </w:pPr>
      <w:r>
        <w:t>（</w:t>
      </w:r>
      <w:r>
        <w:rPr>
          <w:spacing w:val="-83"/>
        </w:rPr>
        <w:t xml:space="preserve"> </w:t>
      </w:r>
      <w:r>
        <w:rPr>
          <w:rFonts w:ascii="Times New Roman" w:eastAsia="Times New Roman"/>
        </w:rPr>
        <w:t xml:space="preserve">14 </w:t>
      </w:r>
      <w:r>
        <w:t>）</w:t>
      </w:r>
      <w:r>
        <w:rPr>
          <w:spacing w:val="20"/>
        </w:rPr>
        <w:t xml:space="preserve"> 《食品安全国家标准 畜禽屠宰加工卫生规范》</w:t>
      </w:r>
      <w:r>
        <w:t>（</w:t>
      </w:r>
      <w:r>
        <w:rPr>
          <w:spacing w:val="-81"/>
        </w:rPr>
        <w:t xml:space="preserve"> </w:t>
      </w:r>
      <w:r>
        <w:rPr>
          <w:rFonts w:ascii="Times New Roman" w:eastAsia="Times New Roman"/>
        </w:rPr>
        <w:t>GB 12694- 2016</w:t>
      </w:r>
      <w:r>
        <w:t>）；</w:t>
      </w:r>
    </w:p>
    <w:p w14:paraId="183819FB">
      <w:pPr>
        <w:pStyle w:val="7"/>
        <w:spacing w:line="306" w:lineRule="exact"/>
        <w:ind w:left="760"/>
      </w:pPr>
      <w:r>
        <w:t>（</w:t>
      </w:r>
      <w:r>
        <w:rPr>
          <w:rFonts w:ascii="Times New Roman" w:eastAsia="Times New Roman"/>
        </w:rPr>
        <w:t>15</w:t>
      </w:r>
      <w:r>
        <w:t>）《畜禽屠宰操作规程 生猪》（</w:t>
      </w:r>
      <w:r>
        <w:rPr>
          <w:rFonts w:ascii="Times New Roman" w:eastAsia="Times New Roman"/>
        </w:rPr>
        <w:t>GBT17236-2019</w:t>
      </w:r>
      <w:r>
        <w:t>）；</w:t>
      </w:r>
    </w:p>
    <w:p w14:paraId="53F409BC">
      <w:pPr>
        <w:pStyle w:val="7"/>
        <w:spacing w:before="158"/>
        <w:ind w:left="760"/>
      </w:pPr>
      <w:r>
        <w:t>（</w:t>
      </w:r>
      <w:r>
        <w:rPr>
          <w:spacing w:val="-84"/>
        </w:rPr>
        <w:t xml:space="preserve"> </w:t>
      </w:r>
      <w:r>
        <w:rPr>
          <w:rFonts w:ascii="Times New Roman" w:hAnsi="Times New Roman" w:eastAsia="Times New Roman"/>
        </w:rPr>
        <w:t xml:space="preserve">16 </w:t>
      </w:r>
      <w:r>
        <w:t>）</w:t>
      </w:r>
      <w:r>
        <w:rPr>
          <w:spacing w:val="17"/>
        </w:rPr>
        <w:t xml:space="preserve"> 《屠宰及肉类加工业污染防治可行技术指南 》</w:t>
      </w:r>
      <w:r>
        <w:t>（</w:t>
      </w:r>
      <w:r>
        <w:rPr>
          <w:spacing w:val="-84"/>
        </w:rPr>
        <w:t xml:space="preserve"> </w:t>
      </w:r>
      <w:r>
        <w:rPr>
          <w:rFonts w:ascii="Times New Roman" w:hAnsi="Times New Roman" w:eastAsia="Times New Roman"/>
        </w:rPr>
        <w:t xml:space="preserve">HJ 1285 </w:t>
      </w:r>
      <w:r>
        <w:t>—</w:t>
      </w:r>
    </w:p>
    <w:p w14:paraId="08572593">
      <w:pPr>
        <w:pStyle w:val="7"/>
        <w:spacing w:before="160"/>
        <w:ind w:left="280"/>
      </w:pPr>
      <w:r>
        <w:rPr>
          <w:rFonts w:ascii="Times New Roman" w:eastAsia="Times New Roman"/>
        </w:rPr>
        <w:t>2023</w:t>
      </w:r>
      <w:r>
        <w:t>）；</w:t>
      </w:r>
    </w:p>
    <w:p w14:paraId="4C97FA12">
      <w:pPr>
        <w:pStyle w:val="7"/>
        <w:spacing w:before="158"/>
        <w:ind w:left="760"/>
      </w:pPr>
      <w:r>
        <w:t>（</w:t>
      </w:r>
      <w:r>
        <w:rPr>
          <w:rFonts w:ascii="Times New Roman" w:eastAsia="Times New Roman"/>
        </w:rPr>
        <w:t>17</w:t>
      </w:r>
      <w:r>
        <w:t>）《屠宰与肉类加工废水治理工程技术规范》（</w:t>
      </w:r>
      <w:r>
        <w:rPr>
          <w:rFonts w:ascii="Times New Roman" w:eastAsia="Times New Roman"/>
        </w:rPr>
        <w:t>HJ 2004-2010</w:t>
      </w:r>
      <w:r>
        <w:t>）；</w:t>
      </w:r>
    </w:p>
    <w:p w14:paraId="5BAF0408">
      <w:pPr>
        <w:pStyle w:val="7"/>
        <w:spacing w:before="161" w:line="364" w:lineRule="auto"/>
        <w:ind w:left="280" w:right="341" w:firstLine="480"/>
      </w:pPr>
      <w:r>
        <w:t>（</w:t>
      </w:r>
      <w:r>
        <w:rPr>
          <w:spacing w:val="-96"/>
        </w:rPr>
        <w:t xml:space="preserve"> </w:t>
      </w:r>
      <w:r>
        <w:rPr>
          <w:rFonts w:ascii="Times New Roman" w:eastAsia="Times New Roman"/>
        </w:rPr>
        <w:t xml:space="preserve">18 </w:t>
      </w:r>
      <w:r>
        <w:t>）</w:t>
      </w:r>
      <w:r>
        <w:rPr>
          <w:spacing w:val="7"/>
        </w:rPr>
        <w:t xml:space="preserve"> 《病死及病害动物无害化处理技术规范》</w:t>
      </w:r>
      <w:r>
        <w:t>（</w:t>
      </w:r>
      <w:r>
        <w:rPr>
          <w:spacing w:val="-3"/>
        </w:rPr>
        <w:t xml:space="preserve"> 农医发〔</w:t>
      </w:r>
      <w:r>
        <w:rPr>
          <w:rFonts w:ascii="Times New Roman" w:eastAsia="Times New Roman"/>
        </w:rPr>
        <w:t xml:space="preserve">2017 </w:t>
      </w:r>
      <w:r>
        <w:rPr>
          <w:spacing w:val="20"/>
        </w:rPr>
        <w:t>〕</w:t>
      </w:r>
      <w:r>
        <w:rPr>
          <w:rFonts w:ascii="Times New Roman" w:eastAsia="Times New Roman"/>
        </w:rPr>
        <w:t xml:space="preserve">25 </w:t>
      </w:r>
      <w:r>
        <w:t>号）；</w:t>
      </w:r>
    </w:p>
    <w:p w14:paraId="7CC7A1B0">
      <w:pPr>
        <w:spacing w:after="0" w:line="364" w:lineRule="auto"/>
        <w:sectPr>
          <w:pgSz w:w="11910" w:h="16840"/>
          <w:pgMar w:top="1360" w:right="1460" w:bottom="1400" w:left="1520" w:header="878" w:footer="1204" w:gutter="0"/>
          <w:cols w:space="720" w:num="1"/>
        </w:sectPr>
      </w:pPr>
    </w:p>
    <w:p w14:paraId="71B3760E">
      <w:pPr>
        <w:pStyle w:val="7"/>
        <w:spacing w:before="68" w:line="364" w:lineRule="auto"/>
        <w:ind w:left="280" w:right="337" w:firstLine="480"/>
      </w:pPr>
      <w:r>
        <w:t>（</w:t>
      </w:r>
      <w:r>
        <w:rPr>
          <w:rFonts w:ascii="Times New Roman" w:eastAsia="Times New Roman"/>
        </w:rPr>
        <w:t>19</w:t>
      </w:r>
      <w:r>
        <w:t>）《经济、技术政策生态环境影响分析技术指南（试行）》（环办环评函〔</w:t>
      </w:r>
      <w:r>
        <w:rPr>
          <w:rFonts w:ascii="Times New Roman" w:eastAsia="Times New Roman"/>
        </w:rPr>
        <w:t>2020</w:t>
      </w:r>
      <w:r>
        <w:t>〕</w:t>
      </w:r>
      <w:r>
        <w:rPr>
          <w:rFonts w:ascii="Times New Roman" w:eastAsia="Times New Roman"/>
        </w:rPr>
        <w:t xml:space="preserve">590 </w:t>
      </w:r>
      <w:r>
        <w:t>号）。</w:t>
      </w:r>
    </w:p>
    <w:p w14:paraId="6D0B7968">
      <w:pPr>
        <w:pStyle w:val="6"/>
        <w:numPr>
          <w:ilvl w:val="2"/>
          <w:numId w:val="10"/>
        </w:numPr>
        <w:tabs>
          <w:tab w:val="left" w:pos="811"/>
        </w:tabs>
        <w:spacing w:before="0" w:after="0" w:line="306" w:lineRule="exact"/>
        <w:ind w:left="810" w:right="0" w:hanging="530"/>
        <w:jc w:val="left"/>
      </w:pPr>
      <w:bookmarkStart w:id="44" w:name="2.1.4相关规划及其他相关技术文件"/>
      <w:bookmarkEnd w:id="44"/>
      <w:bookmarkStart w:id="45" w:name="2.1.4相关规划及其他相关技术文件"/>
      <w:bookmarkEnd w:id="45"/>
      <w:r>
        <w:t>相关规划及其他相关技术文件</w:t>
      </w:r>
    </w:p>
    <w:p w14:paraId="76EC1609">
      <w:pPr>
        <w:pStyle w:val="7"/>
        <w:spacing w:before="160"/>
        <w:ind w:left="760"/>
      </w:pPr>
      <w:r>
        <w:t>（</w:t>
      </w:r>
      <w:r>
        <w:rPr>
          <w:rFonts w:ascii="Times New Roman" w:eastAsia="Times New Roman"/>
        </w:rPr>
        <w:t>1</w:t>
      </w:r>
      <w:r>
        <w:t>）环评委托函资料清单；</w:t>
      </w:r>
    </w:p>
    <w:p w14:paraId="6BEA07E5">
      <w:pPr>
        <w:pStyle w:val="7"/>
        <w:spacing w:before="158" w:line="364" w:lineRule="auto"/>
        <w:ind w:left="280" w:right="337" w:firstLine="480"/>
      </w:pPr>
      <w:r>
        <w:t>（</w:t>
      </w:r>
      <w:r>
        <w:rPr>
          <w:rFonts w:ascii="Times New Roman" w:eastAsia="Times New Roman"/>
        </w:rPr>
        <w:t>2</w:t>
      </w:r>
      <w:r>
        <w:t>）岳阳县畜禽屠宰场及冷链物流建设项目可行性研究报告（湖南智海产业顾问有限公司，</w:t>
      </w:r>
      <w:r>
        <w:rPr>
          <w:rFonts w:ascii="Times New Roman" w:eastAsia="Times New Roman"/>
        </w:rPr>
        <w:t xml:space="preserve">2023 </w:t>
      </w:r>
      <w:r>
        <w:t xml:space="preserve">年 </w:t>
      </w:r>
      <w:r>
        <w:rPr>
          <w:rFonts w:ascii="Times New Roman" w:eastAsia="Times New Roman"/>
        </w:rPr>
        <w:t xml:space="preserve">9 </w:t>
      </w:r>
      <w:r>
        <w:t>月）及其批复；</w:t>
      </w:r>
    </w:p>
    <w:p w14:paraId="5FCD86E8">
      <w:pPr>
        <w:pStyle w:val="7"/>
        <w:spacing w:line="364" w:lineRule="auto"/>
        <w:ind w:left="280" w:right="337" w:firstLine="480"/>
      </w:pPr>
      <w:r>
        <w:t>（</w:t>
      </w:r>
      <w:r>
        <w:rPr>
          <w:rFonts w:ascii="Times New Roman" w:eastAsia="Times New Roman"/>
        </w:rPr>
        <w:t>3</w:t>
      </w:r>
      <w:r>
        <w:t>）岳阳县污水处理厂提标改造及扩建工程环境影响报告表（广西新北环环保科技有限公司，</w:t>
      </w:r>
      <w:r>
        <w:rPr>
          <w:rFonts w:ascii="Times New Roman" w:eastAsia="Times New Roman"/>
        </w:rPr>
        <w:t xml:space="preserve">2020 </w:t>
      </w:r>
      <w:r>
        <w:t>年）及其批复；</w:t>
      </w:r>
    </w:p>
    <w:p w14:paraId="19FDCC0B">
      <w:pPr>
        <w:pStyle w:val="7"/>
        <w:spacing w:before="1"/>
        <w:ind w:left="760"/>
        <w:rPr>
          <w:rFonts w:ascii="Times New Roman" w:eastAsia="Times New Roman"/>
        </w:rPr>
      </w:pPr>
      <w:r>
        <w:t>（</w:t>
      </w:r>
      <w:r>
        <w:rPr>
          <w:rFonts w:ascii="Times New Roman" w:eastAsia="Times New Roman"/>
        </w:rPr>
        <w:t>4</w:t>
      </w:r>
      <w:r>
        <w:t>）岳阳县污水处理厂提标改造及扩建工程竣工验收备案表（</w:t>
      </w:r>
      <w:r>
        <w:rPr>
          <w:rFonts w:ascii="Times New Roman" w:eastAsia="Times New Roman"/>
        </w:rPr>
        <w:t xml:space="preserve">2021 </w:t>
      </w:r>
      <w:r>
        <w:t xml:space="preserve">年 </w:t>
      </w:r>
      <w:r>
        <w:rPr>
          <w:rFonts w:ascii="Times New Roman" w:eastAsia="Times New Roman"/>
        </w:rPr>
        <w:t>2</w:t>
      </w:r>
    </w:p>
    <w:p w14:paraId="0C4793D6">
      <w:pPr>
        <w:pStyle w:val="7"/>
        <w:spacing w:before="158"/>
        <w:ind w:left="280"/>
      </w:pPr>
      <w:r>
        <w:t xml:space="preserve">月 </w:t>
      </w:r>
      <w:r>
        <w:rPr>
          <w:rFonts w:ascii="Times New Roman" w:eastAsia="Times New Roman"/>
        </w:rPr>
        <w:t xml:space="preserve">2 </w:t>
      </w:r>
      <w:r>
        <w:t>日）；</w:t>
      </w:r>
    </w:p>
    <w:p w14:paraId="2E7E0347">
      <w:pPr>
        <w:pStyle w:val="7"/>
        <w:spacing w:before="158" w:line="364" w:lineRule="auto"/>
        <w:ind w:left="280" w:right="340" w:firstLine="480"/>
      </w:pPr>
      <w:r>
        <w:t>（</w:t>
      </w:r>
      <w:r>
        <w:rPr>
          <w:rFonts w:ascii="Times New Roman" w:eastAsia="Times New Roman"/>
        </w:rPr>
        <w:t>5</w:t>
      </w:r>
      <w:r>
        <w:t>）岳阳县病死畜禽无害化处理厂建设项目环境影响报告书（安徽省四维环境工程有限公司，</w:t>
      </w:r>
      <w:r>
        <w:rPr>
          <w:rFonts w:ascii="Times New Roman" w:eastAsia="Times New Roman"/>
        </w:rPr>
        <w:t xml:space="preserve">2015 </w:t>
      </w:r>
      <w:r>
        <w:t xml:space="preserve">年 </w:t>
      </w:r>
      <w:r>
        <w:rPr>
          <w:rFonts w:ascii="Times New Roman" w:eastAsia="Times New Roman"/>
        </w:rPr>
        <w:t xml:space="preserve">12 </w:t>
      </w:r>
      <w:r>
        <w:t>月）</w:t>
      </w:r>
    </w:p>
    <w:p w14:paraId="2214ED6C">
      <w:pPr>
        <w:pStyle w:val="7"/>
        <w:spacing w:before="1" w:line="362" w:lineRule="auto"/>
        <w:ind w:left="280" w:right="337" w:firstLine="480"/>
      </w:pPr>
      <w:r>
        <w:t>（</w:t>
      </w:r>
      <w:r>
        <w:rPr>
          <w:rFonts w:ascii="Times New Roman" w:eastAsia="Times New Roman"/>
        </w:rPr>
        <w:t>6</w:t>
      </w:r>
      <w:r>
        <w:t>）岳阳县畜禽屠宰场及冷链物流建设项目设计文件（岳阳县建设规划勘测设计院有限公司，</w:t>
      </w:r>
      <w:r>
        <w:rPr>
          <w:rFonts w:ascii="Times New Roman" w:eastAsia="Times New Roman"/>
        </w:rPr>
        <w:t xml:space="preserve">2024 </w:t>
      </w:r>
      <w:r>
        <w:t xml:space="preserve">年 </w:t>
      </w:r>
      <w:r>
        <w:rPr>
          <w:rFonts w:ascii="Times New Roman" w:eastAsia="Times New Roman"/>
        </w:rPr>
        <w:t xml:space="preserve">6 </w:t>
      </w:r>
      <w:r>
        <w:t>月）</w:t>
      </w:r>
    </w:p>
    <w:p w14:paraId="3471A6D4">
      <w:pPr>
        <w:pStyle w:val="7"/>
        <w:spacing w:before="5" w:line="362" w:lineRule="auto"/>
        <w:ind w:left="280" w:right="340" w:firstLine="480"/>
      </w:pPr>
      <w:r>
        <w:t>（</w:t>
      </w:r>
      <w:r>
        <w:rPr>
          <w:rFonts w:ascii="Times New Roman" w:eastAsia="Times New Roman"/>
        </w:rPr>
        <w:t>7</w:t>
      </w:r>
      <w:r>
        <w:t>）岳阳县惠农屠宰场废水及废气工艺说明（常德市纯源环保科技有限公司，</w:t>
      </w:r>
      <w:r>
        <w:rPr>
          <w:rFonts w:ascii="Times New Roman" w:eastAsia="Times New Roman"/>
        </w:rPr>
        <w:t xml:space="preserve">2024 </w:t>
      </w:r>
      <w:r>
        <w:t xml:space="preserve">年 </w:t>
      </w:r>
      <w:r>
        <w:rPr>
          <w:rFonts w:ascii="Times New Roman" w:eastAsia="Times New Roman"/>
        </w:rPr>
        <w:t xml:space="preserve">5 </w:t>
      </w:r>
      <w:r>
        <w:t>月）</w:t>
      </w:r>
    </w:p>
    <w:p w14:paraId="0103E342">
      <w:pPr>
        <w:pStyle w:val="7"/>
        <w:spacing w:before="5" w:line="362" w:lineRule="auto"/>
        <w:ind w:left="280" w:right="340" w:firstLine="480"/>
      </w:pPr>
      <w:r>
        <w:t>（</w:t>
      </w:r>
      <w:r>
        <w:rPr>
          <w:rFonts w:ascii="Times New Roman" w:eastAsia="Times New Roman"/>
        </w:rPr>
        <w:t>8</w:t>
      </w:r>
      <w:r>
        <w:t>）岳阳县畜禽屠宰场及冷链物流建设项目检测报告（湖南明启环保工程股份有限公司，</w:t>
      </w:r>
      <w:r>
        <w:rPr>
          <w:rFonts w:ascii="Times New Roman" w:eastAsia="Times New Roman"/>
        </w:rPr>
        <w:t xml:space="preserve">2024 </w:t>
      </w:r>
      <w:r>
        <w:t xml:space="preserve">年 </w:t>
      </w:r>
      <w:r>
        <w:rPr>
          <w:rFonts w:ascii="Times New Roman" w:eastAsia="Times New Roman"/>
        </w:rPr>
        <w:t xml:space="preserve">1 </w:t>
      </w:r>
      <w:r>
        <w:t xml:space="preserve">月 </w:t>
      </w:r>
      <w:r>
        <w:rPr>
          <w:rFonts w:ascii="Times New Roman" w:eastAsia="Times New Roman"/>
        </w:rPr>
        <w:t xml:space="preserve">10 </w:t>
      </w:r>
      <w:r>
        <w:t>日）；</w:t>
      </w:r>
    </w:p>
    <w:p w14:paraId="31145F30">
      <w:pPr>
        <w:pStyle w:val="7"/>
        <w:spacing w:before="5"/>
        <w:ind w:left="760"/>
      </w:pPr>
      <w:r>
        <w:t>（</w:t>
      </w:r>
      <w:r>
        <w:rPr>
          <w:rFonts w:ascii="Times New Roman" w:eastAsia="Times New Roman"/>
        </w:rPr>
        <w:t>9</w:t>
      </w:r>
      <w:r>
        <w:t>）岳阳县惠康农业有限公司提供的其它相关资料。</w:t>
      </w:r>
    </w:p>
    <w:p w14:paraId="2D285902">
      <w:pPr>
        <w:pStyle w:val="3"/>
        <w:numPr>
          <w:ilvl w:val="1"/>
          <w:numId w:val="11"/>
        </w:numPr>
        <w:tabs>
          <w:tab w:val="left" w:pos="688"/>
        </w:tabs>
        <w:spacing w:before="159" w:after="0" w:line="240" w:lineRule="auto"/>
        <w:ind w:left="688" w:right="0" w:hanging="408"/>
        <w:jc w:val="left"/>
      </w:pPr>
      <w:bookmarkStart w:id="46" w:name="_bookmark8"/>
      <w:bookmarkEnd w:id="46"/>
      <w:bookmarkStart w:id="47" w:name="2.2评价目的与评价原则"/>
      <w:bookmarkEnd w:id="47"/>
      <w:bookmarkStart w:id="48" w:name="_bookmark8"/>
      <w:bookmarkEnd w:id="48"/>
      <w:r>
        <w:t>评价目的与评价原则</w:t>
      </w:r>
    </w:p>
    <w:p w14:paraId="1BCB3B6E">
      <w:pPr>
        <w:pStyle w:val="6"/>
        <w:numPr>
          <w:ilvl w:val="2"/>
          <w:numId w:val="11"/>
        </w:numPr>
        <w:tabs>
          <w:tab w:val="left" w:pos="811"/>
        </w:tabs>
        <w:spacing w:before="185" w:after="0" w:line="240" w:lineRule="auto"/>
        <w:ind w:left="810" w:right="0" w:hanging="530"/>
        <w:jc w:val="left"/>
      </w:pPr>
      <w:bookmarkStart w:id="49" w:name="2.2.1评价目的"/>
      <w:bookmarkEnd w:id="49"/>
      <w:bookmarkStart w:id="50" w:name="2.2.1评价目的"/>
      <w:bookmarkEnd w:id="50"/>
      <w:r>
        <w:t>评价目的</w:t>
      </w:r>
    </w:p>
    <w:p w14:paraId="4364101E">
      <w:pPr>
        <w:pStyle w:val="7"/>
        <w:spacing w:before="160" w:line="362" w:lineRule="auto"/>
        <w:ind w:left="280" w:right="340" w:firstLine="480"/>
      </w:pPr>
      <w:r>
        <w:t>（</w:t>
      </w:r>
      <w:r>
        <w:rPr>
          <w:rFonts w:ascii="Times New Roman" w:eastAsia="Times New Roman"/>
        </w:rPr>
        <w:t>1</w:t>
      </w:r>
      <w:r>
        <w:t>）通过现场调查、工程及污染分析，核定主要污染源及污染物排放情况；</w:t>
      </w:r>
    </w:p>
    <w:p w14:paraId="1F0CACDA">
      <w:pPr>
        <w:pStyle w:val="7"/>
        <w:spacing w:before="5" w:line="362" w:lineRule="auto"/>
        <w:ind w:left="280" w:right="337" w:firstLine="480"/>
      </w:pPr>
      <w:r>
        <w:t>（</w:t>
      </w:r>
      <w:r>
        <w:rPr>
          <w:rFonts w:ascii="Times New Roman" w:eastAsia="Times New Roman"/>
        </w:rPr>
        <w:t>2</w:t>
      </w:r>
      <w:r>
        <w:t>）开展评价区域自然环境和环境质量现状调查，确定工程实施影响的要素和主要环境保护目标；</w:t>
      </w:r>
    </w:p>
    <w:p w14:paraId="418BE772">
      <w:pPr>
        <w:pStyle w:val="7"/>
        <w:spacing w:before="5"/>
        <w:ind w:left="760"/>
      </w:pPr>
      <w:r>
        <w:t>（</w:t>
      </w:r>
      <w:r>
        <w:rPr>
          <w:rFonts w:ascii="Times New Roman" w:eastAsia="Times New Roman"/>
        </w:rPr>
        <w:t>3</w:t>
      </w:r>
      <w:r>
        <w:t>）对项目建设造成的环境影响进行预测和评价，确定影响范围和程度；</w:t>
      </w:r>
    </w:p>
    <w:p w14:paraId="1086AFEB">
      <w:pPr>
        <w:pStyle w:val="7"/>
        <w:spacing w:before="158" w:line="364" w:lineRule="auto"/>
        <w:ind w:left="280" w:right="337" w:firstLine="480"/>
      </w:pPr>
      <w:r>
        <w:t>（</w:t>
      </w:r>
      <w:r>
        <w:rPr>
          <w:rFonts w:ascii="Times New Roman" w:eastAsia="Times New Roman"/>
        </w:rPr>
        <w:t>4</w:t>
      </w:r>
      <w:r>
        <w:t>）分析污染防治措施的技术经济可行性及污染物达标排放的可靠性，若所提措施不能满足环保要求，提出切实可行的改进完善建议；</w:t>
      </w:r>
    </w:p>
    <w:p w14:paraId="56BF1AF8">
      <w:pPr>
        <w:pStyle w:val="7"/>
        <w:spacing w:before="2"/>
        <w:ind w:left="760"/>
      </w:pPr>
      <w:r>
        <w:t>（</w:t>
      </w:r>
      <w:r>
        <w:rPr>
          <w:rFonts w:ascii="Times New Roman" w:eastAsia="Times New Roman"/>
        </w:rPr>
        <w:t>5</w:t>
      </w:r>
      <w:r>
        <w:t>）从环境风险角度对项目风险源进行排查，提出可行有效的防范措施；</w:t>
      </w:r>
    </w:p>
    <w:p w14:paraId="0A8A9E2D">
      <w:pPr>
        <w:pStyle w:val="7"/>
        <w:spacing w:before="158"/>
        <w:ind w:left="760"/>
      </w:pPr>
      <w:r>
        <w:t>（</w:t>
      </w:r>
      <w:r>
        <w:rPr>
          <w:rFonts w:ascii="Times New Roman" w:eastAsia="Times New Roman"/>
        </w:rPr>
        <w:t>6</w:t>
      </w:r>
      <w:r>
        <w:t>）从环境保护角度，综合论证项目选址的合理性和项目建设的可行性。</w:t>
      </w:r>
    </w:p>
    <w:p w14:paraId="4D7D248F">
      <w:pPr>
        <w:spacing w:after="0"/>
        <w:sectPr>
          <w:pgSz w:w="11910" w:h="16840"/>
          <w:pgMar w:top="1360" w:right="1460" w:bottom="1400" w:left="1520" w:header="878" w:footer="1204" w:gutter="0"/>
          <w:cols w:space="720" w:num="1"/>
        </w:sectPr>
      </w:pPr>
    </w:p>
    <w:p w14:paraId="1B4B22C2">
      <w:pPr>
        <w:pStyle w:val="6"/>
        <w:numPr>
          <w:ilvl w:val="2"/>
          <w:numId w:val="11"/>
        </w:numPr>
        <w:tabs>
          <w:tab w:val="left" w:pos="811"/>
        </w:tabs>
        <w:spacing w:before="68" w:after="0" w:line="240" w:lineRule="auto"/>
        <w:ind w:left="810" w:right="0" w:hanging="530"/>
        <w:jc w:val="left"/>
      </w:pPr>
      <w:bookmarkStart w:id="51" w:name="2.2.2评价原则"/>
      <w:bookmarkEnd w:id="51"/>
      <w:bookmarkStart w:id="52" w:name="2.2.2评价原则"/>
      <w:bookmarkEnd w:id="52"/>
      <w:r>
        <w:t>评价原则</w:t>
      </w:r>
    </w:p>
    <w:p w14:paraId="0F8B97FD">
      <w:pPr>
        <w:pStyle w:val="7"/>
        <w:spacing w:before="160" w:line="362" w:lineRule="auto"/>
        <w:ind w:left="280" w:right="337" w:firstLine="480"/>
        <w:jc w:val="both"/>
      </w:pPr>
      <w:r>
        <w:t>根据建设项目特征和所在区域的环境敏感程度，为突出环境影响评价的源头预防作用，坚持保护和改善环境质量，本次评价工作应体现以下原则：</w:t>
      </w:r>
    </w:p>
    <w:p w14:paraId="7FC967F9">
      <w:pPr>
        <w:pStyle w:val="7"/>
        <w:spacing w:before="5"/>
        <w:ind w:left="760"/>
      </w:pPr>
      <w:r>
        <w:t>（</w:t>
      </w:r>
      <w:r>
        <w:rPr>
          <w:rFonts w:ascii="Times New Roman" w:eastAsia="Times New Roman"/>
        </w:rPr>
        <w:t>1</w:t>
      </w:r>
      <w:r>
        <w:t>）依法评价</w:t>
      </w:r>
    </w:p>
    <w:p w14:paraId="1B4AD32A">
      <w:pPr>
        <w:pStyle w:val="7"/>
        <w:spacing w:before="158" w:line="364" w:lineRule="auto"/>
        <w:ind w:left="280" w:right="337" w:firstLine="480"/>
        <w:jc w:val="both"/>
      </w:pPr>
      <w:r>
        <w:t>项目建设应符合国家环境保护法律法规、标准、政策和规划等，优化项目建设，服务环境管理；</w:t>
      </w:r>
    </w:p>
    <w:p w14:paraId="6A40DD06">
      <w:pPr>
        <w:pStyle w:val="7"/>
        <w:spacing w:line="306" w:lineRule="exact"/>
        <w:ind w:left="760"/>
      </w:pPr>
      <w:r>
        <w:t>（</w:t>
      </w:r>
      <w:r>
        <w:rPr>
          <w:rFonts w:ascii="Times New Roman" w:eastAsia="Times New Roman"/>
        </w:rPr>
        <w:t>2</w:t>
      </w:r>
      <w:r>
        <w:t>）科学评价</w:t>
      </w:r>
    </w:p>
    <w:p w14:paraId="1C47BA8B">
      <w:pPr>
        <w:pStyle w:val="7"/>
        <w:spacing w:before="161" w:line="364" w:lineRule="auto"/>
        <w:ind w:left="280" w:right="337" w:firstLine="480"/>
        <w:jc w:val="both"/>
      </w:pPr>
      <w:r>
        <w:t>项目的环评方法应科学规范，建设项目对环境质量的影响应进行科学的分析；提出针对性强、可操作性行强的污染物防治措施，最大限度削减项目的污染物排放量。</w:t>
      </w:r>
    </w:p>
    <w:p w14:paraId="0521707F">
      <w:pPr>
        <w:pStyle w:val="7"/>
        <w:spacing w:line="304" w:lineRule="exact"/>
        <w:ind w:left="760"/>
      </w:pPr>
      <w:r>
        <w:t>（</w:t>
      </w:r>
      <w:r>
        <w:rPr>
          <w:rFonts w:ascii="Times New Roman" w:eastAsia="Times New Roman"/>
        </w:rPr>
        <w:t>3</w:t>
      </w:r>
      <w:r>
        <w:t>）突出重点</w:t>
      </w:r>
    </w:p>
    <w:p w14:paraId="0F258981">
      <w:pPr>
        <w:pStyle w:val="7"/>
        <w:spacing w:before="160" w:line="364" w:lineRule="auto"/>
        <w:ind w:left="280" w:right="337" w:firstLine="480"/>
        <w:jc w:val="both"/>
      </w:pPr>
      <w:r>
        <w:t>根据建设项目的工程内容及其特点，明确与环境要素间的作用效应关系， 根据规划环境影响评价结论和审查意见，充分利用符合时效的数据资料及成果，对建设项目主要环境影响予以重点分析和评价。</w:t>
      </w:r>
    </w:p>
    <w:p w14:paraId="2DB3BA3E">
      <w:pPr>
        <w:pStyle w:val="3"/>
        <w:numPr>
          <w:ilvl w:val="1"/>
          <w:numId w:val="11"/>
        </w:numPr>
        <w:tabs>
          <w:tab w:val="left" w:pos="688"/>
        </w:tabs>
        <w:spacing w:before="1" w:after="0" w:line="240" w:lineRule="auto"/>
        <w:ind w:left="688" w:right="0" w:hanging="408"/>
        <w:jc w:val="left"/>
      </w:pPr>
      <w:bookmarkStart w:id="53" w:name="2.3评价重点与评价因子"/>
      <w:bookmarkEnd w:id="53"/>
      <w:bookmarkStart w:id="54" w:name="_bookmark9"/>
      <w:bookmarkEnd w:id="54"/>
      <w:bookmarkStart w:id="55" w:name="_bookmark9"/>
      <w:bookmarkEnd w:id="55"/>
      <w:r>
        <w:t>评价重点与评价因子</w:t>
      </w:r>
    </w:p>
    <w:p w14:paraId="3ED8860D">
      <w:pPr>
        <w:pStyle w:val="6"/>
        <w:numPr>
          <w:ilvl w:val="2"/>
          <w:numId w:val="11"/>
        </w:numPr>
        <w:tabs>
          <w:tab w:val="left" w:pos="811"/>
        </w:tabs>
        <w:spacing w:before="182" w:after="0" w:line="240" w:lineRule="auto"/>
        <w:ind w:left="810" w:right="0" w:hanging="530"/>
        <w:jc w:val="left"/>
      </w:pPr>
      <w:bookmarkStart w:id="56" w:name="2.3.1评价重点"/>
      <w:bookmarkEnd w:id="56"/>
      <w:bookmarkStart w:id="57" w:name="2.3.1评价重点"/>
      <w:bookmarkEnd w:id="57"/>
      <w:r>
        <w:t>评价重点</w:t>
      </w:r>
    </w:p>
    <w:p w14:paraId="60B6C0CA">
      <w:pPr>
        <w:pStyle w:val="7"/>
        <w:spacing w:before="161"/>
        <w:ind w:left="760"/>
      </w:pPr>
      <w:r>
        <w:t>根据项目特点及区域环境状况，确定本次评价工作重点为：</w:t>
      </w:r>
    </w:p>
    <w:p w14:paraId="4083AEB5">
      <w:pPr>
        <w:pStyle w:val="7"/>
        <w:spacing w:before="160"/>
        <w:ind w:left="760"/>
      </w:pPr>
      <w:r>
        <w:t>（</w:t>
      </w:r>
      <w:r>
        <w:rPr>
          <w:rFonts w:ascii="Times New Roman" w:eastAsia="Times New Roman"/>
        </w:rPr>
        <w:t>1</w:t>
      </w:r>
      <w:r>
        <w:t>）工程分析；</w:t>
      </w:r>
    </w:p>
    <w:p w14:paraId="7A9E8730">
      <w:pPr>
        <w:pStyle w:val="7"/>
        <w:spacing w:before="159"/>
        <w:ind w:left="760"/>
      </w:pPr>
      <w:r>
        <w:t>（</w:t>
      </w:r>
      <w:r>
        <w:rPr>
          <w:rFonts w:ascii="Times New Roman" w:eastAsia="Times New Roman"/>
        </w:rPr>
        <w:t>2</w:t>
      </w:r>
      <w:r>
        <w:t>）环境影响预测与评价；</w:t>
      </w:r>
    </w:p>
    <w:p w14:paraId="0A1910AE">
      <w:pPr>
        <w:pStyle w:val="7"/>
        <w:spacing w:before="160"/>
        <w:ind w:left="760"/>
      </w:pPr>
      <w:r>
        <w:t>（</w:t>
      </w:r>
      <w:r>
        <w:rPr>
          <w:rFonts w:ascii="Times New Roman" w:eastAsia="Times New Roman"/>
        </w:rPr>
        <w:t>3</w:t>
      </w:r>
      <w:r>
        <w:t>）污染防治对策与措施；</w:t>
      </w:r>
    </w:p>
    <w:p w14:paraId="186137BB">
      <w:pPr>
        <w:pStyle w:val="7"/>
        <w:spacing w:before="158"/>
        <w:ind w:left="760"/>
      </w:pPr>
      <w:r>
        <w:t>（</w:t>
      </w:r>
      <w:r>
        <w:rPr>
          <w:rFonts w:ascii="Times New Roman" w:eastAsia="Times New Roman"/>
        </w:rPr>
        <w:t>4</w:t>
      </w:r>
      <w:r>
        <w:t>）项目建设环境合理性分析。</w:t>
      </w:r>
    </w:p>
    <w:p w14:paraId="0983BD98">
      <w:pPr>
        <w:pStyle w:val="7"/>
        <w:spacing w:before="161" w:line="364" w:lineRule="auto"/>
        <w:ind w:left="280" w:right="337" w:firstLine="480"/>
        <w:jc w:val="both"/>
      </w:pPr>
      <w:r>
        <w:t>其中，环境影响预测与评价的重点为：施工期为厂址地面平整、厂内土建施工对周边环境空气及声环境的影响；运营期水环境影响评价和空气环境影响评价为本次评价的重点，声环境影响和固体废弃物环境影响评价次之。</w:t>
      </w:r>
    </w:p>
    <w:p w14:paraId="225F4CF4">
      <w:pPr>
        <w:pStyle w:val="6"/>
        <w:numPr>
          <w:ilvl w:val="2"/>
          <w:numId w:val="11"/>
        </w:numPr>
        <w:tabs>
          <w:tab w:val="left" w:pos="811"/>
        </w:tabs>
        <w:spacing w:before="0" w:after="0" w:line="305" w:lineRule="exact"/>
        <w:ind w:left="810" w:right="0" w:hanging="530"/>
        <w:jc w:val="left"/>
      </w:pPr>
      <w:bookmarkStart w:id="58" w:name="2.3.2环境影响识别"/>
      <w:bookmarkEnd w:id="58"/>
      <w:bookmarkStart w:id="59" w:name="2.3.2环境影响识别"/>
      <w:bookmarkEnd w:id="59"/>
      <w:r>
        <w:t>环境影响识别</w:t>
      </w:r>
    </w:p>
    <w:p w14:paraId="71F4DB61">
      <w:pPr>
        <w:pStyle w:val="7"/>
        <w:spacing w:before="160" w:line="364" w:lineRule="auto"/>
        <w:ind w:left="280" w:right="337" w:firstLine="480"/>
        <w:jc w:val="both"/>
      </w:pPr>
      <w:r>
        <w:t xml:space="preserve">综合考虑建设项目不同阶段的主要污染物特征、环境影响性质、环境影响类型及程度，定性分析建设项目对经济、环境各要素可能产生的影响，结合项目行业产排污情况，通过源强核算及配套环保设施，本项目的环境影响因素与影响程度识别情况见表 </w:t>
      </w:r>
      <w:r>
        <w:rPr>
          <w:rFonts w:ascii="Times New Roman" w:eastAsia="Times New Roman"/>
        </w:rPr>
        <w:t>2.3- 1</w:t>
      </w:r>
      <w:r>
        <w:t>。</w:t>
      </w:r>
    </w:p>
    <w:p w14:paraId="75571D1F">
      <w:pPr>
        <w:spacing w:before="0" w:line="265" w:lineRule="exact"/>
        <w:ind w:left="2932" w:right="0" w:firstLine="0"/>
        <w:jc w:val="left"/>
        <w:rPr>
          <w:b/>
          <w:sz w:val="21"/>
        </w:rPr>
      </w:pPr>
      <w:r>
        <w:rPr>
          <w:b/>
          <w:sz w:val="21"/>
        </w:rPr>
        <w:t xml:space="preserve">表 </w:t>
      </w:r>
      <w:r>
        <w:rPr>
          <w:rFonts w:ascii="Times New Roman" w:eastAsia="Times New Roman"/>
          <w:b/>
          <w:sz w:val="21"/>
        </w:rPr>
        <w:t xml:space="preserve">2.3- 1 </w:t>
      </w:r>
      <w:r>
        <w:rPr>
          <w:b/>
          <w:sz w:val="21"/>
        </w:rPr>
        <w:t>项目主要污染源及污染因子</w:t>
      </w:r>
    </w:p>
    <w:p w14:paraId="552407A4">
      <w:pPr>
        <w:spacing w:after="0" w:line="265" w:lineRule="exact"/>
        <w:jc w:val="left"/>
        <w:rPr>
          <w:sz w:val="21"/>
        </w:rPr>
        <w:sectPr>
          <w:pgSz w:w="11910" w:h="16840"/>
          <w:pgMar w:top="1360" w:right="1460" w:bottom="1400" w:left="1520" w:header="878" w:footer="1204" w:gutter="0"/>
          <w:cols w:space="720" w:num="1"/>
        </w:sectPr>
      </w:pPr>
    </w:p>
    <w:p w14:paraId="2F8C802F">
      <w:pPr>
        <w:pStyle w:val="7"/>
        <w:spacing w:before="3"/>
        <w:rPr>
          <w:b/>
          <w:sz w:val="5"/>
        </w:rPr>
      </w:pPr>
    </w:p>
    <w:tbl>
      <w:tblPr>
        <w:tblStyle w:val="10"/>
        <w:tblW w:w="0" w:type="auto"/>
        <w:tblInd w:w="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507"/>
        <w:gridCol w:w="2477"/>
        <w:gridCol w:w="2579"/>
        <w:gridCol w:w="1081"/>
        <w:gridCol w:w="653"/>
        <w:gridCol w:w="653"/>
      </w:tblGrid>
      <w:tr w14:paraId="7C4B1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78" w:type="dxa"/>
          </w:tcPr>
          <w:p w14:paraId="155F222A">
            <w:pPr>
              <w:pStyle w:val="14"/>
              <w:spacing w:before="21" w:line="242" w:lineRule="auto"/>
              <w:ind w:left="177" w:right="179"/>
              <w:rPr>
                <w:b/>
                <w:sz w:val="21"/>
              </w:rPr>
            </w:pPr>
            <w:r>
              <w:rPr>
                <w:b/>
                <w:sz w:val="21"/>
              </w:rPr>
              <w:t>阶段</w:t>
            </w:r>
          </w:p>
        </w:tc>
        <w:tc>
          <w:tcPr>
            <w:tcW w:w="507" w:type="dxa"/>
          </w:tcPr>
          <w:p w14:paraId="421DC770">
            <w:pPr>
              <w:pStyle w:val="14"/>
              <w:spacing w:before="21" w:line="242" w:lineRule="auto"/>
              <w:ind w:left="144" w:right="141"/>
              <w:rPr>
                <w:b/>
                <w:sz w:val="21"/>
              </w:rPr>
            </w:pPr>
            <w:r>
              <w:rPr>
                <w:b/>
                <w:sz w:val="21"/>
              </w:rPr>
              <w:t>类别</w:t>
            </w:r>
          </w:p>
        </w:tc>
        <w:tc>
          <w:tcPr>
            <w:tcW w:w="2477" w:type="dxa"/>
          </w:tcPr>
          <w:p w14:paraId="55A9078A">
            <w:pPr>
              <w:pStyle w:val="14"/>
              <w:spacing w:before="155"/>
              <w:ind w:left="182" w:right="183"/>
              <w:jc w:val="center"/>
              <w:rPr>
                <w:b/>
                <w:sz w:val="21"/>
              </w:rPr>
            </w:pPr>
            <w:r>
              <w:rPr>
                <w:b/>
                <w:sz w:val="21"/>
              </w:rPr>
              <w:t>污染源</w:t>
            </w:r>
          </w:p>
        </w:tc>
        <w:tc>
          <w:tcPr>
            <w:tcW w:w="2579" w:type="dxa"/>
          </w:tcPr>
          <w:p w14:paraId="2B76C842">
            <w:pPr>
              <w:pStyle w:val="14"/>
              <w:spacing w:before="155"/>
              <w:ind w:left="109" w:right="109"/>
              <w:jc w:val="center"/>
              <w:rPr>
                <w:b/>
                <w:sz w:val="21"/>
              </w:rPr>
            </w:pPr>
            <w:r>
              <w:rPr>
                <w:b/>
                <w:sz w:val="21"/>
              </w:rPr>
              <w:t>主要污染物组成</w:t>
            </w:r>
          </w:p>
        </w:tc>
        <w:tc>
          <w:tcPr>
            <w:tcW w:w="1081" w:type="dxa"/>
          </w:tcPr>
          <w:p w14:paraId="687C04E7">
            <w:pPr>
              <w:pStyle w:val="14"/>
              <w:spacing w:before="155"/>
              <w:ind w:left="93" w:right="93"/>
              <w:jc w:val="center"/>
              <w:rPr>
                <w:b/>
                <w:sz w:val="21"/>
              </w:rPr>
            </w:pPr>
            <w:r>
              <w:rPr>
                <w:b/>
                <w:sz w:val="21"/>
              </w:rPr>
              <w:t>影响对象</w:t>
            </w:r>
          </w:p>
        </w:tc>
        <w:tc>
          <w:tcPr>
            <w:tcW w:w="653" w:type="dxa"/>
          </w:tcPr>
          <w:p w14:paraId="5465C562">
            <w:pPr>
              <w:pStyle w:val="14"/>
              <w:spacing w:before="21" w:line="242" w:lineRule="auto"/>
              <w:ind w:left="110" w:right="110"/>
              <w:rPr>
                <w:b/>
                <w:sz w:val="21"/>
              </w:rPr>
            </w:pPr>
            <w:r>
              <w:rPr>
                <w:b/>
                <w:sz w:val="21"/>
              </w:rPr>
              <w:t>污染程度</w:t>
            </w:r>
          </w:p>
        </w:tc>
        <w:tc>
          <w:tcPr>
            <w:tcW w:w="653" w:type="dxa"/>
          </w:tcPr>
          <w:p w14:paraId="1974DB95">
            <w:pPr>
              <w:pStyle w:val="14"/>
              <w:spacing w:before="21" w:line="242" w:lineRule="auto"/>
              <w:ind w:left="110" w:right="110"/>
              <w:rPr>
                <w:b/>
                <w:sz w:val="21"/>
              </w:rPr>
            </w:pPr>
            <w:r>
              <w:rPr>
                <w:b/>
                <w:sz w:val="21"/>
              </w:rPr>
              <w:t>污染特点</w:t>
            </w:r>
          </w:p>
        </w:tc>
      </w:tr>
      <w:tr w14:paraId="0C6B5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578" w:type="dxa"/>
            <w:vMerge w:val="restart"/>
          </w:tcPr>
          <w:p w14:paraId="3145CD97">
            <w:pPr>
              <w:pStyle w:val="14"/>
              <w:rPr>
                <w:b/>
                <w:sz w:val="20"/>
              </w:rPr>
            </w:pPr>
          </w:p>
          <w:p w14:paraId="6F959E71">
            <w:pPr>
              <w:pStyle w:val="14"/>
              <w:rPr>
                <w:b/>
                <w:sz w:val="20"/>
              </w:rPr>
            </w:pPr>
          </w:p>
          <w:p w14:paraId="3E309381">
            <w:pPr>
              <w:pStyle w:val="14"/>
              <w:rPr>
                <w:b/>
                <w:sz w:val="20"/>
              </w:rPr>
            </w:pPr>
          </w:p>
          <w:p w14:paraId="7BACE161">
            <w:pPr>
              <w:pStyle w:val="14"/>
              <w:spacing w:before="7"/>
              <w:rPr>
                <w:b/>
                <w:sz w:val="22"/>
              </w:rPr>
            </w:pPr>
          </w:p>
          <w:p w14:paraId="0B7E0E52">
            <w:pPr>
              <w:pStyle w:val="14"/>
              <w:spacing w:line="242" w:lineRule="auto"/>
              <w:ind w:left="180" w:right="176"/>
              <w:jc w:val="both"/>
              <w:rPr>
                <w:sz w:val="21"/>
              </w:rPr>
            </w:pPr>
            <w:r>
              <w:rPr>
                <w:sz w:val="21"/>
              </w:rPr>
              <w:t>施工期</w:t>
            </w:r>
          </w:p>
        </w:tc>
        <w:tc>
          <w:tcPr>
            <w:tcW w:w="507" w:type="dxa"/>
          </w:tcPr>
          <w:p w14:paraId="7004D106">
            <w:pPr>
              <w:pStyle w:val="14"/>
              <w:spacing w:before="18" w:line="270" w:lineRule="atLeast"/>
              <w:ind w:left="144" w:right="141"/>
              <w:rPr>
                <w:sz w:val="21"/>
              </w:rPr>
            </w:pPr>
            <w:r>
              <w:rPr>
                <w:sz w:val="21"/>
              </w:rPr>
              <w:t>废气</w:t>
            </w:r>
          </w:p>
        </w:tc>
        <w:tc>
          <w:tcPr>
            <w:tcW w:w="2477" w:type="dxa"/>
          </w:tcPr>
          <w:p w14:paraId="0872FF9F">
            <w:pPr>
              <w:pStyle w:val="14"/>
              <w:spacing w:before="156"/>
              <w:ind w:left="182" w:right="183"/>
              <w:jc w:val="center"/>
              <w:rPr>
                <w:sz w:val="21"/>
              </w:rPr>
            </w:pPr>
            <w:r>
              <w:rPr>
                <w:sz w:val="21"/>
              </w:rPr>
              <w:t>施工过程</w:t>
            </w:r>
          </w:p>
        </w:tc>
        <w:tc>
          <w:tcPr>
            <w:tcW w:w="2579" w:type="dxa"/>
          </w:tcPr>
          <w:p w14:paraId="4CB56DFB">
            <w:pPr>
              <w:pStyle w:val="14"/>
              <w:spacing w:before="156"/>
              <w:ind w:left="109" w:right="109"/>
              <w:jc w:val="center"/>
              <w:rPr>
                <w:sz w:val="21"/>
              </w:rPr>
            </w:pPr>
            <w:r>
              <w:rPr>
                <w:sz w:val="21"/>
              </w:rPr>
              <w:t>运输扬尘、施工机械尾气</w:t>
            </w:r>
          </w:p>
        </w:tc>
        <w:tc>
          <w:tcPr>
            <w:tcW w:w="1081" w:type="dxa"/>
          </w:tcPr>
          <w:p w14:paraId="2750AE30">
            <w:pPr>
              <w:pStyle w:val="14"/>
              <w:spacing w:before="156"/>
              <w:ind w:left="93" w:right="93"/>
              <w:jc w:val="center"/>
              <w:rPr>
                <w:sz w:val="21"/>
              </w:rPr>
            </w:pPr>
            <w:r>
              <w:rPr>
                <w:sz w:val="21"/>
              </w:rPr>
              <w:t>大气环境</w:t>
            </w:r>
          </w:p>
        </w:tc>
        <w:tc>
          <w:tcPr>
            <w:tcW w:w="653" w:type="dxa"/>
          </w:tcPr>
          <w:p w14:paraId="76CAAC6F">
            <w:pPr>
              <w:pStyle w:val="14"/>
              <w:spacing w:before="156"/>
              <w:ind w:left="34" w:right="34"/>
              <w:jc w:val="center"/>
              <w:rPr>
                <w:sz w:val="21"/>
              </w:rPr>
            </w:pPr>
            <w:r>
              <w:rPr>
                <w:sz w:val="21"/>
              </w:rPr>
              <w:t>很小</w:t>
            </w:r>
          </w:p>
        </w:tc>
        <w:tc>
          <w:tcPr>
            <w:tcW w:w="653" w:type="dxa"/>
            <w:vMerge w:val="restart"/>
          </w:tcPr>
          <w:p w14:paraId="7E2BE0A3">
            <w:pPr>
              <w:pStyle w:val="14"/>
              <w:rPr>
                <w:b/>
                <w:sz w:val="20"/>
              </w:rPr>
            </w:pPr>
          </w:p>
          <w:p w14:paraId="5D12EC6B">
            <w:pPr>
              <w:pStyle w:val="14"/>
              <w:rPr>
                <w:b/>
                <w:sz w:val="20"/>
              </w:rPr>
            </w:pPr>
          </w:p>
          <w:p w14:paraId="78CDAB5E">
            <w:pPr>
              <w:pStyle w:val="14"/>
              <w:rPr>
                <w:b/>
                <w:sz w:val="20"/>
              </w:rPr>
            </w:pPr>
          </w:p>
          <w:p w14:paraId="46C22070">
            <w:pPr>
              <w:pStyle w:val="14"/>
              <w:rPr>
                <w:b/>
                <w:sz w:val="20"/>
              </w:rPr>
            </w:pPr>
          </w:p>
          <w:p w14:paraId="14870D22">
            <w:pPr>
              <w:pStyle w:val="14"/>
              <w:spacing w:before="167" w:line="244" w:lineRule="auto"/>
              <w:ind w:left="215" w:right="110" w:hanging="104"/>
              <w:rPr>
                <w:sz w:val="21"/>
              </w:rPr>
            </w:pPr>
            <w:r>
              <w:rPr>
                <w:sz w:val="21"/>
              </w:rPr>
              <w:t>短期性</w:t>
            </w:r>
          </w:p>
        </w:tc>
      </w:tr>
      <w:tr w14:paraId="3FCB6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78" w:type="dxa"/>
            <w:vMerge w:val="continue"/>
            <w:tcBorders>
              <w:top w:val="nil"/>
            </w:tcBorders>
          </w:tcPr>
          <w:p w14:paraId="4ACC3EA9">
            <w:pPr>
              <w:rPr>
                <w:sz w:val="2"/>
                <w:szCs w:val="2"/>
              </w:rPr>
            </w:pPr>
          </w:p>
        </w:tc>
        <w:tc>
          <w:tcPr>
            <w:tcW w:w="507" w:type="dxa"/>
            <w:vMerge w:val="restart"/>
          </w:tcPr>
          <w:p w14:paraId="45302266">
            <w:pPr>
              <w:pStyle w:val="14"/>
              <w:spacing w:before="166" w:line="242" w:lineRule="auto"/>
              <w:ind w:left="144" w:right="141"/>
              <w:rPr>
                <w:sz w:val="21"/>
              </w:rPr>
            </w:pPr>
            <w:r>
              <w:rPr>
                <w:sz w:val="21"/>
              </w:rPr>
              <w:t>废水</w:t>
            </w:r>
          </w:p>
        </w:tc>
        <w:tc>
          <w:tcPr>
            <w:tcW w:w="2477" w:type="dxa"/>
          </w:tcPr>
          <w:p w14:paraId="0EA2EE49">
            <w:pPr>
              <w:pStyle w:val="14"/>
              <w:spacing w:before="20"/>
              <w:ind w:left="182" w:right="183"/>
              <w:jc w:val="center"/>
              <w:rPr>
                <w:sz w:val="21"/>
              </w:rPr>
            </w:pPr>
            <w:r>
              <w:rPr>
                <w:sz w:val="21"/>
              </w:rPr>
              <w:t>施工过程</w:t>
            </w:r>
          </w:p>
        </w:tc>
        <w:tc>
          <w:tcPr>
            <w:tcW w:w="2579" w:type="dxa"/>
          </w:tcPr>
          <w:p w14:paraId="3E3CC0F5">
            <w:pPr>
              <w:pStyle w:val="14"/>
              <w:spacing w:before="20"/>
              <w:ind w:left="109" w:right="109"/>
              <w:jc w:val="center"/>
              <w:rPr>
                <w:sz w:val="21"/>
              </w:rPr>
            </w:pPr>
            <w:r>
              <w:rPr>
                <w:rFonts w:ascii="Times New Roman" w:eastAsia="Times New Roman"/>
                <w:sz w:val="21"/>
              </w:rPr>
              <w:t>SS</w:t>
            </w:r>
            <w:r>
              <w:rPr>
                <w:sz w:val="21"/>
              </w:rPr>
              <w:t>、石油类</w:t>
            </w:r>
          </w:p>
        </w:tc>
        <w:tc>
          <w:tcPr>
            <w:tcW w:w="1081" w:type="dxa"/>
            <w:vMerge w:val="restart"/>
          </w:tcPr>
          <w:p w14:paraId="3F409D26">
            <w:pPr>
              <w:pStyle w:val="14"/>
              <w:spacing w:before="6"/>
              <w:rPr>
                <w:b/>
                <w:sz w:val="23"/>
              </w:rPr>
            </w:pPr>
          </w:p>
          <w:p w14:paraId="5F0368B4">
            <w:pPr>
              <w:pStyle w:val="14"/>
              <w:ind w:left="221"/>
              <w:rPr>
                <w:sz w:val="21"/>
              </w:rPr>
            </w:pPr>
            <w:r>
              <w:rPr>
                <w:sz w:val="21"/>
              </w:rPr>
              <w:t>水环境</w:t>
            </w:r>
          </w:p>
        </w:tc>
        <w:tc>
          <w:tcPr>
            <w:tcW w:w="653" w:type="dxa"/>
          </w:tcPr>
          <w:p w14:paraId="4D3229C8">
            <w:pPr>
              <w:pStyle w:val="14"/>
              <w:spacing w:before="20"/>
              <w:ind w:left="34" w:right="34"/>
              <w:jc w:val="center"/>
              <w:rPr>
                <w:sz w:val="21"/>
              </w:rPr>
            </w:pPr>
            <w:r>
              <w:rPr>
                <w:sz w:val="21"/>
              </w:rPr>
              <w:t>很小</w:t>
            </w:r>
          </w:p>
        </w:tc>
        <w:tc>
          <w:tcPr>
            <w:tcW w:w="653" w:type="dxa"/>
            <w:vMerge w:val="continue"/>
            <w:tcBorders>
              <w:top w:val="nil"/>
            </w:tcBorders>
          </w:tcPr>
          <w:p w14:paraId="0960FED8">
            <w:pPr>
              <w:rPr>
                <w:sz w:val="2"/>
                <w:szCs w:val="2"/>
              </w:rPr>
            </w:pPr>
          </w:p>
        </w:tc>
      </w:tr>
      <w:tr w14:paraId="4760B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78" w:type="dxa"/>
            <w:vMerge w:val="continue"/>
            <w:tcBorders>
              <w:top w:val="nil"/>
            </w:tcBorders>
          </w:tcPr>
          <w:p w14:paraId="0E33BFAE">
            <w:pPr>
              <w:rPr>
                <w:sz w:val="2"/>
                <w:szCs w:val="2"/>
              </w:rPr>
            </w:pPr>
          </w:p>
        </w:tc>
        <w:tc>
          <w:tcPr>
            <w:tcW w:w="507" w:type="dxa"/>
            <w:vMerge w:val="continue"/>
            <w:tcBorders>
              <w:top w:val="nil"/>
            </w:tcBorders>
          </w:tcPr>
          <w:p w14:paraId="05C0E07F">
            <w:pPr>
              <w:rPr>
                <w:sz w:val="2"/>
                <w:szCs w:val="2"/>
              </w:rPr>
            </w:pPr>
          </w:p>
        </w:tc>
        <w:tc>
          <w:tcPr>
            <w:tcW w:w="2477" w:type="dxa"/>
          </w:tcPr>
          <w:p w14:paraId="6455149A">
            <w:pPr>
              <w:pStyle w:val="14"/>
              <w:spacing w:before="141"/>
              <w:ind w:left="182" w:right="183"/>
              <w:jc w:val="center"/>
              <w:rPr>
                <w:sz w:val="21"/>
              </w:rPr>
            </w:pPr>
            <w:r>
              <w:rPr>
                <w:sz w:val="21"/>
              </w:rPr>
              <w:t>员工生活</w:t>
            </w:r>
          </w:p>
        </w:tc>
        <w:tc>
          <w:tcPr>
            <w:tcW w:w="2579" w:type="dxa"/>
          </w:tcPr>
          <w:p w14:paraId="0F72834C">
            <w:pPr>
              <w:pStyle w:val="14"/>
              <w:spacing w:before="18"/>
              <w:ind w:left="1168" w:right="128" w:hanging="1042"/>
              <w:rPr>
                <w:rFonts w:ascii="Times New Roman" w:eastAsia="Times New Roman"/>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-H</w:t>
            </w:r>
            <w:r>
              <w:rPr>
                <w:position w:val="2"/>
                <w:sz w:val="21"/>
                <w:vertAlign w:val="baseline"/>
              </w:rPr>
              <w:t>、</w:t>
            </w:r>
            <w:r>
              <w:rPr>
                <w:rFonts w:ascii="Times New Roman" w:eastAsia="Times New Roman"/>
                <w:sz w:val="21"/>
                <w:vertAlign w:val="baseline"/>
              </w:rPr>
              <w:t>SS</w:t>
            </w:r>
          </w:p>
        </w:tc>
        <w:tc>
          <w:tcPr>
            <w:tcW w:w="1081" w:type="dxa"/>
            <w:vMerge w:val="continue"/>
            <w:tcBorders>
              <w:top w:val="nil"/>
            </w:tcBorders>
          </w:tcPr>
          <w:p w14:paraId="44090CB0">
            <w:pPr>
              <w:rPr>
                <w:sz w:val="2"/>
                <w:szCs w:val="2"/>
              </w:rPr>
            </w:pPr>
          </w:p>
        </w:tc>
        <w:tc>
          <w:tcPr>
            <w:tcW w:w="653" w:type="dxa"/>
          </w:tcPr>
          <w:p w14:paraId="0FECD9A5">
            <w:pPr>
              <w:pStyle w:val="14"/>
              <w:spacing w:before="141"/>
              <w:ind w:left="34" w:right="34"/>
              <w:jc w:val="center"/>
              <w:rPr>
                <w:sz w:val="21"/>
              </w:rPr>
            </w:pPr>
            <w:r>
              <w:rPr>
                <w:sz w:val="21"/>
              </w:rPr>
              <w:t>很小</w:t>
            </w:r>
          </w:p>
        </w:tc>
        <w:tc>
          <w:tcPr>
            <w:tcW w:w="653" w:type="dxa"/>
            <w:vMerge w:val="continue"/>
            <w:tcBorders>
              <w:top w:val="nil"/>
            </w:tcBorders>
          </w:tcPr>
          <w:p w14:paraId="70D524EB">
            <w:pPr>
              <w:rPr>
                <w:sz w:val="2"/>
                <w:szCs w:val="2"/>
              </w:rPr>
            </w:pPr>
          </w:p>
        </w:tc>
      </w:tr>
      <w:tr w14:paraId="1A7A2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78" w:type="dxa"/>
            <w:vMerge w:val="continue"/>
            <w:tcBorders>
              <w:top w:val="nil"/>
            </w:tcBorders>
          </w:tcPr>
          <w:p w14:paraId="4E45B28B">
            <w:pPr>
              <w:rPr>
                <w:sz w:val="2"/>
                <w:szCs w:val="2"/>
              </w:rPr>
            </w:pPr>
          </w:p>
        </w:tc>
        <w:tc>
          <w:tcPr>
            <w:tcW w:w="507" w:type="dxa"/>
          </w:tcPr>
          <w:p w14:paraId="5C20A37D">
            <w:pPr>
              <w:pStyle w:val="14"/>
              <w:spacing w:before="20" w:line="270" w:lineRule="atLeast"/>
              <w:ind w:left="144" w:right="141"/>
              <w:rPr>
                <w:sz w:val="21"/>
              </w:rPr>
            </w:pPr>
            <w:r>
              <w:rPr>
                <w:sz w:val="21"/>
              </w:rPr>
              <w:t>噪声</w:t>
            </w:r>
          </w:p>
        </w:tc>
        <w:tc>
          <w:tcPr>
            <w:tcW w:w="2477" w:type="dxa"/>
          </w:tcPr>
          <w:p w14:paraId="48B87A4B">
            <w:pPr>
              <w:pStyle w:val="14"/>
              <w:spacing w:before="155"/>
              <w:ind w:left="182" w:right="183"/>
              <w:jc w:val="center"/>
              <w:rPr>
                <w:sz w:val="21"/>
              </w:rPr>
            </w:pPr>
            <w:r>
              <w:rPr>
                <w:sz w:val="21"/>
              </w:rPr>
              <w:t>施工过程</w:t>
            </w:r>
          </w:p>
        </w:tc>
        <w:tc>
          <w:tcPr>
            <w:tcW w:w="2579" w:type="dxa"/>
          </w:tcPr>
          <w:p w14:paraId="51EA6F36">
            <w:pPr>
              <w:pStyle w:val="14"/>
              <w:spacing w:before="20" w:line="270" w:lineRule="atLeast"/>
              <w:ind w:left="1075" w:right="128" w:hanging="946"/>
              <w:rPr>
                <w:sz w:val="21"/>
              </w:rPr>
            </w:pPr>
            <w:r>
              <w:rPr>
                <w:w w:val="95"/>
                <w:sz w:val="21"/>
              </w:rPr>
              <w:t>各类机械设备、运输车辆</w:t>
            </w:r>
            <w:r>
              <w:rPr>
                <w:sz w:val="21"/>
              </w:rPr>
              <w:t>噪声</w:t>
            </w:r>
          </w:p>
        </w:tc>
        <w:tc>
          <w:tcPr>
            <w:tcW w:w="1081" w:type="dxa"/>
          </w:tcPr>
          <w:p w14:paraId="43FD292B">
            <w:pPr>
              <w:pStyle w:val="14"/>
              <w:spacing w:before="155"/>
              <w:ind w:left="93" w:right="92"/>
              <w:jc w:val="center"/>
              <w:rPr>
                <w:sz w:val="21"/>
              </w:rPr>
            </w:pPr>
            <w:r>
              <w:rPr>
                <w:sz w:val="21"/>
              </w:rPr>
              <w:t>声环境</w:t>
            </w:r>
          </w:p>
        </w:tc>
        <w:tc>
          <w:tcPr>
            <w:tcW w:w="653" w:type="dxa"/>
          </w:tcPr>
          <w:p w14:paraId="0188D9B9">
            <w:pPr>
              <w:pStyle w:val="14"/>
              <w:spacing w:before="155"/>
              <w:ind w:left="34" w:right="34"/>
              <w:jc w:val="center"/>
              <w:rPr>
                <w:sz w:val="21"/>
              </w:rPr>
            </w:pPr>
            <w:r>
              <w:rPr>
                <w:sz w:val="21"/>
              </w:rPr>
              <w:t>很小</w:t>
            </w:r>
          </w:p>
        </w:tc>
        <w:tc>
          <w:tcPr>
            <w:tcW w:w="653" w:type="dxa"/>
            <w:vMerge w:val="continue"/>
            <w:tcBorders>
              <w:top w:val="nil"/>
            </w:tcBorders>
          </w:tcPr>
          <w:p w14:paraId="6576E232">
            <w:pPr>
              <w:rPr>
                <w:sz w:val="2"/>
                <w:szCs w:val="2"/>
              </w:rPr>
            </w:pPr>
          </w:p>
        </w:tc>
      </w:tr>
      <w:tr w14:paraId="0221B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78" w:type="dxa"/>
            <w:vMerge w:val="continue"/>
            <w:tcBorders>
              <w:top w:val="nil"/>
            </w:tcBorders>
          </w:tcPr>
          <w:p w14:paraId="1CF7AF9E">
            <w:pPr>
              <w:rPr>
                <w:sz w:val="2"/>
                <w:szCs w:val="2"/>
              </w:rPr>
            </w:pPr>
          </w:p>
        </w:tc>
        <w:tc>
          <w:tcPr>
            <w:tcW w:w="507" w:type="dxa"/>
            <w:vMerge w:val="restart"/>
          </w:tcPr>
          <w:p w14:paraId="6C3CADC2">
            <w:pPr>
              <w:pStyle w:val="14"/>
              <w:spacing w:before="156" w:line="242" w:lineRule="auto"/>
              <w:ind w:left="144" w:right="141"/>
              <w:rPr>
                <w:sz w:val="21"/>
              </w:rPr>
            </w:pPr>
            <w:r>
              <w:rPr>
                <w:sz w:val="21"/>
              </w:rPr>
              <w:t>固废</w:t>
            </w:r>
          </w:p>
        </w:tc>
        <w:tc>
          <w:tcPr>
            <w:tcW w:w="2477" w:type="dxa"/>
          </w:tcPr>
          <w:p w14:paraId="7CCF4D33">
            <w:pPr>
              <w:pStyle w:val="14"/>
              <w:spacing w:before="20"/>
              <w:ind w:left="182" w:right="183"/>
              <w:jc w:val="center"/>
              <w:rPr>
                <w:sz w:val="21"/>
              </w:rPr>
            </w:pPr>
            <w:r>
              <w:rPr>
                <w:sz w:val="21"/>
              </w:rPr>
              <w:t>施工过程</w:t>
            </w:r>
          </w:p>
        </w:tc>
        <w:tc>
          <w:tcPr>
            <w:tcW w:w="2579" w:type="dxa"/>
          </w:tcPr>
          <w:p w14:paraId="44B6A108">
            <w:pPr>
              <w:pStyle w:val="14"/>
              <w:spacing w:before="20"/>
              <w:ind w:left="109" w:right="109"/>
              <w:jc w:val="center"/>
              <w:rPr>
                <w:sz w:val="21"/>
              </w:rPr>
            </w:pPr>
            <w:r>
              <w:rPr>
                <w:sz w:val="21"/>
              </w:rPr>
              <w:t>废弃土石方、建筑垃圾</w:t>
            </w:r>
          </w:p>
        </w:tc>
        <w:tc>
          <w:tcPr>
            <w:tcW w:w="1081" w:type="dxa"/>
            <w:vMerge w:val="restart"/>
          </w:tcPr>
          <w:p w14:paraId="4D792408">
            <w:pPr>
              <w:pStyle w:val="14"/>
              <w:spacing w:before="20" w:line="242" w:lineRule="auto"/>
              <w:ind w:left="116" w:right="115" w:firstLine="2"/>
              <w:jc w:val="center"/>
              <w:rPr>
                <w:sz w:val="21"/>
              </w:rPr>
            </w:pPr>
            <w:r>
              <w:rPr>
                <w:sz w:val="21"/>
              </w:rPr>
              <w:t xml:space="preserve">大气环 </w:t>
            </w:r>
            <w:r>
              <w:rPr>
                <w:w w:val="95"/>
                <w:sz w:val="21"/>
              </w:rPr>
              <w:t>境、水环</w:t>
            </w:r>
            <w:r>
              <w:rPr>
                <w:sz w:val="21"/>
              </w:rPr>
              <w:t>境</w:t>
            </w:r>
          </w:p>
        </w:tc>
        <w:tc>
          <w:tcPr>
            <w:tcW w:w="653" w:type="dxa"/>
          </w:tcPr>
          <w:p w14:paraId="6E3F5024">
            <w:pPr>
              <w:pStyle w:val="14"/>
              <w:spacing w:before="20"/>
              <w:ind w:left="34" w:right="34"/>
              <w:jc w:val="center"/>
              <w:rPr>
                <w:sz w:val="21"/>
              </w:rPr>
            </w:pPr>
            <w:r>
              <w:rPr>
                <w:sz w:val="21"/>
              </w:rPr>
              <w:t>轻度</w:t>
            </w:r>
          </w:p>
        </w:tc>
        <w:tc>
          <w:tcPr>
            <w:tcW w:w="653" w:type="dxa"/>
            <w:vMerge w:val="continue"/>
            <w:tcBorders>
              <w:top w:val="nil"/>
            </w:tcBorders>
          </w:tcPr>
          <w:p w14:paraId="70D4E4D9">
            <w:pPr>
              <w:rPr>
                <w:sz w:val="2"/>
                <w:szCs w:val="2"/>
              </w:rPr>
            </w:pPr>
          </w:p>
        </w:tc>
      </w:tr>
      <w:tr w14:paraId="1501E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578" w:type="dxa"/>
            <w:vMerge w:val="continue"/>
            <w:tcBorders>
              <w:top w:val="nil"/>
            </w:tcBorders>
          </w:tcPr>
          <w:p w14:paraId="513155DB">
            <w:pPr>
              <w:rPr>
                <w:sz w:val="2"/>
                <w:szCs w:val="2"/>
              </w:rPr>
            </w:pPr>
          </w:p>
        </w:tc>
        <w:tc>
          <w:tcPr>
            <w:tcW w:w="507" w:type="dxa"/>
            <w:vMerge w:val="continue"/>
            <w:tcBorders>
              <w:top w:val="nil"/>
            </w:tcBorders>
          </w:tcPr>
          <w:p w14:paraId="7297B83E">
            <w:pPr>
              <w:rPr>
                <w:sz w:val="2"/>
                <w:szCs w:val="2"/>
              </w:rPr>
            </w:pPr>
          </w:p>
        </w:tc>
        <w:tc>
          <w:tcPr>
            <w:tcW w:w="2477" w:type="dxa"/>
          </w:tcPr>
          <w:p w14:paraId="4C0A9D7E">
            <w:pPr>
              <w:pStyle w:val="14"/>
              <w:spacing w:before="129"/>
              <w:ind w:left="182" w:right="183"/>
              <w:jc w:val="center"/>
              <w:rPr>
                <w:sz w:val="21"/>
              </w:rPr>
            </w:pPr>
            <w:r>
              <w:rPr>
                <w:sz w:val="21"/>
              </w:rPr>
              <w:t>员工生活</w:t>
            </w:r>
          </w:p>
        </w:tc>
        <w:tc>
          <w:tcPr>
            <w:tcW w:w="2579" w:type="dxa"/>
          </w:tcPr>
          <w:p w14:paraId="5A08306C">
            <w:pPr>
              <w:pStyle w:val="14"/>
              <w:spacing w:before="129"/>
              <w:ind w:left="108" w:right="109"/>
              <w:jc w:val="center"/>
              <w:rPr>
                <w:sz w:val="21"/>
              </w:rPr>
            </w:pPr>
            <w:r>
              <w:rPr>
                <w:sz w:val="21"/>
              </w:rPr>
              <w:t>生活垃圾</w:t>
            </w:r>
          </w:p>
        </w:tc>
        <w:tc>
          <w:tcPr>
            <w:tcW w:w="1081" w:type="dxa"/>
            <w:vMerge w:val="continue"/>
            <w:tcBorders>
              <w:top w:val="nil"/>
            </w:tcBorders>
          </w:tcPr>
          <w:p w14:paraId="3E6CD97C">
            <w:pPr>
              <w:rPr>
                <w:sz w:val="2"/>
                <w:szCs w:val="2"/>
              </w:rPr>
            </w:pPr>
          </w:p>
        </w:tc>
        <w:tc>
          <w:tcPr>
            <w:tcW w:w="653" w:type="dxa"/>
          </w:tcPr>
          <w:p w14:paraId="632C9772">
            <w:pPr>
              <w:pStyle w:val="14"/>
              <w:spacing w:before="129"/>
              <w:ind w:left="34" w:right="34"/>
              <w:jc w:val="center"/>
              <w:rPr>
                <w:sz w:val="21"/>
              </w:rPr>
            </w:pPr>
            <w:r>
              <w:rPr>
                <w:sz w:val="21"/>
              </w:rPr>
              <w:t>很小</w:t>
            </w:r>
          </w:p>
        </w:tc>
        <w:tc>
          <w:tcPr>
            <w:tcW w:w="653" w:type="dxa"/>
            <w:vMerge w:val="continue"/>
            <w:tcBorders>
              <w:top w:val="nil"/>
            </w:tcBorders>
          </w:tcPr>
          <w:p w14:paraId="378B2A61">
            <w:pPr>
              <w:rPr>
                <w:sz w:val="2"/>
                <w:szCs w:val="2"/>
              </w:rPr>
            </w:pPr>
          </w:p>
        </w:tc>
      </w:tr>
      <w:tr w14:paraId="53899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578" w:type="dxa"/>
            <w:vMerge w:val="restart"/>
          </w:tcPr>
          <w:p w14:paraId="23B17B9C">
            <w:pPr>
              <w:pStyle w:val="14"/>
              <w:rPr>
                <w:b/>
                <w:sz w:val="20"/>
              </w:rPr>
            </w:pPr>
          </w:p>
          <w:p w14:paraId="5E7DCBCF">
            <w:pPr>
              <w:pStyle w:val="14"/>
              <w:rPr>
                <w:b/>
                <w:sz w:val="20"/>
              </w:rPr>
            </w:pPr>
          </w:p>
          <w:p w14:paraId="4E990D7C">
            <w:pPr>
              <w:pStyle w:val="14"/>
              <w:rPr>
                <w:b/>
                <w:sz w:val="20"/>
              </w:rPr>
            </w:pPr>
          </w:p>
          <w:p w14:paraId="35331EE7">
            <w:pPr>
              <w:pStyle w:val="14"/>
              <w:rPr>
                <w:b/>
                <w:sz w:val="20"/>
              </w:rPr>
            </w:pPr>
          </w:p>
          <w:p w14:paraId="3661D486">
            <w:pPr>
              <w:pStyle w:val="14"/>
              <w:rPr>
                <w:b/>
                <w:sz w:val="20"/>
              </w:rPr>
            </w:pPr>
          </w:p>
          <w:p w14:paraId="3C13E87D">
            <w:pPr>
              <w:pStyle w:val="14"/>
              <w:rPr>
                <w:b/>
                <w:sz w:val="20"/>
              </w:rPr>
            </w:pPr>
          </w:p>
          <w:p w14:paraId="58EF078B">
            <w:pPr>
              <w:pStyle w:val="14"/>
              <w:spacing w:before="10"/>
              <w:rPr>
                <w:b/>
                <w:sz w:val="18"/>
              </w:rPr>
            </w:pPr>
          </w:p>
          <w:p w14:paraId="25EB20F0">
            <w:pPr>
              <w:pStyle w:val="14"/>
              <w:spacing w:line="242" w:lineRule="auto"/>
              <w:ind w:left="180" w:right="176"/>
              <w:jc w:val="both"/>
              <w:rPr>
                <w:sz w:val="21"/>
              </w:rPr>
            </w:pPr>
            <w:r>
              <w:rPr>
                <w:sz w:val="21"/>
              </w:rPr>
              <w:t>营运期</w:t>
            </w:r>
          </w:p>
        </w:tc>
        <w:tc>
          <w:tcPr>
            <w:tcW w:w="507" w:type="dxa"/>
          </w:tcPr>
          <w:p w14:paraId="6BE4BE6D">
            <w:pPr>
              <w:pStyle w:val="14"/>
              <w:spacing w:before="156" w:line="244" w:lineRule="auto"/>
              <w:ind w:left="144" w:right="141"/>
              <w:rPr>
                <w:sz w:val="21"/>
              </w:rPr>
            </w:pPr>
            <w:r>
              <w:rPr>
                <w:sz w:val="21"/>
              </w:rPr>
              <w:t>废气</w:t>
            </w:r>
          </w:p>
        </w:tc>
        <w:tc>
          <w:tcPr>
            <w:tcW w:w="2477" w:type="dxa"/>
          </w:tcPr>
          <w:p w14:paraId="0366F86C">
            <w:pPr>
              <w:pStyle w:val="14"/>
              <w:spacing w:before="21" w:line="270" w:lineRule="atLeast"/>
              <w:ind w:left="182" w:right="184"/>
              <w:jc w:val="center"/>
              <w:rPr>
                <w:sz w:val="21"/>
              </w:rPr>
            </w:pPr>
            <w:r>
              <w:rPr>
                <w:w w:val="95"/>
                <w:sz w:val="21"/>
              </w:rPr>
              <w:t>屠宰车间、待宰圈、污水处理站、无害化暂存</w:t>
            </w:r>
            <w:r>
              <w:rPr>
                <w:sz w:val="21"/>
              </w:rPr>
              <w:t>间</w:t>
            </w:r>
          </w:p>
        </w:tc>
        <w:tc>
          <w:tcPr>
            <w:tcW w:w="2579" w:type="dxa"/>
          </w:tcPr>
          <w:p w14:paraId="547F8D3B">
            <w:pPr>
              <w:pStyle w:val="14"/>
              <w:spacing w:before="11"/>
              <w:rPr>
                <w:b/>
                <w:sz w:val="22"/>
              </w:rPr>
            </w:pPr>
          </w:p>
          <w:p w14:paraId="55E27118">
            <w:pPr>
              <w:pStyle w:val="14"/>
              <w:ind w:left="109" w:right="109"/>
              <w:jc w:val="center"/>
              <w:rPr>
                <w:sz w:val="21"/>
              </w:rPr>
            </w:pPr>
            <w:r>
              <w:rPr>
                <w:sz w:val="21"/>
              </w:rPr>
              <w:t>氨、硫化氢、臭气浓度</w:t>
            </w:r>
          </w:p>
        </w:tc>
        <w:tc>
          <w:tcPr>
            <w:tcW w:w="1081" w:type="dxa"/>
          </w:tcPr>
          <w:p w14:paraId="341B9D86">
            <w:pPr>
              <w:pStyle w:val="14"/>
              <w:spacing w:before="11"/>
              <w:rPr>
                <w:b/>
                <w:sz w:val="22"/>
              </w:rPr>
            </w:pPr>
          </w:p>
          <w:p w14:paraId="3B94F2CC">
            <w:pPr>
              <w:pStyle w:val="14"/>
              <w:ind w:left="93" w:right="93"/>
              <w:jc w:val="center"/>
              <w:rPr>
                <w:sz w:val="21"/>
              </w:rPr>
            </w:pPr>
            <w:r>
              <w:rPr>
                <w:sz w:val="21"/>
              </w:rPr>
              <w:t>大气环境</w:t>
            </w:r>
          </w:p>
        </w:tc>
        <w:tc>
          <w:tcPr>
            <w:tcW w:w="653" w:type="dxa"/>
          </w:tcPr>
          <w:p w14:paraId="5F2CCD06">
            <w:pPr>
              <w:pStyle w:val="14"/>
              <w:spacing w:before="11"/>
              <w:rPr>
                <w:b/>
                <w:sz w:val="22"/>
              </w:rPr>
            </w:pPr>
          </w:p>
          <w:p w14:paraId="33030D02">
            <w:pPr>
              <w:pStyle w:val="14"/>
              <w:ind w:left="34" w:right="34"/>
              <w:jc w:val="center"/>
              <w:rPr>
                <w:sz w:val="21"/>
              </w:rPr>
            </w:pPr>
            <w:r>
              <w:rPr>
                <w:sz w:val="21"/>
              </w:rPr>
              <w:t>重大</w:t>
            </w:r>
          </w:p>
        </w:tc>
        <w:tc>
          <w:tcPr>
            <w:tcW w:w="653" w:type="dxa"/>
            <w:vMerge w:val="restart"/>
          </w:tcPr>
          <w:p w14:paraId="032CB33E">
            <w:pPr>
              <w:pStyle w:val="14"/>
              <w:rPr>
                <w:b/>
                <w:sz w:val="20"/>
              </w:rPr>
            </w:pPr>
          </w:p>
          <w:p w14:paraId="10C2A788">
            <w:pPr>
              <w:pStyle w:val="14"/>
              <w:rPr>
                <w:b/>
                <w:sz w:val="20"/>
              </w:rPr>
            </w:pPr>
          </w:p>
          <w:p w14:paraId="1E6F75B1">
            <w:pPr>
              <w:pStyle w:val="14"/>
              <w:rPr>
                <w:b/>
                <w:sz w:val="20"/>
              </w:rPr>
            </w:pPr>
          </w:p>
          <w:p w14:paraId="0CF30968">
            <w:pPr>
              <w:pStyle w:val="14"/>
              <w:rPr>
                <w:b/>
                <w:sz w:val="20"/>
              </w:rPr>
            </w:pPr>
          </w:p>
          <w:p w14:paraId="7576B3D6">
            <w:pPr>
              <w:pStyle w:val="14"/>
              <w:rPr>
                <w:b/>
                <w:sz w:val="20"/>
              </w:rPr>
            </w:pPr>
          </w:p>
          <w:p w14:paraId="3B3EC2AC">
            <w:pPr>
              <w:pStyle w:val="14"/>
              <w:rPr>
                <w:b/>
                <w:sz w:val="20"/>
              </w:rPr>
            </w:pPr>
          </w:p>
          <w:p w14:paraId="1349443A">
            <w:pPr>
              <w:pStyle w:val="14"/>
              <w:spacing w:before="6"/>
              <w:rPr>
                <w:b/>
                <w:sz w:val="29"/>
              </w:rPr>
            </w:pPr>
          </w:p>
          <w:p w14:paraId="66EAD953">
            <w:pPr>
              <w:pStyle w:val="14"/>
              <w:spacing w:line="244" w:lineRule="auto"/>
              <w:ind w:left="215" w:right="110" w:hanging="104"/>
              <w:rPr>
                <w:sz w:val="21"/>
              </w:rPr>
            </w:pPr>
            <w:r>
              <w:rPr>
                <w:sz w:val="21"/>
              </w:rPr>
              <w:t>长期性</w:t>
            </w:r>
          </w:p>
        </w:tc>
      </w:tr>
      <w:tr w14:paraId="58A4C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578" w:type="dxa"/>
            <w:vMerge w:val="continue"/>
            <w:tcBorders>
              <w:top w:val="nil"/>
            </w:tcBorders>
          </w:tcPr>
          <w:p w14:paraId="3637D3FB">
            <w:pPr>
              <w:rPr>
                <w:sz w:val="2"/>
                <w:szCs w:val="2"/>
              </w:rPr>
            </w:pPr>
          </w:p>
        </w:tc>
        <w:tc>
          <w:tcPr>
            <w:tcW w:w="507" w:type="dxa"/>
            <w:vMerge w:val="restart"/>
          </w:tcPr>
          <w:p w14:paraId="501D7CBB">
            <w:pPr>
              <w:pStyle w:val="14"/>
              <w:rPr>
                <w:b/>
                <w:sz w:val="20"/>
              </w:rPr>
            </w:pPr>
          </w:p>
          <w:p w14:paraId="2C7B158A">
            <w:pPr>
              <w:pStyle w:val="14"/>
              <w:spacing w:before="4"/>
              <w:rPr>
                <w:b/>
                <w:sz w:val="15"/>
              </w:rPr>
            </w:pPr>
          </w:p>
          <w:p w14:paraId="4FB96D0C">
            <w:pPr>
              <w:pStyle w:val="14"/>
              <w:spacing w:line="244" w:lineRule="auto"/>
              <w:ind w:left="144" w:right="141"/>
              <w:rPr>
                <w:sz w:val="21"/>
              </w:rPr>
            </w:pPr>
            <w:r>
              <w:rPr>
                <w:sz w:val="21"/>
              </w:rPr>
              <w:t>废水</w:t>
            </w:r>
          </w:p>
        </w:tc>
        <w:tc>
          <w:tcPr>
            <w:tcW w:w="2477" w:type="dxa"/>
          </w:tcPr>
          <w:p w14:paraId="320C7DBA">
            <w:pPr>
              <w:pStyle w:val="14"/>
              <w:spacing w:before="10"/>
              <w:rPr>
                <w:b/>
                <w:sz w:val="22"/>
              </w:rPr>
            </w:pPr>
          </w:p>
          <w:p w14:paraId="29A0AF4B">
            <w:pPr>
              <w:pStyle w:val="14"/>
              <w:ind w:left="182" w:right="183"/>
              <w:jc w:val="center"/>
              <w:rPr>
                <w:sz w:val="21"/>
              </w:rPr>
            </w:pPr>
            <w:r>
              <w:rPr>
                <w:sz w:val="21"/>
              </w:rPr>
              <w:t>污水处理站</w:t>
            </w:r>
          </w:p>
        </w:tc>
        <w:tc>
          <w:tcPr>
            <w:tcW w:w="2579" w:type="dxa"/>
          </w:tcPr>
          <w:p w14:paraId="666DC3E7">
            <w:pPr>
              <w:pStyle w:val="14"/>
              <w:spacing w:before="18" w:line="273" w:lineRule="exact"/>
              <w:ind w:left="109" w:right="109"/>
              <w:jc w:val="center"/>
              <w:rPr>
                <w:sz w:val="21"/>
              </w:rPr>
            </w:pPr>
            <w:r>
              <w:rPr>
                <w:rFonts w:ascii="Times New Roman" w:eastAsia="Times New Roman"/>
                <w:position w:val="2"/>
                <w:sz w:val="21"/>
              </w:rPr>
              <w:t xml:space="preserve">pH </w:t>
            </w:r>
            <w:r>
              <w:rPr>
                <w:position w:val="2"/>
                <w:sz w:val="21"/>
              </w:rPr>
              <w:t>值、</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p>
          <w:p w14:paraId="460E0F2F">
            <w:pPr>
              <w:pStyle w:val="14"/>
              <w:spacing w:line="273" w:lineRule="exact"/>
              <w:ind w:left="109" w:right="109"/>
              <w:jc w:val="center"/>
              <w:rPr>
                <w:sz w:val="21"/>
              </w:rPr>
            </w:pPr>
            <w:r>
              <w:rPr>
                <w:rFonts w:ascii="Times New Roman" w:eastAsia="Times New Roman"/>
                <w:w w:val="95"/>
                <w:position w:val="2"/>
                <w:sz w:val="21"/>
              </w:rPr>
              <w:t>NH</w:t>
            </w:r>
            <w:r>
              <w:rPr>
                <w:rFonts w:ascii="Times New Roman" w:eastAsia="Times New Roman"/>
                <w:w w:val="95"/>
                <w:position w:val="2"/>
                <w:sz w:val="21"/>
                <w:vertAlign w:val="subscript"/>
              </w:rPr>
              <w:t>3</w:t>
            </w:r>
            <w:r>
              <w:rPr>
                <w:rFonts w:ascii="Times New Roman" w:eastAsia="Times New Roman"/>
                <w:w w:val="95"/>
                <w:position w:val="2"/>
                <w:sz w:val="21"/>
                <w:vertAlign w:val="baseline"/>
              </w:rPr>
              <w:t>-H</w:t>
            </w:r>
            <w:r>
              <w:rPr>
                <w:w w:val="95"/>
                <w:position w:val="2"/>
                <w:sz w:val="21"/>
                <w:vertAlign w:val="baseline"/>
              </w:rPr>
              <w:t>、</w:t>
            </w:r>
            <w:r>
              <w:rPr>
                <w:rFonts w:ascii="Times New Roman" w:eastAsia="Times New Roman"/>
                <w:w w:val="95"/>
                <w:position w:val="2"/>
                <w:sz w:val="21"/>
                <w:vertAlign w:val="baseline"/>
              </w:rPr>
              <w:t>SS</w:t>
            </w:r>
            <w:r>
              <w:rPr>
                <w:w w:val="95"/>
                <w:position w:val="2"/>
                <w:sz w:val="21"/>
                <w:vertAlign w:val="baseline"/>
              </w:rPr>
              <w:t>、动植物油、</w:t>
            </w:r>
          </w:p>
          <w:p w14:paraId="4C8D8A36">
            <w:pPr>
              <w:pStyle w:val="14"/>
              <w:spacing w:before="1"/>
              <w:ind w:left="108" w:right="109"/>
              <w:jc w:val="center"/>
              <w:rPr>
                <w:rFonts w:ascii="Times New Roman" w:eastAsia="Times New Roman"/>
                <w:sz w:val="21"/>
              </w:rPr>
            </w:pPr>
            <w:r>
              <w:rPr>
                <w:rFonts w:ascii="Times New Roman" w:eastAsia="Times New Roman"/>
                <w:sz w:val="21"/>
              </w:rPr>
              <w:t>TP</w:t>
            </w:r>
            <w:r>
              <w:rPr>
                <w:sz w:val="21"/>
              </w:rPr>
              <w:t>、</w:t>
            </w:r>
            <w:r>
              <w:rPr>
                <w:rFonts w:ascii="Times New Roman" w:eastAsia="Times New Roman"/>
                <w:sz w:val="21"/>
              </w:rPr>
              <w:t>TN</w:t>
            </w:r>
          </w:p>
        </w:tc>
        <w:tc>
          <w:tcPr>
            <w:tcW w:w="1081" w:type="dxa"/>
            <w:vMerge w:val="restart"/>
          </w:tcPr>
          <w:p w14:paraId="49AAC07A">
            <w:pPr>
              <w:pStyle w:val="14"/>
              <w:rPr>
                <w:b/>
                <w:sz w:val="20"/>
              </w:rPr>
            </w:pPr>
          </w:p>
          <w:p w14:paraId="211602C9">
            <w:pPr>
              <w:pStyle w:val="14"/>
              <w:rPr>
                <w:b/>
                <w:sz w:val="26"/>
              </w:rPr>
            </w:pPr>
          </w:p>
          <w:p w14:paraId="69D9D5FF">
            <w:pPr>
              <w:pStyle w:val="14"/>
              <w:ind w:left="221"/>
              <w:rPr>
                <w:sz w:val="21"/>
              </w:rPr>
            </w:pPr>
            <w:r>
              <w:rPr>
                <w:sz w:val="21"/>
              </w:rPr>
              <w:t>水环境</w:t>
            </w:r>
          </w:p>
        </w:tc>
        <w:tc>
          <w:tcPr>
            <w:tcW w:w="653" w:type="dxa"/>
          </w:tcPr>
          <w:p w14:paraId="279F9E54">
            <w:pPr>
              <w:pStyle w:val="14"/>
              <w:spacing w:before="10"/>
              <w:rPr>
                <w:b/>
                <w:sz w:val="22"/>
              </w:rPr>
            </w:pPr>
          </w:p>
          <w:p w14:paraId="52001D7F">
            <w:pPr>
              <w:pStyle w:val="14"/>
              <w:ind w:left="34" w:right="34"/>
              <w:jc w:val="center"/>
              <w:rPr>
                <w:sz w:val="21"/>
              </w:rPr>
            </w:pPr>
            <w:r>
              <w:rPr>
                <w:sz w:val="21"/>
              </w:rPr>
              <w:t>重大</w:t>
            </w:r>
          </w:p>
        </w:tc>
        <w:tc>
          <w:tcPr>
            <w:tcW w:w="653" w:type="dxa"/>
            <w:vMerge w:val="continue"/>
            <w:tcBorders>
              <w:top w:val="nil"/>
            </w:tcBorders>
          </w:tcPr>
          <w:p w14:paraId="65E3E41E">
            <w:pPr>
              <w:rPr>
                <w:sz w:val="2"/>
                <w:szCs w:val="2"/>
              </w:rPr>
            </w:pPr>
          </w:p>
        </w:tc>
      </w:tr>
      <w:tr w14:paraId="371FF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78" w:type="dxa"/>
            <w:vMerge w:val="continue"/>
            <w:tcBorders>
              <w:top w:val="nil"/>
            </w:tcBorders>
          </w:tcPr>
          <w:p w14:paraId="46FD4BA8">
            <w:pPr>
              <w:rPr>
                <w:sz w:val="2"/>
                <w:szCs w:val="2"/>
              </w:rPr>
            </w:pPr>
          </w:p>
        </w:tc>
        <w:tc>
          <w:tcPr>
            <w:tcW w:w="507" w:type="dxa"/>
            <w:vMerge w:val="continue"/>
            <w:tcBorders>
              <w:top w:val="nil"/>
            </w:tcBorders>
          </w:tcPr>
          <w:p w14:paraId="4C3B0AE8">
            <w:pPr>
              <w:rPr>
                <w:sz w:val="2"/>
                <w:szCs w:val="2"/>
              </w:rPr>
            </w:pPr>
          </w:p>
        </w:tc>
        <w:tc>
          <w:tcPr>
            <w:tcW w:w="2477" w:type="dxa"/>
          </w:tcPr>
          <w:p w14:paraId="011488B4">
            <w:pPr>
              <w:pStyle w:val="14"/>
              <w:spacing w:before="155"/>
              <w:ind w:left="182" w:right="183"/>
              <w:jc w:val="center"/>
              <w:rPr>
                <w:sz w:val="21"/>
              </w:rPr>
            </w:pPr>
            <w:r>
              <w:rPr>
                <w:sz w:val="21"/>
              </w:rPr>
              <w:t>员工生活</w:t>
            </w:r>
          </w:p>
        </w:tc>
        <w:tc>
          <w:tcPr>
            <w:tcW w:w="2579" w:type="dxa"/>
          </w:tcPr>
          <w:p w14:paraId="29FDB72A">
            <w:pPr>
              <w:pStyle w:val="14"/>
              <w:spacing w:before="17" w:line="275" w:lineRule="exact"/>
              <w:ind w:left="109" w:right="109"/>
              <w:jc w:val="center"/>
              <w:rPr>
                <w:sz w:val="21"/>
              </w:rPr>
            </w:pPr>
            <w:r>
              <w:rPr>
                <w:rFonts w:ascii="Times New Roman" w:eastAsia="Times New Roman"/>
                <w:position w:val="2"/>
                <w:sz w:val="21"/>
              </w:rPr>
              <w:t xml:space="preserve">pH </w:t>
            </w:r>
            <w:r>
              <w:rPr>
                <w:position w:val="2"/>
                <w:sz w:val="21"/>
              </w:rPr>
              <w:t>值、</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p>
          <w:p w14:paraId="282C87B2">
            <w:pPr>
              <w:pStyle w:val="14"/>
              <w:spacing w:line="273" w:lineRule="exact"/>
              <w:ind w:left="109" w:right="108"/>
              <w:jc w:val="center"/>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-H</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r>
              <w:rPr>
                <w:rFonts w:ascii="Times New Roman" w:eastAsia="Times New Roman"/>
                <w:position w:val="2"/>
                <w:sz w:val="21"/>
                <w:vertAlign w:val="baseline"/>
              </w:rPr>
              <w:t>TP</w:t>
            </w:r>
            <w:r>
              <w:rPr>
                <w:position w:val="2"/>
                <w:sz w:val="21"/>
                <w:vertAlign w:val="baseline"/>
              </w:rPr>
              <w:t>、</w:t>
            </w:r>
            <w:r>
              <w:rPr>
                <w:rFonts w:ascii="Times New Roman" w:eastAsia="Times New Roman"/>
                <w:position w:val="2"/>
                <w:sz w:val="21"/>
                <w:vertAlign w:val="baseline"/>
              </w:rPr>
              <w:t>TN</w:t>
            </w:r>
          </w:p>
        </w:tc>
        <w:tc>
          <w:tcPr>
            <w:tcW w:w="1081" w:type="dxa"/>
            <w:vMerge w:val="continue"/>
            <w:tcBorders>
              <w:top w:val="nil"/>
            </w:tcBorders>
          </w:tcPr>
          <w:p w14:paraId="588C0C43">
            <w:pPr>
              <w:rPr>
                <w:sz w:val="2"/>
                <w:szCs w:val="2"/>
              </w:rPr>
            </w:pPr>
          </w:p>
        </w:tc>
        <w:tc>
          <w:tcPr>
            <w:tcW w:w="653" w:type="dxa"/>
          </w:tcPr>
          <w:p w14:paraId="4C842835">
            <w:pPr>
              <w:pStyle w:val="14"/>
              <w:spacing w:before="155"/>
              <w:ind w:left="34" w:right="34"/>
              <w:jc w:val="center"/>
              <w:rPr>
                <w:sz w:val="21"/>
              </w:rPr>
            </w:pPr>
            <w:r>
              <w:rPr>
                <w:sz w:val="21"/>
              </w:rPr>
              <w:t>轻度</w:t>
            </w:r>
          </w:p>
        </w:tc>
        <w:tc>
          <w:tcPr>
            <w:tcW w:w="653" w:type="dxa"/>
            <w:vMerge w:val="continue"/>
            <w:tcBorders>
              <w:top w:val="nil"/>
            </w:tcBorders>
          </w:tcPr>
          <w:p w14:paraId="76EB4B01">
            <w:pPr>
              <w:rPr>
                <w:sz w:val="2"/>
                <w:szCs w:val="2"/>
              </w:rPr>
            </w:pPr>
          </w:p>
        </w:tc>
      </w:tr>
      <w:tr w14:paraId="742A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578" w:type="dxa"/>
            <w:vMerge w:val="continue"/>
            <w:tcBorders>
              <w:top w:val="nil"/>
            </w:tcBorders>
          </w:tcPr>
          <w:p w14:paraId="623AB6B7">
            <w:pPr>
              <w:rPr>
                <w:sz w:val="2"/>
                <w:szCs w:val="2"/>
              </w:rPr>
            </w:pPr>
          </w:p>
        </w:tc>
        <w:tc>
          <w:tcPr>
            <w:tcW w:w="507" w:type="dxa"/>
          </w:tcPr>
          <w:p w14:paraId="3DE00D8F">
            <w:pPr>
              <w:pStyle w:val="14"/>
              <w:spacing w:before="157" w:line="242" w:lineRule="auto"/>
              <w:ind w:left="144" w:right="141"/>
              <w:rPr>
                <w:sz w:val="21"/>
              </w:rPr>
            </w:pPr>
            <w:r>
              <w:rPr>
                <w:sz w:val="21"/>
              </w:rPr>
              <w:t>噪声</w:t>
            </w:r>
          </w:p>
        </w:tc>
        <w:tc>
          <w:tcPr>
            <w:tcW w:w="2477" w:type="dxa"/>
          </w:tcPr>
          <w:p w14:paraId="66E84FB3">
            <w:pPr>
              <w:pStyle w:val="14"/>
              <w:spacing w:before="20" w:line="242" w:lineRule="auto"/>
              <w:ind w:left="182" w:right="184"/>
              <w:jc w:val="center"/>
              <w:rPr>
                <w:sz w:val="21"/>
              </w:rPr>
            </w:pPr>
            <w:r>
              <w:rPr>
                <w:w w:val="95"/>
                <w:sz w:val="21"/>
              </w:rPr>
              <w:t>屠宰车间、待宰圈、污水处理站、无害化暂存</w:t>
            </w:r>
            <w:r>
              <w:rPr>
                <w:sz w:val="21"/>
              </w:rPr>
              <w:t>间、制冷设备间</w:t>
            </w:r>
          </w:p>
        </w:tc>
        <w:tc>
          <w:tcPr>
            <w:tcW w:w="2579" w:type="dxa"/>
          </w:tcPr>
          <w:p w14:paraId="3825DD1E">
            <w:pPr>
              <w:pStyle w:val="14"/>
              <w:spacing w:before="157" w:line="242" w:lineRule="auto"/>
              <w:ind w:left="655" w:right="128" w:hanging="526"/>
              <w:rPr>
                <w:sz w:val="21"/>
              </w:rPr>
            </w:pPr>
            <w:r>
              <w:rPr>
                <w:w w:val="95"/>
                <w:sz w:val="21"/>
              </w:rPr>
              <w:t>各类机械设备、运输车辆</w:t>
            </w:r>
            <w:r>
              <w:rPr>
                <w:sz w:val="21"/>
              </w:rPr>
              <w:t>噪声、猪叫声</w:t>
            </w:r>
          </w:p>
        </w:tc>
        <w:tc>
          <w:tcPr>
            <w:tcW w:w="1081" w:type="dxa"/>
          </w:tcPr>
          <w:p w14:paraId="1EF8F3BB">
            <w:pPr>
              <w:pStyle w:val="14"/>
              <w:spacing w:before="10"/>
              <w:rPr>
                <w:b/>
                <w:sz w:val="22"/>
              </w:rPr>
            </w:pPr>
          </w:p>
          <w:p w14:paraId="538C45E7">
            <w:pPr>
              <w:pStyle w:val="14"/>
              <w:ind w:left="93" w:right="92"/>
              <w:jc w:val="center"/>
              <w:rPr>
                <w:sz w:val="21"/>
              </w:rPr>
            </w:pPr>
            <w:r>
              <w:rPr>
                <w:sz w:val="21"/>
              </w:rPr>
              <w:t>声环境</w:t>
            </w:r>
          </w:p>
        </w:tc>
        <w:tc>
          <w:tcPr>
            <w:tcW w:w="653" w:type="dxa"/>
          </w:tcPr>
          <w:p w14:paraId="63203E71">
            <w:pPr>
              <w:pStyle w:val="14"/>
              <w:spacing w:before="10"/>
              <w:rPr>
                <w:b/>
                <w:sz w:val="22"/>
              </w:rPr>
            </w:pPr>
          </w:p>
          <w:p w14:paraId="4C7C770B">
            <w:pPr>
              <w:pStyle w:val="14"/>
              <w:ind w:left="34" w:right="34"/>
              <w:jc w:val="center"/>
              <w:rPr>
                <w:sz w:val="21"/>
              </w:rPr>
            </w:pPr>
            <w:r>
              <w:rPr>
                <w:sz w:val="21"/>
              </w:rPr>
              <w:t>很小</w:t>
            </w:r>
          </w:p>
        </w:tc>
        <w:tc>
          <w:tcPr>
            <w:tcW w:w="653" w:type="dxa"/>
            <w:vMerge w:val="continue"/>
            <w:tcBorders>
              <w:top w:val="nil"/>
            </w:tcBorders>
          </w:tcPr>
          <w:p w14:paraId="435BC2A6">
            <w:pPr>
              <w:rPr>
                <w:sz w:val="2"/>
                <w:szCs w:val="2"/>
              </w:rPr>
            </w:pPr>
          </w:p>
        </w:tc>
      </w:tr>
      <w:tr w14:paraId="50403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578" w:type="dxa"/>
            <w:vMerge w:val="continue"/>
            <w:tcBorders>
              <w:top w:val="nil"/>
            </w:tcBorders>
          </w:tcPr>
          <w:p w14:paraId="5FC1B72C">
            <w:pPr>
              <w:rPr>
                <w:sz w:val="2"/>
                <w:szCs w:val="2"/>
              </w:rPr>
            </w:pPr>
          </w:p>
        </w:tc>
        <w:tc>
          <w:tcPr>
            <w:tcW w:w="507" w:type="dxa"/>
            <w:vMerge w:val="restart"/>
          </w:tcPr>
          <w:p w14:paraId="66F2A246">
            <w:pPr>
              <w:pStyle w:val="14"/>
              <w:spacing w:before="10"/>
              <w:rPr>
                <w:b/>
                <w:sz w:val="24"/>
              </w:rPr>
            </w:pPr>
          </w:p>
          <w:p w14:paraId="2246C714">
            <w:pPr>
              <w:pStyle w:val="14"/>
              <w:spacing w:line="242" w:lineRule="auto"/>
              <w:ind w:left="144" w:right="141"/>
              <w:rPr>
                <w:sz w:val="21"/>
              </w:rPr>
            </w:pPr>
            <w:r>
              <w:rPr>
                <w:sz w:val="21"/>
              </w:rPr>
              <w:t>固废</w:t>
            </w:r>
          </w:p>
        </w:tc>
        <w:tc>
          <w:tcPr>
            <w:tcW w:w="2477" w:type="dxa"/>
          </w:tcPr>
          <w:p w14:paraId="678E626B">
            <w:pPr>
              <w:pStyle w:val="14"/>
              <w:spacing w:before="20" w:line="242" w:lineRule="auto"/>
              <w:ind w:left="182" w:right="184"/>
              <w:jc w:val="center"/>
              <w:rPr>
                <w:sz w:val="21"/>
              </w:rPr>
            </w:pPr>
            <w:r>
              <w:rPr>
                <w:w w:val="95"/>
                <w:sz w:val="21"/>
              </w:rPr>
              <w:t>生产车间、待宰圈、污水处理站、无害化暂存</w:t>
            </w:r>
            <w:r>
              <w:rPr>
                <w:sz w:val="21"/>
              </w:rPr>
              <w:t>间</w:t>
            </w:r>
          </w:p>
        </w:tc>
        <w:tc>
          <w:tcPr>
            <w:tcW w:w="2579" w:type="dxa"/>
          </w:tcPr>
          <w:p w14:paraId="2CBBB9B6">
            <w:pPr>
              <w:pStyle w:val="14"/>
              <w:spacing w:before="11"/>
              <w:rPr>
                <w:b/>
                <w:sz w:val="22"/>
              </w:rPr>
            </w:pPr>
          </w:p>
          <w:p w14:paraId="36D6CAF7">
            <w:pPr>
              <w:pStyle w:val="14"/>
              <w:spacing w:before="1"/>
              <w:ind w:left="109" w:right="109"/>
              <w:jc w:val="center"/>
              <w:rPr>
                <w:sz w:val="21"/>
              </w:rPr>
            </w:pPr>
            <w:r>
              <w:rPr>
                <w:sz w:val="21"/>
              </w:rPr>
              <w:t>一般固体废物、危险废物</w:t>
            </w:r>
          </w:p>
        </w:tc>
        <w:tc>
          <w:tcPr>
            <w:tcW w:w="1081" w:type="dxa"/>
            <w:vMerge w:val="restart"/>
          </w:tcPr>
          <w:p w14:paraId="6CE90F6A">
            <w:pPr>
              <w:pStyle w:val="14"/>
              <w:spacing w:before="1"/>
              <w:rPr>
                <w:b/>
                <w:sz w:val="14"/>
              </w:rPr>
            </w:pPr>
          </w:p>
          <w:p w14:paraId="7131B8A9">
            <w:pPr>
              <w:pStyle w:val="14"/>
              <w:spacing w:line="242" w:lineRule="auto"/>
              <w:ind w:left="116" w:right="115" w:firstLine="2"/>
              <w:jc w:val="center"/>
              <w:rPr>
                <w:sz w:val="21"/>
              </w:rPr>
            </w:pPr>
            <w:r>
              <w:rPr>
                <w:sz w:val="21"/>
              </w:rPr>
              <w:t xml:space="preserve">大气环 </w:t>
            </w:r>
            <w:r>
              <w:rPr>
                <w:w w:val="95"/>
                <w:sz w:val="21"/>
              </w:rPr>
              <w:t>境、水环</w:t>
            </w:r>
            <w:r>
              <w:rPr>
                <w:sz w:val="21"/>
              </w:rPr>
              <w:t>境</w:t>
            </w:r>
          </w:p>
        </w:tc>
        <w:tc>
          <w:tcPr>
            <w:tcW w:w="653" w:type="dxa"/>
          </w:tcPr>
          <w:p w14:paraId="13A4D176">
            <w:pPr>
              <w:pStyle w:val="14"/>
              <w:spacing w:before="11"/>
              <w:rPr>
                <w:b/>
                <w:sz w:val="22"/>
              </w:rPr>
            </w:pPr>
          </w:p>
          <w:p w14:paraId="2B650049">
            <w:pPr>
              <w:pStyle w:val="14"/>
              <w:spacing w:before="1"/>
              <w:ind w:left="34" w:right="34"/>
              <w:jc w:val="center"/>
              <w:rPr>
                <w:sz w:val="21"/>
              </w:rPr>
            </w:pPr>
            <w:r>
              <w:rPr>
                <w:sz w:val="21"/>
              </w:rPr>
              <w:t>轻度</w:t>
            </w:r>
          </w:p>
        </w:tc>
        <w:tc>
          <w:tcPr>
            <w:tcW w:w="653" w:type="dxa"/>
            <w:vMerge w:val="continue"/>
            <w:tcBorders>
              <w:top w:val="nil"/>
            </w:tcBorders>
          </w:tcPr>
          <w:p w14:paraId="39EFFF93">
            <w:pPr>
              <w:rPr>
                <w:sz w:val="2"/>
                <w:szCs w:val="2"/>
              </w:rPr>
            </w:pPr>
          </w:p>
        </w:tc>
      </w:tr>
      <w:tr w14:paraId="5EE61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78" w:type="dxa"/>
            <w:vMerge w:val="continue"/>
            <w:tcBorders>
              <w:top w:val="nil"/>
            </w:tcBorders>
          </w:tcPr>
          <w:p w14:paraId="19C6D870">
            <w:pPr>
              <w:rPr>
                <w:sz w:val="2"/>
                <w:szCs w:val="2"/>
              </w:rPr>
            </w:pPr>
          </w:p>
        </w:tc>
        <w:tc>
          <w:tcPr>
            <w:tcW w:w="507" w:type="dxa"/>
            <w:vMerge w:val="continue"/>
            <w:tcBorders>
              <w:top w:val="nil"/>
            </w:tcBorders>
          </w:tcPr>
          <w:p w14:paraId="32E76010">
            <w:pPr>
              <w:rPr>
                <w:sz w:val="2"/>
                <w:szCs w:val="2"/>
              </w:rPr>
            </w:pPr>
          </w:p>
        </w:tc>
        <w:tc>
          <w:tcPr>
            <w:tcW w:w="2477" w:type="dxa"/>
          </w:tcPr>
          <w:p w14:paraId="2FD7DCEC">
            <w:pPr>
              <w:pStyle w:val="14"/>
              <w:spacing w:before="22"/>
              <w:ind w:left="182" w:right="183"/>
              <w:jc w:val="center"/>
              <w:rPr>
                <w:sz w:val="21"/>
              </w:rPr>
            </w:pPr>
            <w:r>
              <w:rPr>
                <w:sz w:val="21"/>
              </w:rPr>
              <w:t>员工生活</w:t>
            </w:r>
          </w:p>
        </w:tc>
        <w:tc>
          <w:tcPr>
            <w:tcW w:w="2579" w:type="dxa"/>
          </w:tcPr>
          <w:p w14:paraId="265FCE9C">
            <w:pPr>
              <w:pStyle w:val="14"/>
              <w:spacing w:before="22"/>
              <w:ind w:left="108" w:right="109"/>
              <w:jc w:val="center"/>
              <w:rPr>
                <w:sz w:val="21"/>
              </w:rPr>
            </w:pPr>
            <w:r>
              <w:rPr>
                <w:sz w:val="21"/>
              </w:rPr>
              <w:t>生活垃圾</w:t>
            </w:r>
          </w:p>
        </w:tc>
        <w:tc>
          <w:tcPr>
            <w:tcW w:w="1081" w:type="dxa"/>
            <w:vMerge w:val="continue"/>
            <w:tcBorders>
              <w:top w:val="nil"/>
            </w:tcBorders>
          </w:tcPr>
          <w:p w14:paraId="50233341">
            <w:pPr>
              <w:rPr>
                <w:sz w:val="2"/>
                <w:szCs w:val="2"/>
              </w:rPr>
            </w:pPr>
          </w:p>
        </w:tc>
        <w:tc>
          <w:tcPr>
            <w:tcW w:w="653" w:type="dxa"/>
          </w:tcPr>
          <w:p w14:paraId="61A60DFF">
            <w:pPr>
              <w:pStyle w:val="14"/>
              <w:spacing w:before="22"/>
              <w:ind w:left="34" w:right="34"/>
              <w:jc w:val="center"/>
              <w:rPr>
                <w:sz w:val="21"/>
              </w:rPr>
            </w:pPr>
            <w:r>
              <w:rPr>
                <w:sz w:val="21"/>
              </w:rPr>
              <w:t>很小</w:t>
            </w:r>
          </w:p>
        </w:tc>
        <w:tc>
          <w:tcPr>
            <w:tcW w:w="653" w:type="dxa"/>
            <w:vMerge w:val="continue"/>
            <w:tcBorders>
              <w:top w:val="nil"/>
            </w:tcBorders>
          </w:tcPr>
          <w:p w14:paraId="25350106">
            <w:pPr>
              <w:rPr>
                <w:sz w:val="2"/>
                <w:szCs w:val="2"/>
              </w:rPr>
            </w:pPr>
          </w:p>
        </w:tc>
      </w:tr>
    </w:tbl>
    <w:p w14:paraId="6F566F8A">
      <w:pPr>
        <w:pStyle w:val="6"/>
        <w:numPr>
          <w:ilvl w:val="2"/>
          <w:numId w:val="11"/>
        </w:numPr>
        <w:tabs>
          <w:tab w:val="left" w:pos="811"/>
        </w:tabs>
        <w:spacing w:before="1" w:after="0" w:line="240" w:lineRule="auto"/>
        <w:ind w:left="810" w:right="0" w:hanging="530"/>
        <w:jc w:val="left"/>
      </w:pPr>
      <w:bookmarkStart w:id="60" w:name="2.3.3评价因子"/>
      <w:bookmarkEnd w:id="60"/>
      <w:bookmarkStart w:id="61" w:name="2.3.3评价因子"/>
      <w:bookmarkEnd w:id="61"/>
      <w:r>
        <w:t>评价因子</w:t>
      </w:r>
    </w:p>
    <w:p w14:paraId="0B290827">
      <w:pPr>
        <w:pStyle w:val="7"/>
        <w:spacing w:before="161" w:line="364" w:lineRule="auto"/>
        <w:ind w:left="280" w:right="337" w:firstLine="480"/>
      </w:pPr>
      <w:r>
        <w:t xml:space="preserve">根据对项目的污染因子识别，结合环境现状特征，筛选出本项目的评价因子，详见表 </w:t>
      </w:r>
      <w:r>
        <w:rPr>
          <w:rFonts w:ascii="Times New Roman" w:eastAsia="Times New Roman"/>
        </w:rPr>
        <w:t>2.3- 2</w:t>
      </w:r>
      <w:r>
        <w:t>。</w:t>
      </w:r>
    </w:p>
    <w:p w14:paraId="681084F5">
      <w:pPr>
        <w:spacing w:after="0" w:line="364" w:lineRule="auto"/>
        <w:sectPr>
          <w:pgSz w:w="11910" w:h="16840"/>
          <w:pgMar w:top="1360" w:right="1460" w:bottom="1400" w:left="1520" w:header="878" w:footer="1204" w:gutter="0"/>
          <w:cols w:space="720" w:num="1"/>
        </w:sectPr>
      </w:pPr>
    </w:p>
    <w:p w14:paraId="75C3AFE8">
      <w:pPr>
        <w:pStyle w:val="7"/>
        <w:rPr>
          <w:sz w:val="20"/>
        </w:rPr>
      </w:pPr>
    </w:p>
    <w:p w14:paraId="3A4E0429">
      <w:pPr>
        <w:pStyle w:val="7"/>
        <w:spacing w:before="8"/>
        <w:rPr>
          <w:sz w:val="17"/>
        </w:rPr>
      </w:pPr>
    </w:p>
    <w:p w14:paraId="3BF40980">
      <w:pPr>
        <w:spacing w:before="0" w:after="2"/>
        <w:ind w:left="262" w:right="324" w:firstLine="0"/>
        <w:jc w:val="center"/>
        <w:rPr>
          <w:b/>
          <w:sz w:val="21"/>
        </w:rPr>
      </w:pPr>
      <w:r>
        <w:rPr>
          <w:b/>
          <w:sz w:val="21"/>
        </w:rPr>
        <w:t xml:space="preserve">表 </w:t>
      </w:r>
      <w:r>
        <w:rPr>
          <w:rFonts w:ascii="Times New Roman" w:eastAsia="Times New Roman"/>
          <w:b/>
          <w:sz w:val="21"/>
        </w:rPr>
        <w:t xml:space="preserve">2.3- 2 </w:t>
      </w:r>
      <w:r>
        <w:rPr>
          <w:b/>
          <w:sz w:val="21"/>
        </w:rPr>
        <w:t>评价因子确定</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2"/>
        <w:gridCol w:w="4701"/>
        <w:gridCol w:w="1254"/>
        <w:gridCol w:w="1185"/>
      </w:tblGrid>
      <w:tr w14:paraId="459ED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82" w:type="dxa"/>
          </w:tcPr>
          <w:p w14:paraId="579330E2">
            <w:pPr>
              <w:pStyle w:val="14"/>
              <w:spacing w:before="91"/>
              <w:ind w:left="144" w:right="137"/>
              <w:jc w:val="center"/>
              <w:rPr>
                <w:b/>
                <w:sz w:val="21"/>
              </w:rPr>
            </w:pPr>
            <w:r>
              <w:rPr>
                <w:b/>
                <w:sz w:val="21"/>
              </w:rPr>
              <w:t>项目</w:t>
            </w:r>
          </w:p>
        </w:tc>
        <w:tc>
          <w:tcPr>
            <w:tcW w:w="4701" w:type="dxa"/>
          </w:tcPr>
          <w:p w14:paraId="7F1C18FF">
            <w:pPr>
              <w:pStyle w:val="14"/>
              <w:spacing w:before="91"/>
              <w:ind w:left="101" w:right="93"/>
              <w:jc w:val="center"/>
              <w:rPr>
                <w:b/>
                <w:sz w:val="21"/>
              </w:rPr>
            </w:pPr>
            <w:r>
              <w:rPr>
                <w:b/>
                <w:sz w:val="21"/>
              </w:rPr>
              <w:t>现状评价因子</w:t>
            </w:r>
          </w:p>
        </w:tc>
        <w:tc>
          <w:tcPr>
            <w:tcW w:w="1254" w:type="dxa"/>
          </w:tcPr>
          <w:p w14:paraId="5AA32E9C">
            <w:pPr>
              <w:pStyle w:val="14"/>
              <w:spacing w:before="91"/>
              <w:ind w:left="156" w:right="148"/>
              <w:jc w:val="center"/>
              <w:rPr>
                <w:b/>
                <w:sz w:val="21"/>
              </w:rPr>
            </w:pPr>
            <w:r>
              <w:rPr>
                <w:b/>
                <w:sz w:val="21"/>
              </w:rPr>
              <w:t>污染因子</w:t>
            </w:r>
          </w:p>
        </w:tc>
        <w:tc>
          <w:tcPr>
            <w:tcW w:w="1185" w:type="dxa"/>
          </w:tcPr>
          <w:p w14:paraId="647CC1A3">
            <w:pPr>
              <w:pStyle w:val="14"/>
              <w:spacing w:before="91"/>
              <w:ind w:left="121" w:right="114"/>
              <w:jc w:val="center"/>
              <w:rPr>
                <w:b/>
                <w:sz w:val="21"/>
              </w:rPr>
            </w:pPr>
            <w:r>
              <w:rPr>
                <w:b/>
                <w:sz w:val="21"/>
              </w:rPr>
              <w:t>预测因子</w:t>
            </w:r>
          </w:p>
        </w:tc>
      </w:tr>
      <w:tr w14:paraId="374F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382" w:type="dxa"/>
          </w:tcPr>
          <w:p w14:paraId="778C337B">
            <w:pPr>
              <w:pStyle w:val="14"/>
              <w:rPr>
                <w:b/>
                <w:sz w:val="20"/>
              </w:rPr>
            </w:pPr>
          </w:p>
          <w:p w14:paraId="1FF607CD">
            <w:pPr>
              <w:pStyle w:val="14"/>
              <w:spacing w:before="153"/>
              <w:ind w:left="144" w:right="137"/>
              <w:jc w:val="center"/>
              <w:rPr>
                <w:sz w:val="21"/>
              </w:rPr>
            </w:pPr>
            <w:r>
              <w:rPr>
                <w:sz w:val="21"/>
              </w:rPr>
              <w:t>大气环境</w:t>
            </w:r>
          </w:p>
        </w:tc>
        <w:tc>
          <w:tcPr>
            <w:tcW w:w="4701" w:type="dxa"/>
          </w:tcPr>
          <w:p w14:paraId="2A27E90C">
            <w:pPr>
              <w:pStyle w:val="14"/>
              <w:rPr>
                <w:b/>
                <w:sz w:val="21"/>
              </w:rPr>
            </w:pPr>
          </w:p>
          <w:p w14:paraId="28A78066">
            <w:pPr>
              <w:pStyle w:val="14"/>
              <w:ind w:left="1958" w:right="224" w:hanging="1726"/>
              <w:rPr>
                <w:rFonts w:ascii="Times New Roman" w:eastAsia="Times New Roman"/>
                <w:sz w:val="21"/>
              </w:rPr>
            </w:pPr>
            <w:r>
              <w:rPr>
                <w:rFonts w:ascii="Times New Roman" w:eastAsia="Times New Roman"/>
                <w:position w:val="2"/>
                <w:sz w:val="21"/>
              </w:rPr>
              <w:t>PM</w:t>
            </w:r>
            <w:r>
              <w:rPr>
                <w:rFonts w:ascii="Times New Roman" w:eastAsia="Times New Roman"/>
                <w:position w:val="2"/>
                <w:sz w:val="21"/>
                <w:vertAlign w:val="subscript"/>
              </w:rPr>
              <w:t>2.5</w:t>
            </w:r>
            <w:r>
              <w:rPr>
                <w:position w:val="2"/>
                <w:sz w:val="21"/>
                <w:vertAlign w:val="baseline"/>
              </w:rPr>
              <w:t>、</w:t>
            </w:r>
            <w:r>
              <w:rPr>
                <w:rFonts w:ascii="Times New Roman" w:eastAsia="Times New Roman"/>
                <w:position w:val="2"/>
                <w:sz w:val="21"/>
                <w:vertAlign w:val="baseline"/>
              </w:rPr>
              <w:t>PM</w:t>
            </w:r>
            <w:r>
              <w:rPr>
                <w:rFonts w:ascii="Times New Roman" w:eastAsia="Times New Roman"/>
                <w:position w:val="2"/>
                <w:sz w:val="21"/>
                <w:vertAlign w:val="subscript"/>
              </w:rPr>
              <w:t>10</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CO</w:t>
            </w:r>
            <w:r>
              <w:rPr>
                <w:position w:val="2"/>
                <w:sz w:val="21"/>
                <w:vertAlign w:val="baseline"/>
              </w:rPr>
              <w:t>、</w:t>
            </w:r>
            <w:r>
              <w:rPr>
                <w:rFonts w:ascii="Times New Roman" w:eastAsia="Times New Roman"/>
                <w:position w:val="2"/>
                <w:sz w:val="21"/>
                <w:vertAlign w:val="baseline"/>
              </w:rPr>
              <w:t>O</w:t>
            </w:r>
            <w:r>
              <w:rPr>
                <w:rFonts w:ascii="Times New Roman" w:eastAsia="Times New Roman"/>
                <w:position w:val="2"/>
                <w:sz w:val="21"/>
                <w:vertAlign w:val="subscript"/>
              </w:rPr>
              <w:t>3</w:t>
            </w:r>
            <w:r>
              <w:rPr>
                <w:position w:val="2"/>
                <w:sz w:val="21"/>
                <w:vertAlign w:val="baseline"/>
              </w:rPr>
              <w:t>、氨、硫化</w:t>
            </w:r>
            <w:r>
              <w:rPr>
                <w:sz w:val="21"/>
                <w:vertAlign w:val="baseline"/>
              </w:rPr>
              <w:t>氢、</w:t>
            </w:r>
            <w:r>
              <w:rPr>
                <w:rFonts w:ascii="Times New Roman" w:eastAsia="Times New Roman"/>
                <w:sz w:val="21"/>
                <w:vertAlign w:val="baseline"/>
              </w:rPr>
              <w:t>TSP</w:t>
            </w:r>
          </w:p>
        </w:tc>
        <w:tc>
          <w:tcPr>
            <w:tcW w:w="1254" w:type="dxa"/>
          </w:tcPr>
          <w:p w14:paraId="0EAAB026">
            <w:pPr>
              <w:pStyle w:val="14"/>
              <w:spacing w:before="1" w:line="242" w:lineRule="auto"/>
              <w:ind w:left="207" w:right="197"/>
              <w:jc w:val="both"/>
              <w:rPr>
                <w:sz w:val="21"/>
              </w:rPr>
            </w:pPr>
            <w:r>
              <w:rPr>
                <w:w w:val="95"/>
                <w:sz w:val="21"/>
              </w:rPr>
              <w:t>氨、硫化氢、二氧化硫、氮</w:t>
            </w:r>
          </w:p>
          <w:p w14:paraId="4F9F09FF">
            <w:pPr>
              <w:pStyle w:val="14"/>
              <w:spacing w:before="1" w:line="252" w:lineRule="exact"/>
              <w:ind w:left="312"/>
              <w:rPr>
                <w:sz w:val="21"/>
              </w:rPr>
            </w:pPr>
            <w:r>
              <w:rPr>
                <w:sz w:val="21"/>
              </w:rPr>
              <w:t>氧化物</w:t>
            </w:r>
          </w:p>
        </w:tc>
        <w:tc>
          <w:tcPr>
            <w:tcW w:w="1185" w:type="dxa"/>
          </w:tcPr>
          <w:p w14:paraId="21AF6F63">
            <w:pPr>
              <w:pStyle w:val="14"/>
              <w:spacing w:before="1" w:line="242" w:lineRule="auto"/>
              <w:ind w:left="172" w:right="162"/>
              <w:jc w:val="both"/>
              <w:rPr>
                <w:sz w:val="21"/>
              </w:rPr>
            </w:pPr>
            <w:r>
              <w:rPr>
                <w:w w:val="95"/>
                <w:sz w:val="21"/>
              </w:rPr>
              <w:t>氨、硫化氢、二氧化硫、氮</w:t>
            </w:r>
          </w:p>
          <w:p w14:paraId="10CEA48F">
            <w:pPr>
              <w:pStyle w:val="14"/>
              <w:spacing w:before="1" w:line="252" w:lineRule="exact"/>
              <w:ind w:left="275"/>
              <w:rPr>
                <w:sz w:val="21"/>
              </w:rPr>
            </w:pPr>
            <w:r>
              <w:rPr>
                <w:sz w:val="21"/>
              </w:rPr>
              <w:t>氧化物</w:t>
            </w:r>
          </w:p>
        </w:tc>
      </w:tr>
      <w:tr w14:paraId="037FE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382" w:type="dxa"/>
          </w:tcPr>
          <w:p w14:paraId="3C399099">
            <w:pPr>
              <w:pStyle w:val="14"/>
              <w:spacing w:before="135"/>
              <w:ind w:left="144" w:right="137"/>
              <w:jc w:val="center"/>
              <w:rPr>
                <w:sz w:val="21"/>
              </w:rPr>
            </w:pPr>
            <w:r>
              <w:rPr>
                <w:sz w:val="21"/>
              </w:rPr>
              <w:t>地表水环境</w:t>
            </w:r>
          </w:p>
        </w:tc>
        <w:tc>
          <w:tcPr>
            <w:tcW w:w="4701" w:type="dxa"/>
          </w:tcPr>
          <w:p w14:paraId="5FBDABD5">
            <w:pPr>
              <w:pStyle w:val="14"/>
              <w:spacing w:before="24" w:line="254" w:lineRule="exact"/>
              <w:ind w:left="1089" w:right="179" w:hanging="903"/>
              <w:rPr>
                <w:sz w:val="21"/>
              </w:rPr>
            </w:pPr>
            <w:r>
              <w:rPr>
                <w:rFonts w:ascii="Times New Roman" w:eastAsia="Times New Roman"/>
                <w:w w:val="95"/>
                <w:position w:val="2"/>
                <w:sz w:val="21"/>
              </w:rPr>
              <w:t>pH</w:t>
            </w:r>
            <w:r>
              <w:rPr>
                <w:w w:val="95"/>
                <w:position w:val="2"/>
                <w:sz w:val="21"/>
              </w:rPr>
              <w:t>、</w:t>
            </w:r>
            <w:r>
              <w:rPr>
                <w:rFonts w:ascii="Times New Roman" w:eastAsia="Times New Roman"/>
                <w:w w:val="95"/>
                <w:position w:val="2"/>
                <w:sz w:val="21"/>
              </w:rPr>
              <w:t>COD</w:t>
            </w: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vertAlign w:val="baseline"/>
              </w:rPr>
              <w:t>、</w:t>
            </w:r>
            <w:r>
              <w:rPr>
                <w:rFonts w:ascii="Times New Roman" w:eastAsia="Times New Roman"/>
                <w:w w:val="95"/>
                <w:position w:val="2"/>
                <w:sz w:val="21"/>
                <w:vertAlign w:val="baseline"/>
              </w:rPr>
              <w:t>NH</w:t>
            </w:r>
            <w:r>
              <w:rPr>
                <w:rFonts w:ascii="Times New Roman" w:eastAsia="Times New Roman"/>
                <w:w w:val="95"/>
                <w:position w:val="2"/>
                <w:sz w:val="21"/>
                <w:vertAlign w:val="subscript"/>
              </w:rPr>
              <w:t>3</w:t>
            </w:r>
            <w:r>
              <w:rPr>
                <w:rFonts w:ascii="Times New Roman" w:eastAsia="Times New Roman"/>
                <w:w w:val="95"/>
                <w:position w:val="2"/>
                <w:sz w:val="21"/>
                <w:vertAlign w:val="baseline"/>
              </w:rPr>
              <w:t>-N</w:t>
            </w:r>
            <w:r>
              <w:rPr>
                <w:w w:val="95"/>
                <w:position w:val="2"/>
                <w:sz w:val="21"/>
                <w:vertAlign w:val="baseline"/>
              </w:rPr>
              <w:t xml:space="preserve">、总磷、总氮、悬浮 </w:t>
            </w:r>
            <w:r>
              <w:rPr>
                <w:sz w:val="21"/>
                <w:vertAlign w:val="baseline"/>
              </w:rPr>
              <w:t>物、粪大肠菌群、动植物油</w:t>
            </w:r>
          </w:p>
        </w:tc>
        <w:tc>
          <w:tcPr>
            <w:tcW w:w="1254" w:type="dxa"/>
          </w:tcPr>
          <w:p w14:paraId="4FE6A699">
            <w:pPr>
              <w:pStyle w:val="14"/>
              <w:spacing w:before="149"/>
              <w:ind w:left="10"/>
              <w:jc w:val="center"/>
              <w:rPr>
                <w:rFonts w:ascii="Times New Roman"/>
                <w:sz w:val="21"/>
              </w:rPr>
            </w:pPr>
            <w:r>
              <w:rPr>
                <w:rFonts w:ascii="Times New Roman"/>
                <w:w w:val="99"/>
                <w:sz w:val="21"/>
              </w:rPr>
              <w:t>/</w:t>
            </w:r>
          </w:p>
        </w:tc>
        <w:tc>
          <w:tcPr>
            <w:tcW w:w="1185" w:type="dxa"/>
          </w:tcPr>
          <w:p w14:paraId="72ED9443">
            <w:pPr>
              <w:pStyle w:val="14"/>
              <w:spacing w:before="149"/>
              <w:ind w:left="10"/>
              <w:jc w:val="center"/>
              <w:rPr>
                <w:rFonts w:ascii="Times New Roman"/>
                <w:sz w:val="21"/>
              </w:rPr>
            </w:pPr>
            <w:r>
              <w:rPr>
                <w:rFonts w:ascii="Times New Roman"/>
                <w:w w:val="99"/>
                <w:sz w:val="21"/>
              </w:rPr>
              <w:t>/</w:t>
            </w:r>
          </w:p>
        </w:tc>
      </w:tr>
      <w:tr w14:paraId="36289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1382" w:type="dxa"/>
          </w:tcPr>
          <w:p w14:paraId="7D10BAD5">
            <w:pPr>
              <w:pStyle w:val="14"/>
              <w:rPr>
                <w:b/>
                <w:sz w:val="20"/>
              </w:rPr>
            </w:pPr>
          </w:p>
          <w:p w14:paraId="33439F6D">
            <w:pPr>
              <w:pStyle w:val="14"/>
              <w:rPr>
                <w:b/>
                <w:sz w:val="20"/>
              </w:rPr>
            </w:pPr>
          </w:p>
          <w:p w14:paraId="2E7E974A">
            <w:pPr>
              <w:pStyle w:val="14"/>
              <w:spacing w:before="168"/>
              <w:ind w:left="144" w:right="137"/>
              <w:jc w:val="center"/>
              <w:rPr>
                <w:sz w:val="21"/>
              </w:rPr>
            </w:pPr>
            <w:r>
              <w:rPr>
                <w:sz w:val="21"/>
              </w:rPr>
              <w:t>地下水环境</w:t>
            </w:r>
          </w:p>
        </w:tc>
        <w:tc>
          <w:tcPr>
            <w:tcW w:w="4701" w:type="dxa"/>
          </w:tcPr>
          <w:p w14:paraId="7216A855">
            <w:pPr>
              <w:pStyle w:val="14"/>
              <w:ind w:left="196" w:right="83" w:hanging="104"/>
              <w:jc w:val="center"/>
              <w:rPr>
                <w:sz w:val="21"/>
              </w:rPr>
            </w:pPr>
            <w:r>
              <w:rPr>
                <w:rFonts w:ascii="Times New Roman" w:eastAsia="Times New Roman"/>
                <w:position w:val="2"/>
                <w:sz w:val="21"/>
              </w:rPr>
              <w:t>pH</w:t>
            </w:r>
            <w:r>
              <w:rPr>
                <w:position w:val="2"/>
                <w:sz w:val="21"/>
              </w:rPr>
              <w:t>（无量纲</w:t>
            </w:r>
            <w:r>
              <w:rPr>
                <w:spacing w:val="-104"/>
                <w:position w:val="2"/>
                <w:sz w:val="21"/>
              </w:rPr>
              <w:t>）</w:t>
            </w:r>
            <w:r>
              <w:rPr>
                <w:position w:val="2"/>
                <w:sz w:val="21"/>
              </w:rPr>
              <w:t>、总硬度（</w:t>
            </w:r>
            <w:r>
              <w:rPr>
                <w:spacing w:val="-27"/>
                <w:position w:val="2"/>
                <w:sz w:val="21"/>
              </w:rPr>
              <w:t xml:space="preserve">以 </w:t>
            </w:r>
            <w:r>
              <w:rPr>
                <w:rFonts w:ascii="Times New Roman" w:eastAsia="Times New Roman"/>
                <w:position w:val="2"/>
                <w:sz w:val="21"/>
              </w:rPr>
              <w:t>CaCO</w:t>
            </w:r>
            <w:r>
              <w:rPr>
                <w:rFonts w:ascii="Times New Roman" w:eastAsia="Times New Roman"/>
                <w:position w:val="2"/>
                <w:sz w:val="21"/>
                <w:vertAlign w:val="subscript"/>
              </w:rPr>
              <w:t>3</w:t>
            </w:r>
            <w:r>
              <w:rPr>
                <w:rFonts w:ascii="Times New Roman" w:eastAsia="Times New Roman"/>
                <w:spacing w:val="-30"/>
                <w:position w:val="2"/>
                <w:sz w:val="21"/>
                <w:vertAlign w:val="baseline"/>
              </w:rPr>
              <w:t xml:space="preserve"> </w:t>
            </w:r>
            <w:r>
              <w:rPr>
                <w:position w:val="2"/>
                <w:sz w:val="21"/>
                <w:vertAlign w:val="baseline"/>
              </w:rPr>
              <w:t>计</w:t>
            </w:r>
            <w:r>
              <w:rPr>
                <w:spacing w:val="-104"/>
                <w:position w:val="2"/>
                <w:sz w:val="21"/>
                <w:vertAlign w:val="baseline"/>
              </w:rPr>
              <w:t>）</w:t>
            </w:r>
            <w:r>
              <w:rPr>
                <w:position w:val="2"/>
                <w:sz w:val="21"/>
                <w:vertAlign w:val="baseline"/>
              </w:rPr>
              <w:t>、溶解性</w:t>
            </w:r>
            <w:r>
              <w:rPr>
                <w:sz w:val="21"/>
                <w:vertAlign w:val="baseline"/>
              </w:rPr>
              <w:t xml:space="preserve"> </w:t>
            </w:r>
            <w:r>
              <w:rPr>
                <w:w w:val="95"/>
                <w:sz w:val="21"/>
                <w:vertAlign w:val="baseline"/>
              </w:rPr>
              <w:t>总固体、硫酸盐、氯化物、铜、锌、挥发酚类、</w:t>
            </w:r>
          </w:p>
          <w:p w14:paraId="7A059AC9">
            <w:pPr>
              <w:pStyle w:val="14"/>
              <w:spacing w:before="2" w:line="235" w:lineRule="auto"/>
              <w:ind w:left="104" w:right="93"/>
              <w:jc w:val="center"/>
              <w:rPr>
                <w:sz w:val="21"/>
              </w:rPr>
            </w:pPr>
            <w:r>
              <w:rPr>
                <w:position w:val="2"/>
                <w:sz w:val="21"/>
              </w:rPr>
              <w:t>（以苯酚计</w:t>
            </w:r>
            <w:r>
              <w:rPr>
                <w:spacing w:val="-104"/>
                <w:position w:val="2"/>
                <w:sz w:val="21"/>
              </w:rPr>
              <w:t>）</w:t>
            </w:r>
            <w:r>
              <w:rPr>
                <w:position w:val="2"/>
                <w:sz w:val="21"/>
              </w:rPr>
              <w:t>、耗氧量（</w:t>
            </w:r>
            <w:r>
              <w:rPr>
                <w:rFonts w:ascii="Times New Roman" w:eastAsia="Times New Roman"/>
                <w:position w:val="2"/>
                <w:sz w:val="21"/>
              </w:rPr>
              <w:t xml:space="preserve">CODMn </w:t>
            </w:r>
            <w:r>
              <w:rPr>
                <w:spacing w:val="-15"/>
                <w:position w:val="2"/>
                <w:sz w:val="21"/>
              </w:rPr>
              <w:t xml:space="preserve">法，以 </w:t>
            </w:r>
            <w:r>
              <w:rPr>
                <w:rFonts w:ascii="Times New Roman" w:eastAsia="Times New Roman"/>
                <w:position w:val="2"/>
                <w:sz w:val="21"/>
              </w:rPr>
              <w:t>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计</w:t>
            </w:r>
            <w:r>
              <w:rPr>
                <w:spacing w:val="-104"/>
                <w:position w:val="2"/>
                <w:sz w:val="21"/>
                <w:vertAlign w:val="baseline"/>
              </w:rPr>
              <w:t>）</w:t>
            </w:r>
            <w:r>
              <w:rPr>
                <w:position w:val="2"/>
                <w:sz w:val="21"/>
                <w:vertAlign w:val="baseline"/>
              </w:rPr>
              <w:t>、硝酸盐、氨氮、钠、总大肠菌群</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MPN</w:t>
            </w:r>
            <w:r>
              <w:rPr>
                <w:rFonts w:ascii="Times New Roman" w:eastAsia="Times New Roman"/>
                <w:position w:val="2"/>
                <w:sz w:val="21"/>
                <w:vertAlign w:val="subscript"/>
              </w:rPr>
              <w:t>b</w:t>
            </w:r>
            <w:r>
              <w:rPr>
                <w:rFonts w:ascii="Times New Roman" w:eastAsia="Times New Roman"/>
                <w:position w:val="2"/>
                <w:sz w:val="21"/>
                <w:vertAlign w:val="baseline"/>
              </w:rPr>
              <w:t xml:space="preserve">/100 </w:t>
            </w:r>
            <w:r>
              <w:rPr>
                <w:position w:val="2"/>
                <w:sz w:val="21"/>
                <w:vertAlign w:val="baseline"/>
              </w:rPr>
              <w:t>或</w:t>
            </w:r>
          </w:p>
          <w:p w14:paraId="37717FDA">
            <w:pPr>
              <w:pStyle w:val="14"/>
              <w:spacing w:before="3" w:line="270" w:lineRule="atLeast"/>
              <w:ind w:left="242" w:right="236"/>
              <w:jc w:val="center"/>
              <w:rPr>
                <w:sz w:val="21"/>
              </w:rPr>
            </w:pPr>
            <w:r>
              <w:rPr>
                <w:rFonts w:ascii="Times New Roman" w:eastAsia="Times New Roman"/>
                <w:spacing w:val="-1"/>
                <w:w w:val="99"/>
                <w:sz w:val="21"/>
              </w:rPr>
              <w:t>C</w:t>
            </w:r>
            <w:r>
              <w:rPr>
                <w:rFonts w:ascii="Times New Roman" w:eastAsia="Times New Roman"/>
                <w:spacing w:val="-2"/>
                <w:w w:val="99"/>
                <w:sz w:val="21"/>
              </w:rPr>
              <w:t>F</w:t>
            </w:r>
            <w:r>
              <w:rPr>
                <w:rFonts w:ascii="Times New Roman" w:eastAsia="Times New Roman"/>
                <w:spacing w:val="1"/>
                <w:w w:val="99"/>
                <w:sz w:val="21"/>
              </w:rPr>
              <w:t>U</w:t>
            </w:r>
            <w:r>
              <w:rPr>
                <w:rFonts w:ascii="Times New Roman" w:eastAsia="Times New Roman"/>
                <w:w w:val="99"/>
                <w:sz w:val="21"/>
              </w:rPr>
              <w:t>c</w:t>
            </w:r>
            <w:r>
              <w:rPr>
                <w:rFonts w:ascii="Times New Roman" w:eastAsia="Times New Roman"/>
                <w:spacing w:val="-1"/>
                <w:w w:val="99"/>
                <w:sz w:val="21"/>
              </w:rPr>
              <w:t>/</w:t>
            </w:r>
            <w:r>
              <w:rPr>
                <w:rFonts w:ascii="Times New Roman" w:eastAsia="Times New Roman"/>
                <w:spacing w:val="0"/>
                <w:w w:val="99"/>
                <w:sz w:val="21"/>
              </w:rPr>
              <w:t>100</w:t>
            </w:r>
            <w:r>
              <w:rPr>
                <w:rFonts w:ascii="Times New Roman" w:eastAsia="Times New Roman"/>
                <w:spacing w:val="-2"/>
                <w:w w:val="99"/>
                <w:sz w:val="21"/>
              </w:rPr>
              <w:t>m</w:t>
            </w:r>
            <w:r>
              <w:rPr>
                <w:rFonts w:ascii="Times New Roman" w:eastAsia="Times New Roman"/>
                <w:spacing w:val="0"/>
                <w:w w:val="99"/>
                <w:sz w:val="21"/>
              </w:rPr>
              <w:t>L</w:t>
            </w:r>
            <w:r>
              <w:rPr>
                <w:spacing w:val="-104"/>
                <w:w w:val="99"/>
                <w:sz w:val="21"/>
              </w:rPr>
              <w:t>）</w:t>
            </w:r>
            <w:r>
              <w:rPr>
                <w:spacing w:val="-1"/>
                <w:w w:val="99"/>
                <w:sz w:val="21"/>
              </w:rPr>
              <w:t>、氟化物、汞、砷、镉、铬（</w:t>
            </w:r>
            <w:r>
              <w:rPr>
                <w:w w:val="99"/>
                <w:sz w:val="21"/>
              </w:rPr>
              <w:t>六</w:t>
            </w:r>
            <w:r>
              <w:rPr>
                <w:sz w:val="21"/>
              </w:rPr>
              <w:t>价</w:t>
            </w:r>
            <w:r>
              <w:rPr>
                <w:spacing w:val="-104"/>
                <w:sz w:val="21"/>
              </w:rPr>
              <w:t>）</w:t>
            </w:r>
            <w:r>
              <w:rPr>
                <w:sz w:val="21"/>
              </w:rPr>
              <w:t>、铅、钾、钙、镁、碳酸根、碳酸氢根</w:t>
            </w:r>
          </w:p>
        </w:tc>
        <w:tc>
          <w:tcPr>
            <w:tcW w:w="1254" w:type="dxa"/>
          </w:tcPr>
          <w:p w14:paraId="29EA51CC">
            <w:pPr>
              <w:pStyle w:val="14"/>
              <w:rPr>
                <w:b/>
                <w:sz w:val="20"/>
              </w:rPr>
            </w:pPr>
          </w:p>
          <w:p w14:paraId="68E071C2">
            <w:pPr>
              <w:pStyle w:val="14"/>
              <w:rPr>
                <w:b/>
                <w:sz w:val="20"/>
              </w:rPr>
            </w:pPr>
          </w:p>
          <w:p w14:paraId="099A25FE">
            <w:pPr>
              <w:pStyle w:val="14"/>
              <w:spacing w:before="168"/>
              <w:ind w:left="156" w:right="146"/>
              <w:jc w:val="center"/>
              <w:rPr>
                <w:sz w:val="21"/>
              </w:rPr>
            </w:pPr>
            <w:r>
              <w:rPr>
                <w:sz w:val="21"/>
              </w:rPr>
              <w:t>耗氧量</w:t>
            </w:r>
          </w:p>
        </w:tc>
        <w:tc>
          <w:tcPr>
            <w:tcW w:w="1185" w:type="dxa"/>
          </w:tcPr>
          <w:p w14:paraId="5B70B6E3">
            <w:pPr>
              <w:pStyle w:val="14"/>
              <w:rPr>
                <w:b/>
                <w:sz w:val="20"/>
              </w:rPr>
            </w:pPr>
          </w:p>
          <w:p w14:paraId="282BE71D">
            <w:pPr>
              <w:pStyle w:val="14"/>
              <w:rPr>
                <w:b/>
                <w:sz w:val="20"/>
              </w:rPr>
            </w:pPr>
          </w:p>
          <w:p w14:paraId="074106AA">
            <w:pPr>
              <w:pStyle w:val="14"/>
              <w:spacing w:before="168"/>
              <w:ind w:left="119" w:right="114"/>
              <w:jc w:val="center"/>
              <w:rPr>
                <w:sz w:val="21"/>
              </w:rPr>
            </w:pPr>
            <w:r>
              <w:rPr>
                <w:sz w:val="21"/>
              </w:rPr>
              <w:t>耗氧量</w:t>
            </w:r>
          </w:p>
        </w:tc>
      </w:tr>
      <w:tr w14:paraId="11C83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82" w:type="dxa"/>
          </w:tcPr>
          <w:p w14:paraId="619F0371">
            <w:pPr>
              <w:pStyle w:val="14"/>
              <w:spacing w:before="90"/>
              <w:ind w:left="144" w:right="134"/>
              <w:jc w:val="center"/>
              <w:rPr>
                <w:sz w:val="21"/>
              </w:rPr>
            </w:pPr>
            <w:r>
              <w:rPr>
                <w:sz w:val="21"/>
              </w:rPr>
              <w:t>声环境</w:t>
            </w:r>
          </w:p>
        </w:tc>
        <w:tc>
          <w:tcPr>
            <w:tcW w:w="4701" w:type="dxa"/>
          </w:tcPr>
          <w:p w14:paraId="71A7EA8F">
            <w:pPr>
              <w:pStyle w:val="14"/>
              <w:spacing w:before="90"/>
              <w:ind w:left="101" w:right="93"/>
              <w:jc w:val="center"/>
              <w:rPr>
                <w:sz w:val="21"/>
              </w:rPr>
            </w:pPr>
            <w:r>
              <w:rPr>
                <w:rFonts w:ascii="Times New Roman" w:eastAsia="Times New Roman"/>
                <w:sz w:val="21"/>
              </w:rPr>
              <w:t>Leq</w:t>
            </w:r>
            <w:r>
              <w:rPr>
                <w:sz w:val="21"/>
              </w:rPr>
              <w:t>（</w:t>
            </w:r>
            <w:r>
              <w:rPr>
                <w:rFonts w:ascii="Times New Roman" w:eastAsia="Times New Roman"/>
                <w:sz w:val="21"/>
              </w:rPr>
              <w:t>A</w:t>
            </w:r>
            <w:r>
              <w:rPr>
                <w:sz w:val="21"/>
              </w:rPr>
              <w:t>）</w:t>
            </w:r>
          </w:p>
        </w:tc>
        <w:tc>
          <w:tcPr>
            <w:tcW w:w="1254" w:type="dxa"/>
          </w:tcPr>
          <w:p w14:paraId="0C5ADD53">
            <w:pPr>
              <w:pStyle w:val="14"/>
              <w:spacing w:before="90"/>
              <w:ind w:left="156" w:right="148"/>
              <w:jc w:val="center"/>
              <w:rPr>
                <w:sz w:val="21"/>
              </w:rPr>
            </w:pPr>
            <w:r>
              <w:rPr>
                <w:rFonts w:ascii="Times New Roman" w:eastAsia="Times New Roman"/>
                <w:sz w:val="21"/>
              </w:rPr>
              <w:t>Leq</w:t>
            </w:r>
            <w:r>
              <w:rPr>
                <w:sz w:val="21"/>
              </w:rPr>
              <w:t>（</w:t>
            </w:r>
            <w:r>
              <w:rPr>
                <w:rFonts w:ascii="Times New Roman" w:eastAsia="Times New Roman"/>
                <w:sz w:val="21"/>
              </w:rPr>
              <w:t>A</w:t>
            </w:r>
            <w:r>
              <w:rPr>
                <w:sz w:val="21"/>
              </w:rPr>
              <w:t>）</w:t>
            </w:r>
          </w:p>
        </w:tc>
        <w:tc>
          <w:tcPr>
            <w:tcW w:w="1185" w:type="dxa"/>
          </w:tcPr>
          <w:p w14:paraId="54414D77">
            <w:pPr>
              <w:pStyle w:val="14"/>
              <w:spacing w:before="90"/>
              <w:ind w:left="121" w:right="114"/>
              <w:jc w:val="center"/>
              <w:rPr>
                <w:sz w:val="21"/>
              </w:rPr>
            </w:pPr>
            <w:r>
              <w:rPr>
                <w:rFonts w:ascii="Times New Roman" w:eastAsia="Times New Roman"/>
                <w:sz w:val="21"/>
              </w:rPr>
              <w:t>Leq</w:t>
            </w:r>
            <w:r>
              <w:rPr>
                <w:sz w:val="21"/>
              </w:rPr>
              <w:t>（</w:t>
            </w:r>
            <w:r>
              <w:rPr>
                <w:rFonts w:ascii="Times New Roman" w:eastAsia="Times New Roman"/>
                <w:sz w:val="21"/>
              </w:rPr>
              <w:t>A</w:t>
            </w:r>
            <w:r>
              <w:rPr>
                <w:sz w:val="21"/>
              </w:rPr>
              <w:t>）</w:t>
            </w:r>
          </w:p>
        </w:tc>
      </w:tr>
      <w:tr w14:paraId="65F6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82" w:type="dxa"/>
          </w:tcPr>
          <w:p w14:paraId="746552CC">
            <w:pPr>
              <w:pStyle w:val="14"/>
              <w:spacing w:before="91"/>
              <w:ind w:left="144" w:right="137"/>
              <w:jc w:val="center"/>
              <w:rPr>
                <w:sz w:val="21"/>
              </w:rPr>
            </w:pPr>
            <w:r>
              <w:rPr>
                <w:sz w:val="21"/>
              </w:rPr>
              <w:t>土壤环境</w:t>
            </w:r>
          </w:p>
        </w:tc>
        <w:tc>
          <w:tcPr>
            <w:tcW w:w="4701" w:type="dxa"/>
          </w:tcPr>
          <w:p w14:paraId="12C3208D">
            <w:pPr>
              <w:pStyle w:val="14"/>
              <w:spacing w:before="105"/>
              <w:ind w:left="9"/>
              <w:jc w:val="center"/>
              <w:rPr>
                <w:rFonts w:ascii="Times New Roman"/>
                <w:sz w:val="21"/>
              </w:rPr>
            </w:pPr>
            <w:r>
              <w:rPr>
                <w:rFonts w:ascii="Times New Roman"/>
                <w:w w:val="99"/>
                <w:sz w:val="21"/>
              </w:rPr>
              <w:t>/</w:t>
            </w:r>
          </w:p>
        </w:tc>
        <w:tc>
          <w:tcPr>
            <w:tcW w:w="1254" w:type="dxa"/>
          </w:tcPr>
          <w:p w14:paraId="4B0482DB">
            <w:pPr>
              <w:pStyle w:val="14"/>
              <w:spacing w:before="105"/>
              <w:ind w:left="10"/>
              <w:jc w:val="center"/>
              <w:rPr>
                <w:rFonts w:ascii="Times New Roman"/>
                <w:sz w:val="21"/>
              </w:rPr>
            </w:pPr>
            <w:r>
              <w:rPr>
                <w:rFonts w:ascii="Times New Roman"/>
                <w:w w:val="99"/>
                <w:sz w:val="21"/>
              </w:rPr>
              <w:t>/</w:t>
            </w:r>
          </w:p>
        </w:tc>
        <w:tc>
          <w:tcPr>
            <w:tcW w:w="1185" w:type="dxa"/>
          </w:tcPr>
          <w:p w14:paraId="3E7049B6">
            <w:pPr>
              <w:pStyle w:val="14"/>
              <w:spacing w:before="105"/>
              <w:ind w:left="10"/>
              <w:jc w:val="center"/>
              <w:rPr>
                <w:rFonts w:ascii="Times New Roman"/>
                <w:sz w:val="21"/>
              </w:rPr>
            </w:pPr>
            <w:r>
              <w:rPr>
                <w:rFonts w:ascii="Times New Roman"/>
                <w:w w:val="99"/>
                <w:sz w:val="21"/>
              </w:rPr>
              <w:t>/</w:t>
            </w:r>
          </w:p>
        </w:tc>
      </w:tr>
      <w:tr w14:paraId="41FAC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82" w:type="dxa"/>
          </w:tcPr>
          <w:p w14:paraId="053D3B93">
            <w:pPr>
              <w:pStyle w:val="14"/>
              <w:spacing w:before="90"/>
              <w:ind w:left="144" w:right="137"/>
              <w:jc w:val="center"/>
              <w:rPr>
                <w:sz w:val="21"/>
              </w:rPr>
            </w:pPr>
            <w:r>
              <w:rPr>
                <w:sz w:val="21"/>
              </w:rPr>
              <w:t>生态环境</w:t>
            </w:r>
          </w:p>
        </w:tc>
        <w:tc>
          <w:tcPr>
            <w:tcW w:w="4701" w:type="dxa"/>
          </w:tcPr>
          <w:p w14:paraId="11543745">
            <w:pPr>
              <w:pStyle w:val="14"/>
              <w:spacing w:before="90"/>
              <w:ind w:left="99" w:right="93"/>
              <w:jc w:val="center"/>
              <w:rPr>
                <w:sz w:val="21"/>
              </w:rPr>
            </w:pPr>
            <w:r>
              <w:rPr>
                <w:sz w:val="21"/>
              </w:rPr>
              <w:t>土地利用、生境情况</w:t>
            </w:r>
          </w:p>
        </w:tc>
        <w:tc>
          <w:tcPr>
            <w:tcW w:w="1254" w:type="dxa"/>
          </w:tcPr>
          <w:p w14:paraId="6B9B14A9">
            <w:pPr>
              <w:pStyle w:val="14"/>
              <w:spacing w:before="107"/>
              <w:ind w:left="10"/>
              <w:jc w:val="center"/>
              <w:rPr>
                <w:rFonts w:ascii="Times New Roman"/>
                <w:sz w:val="21"/>
              </w:rPr>
            </w:pPr>
            <w:r>
              <w:rPr>
                <w:rFonts w:ascii="Times New Roman"/>
                <w:w w:val="99"/>
                <w:sz w:val="21"/>
              </w:rPr>
              <w:t>/</w:t>
            </w:r>
          </w:p>
        </w:tc>
        <w:tc>
          <w:tcPr>
            <w:tcW w:w="1185" w:type="dxa"/>
          </w:tcPr>
          <w:p w14:paraId="191850A1">
            <w:pPr>
              <w:pStyle w:val="14"/>
              <w:spacing w:before="107"/>
              <w:ind w:left="10"/>
              <w:jc w:val="center"/>
              <w:rPr>
                <w:rFonts w:ascii="Times New Roman"/>
                <w:sz w:val="21"/>
              </w:rPr>
            </w:pPr>
            <w:r>
              <w:rPr>
                <w:rFonts w:ascii="Times New Roman"/>
                <w:w w:val="99"/>
                <w:sz w:val="21"/>
              </w:rPr>
              <w:t>/</w:t>
            </w:r>
          </w:p>
        </w:tc>
      </w:tr>
      <w:tr w14:paraId="39947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382" w:type="dxa"/>
          </w:tcPr>
          <w:p w14:paraId="2FEF1313">
            <w:pPr>
              <w:pStyle w:val="14"/>
              <w:spacing w:before="90"/>
              <w:ind w:left="144" w:right="137"/>
              <w:jc w:val="center"/>
              <w:rPr>
                <w:sz w:val="21"/>
              </w:rPr>
            </w:pPr>
            <w:r>
              <w:rPr>
                <w:sz w:val="21"/>
              </w:rPr>
              <w:t>环境风险</w:t>
            </w:r>
          </w:p>
        </w:tc>
        <w:tc>
          <w:tcPr>
            <w:tcW w:w="4701" w:type="dxa"/>
          </w:tcPr>
          <w:p w14:paraId="398E2587">
            <w:pPr>
              <w:pStyle w:val="14"/>
              <w:spacing w:before="106"/>
              <w:ind w:left="9"/>
              <w:jc w:val="center"/>
              <w:rPr>
                <w:rFonts w:ascii="Times New Roman"/>
                <w:sz w:val="21"/>
              </w:rPr>
            </w:pPr>
            <w:r>
              <w:rPr>
                <w:rFonts w:ascii="Times New Roman"/>
                <w:w w:val="99"/>
                <w:sz w:val="21"/>
              </w:rPr>
              <w:t>/</w:t>
            </w:r>
          </w:p>
        </w:tc>
        <w:tc>
          <w:tcPr>
            <w:tcW w:w="1254" w:type="dxa"/>
          </w:tcPr>
          <w:p w14:paraId="16792B86">
            <w:pPr>
              <w:pStyle w:val="14"/>
              <w:spacing w:before="106"/>
              <w:ind w:left="10"/>
              <w:jc w:val="center"/>
              <w:rPr>
                <w:rFonts w:ascii="Times New Roman"/>
                <w:sz w:val="21"/>
              </w:rPr>
            </w:pPr>
            <w:r>
              <w:rPr>
                <w:rFonts w:ascii="Times New Roman"/>
                <w:w w:val="99"/>
                <w:sz w:val="21"/>
              </w:rPr>
              <w:t>/</w:t>
            </w:r>
          </w:p>
        </w:tc>
        <w:tc>
          <w:tcPr>
            <w:tcW w:w="1185" w:type="dxa"/>
          </w:tcPr>
          <w:p w14:paraId="0E98EC4D">
            <w:pPr>
              <w:pStyle w:val="14"/>
              <w:spacing w:before="106"/>
              <w:ind w:left="10"/>
              <w:jc w:val="center"/>
              <w:rPr>
                <w:rFonts w:ascii="Times New Roman"/>
                <w:sz w:val="21"/>
              </w:rPr>
            </w:pPr>
            <w:r>
              <w:rPr>
                <w:rFonts w:ascii="Times New Roman"/>
                <w:w w:val="99"/>
                <w:sz w:val="21"/>
              </w:rPr>
              <w:t>/</w:t>
            </w:r>
          </w:p>
        </w:tc>
      </w:tr>
      <w:tr w14:paraId="268F3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1382" w:type="dxa"/>
          </w:tcPr>
          <w:p w14:paraId="667C9823">
            <w:pPr>
              <w:pStyle w:val="14"/>
              <w:rPr>
                <w:b/>
                <w:sz w:val="20"/>
              </w:rPr>
            </w:pPr>
          </w:p>
          <w:p w14:paraId="7AC56A20">
            <w:pPr>
              <w:pStyle w:val="14"/>
              <w:spacing w:before="7"/>
              <w:rPr>
                <w:b/>
                <w:sz w:val="22"/>
              </w:rPr>
            </w:pPr>
          </w:p>
          <w:p w14:paraId="291B4FB3">
            <w:pPr>
              <w:pStyle w:val="14"/>
              <w:ind w:left="144" w:right="137"/>
              <w:jc w:val="center"/>
              <w:rPr>
                <w:sz w:val="21"/>
              </w:rPr>
            </w:pPr>
            <w:r>
              <w:rPr>
                <w:sz w:val="21"/>
              </w:rPr>
              <w:t>总量控制</w:t>
            </w:r>
          </w:p>
        </w:tc>
        <w:tc>
          <w:tcPr>
            <w:tcW w:w="4701" w:type="dxa"/>
          </w:tcPr>
          <w:p w14:paraId="5FEE8FF7">
            <w:pPr>
              <w:pStyle w:val="14"/>
              <w:rPr>
                <w:b/>
                <w:sz w:val="20"/>
              </w:rPr>
            </w:pPr>
          </w:p>
          <w:p w14:paraId="4C61FC8B">
            <w:pPr>
              <w:pStyle w:val="14"/>
              <w:spacing w:before="152" w:line="244" w:lineRule="auto"/>
              <w:ind w:left="1195" w:right="135" w:hanging="1052"/>
              <w:rPr>
                <w:sz w:val="21"/>
              </w:rPr>
            </w:pPr>
            <w:r>
              <w:rPr>
                <w:w w:val="95"/>
                <w:sz w:val="21"/>
              </w:rPr>
              <w:t xml:space="preserve">非甲烷总烃、氮氧化物、化学需氧量、氨氮（十 </w:t>
            </w:r>
            <w:r>
              <w:rPr>
                <w:sz w:val="21"/>
              </w:rPr>
              <w:t>四五、地方可自行确定）</w:t>
            </w:r>
          </w:p>
        </w:tc>
        <w:tc>
          <w:tcPr>
            <w:tcW w:w="1254" w:type="dxa"/>
          </w:tcPr>
          <w:p w14:paraId="65B0A265">
            <w:pPr>
              <w:pStyle w:val="14"/>
              <w:spacing w:line="242" w:lineRule="auto"/>
              <w:ind w:left="207" w:right="197" w:firstLine="105"/>
              <w:rPr>
                <w:sz w:val="21"/>
              </w:rPr>
            </w:pPr>
            <w:r>
              <w:rPr>
                <w:sz w:val="21"/>
              </w:rPr>
              <w:t>二氧化</w:t>
            </w:r>
            <w:r>
              <w:rPr>
                <w:w w:val="95"/>
                <w:sz w:val="21"/>
              </w:rPr>
              <w:t>硫、氮氧化物、化</w:t>
            </w:r>
          </w:p>
          <w:p w14:paraId="69CA718B">
            <w:pPr>
              <w:pStyle w:val="14"/>
              <w:spacing w:before="2" w:line="270" w:lineRule="atLeast"/>
              <w:ind w:left="207" w:right="197" w:firstLine="105"/>
              <w:rPr>
                <w:sz w:val="21"/>
              </w:rPr>
            </w:pPr>
            <w:r>
              <w:rPr>
                <w:sz w:val="21"/>
              </w:rPr>
              <w:t>学需氧</w:t>
            </w:r>
            <w:r>
              <w:rPr>
                <w:w w:val="95"/>
                <w:sz w:val="21"/>
              </w:rPr>
              <w:t>量、氨氮</w:t>
            </w:r>
          </w:p>
        </w:tc>
        <w:tc>
          <w:tcPr>
            <w:tcW w:w="1185" w:type="dxa"/>
          </w:tcPr>
          <w:p w14:paraId="699795A2">
            <w:pPr>
              <w:pStyle w:val="14"/>
              <w:rPr>
                <w:b/>
                <w:sz w:val="22"/>
              </w:rPr>
            </w:pPr>
          </w:p>
          <w:p w14:paraId="240AB947">
            <w:pPr>
              <w:pStyle w:val="14"/>
              <w:spacing w:before="8"/>
              <w:rPr>
                <w:b/>
                <w:sz w:val="21"/>
              </w:rPr>
            </w:pPr>
          </w:p>
          <w:p w14:paraId="059714D4">
            <w:pPr>
              <w:pStyle w:val="14"/>
              <w:ind w:left="10"/>
              <w:jc w:val="center"/>
              <w:rPr>
                <w:rFonts w:ascii="Times New Roman"/>
                <w:sz w:val="21"/>
              </w:rPr>
            </w:pPr>
            <w:r>
              <w:rPr>
                <w:rFonts w:ascii="Times New Roman"/>
                <w:w w:val="99"/>
                <w:sz w:val="21"/>
              </w:rPr>
              <w:t>/</w:t>
            </w:r>
          </w:p>
        </w:tc>
      </w:tr>
    </w:tbl>
    <w:p w14:paraId="2E07A0C3">
      <w:pPr>
        <w:pStyle w:val="3"/>
        <w:numPr>
          <w:ilvl w:val="1"/>
          <w:numId w:val="11"/>
        </w:numPr>
        <w:tabs>
          <w:tab w:val="left" w:pos="688"/>
        </w:tabs>
        <w:spacing w:before="3" w:after="0" w:line="240" w:lineRule="auto"/>
        <w:ind w:left="688" w:right="0" w:hanging="408"/>
        <w:jc w:val="both"/>
      </w:pPr>
      <w:bookmarkStart w:id="62" w:name="_bookmark10"/>
      <w:bookmarkEnd w:id="62"/>
      <w:bookmarkStart w:id="63" w:name="_bookmark10"/>
      <w:bookmarkEnd w:id="63"/>
      <w:bookmarkStart w:id="64" w:name="2.4评价标准"/>
      <w:bookmarkEnd w:id="64"/>
      <w:r>
        <w:t>评价标准</w:t>
      </w:r>
    </w:p>
    <w:p w14:paraId="2E58A974">
      <w:pPr>
        <w:pStyle w:val="6"/>
        <w:numPr>
          <w:ilvl w:val="2"/>
          <w:numId w:val="11"/>
        </w:numPr>
        <w:tabs>
          <w:tab w:val="left" w:pos="811"/>
        </w:tabs>
        <w:spacing w:before="185" w:after="0" w:line="240" w:lineRule="auto"/>
        <w:ind w:left="810" w:right="0" w:hanging="530"/>
        <w:jc w:val="both"/>
      </w:pPr>
      <w:bookmarkStart w:id="65" w:name="2.4.1环境质量标准"/>
      <w:bookmarkEnd w:id="65"/>
      <w:bookmarkStart w:id="66" w:name="2.4.1环境质量标准"/>
      <w:bookmarkEnd w:id="66"/>
      <w:r>
        <w:rPr>
          <w:w w:val="95"/>
        </w:rPr>
        <w:t>环境质量标准</w:t>
      </w:r>
    </w:p>
    <w:p w14:paraId="513F35F3">
      <w:pPr>
        <w:pStyle w:val="7"/>
        <w:spacing w:before="158"/>
        <w:ind w:left="760"/>
      </w:pPr>
      <w:r>
        <w:rPr>
          <w:rFonts w:ascii="Times New Roman" w:eastAsia="Times New Roman"/>
        </w:rPr>
        <w:t>1</w:t>
      </w:r>
      <w:r>
        <w:t>、环境空气质量标准</w:t>
      </w:r>
    </w:p>
    <w:p w14:paraId="482DDBF5">
      <w:pPr>
        <w:pStyle w:val="7"/>
        <w:spacing w:before="158"/>
        <w:ind w:left="760"/>
      </w:pPr>
      <w:r>
        <w:rPr>
          <w:spacing w:val="12"/>
          <w:position w:val="2"/>
        </w:rPr>
        <w:t xml:space="preserve">项目位于环境空气功能区的二类区， 基本污染物 </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25"/>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25"/>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10</w:t>
      </w:r>
      <w:r>
        <w:rPr>
          <w:rFonts w:ascii="Times New Roman" w:eastAsia="Times New Roman"/>
          <w:position w:val="2"/>
          <w:vertAlign w:val="baseline"/>
        </w:rPr>
        <w:t xml:space="preserve"> </w:t>
      </w:r>
      <w:r>
        <w:rPr>
          <w:position w:val="2"/>
          <w:vertAlign w:val="baseline"/>
        </w:rPr>
        <w:t>、</w:t>
      </w:r>
    </w:p>
    <w:p w14:paraId="6EC782B5">
      <w:pPr>
        <w:pStyle w:val="7"/>
        <w:spacing w:before="153" w:line="362" w:lineRule="auto"/>
        <w:ind w:left="280" w:right="337"/>
        <w:jc w:val="both"/>
      </w:pPr>
      <w:r>
        <w:rPr>
          <w:rFonts w:ascii="Times New Roman" w:hAnsi="Times New Roman" w:eastAsia="Times New Roman"/>
          <w:position w:val="2"/>
        </w:rPr>
        <w:t>PM</w:t>
      </w:r>
      <w:r>
        <w:rPr>
          <w:rFonts w:ascii="Times New Roman" w:hAnsi="Times New Roman" w:eastAsia="Times New Roman"/>
          <w:position w:val="2"/>
          <w:vertAlign w:val="subscript"/>
        </w:rPr>
        <w:t>2.5</w:t>
      </w:r>
      <w:r>
        <w:rPr>
          <w:position w:val="2"/>
          <w:vertAlign w:val="baseline"/>
        </w:rPr>
        <w:t>、</w:t>
      </w:r>
      <w:r>
        <w:rPr>
          <w:rFonts w:ascii="Times New Roman" w:hAnsi="Times New Roman" w:eastAsia="Times New Roman"/>
          <w:position w:val="2"/>
          <w:vertAlign w:val="baseline"/>
        </w:rPr>
        <w:t>CO</w:t>
      </w:r>
      <w:r>
        <w:rPr>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 </w:t>
      </w:r>
      <w:r>
        <w:rPr>
          <w:position w:val="2"/>
          <w:vertAlign w:val="baseline"/>
        </w:rPr>
        <w:t>执行《环境空气质量标准》（</w:t>
      </w:r>
      <w:r>
        <w:rPr>
          <w:rFonts w:ascii="Times New Roman" w:hAnsi="Times New Roman" w:eastAsia="Times New Roman"/>
          <w:position w:val="2"/>
          <w:vertAlign w:val="baseline"/>
        </w:rPr>
        <w:t>GB 3095-2012</w:t>
      </w:r>
      <w:r>
        <w:rPr>
          <w:position w:val="2"/>
          <w:vertAlign w:val="baseline"/>
        </w:rPr>
        <w:t xml:space="preserve">）及修改单表 </w:t>
      </w:r>
      <w:r>
        <w:rPr>
          <w:rFonts w:ascii="Times New Roman" w:hAnsi="Times New Roman" w:eastAsia="Times New Roman"/>
          <w:position w:val="2"/>
          <w:vertAlign w:val="baseline"/>
        </w:rPr>
        <w:t xml:space="preserve">1 </w:t>
      </w:r>
      <w:r>
        <w:rPr>
          <w:position w:val="2"/>
          <w:vertAlign w:val="baseline"/>
        </w:rPr>
        <w:t xml:space="preserve">中二级浓度限值，其他项目 </w:t>
      </w:r>
      <w:r>
        <w:rPr>
          <w:rFonts w:ascii="Times New Roman" w:hAnsi="Times New Roman" w:eastAsia="Times New Roman"/>
          <w:position w:val="2"/>
          <w:vertAlign w:val="baseline"/>
        </w:rPr>
        <w:t>TSP</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 xml:space="preserve"> </w:t>
      </w:r>
      <w:r>
        <w:rPr>
          <w:position w:val="2"/>
          <w:vertAlign w:val="baseline"/>
        </w:rPr>
        <w:t xml:space="preserve">执行其表 </w:t>
      </w:r>
      <w:r>
        <w:rPr>
          <w:rFonts w:ascii="Times New Roman" w:hAnsi="Times New Roman" w:eastAsia="Times New Roman"/>
          <w:position w:val="2"/>
          <w:vertAlign w:val="baseline"/>
        </w:rPr>
        <w:t xml:space="preserve">2 </w:t>
      </w:r>
      <w:r>
        <w:rPr>
          <w:position w:val="2"/>
          <w:vertAlign w:val="baseline"/>
        </w:rPr>
        <w:t xml:space="preserve">中二级浓度限制； </w:t>
      </w:r>
      <w:r>
        <w:rPr>
          <w:rFonts w:ascii="Times New Roman" w:hAnsi="Times New Roman" w:eastAsia="Times New Roman"/>
          <w:position w:val="2"/>
          <w:vertAlign w:val="baseline"/>
        </w:rPr>
        <w:t>NH</w:t>
      </w:r>
      <w:r>
        <w:rPr>
          <w:rFonts w:ascii="Times New Roman" w:hAnsi="Times New Roman" w:eastAsia="Times New Roman"/>
          <w:position w:val="2"/>
          <w:vertAlign w:val="subscript"/>
        </w:rPr>
        <w:t>3</w:t>
      </w:r>
      <w:r>
        <w:rPr>
          <w:position w:val="2"/>
          <w:vertAlign w:val="baseline"/>
        </w:rPr>
        <w:t>、</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S </w:t>
      </w:r>
      <w:r>
        <w:rPr>
          <w:vertAlign w:val="baseline"/>
        </w:rPr>
        <w:t>执行《环境影响评价技术导则—大气环境》（</w:t>
      </w:r>
      <w:r>
        <w:rPr>
          <w:rFonts w:ascii="Times New Roman" w:hAnsi="Times New Roman" w:eastAsia="Times New Roman"/>
          <w:vertAlign w:val="baseline"/>
        </w:rPr>
        <w:t>HJ2.2-2018</w:t>
      </w:r>
      <w:r>
        <w:rPr>
          <w:vertAlign w:val="baseline"/>
        </w:rPr>
        <w:t xml:space="preserve">）附录 </w:t>
      </w:r>
      <w:r>
        <w:rPr>
          <w:rFonts w:ascii="Times New Roman" w:hAnsi="Times New Roman" w:eastAsia="Times New Roman"/>
          <w:vertAlign w:val="baseline"/>
        </w:rPr>
        <w:t xml:space="preserve">D </w:t>
      </w:r>
      <w:r>
        <w:rPr>
          <w:vertAlign w:val="baseline"/>
        </w:rPr>
        <w:t xml:space="preserve">中的标准限值，具体标准值见表 </w:t>
      </w:r>
      <w:r>
        <w:rPr>
          <w:rFonts w:ascii="Times New Roman" w:hAnsi="Times New Roman" w:eastAsia="Times New Roman"/>
          <w:vertAlign w:val="baseline"/>
        </w:rPr>
        <w:t>2.4- 1</w:t>
      </w:r>
      <w:r>
        <w:rPr>
          <w:vertAlign w:val="baseline"/>
        </w:rPr>
        <w:t>。</w:t>
      </w:r>
    </w:p>
    <w:p w14:paraId="0FE3F582">
      <w:pPr>
        <w:spacing w:before="3" w:after="5"/>
        <w:ind w:left="262" w:right="324" w:firstLine="0"/>
        <w:jc w:val="center"/>
        <w:rPr>
          <w:b/>
          <w:sz w:val="21"/>
        </w:rPr>
      </w:pPr>
      <w:r>
        <w:rPr>
          <w:b/>
          <w:spacing w:val="-26"/>
          <w:sz w:val="21"/>
        </w:rPr>
        <w:t xml:space="preserve">表 </w:t>
      </w:r>
      <w:r>
        <w:rPr>
          <w:rFonts w:ascii="Times New Roman" w:eastAsia="Times New Roman"/>
          <w:b/>
          <w:sz w:val="21"/>
        </w:rPr>
        <w:t>2.4</w:t>
      </w:r>
      <w:r>
        <w:rPr>
          <w:rFonts w:ascii="Times New Roman" w:eastAsia="Times New Roman"/>
          <w:b/>
          <w:spacing w:val="-9"/>
          <w:sz w:val="21"/>
        </w:rPr>
        <w:t xml:space="preserve">- </w:t>
      </w:r>
      <w:r>
        <w:rPr>
          <w:rFonts w:ascii="Times New Roman" w:eastAsia="Times New Roman"/>
          <w:b/>
          <w:sz w:val="21"/>
        </w:rPr>
        <w:t>1</w:t>
      </w:r>
      <w:r>
        <w:rPr>
          <w:rFonts w:ascii="Times New Roman" w:eastAsia="Times New Roman"/>
          <w:b/>
          <w:spacing w:val="50"/>
          <w:sz w:val="21"/>
        </w:rPr>
        <w:t xml:space="preserve"> </w:t>
      </w:r>
      <w:r>
        <w:rPr>
          <w:b/>
          <w:sz w:val="21"/>
        </w:rPr>
        <w:t>环境空气污染物项目浓度限值</w:t>
      </w:r>
    </w:p>
    <w:tbl>
      <w:tblPr>
        <w:tblStyle w:val="10"/>
        <w:tblW w:w="0" w:type="auto"/>
        <w:tblInd w:w="2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7"/>
        <w:gridCol w:w="1984"/>
        <w:gridCol w:w="1416"/>
        <w:gridCol w:w="2693"/>
      </w:tblGrid>
      <w:tr w14:paraId="64342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132D5ECB">
            <w:pPr>
              <w:pStyle w:val="14"/>
              <w:spacing w:before="63"/>
              <w:ind w:left="119" w:right="115"/>
              <w:jc w:val="center"/>
              <w:rPr>
                <w:b/>
                <w:sz w:val="21"/>
              </w:rPr>
            </w:pPr>
            <w:r>
              <w:rPr>
                <w:b/>
                <w:sz w:val="21"/>
              </w:rPr>
              <w:t>污染物名称</w:t>
            </w:r>
          </w:p>
        </w:tc>
        <w:tc>
          <w:tcPr>
            <w:tcW w:w="1984" w:type="dxa"/>
          </w:tcPr>
          <w:p w14:paraId="40BDF6E8">
            <w:pPr>
              <w:pStyle w:val="14"/>
              <w:spacing w:before="63"/>
              <w:ind w:left="208" w:right="202"/>
              <w:jc w:val="center"/>
              <w:rPr>
                <w:b/>
                <w:sz w:val="21"/>
              </w:rPr>
            </w:pPr>
            <w:r>
              <w:rPr>
                <w:b/>
                <w:sz w:val="21"/>
              </w:rPr>
              <w:t>平均时间</w:t>
            </w:r>
          </w:p>
        </w:tc>
        <w:tc>
          <w:tcPr>
            <w:tcW w:w="1416" w:type="dxa"/>
          </w:tcPr>
          <w:p w14:paraId="104610F8">
            <w:pPr>
              <w:pStyle w:val="14"/>
              <w:spacing w:before="63"/>
              <w:ind w:left="265" w:right="256"/>
              <w:jc w:val="center"/>
              <w:rPr>
                <w:b/>
                <w:sz w:val="21"/>
              </w:rPr>
            </w:pPr>
            <w:r>
              <w:rPr>
                <w:b/>
                <w:sz w:val="21"/>
              </w:rPr>
              <w:t>浓度限值</w:t>
            </w:r>
          </w:p>
        </w:tc>
        <w:tc>
          <w:tcPr>
            <w:tcW w:w="2693" w:type="dxa"/>
          </w:tcPr>
          <w:p w14:paraId="17FECAC7">
            <w:pPr>
              <w:pStyle w:val="14"/>
              <w:spacing w:before="63"/>
              <w:ind w:left="97" w:right="88"/>
              <w:jc w:val="center"/>
              <w:rPr>
                <w:b/>
                <w:sz w:val="21"/>
              </w:rPr>
            </w:pPr>
            <w:r>
              <w:rPr>
                <w:b/>
                <w:sz w:val="21"/>
              </w:rPr>
              <w:t>标准来源</w:t>
            </w:r>
          </w:p>
        </w:tc>
      </w:tr>
      <w:tr w14:paraId="526AD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269A83E5">
            <w:pPr>
              <w:pStyle w:val="14"/>
              <w:spacing w:before="60"/>
              <w:ind w:left="119" w:right="112"/>
              <w:jc w:val="center"/>
              <w:rPr>
                <w:sz w:val="21"/>
              </w:rPr>
            </w:pPr>
            <w:r>
              <w:rPr>
                <w:position w:val="2"/>
                <w:sz w:val="21"/>
              </w:rPr>
              <w:t>二氧化硫（</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p>
        </w:tc>
        <w:tc>
          <w:tcPr>
            <w:tcW w:w="1984" w:type="dxa"/>
          </w:tcPr>
          <w:p w14:paraId="485EED33">
            <w:pPr>
              <w:pStyle w:val="14"/>
              <w:spacing w:before="64"/>
              <w:ind w:left="208" w:right="200"/>
              <w:jc w:val="center"/>
              <w:rPr>
                <w:sz w:val="21"/>
              </w:rPr>
            </w:pPr>
            <w:r>
              <w:rPr>
                <w:sz w:val="21"/>
              </w:rPr>
              <w:t>年平均</w:t>
            </w:r>
          </w:p>
        </w:tc>
        <w:tc>
          <w:tcPr>
            <w:tcW w:w="1416" w:type="dxa"/>
          </w:tcPr>
          <w:p w14:paraId="70419D99">
            <w:pPr>
              <w:pStyle w:val="14"/>
              <w:spacing w:before="78"/>
              <w:ind w:left="264" w:right="256"/>
              <w:jc w:val="center"/>
              <w:rPr>
                <w:rFonts w:ascii="Times New Roman" w:hAnsi="Times New Roman"/>
                <w:sz w:val="13"/>
              </w:rPr>
            </w:pPr>
            <w:r>
              <w:rPr>
                <w:rFonts w:ascii="Times New Roman" w:hAnsi="Times New Roman"/>
                <w:sz w:val="21"/>
              </w:rPr>
              <w:t>60μg/m</w:t>
            </w:r>
            <w:r>
              <w:rPr>
                <w:rFonts w:ascii="Times New Roman" w:hAnsi="Times New Roman"/>
                <w:position w:val="7"/>
                <w:sz w:val="13"/>
              </w:rPr>
              <w:t>3</w:t>
            </w:r>
          </w:p>
        </w:tc>
        <w:tc>
          <w:tcPr>
            <w:tcW w:w="2693" w:type="dxa"/>
            <w:vMerge w:val="restart"/>
          </w:tcPr>
          <w:p w14:paraId="4F177E8A">
            <w:pPr>
              <w:pStyle w:val="14"/>
              <w:rPr>
                <w:b/>
                <w:sz w:val="20"/>
              </w:rPr>
            </w:pPr>
          </w:p>
          <w:p w14:paraId="45C180E6">
            <w:pPr>
              <w:pStyle w:val="14"/>
              <w:spacing w:before="11"/>
              <w:rPr>
                <w:b/>
                <w:sz w:val="21"/>
              </w:rPr>
            </w:pPr>
          </w:p>
          <w:p w14:paraId="201C5511">
            <w:pPr>
              <w:pStyle w:val="14"/>
              <w:ind w:left="200" w:right="88"/>
              <w:jc w:val="center"/>
              <w:rPr>
                <w:sz w:val="21"/>
              </w:rPr>
            </w:pPr>
            <w:r>
              <w:rPr>
                <w:sz w:val="21"/>
              </w:rPr>
              <w:t>《环境空气质量 标准》</w:t>
            </w:r>
          </w:p>
          <w:p w14:paraId="13787EF1">
            <w:pPr>
              <w:pStyle w:val="14"/>
              <w:spacing w:before="2"/>
              <w:ind w:left="92" w:right="88"/>
              <w:jc w:val="center"/>
              <w:rPr>
                <w:sz w:val="21"/>
              </w:rPr>
            </w:pPr>
            <w:r>
              <w:rPr>
                <w:sz w:val="21"/>
              </w:rPr>
              <w:t>（</w:t>
            </w:r>
            <w:r>
              <w:rPr>
                <w:rFonts w:ascii="Times New Roman" w:eastAsia="Times New Roman"/>
                <w:sz w:val="21"/>
              </w:rPr>
              <w:t>GB3095-2012</w:t>
            </w:r>
            <w:r>
              <w:rPr>
                <w:sz w:val="21"/>
              </w:rPr>
              <w:t>）二级标准</w:t>
            </w:r>
          </w:p>
        </w:tc>
      </w:tr>
      <w:tr w14:paraId="40BEF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5D6A3B02">
            <w:pPr>
              <w:pStyle w:val="14"/>
              <w:spacing w:before="59"/>
              <w:ind w:left="119" w:right="112"/>
              <w:jc w:val="center"/>
              <w:rPr>
                <w:sz w:val="21"/>
              </w:rPr>
            </w:pPr>
            <w:r>
              <w:rPr>
                <w:position w:val="2"/>
                <w:sz w:val="21"/>
              </w:rPr>
              <w:t>二氧化氮（</w:t>
            </w:r>
            <w:r>
              <w:rPr>
                <w:rFonts w:ascii="Times New Roman" w:eastAsia="Times New Roman"/>
                <w:position w:val="2"/>
                <w:sz w:val="21"/>
              </w:rPr>
              <w:t>NO</w:t>
            </w:r>
            <w:r>
              <w:rPr>
                <w:rFonts w:ascii="Times New Roman" w:eastAsia="Times New Roman"/>
                <w:position w:val="2"/>
                <w:sz w:val="21"/>
                <w:vertAlign w:val="subscript"/>
              </w:rPr>
              <w:t>2</w:t>
            </w:r>
            <w:r>
              <w:rPr>
                <w:position w:val="2"/>
                <w:sz w:val="21"/>
                <w:vertAlign w:val="baseline"/>
              </w:rPr>
              <w:t>）</w:t>
            </w:r>
          </w:p>
        </w:tc>
        <w:tc>
          <w:tcPr>
            <w:tcW w:w="1984" w:type="dxa"/>
          </w:tcPr>
          <w:p w14:paraId="7C8B484C">
            <w:pPr>
              <w:pStyle w:val="14"/>
              <w:spacing w:before="62"/>
              <w:ind w:left="208" w:right="200"/>
              <w:jc w:val="center"/>
              <w:rPr>
                <w:sz w:val="21"/>
              </w:rPr>
            </w:pPr>
            <w:r>
              <w:rPr>
                <w:sz w:val="21"/>
              </w:rPr>
              <w:t>年平均</w:t>
            </w:r>
          </w:p>
        </w:tc>
        <w:tc>
          <w:tcPr>
            <w:tcW w:w="1416" w:type="dxa"/>
          </w:tcPr>
          <w:p w14:paraId="011C3C8F">
            <w:pPr>
              <w:pStyle w:val="14"/>
              <w:spacing w:before="76"/>
              <w:ind w:left="264" w:right="256"/>
              <w:jc w:val="center"/>
              <w:rPr>
                <w:rFonts w:ascii="Times New Roman" w:hAnsi="Times New Roman"/>
                <w:sz w:val="13"/>
              </w:rPr>
            </w:pPr>
            <w:r>
              <w:rPr>
                <w:rFonts w:ascii="Times New Roman" w:hAnsi="Times New Roman"/>
                <w:sz w:val="21"/>
              </w:rPr>
              <w:t>40μg/m</w:t>
            </w:r>
            <w:r>
              <w:rPr>
                <w:rFonts w:ascii="Times New Roman" w:hAnsi="Times New Roman"/>
                <w:position w:val="7"/>
                <w:sz w:val="13"/>
              </w:rPr>
              <w:t>3</w:t>
            </w:r>
          </w:p>
        </w:tc>
        <w:tc>
          <w:tcPr>
            <w:tcW w:w="2693" w:type="dxa"/>
            <w:vMerge w:val="continue"/>
            <w:tcBorders>
              <w:top w:val="nil"/>
            </w:tcBorders>
          </w:tcPr>
          <w:p w14:paraId="6463013E">
            <w:pPr>
              <w:rPr>
                <w:sz w:val="2"/>
                <w:szCs w:val="2"/>
              </w:rPr>
            </w:pPr>
          </w:p>
        </w:tc>
      </w:tr>
      <w:tr w14:paraId="5512D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212BE875">
            <w:pPr>
              <w:pStyle w:val="14"/>
              <w:spacing w:before="63"/>
              <w:ind w:left="119" w:right="115"/>
              <w:jc w:val="center"/>
              <w:rPr>
                <w:sz w:val="21"/>
              </w:rPr>
            </w:pPr>
            <w:r>
              <w:rPr>
                <w:sz w:val="21"/>
              </w:rPr>
              <w:t>一氧化碳（</w:t>
            </w:r>
            <w:r>
              <w:rPr>
                <w:rFonts w:ascii="Times New Roman" w:eastAsia="Times New Roman"/>
                <w:sz w:val="21"/>
              </w:rPr>
              <w:t>CO</w:t>
            </w:r>
            <w:r>
              <w:rPr>
                <w:sz w:val="21"/>
              </w:rPr>
              <w:t>）</w:t>
            </w:r>
          </w:p>
        </w:tc>
        <w:tc>
          <w:tcPr>
            <w:tcW w:w="1984" w:type="dxa"/>
          </w:tcPr>
          <w:p w14:paraId="54C3CDE8">
            <w:pPr>
              <w:pStyle w:val="14"/>
              <w:spacing w:before="63"/>
              <w:ind w:left="208" w:right="200"/>
              <w:jc w:val="center"/>
              <w:rPr>
                <w:sz w:val="21"/>
              </w:rPr>
            </w:pPr>
            <w:r>
              <w:rPr>
                <w:rFonts w:ascii="Times New Roman" w:eastAsia="Times New Roman"/>
                <w:sz w:val="21"/>
              </w:rPr>
              <w:t xml:space="preserve">24 </w:t>
            </w:r>
            <w:r>
              <w:rPr>
                <w:sz w:val="21"/>
              </w:rPr>
              <w:t>小时平均</w:t>
            </w:r>
          </w:p>
        </w:tc>
        <w:tc>
          <w:tcPr>
            <w:tcW w:w="1416" w:type="dxa"/>
          </w:tcPr>
          <w:p w14:paraId="75A5A67F">
            <w:pPr>
              <w:pStyle w:val="14"/>
              <w:spacing w:before="77"/>
              <w:ind w:left="264" w:right="256"/>
              <w:jc w:val="center"/>
              <w:rPr>
                <w:rFonts w:ascii="Times New Roman"/>
                <w:sz w:val="13"/>
              </w:rPr>
            </w:pPr>
            <w:r>
              <w:rPr>
                <w:rFonts w:ascii="Times New Roman"/>
                <w:sz w:val="21"/>
              </w:rPr>
              <w:t>4mg/m</w:t>
            </w:r>
            <w:r>
              <w:rPr>
                <w:rFonts w:ascii="Times New Roman"/>
                <w:position w:val="7"/>
                <w:sz w:val="13"/>
              </w:rPr>
              <w:t>3</w:t>
            </w:r>
          </w:p>
        </w:tc>
        <w:tc>
          <w:tcPr>
            <w:tcW w:w="2693" w:type="dxa"/>
            <w:vMerge w:val="continue"/>
            <w:tcBorders>
              <w:top w:val="nil"/>
            </w:tcBorders>
          </w:tcPr>
          <w:p w14:paraId="29458EDE">
            <w:pPr>
              <w:rPr>
                <w:sz w:val="2"/>
                <w:szCs w:val="2"/>
              </w:rPr>
            </w:pPr>
          </w:p>
        </w:tc>
      </w:tr>
      <w:tr w14:paraId="76B15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327" w:type="dxa"/>
          </w:tcPr>
          <w:p w14:paraId="07D084E5">
            <w:pPr>
              <w:pStyle w:val="14"/>
              <w:spacing w:before="59"/>
              <w:ind w:left="119" w:right="112"/>
              <w:jc w:val="center"/>
              <w:rPr>
                <w:sz w:val="21"/>
              </w:rPr>
            </w:pPr>
            <w:r>
              <w:rPr>
                <w:position w:val="2"/>
                <w:sz w:val="21"/>
              </w:rPr>
              <w:t>臭氧（</w:t>
            </w:r>
            <w:r>
              <w:rPr>
                <w:rFonts w:ascii="Times New Roman" w:eastAsia="Times New Roman"/>
                <w:position w:val="2"/>
                <w:sz w:val="21"/>
              </w:rPr>
              <w:t>O</w:t>
            </w:r>
            <w:r>
              <w:rPr>
                <w:rFonts w:ascii="Times New Roman" w:eastAsia="Times New Roman"/>
                <w:position w:val="2"/>
                <w:sz w:val="21"/>
                <w:vertAlign w:val="subscript"/>
              </w:rPr>
              <w:t>3</w:t>
            </w:r>
            <w:r>
              <w:rPr>
                <w:position w:val="2"/>
                <w:sz w:val="21"/>
                <w:vertAlign w:val="baseline"/>
              </w:rPr>
              <w:t>）</w:t>
            </w:r>
          </w:p>
        </w:tc>
        <w:tc>
          <w:tcPr>
            <w:tcW w:w="1984" w:type="dxa"/>
          </w:tcPr>
          <w:p w14:paraId="16CE1798">
            <w:pPr>
              <w:pStyle w:val="14"/>
              <w:spacing w:before="62"/>
              <w:ind w:left="208" w:right="202"/>
              <w:jc w:val="center"/>
              <w:rPr>
                <w:sz w:val="21"/>
              </w:rPr>
            </w:pPr>
            <w:r>
              <w:rPr>
                <w:sz w:val="21"/>
              </w:rPr>
              <w:t xml:space="preserve">最大 </w:t>
            </w:r>
            <w:r>
              <w:rPr>
                <w:rFonts w:ascii="Times New Roman" w:eastAsia="Times New Roman"/>
                <w:sz w:val="21"/>
              </w:rPr>
              <w:t xml:space="preserve">8 </w:t>
            </w:r>
            <w:r>
              <w:rPr>
                <w:sz w:val="21"/>
              </w:rPr>
              <w:t>小时平均</w:t>
            </w:r>
          </w:p>
        </w:tc>
        <w:tc>
          <w:tcPr>
            <w:tcW w:w="1416" w:type="dxa"/>
          </w:tcPr>
          <w:p w14:paraId="52F04FEB">
            <w:pPr>
              <w:pStyle w:val="14"/>
              <w:spacing w:before="76"/>
              <w:ind w:left="264" w:right="256"/>
              <w:jc w:val="center"/>
              <w:rPr>
                <w:rFonts w:ascii="Times New Roman" w:hAnsi="Times New Roman"/>
                <w:sz w:val="13"/>
              </w:rPr>
            </w:pPr>
            <w:r>
              <w:rPr>
                <w:rFonts w:ascii="Times New Roman" w:hAnsi="Times New Roman"/>
                <w:sz w:val="21"/>
              </w:rPr>
              <w:t>160μg/m</w:t>
            </w:r>
            <w:r>
              <w:rPr>
                <w:rFonts w:ascii="Times New Roman" w:hAnsi="Times New Roman"/>
                <w:position w:val="7"/>
                <w:sz w:val="13"/>
              </w:rPr>
              <w:t>3</w:t>
            </w:r>
          </w:p>
        </w:tc>
        <w:tc>
          <w:tcPr>
            <w:tcW w:w="2693" w:type="dxa"/>
            <w:vMerge w:val="continue"/>
            <w:tcBorders>
              <w:top w:val="nil"/>
            </w:tcBorders>
          </w:tcPr>
          <w:p w14:paraId="0AC2DE92">
            <w:pPr>
              <w:rPr>
                <w:sz w:val="2"/>
                <w:szCs w:val="2"/>
              </w:rPr>
            </w:pPr>
          </w:p>
        </w:tc>
      </w:tr>
    </w:tbl>
    <w:p w14:paraId="6210F598">
      <w:pPr>
        <w:spacing w:after="0"/>
        <w:rPr>
          <w:sz w:val="2"/>
          <w:szCs w:val="2"/>
        </w:rPr>
        <w:sectPr>
          <w:pgSz w:w="11910" w:h="16840"/>
          <w:pgMar w:top="1360" w:right="1460" w:bottom="1400" w:left="1520" w:header="878" w:footer="1204" w:gutter="0"/>
          <w:cols w:space="720" w:num="1"/>
        </w:sectPr>
      </w:pPr>
    </w:p>
    <w:p w14:paraId="3CCFB181">
      <w:pPr>
        <w:pStyle w:val="7"/>
        <w:spacing w:before="3"/>
        <w:rPr>
          <w:b/>
          <w:sz w:val="5"/>
        </w:rPr>
      </w:pPr>
    </w:p>
    <w:tbl>
      <w:tblPr>
        <w:tblStyle w:val="10"/>
        <w:tblW w:w="0" w:type="auto"/>
        <w:tblInd w:w="2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7"/>
        <w:gridCol w:w="1984"/>
        <w:gridCol w:w="1416"/>
        <w:gridCol w:w="2693"/>
      </w:tblGrid>
      <w:tr w14:paraId="6E2BF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4C50C813">
            <w:pPr>
              <w:pStyle w:val="14"/>
              <w:spacing w:before="61"/>
              <w:ind w:left="119" w:right="115"/>
              <w:jc w:val="center"/>
              <w:rPr>
                <w:sz w:val="21"/>
              </w:rPr>
            </w:pPr>
            <w:r>
              <w:rPr>
                <w:position w:val="2"/>
                <w:sz w:val="21"/>
              </w:rPr>
              <w:t>颗粒物（</w:t>
            </w: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p>
        </w:tc>
        <w:tc>
          <w:tcPr>
            <w:tcW w:w="1984" w:type="dxa"/>
          </w:tcPr>
          <w:p w14:paraId="63FA7103">
            <w:pPr>
              <w:pStyle w:val="14"/>
              <w:spacing w:before="62"/>
              <w:ind w:left="208" w:right="200"/>
              <w:jc w:val="center"/>
              <w:rPr>
                <w:sz w:val="21"/>
              </w:rPr>
            </w:pPr>
            <w:r>
              <w:rPr>
                <w:sz w:val="21"/>
              </w:rPr>
              <w:t>年平均</w:t>
            </w:r>
          </w:p>
        </w:tc>
        <w:tc>
          <w:tcPr>
            <w:tcW w:w="1416" w:type="dxa"/>
          </w:tcPr>
          <w:p w14:paraId="129648A4">
            <w:pPr>
              <w:pStyle w:val="14"/>
              <w:spacing w:before="76"/>
              <w:ind w:left="264" w:right="256"/>
              <w:jc w:val="center"/>
              <w:rPr>
                <w:rFonts w:ascii="Times New Roman" w:hAnsi="Times New Roman"/>
                <w:sz w:val="13"/>
              </w:rPr>
            </w:pPr>
            <w:r>
              <w:rPr>
                <w:rFonts w:ascii="Times New Roman" w:hAnsi="Times New Roman"/>
                <w:sz w:val="21"/>
              </w:rPr>
              <w:t>70μg/m</w:t>
            </w:r>
            <w:r>
              <w:rPr>
                <w:rFonts w:ascii="Times New Roman" w:hAnsi="Times New Roman"/>
                <w:position w:val="7"/>
                <w:sz w:val="13"/>
              </w:rPr>
              <w:t>3</w:t>
            </w:r>
          </w:p>
        </w:tc>
        <w:tc>
          <w:tcPr>
            <w:tcW w:w="2693" w:type="dxa"/>
            <w:vMerge w:val="restart"/>
          </w:tcPr>
          <w:p w14:paraId="3C310D45">
            <w:pPr>
              <w:pStyle w:val="14"/>
              <w:rPr>
                <w:rFonts w:ascii="Times New Roman"/>
                <w:sz w:val="20"/>
              </w:rPr>
            </w:pPr>
          </w:p>
        </w:tc>
      </w:tr>
      <w:tr w14:paraId="04088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327" w:type="dxa"/>
          </w:tcPr>
          <w:p w14:paraId="32260CAD">
            <w:pPr>
              <w:pStyle w:val="14"/>
              <w:spacing w:before="59"/>
              <w:ind w:left="119" w:right="115"/>
              <w:jc w:val="center"/>
              <w:rPr>
                <w:sz w:val="21"/>
              </w:rPr>
            </w:pPr>
            <w:r>
              <w:rPr>
                <w:position w:val="2"/>
                <w:sz w:val="21"/>
              </w:rPr>
              <w:t>颗粒物（</w:t>
            </w:r>
            <w:r>
              <w:rPr>
                <w:rFonts w:ascii="Times New Roman" w:eastAsia="Times New Roman"/>
                <w:position w:val="2"/>
                <w:sz w:val="21"/>
              </w:rPr>
              <w:t>PM</w:t>
            </w:r>
            <w:r>
              <w:rPr>
                <w:rFonts w:ascii="Times New Roman" w:eastAsia="Times New Roman"/>
                <w:position w:val="2"/>
                <w:sz w:val="21"/>
                <w:vertAlign w:val="subscript"/>
              </w:rPr>
              <w:t>2.5</w:t>
            </w:r>
            <w:r>
              <w:rPr>
                <w:position w:val="2"/>
                <w:sz w:val="21"/>
                <w:vertAlign w:val="baseline"/>
              </w:rPr>
              <w:t>）</w:t>
            </w:r>
          </w:p>
        </w:tc>
        <w:tc>
          <w:tcPr>
            <w:tcW w:w="1984" w:type="dxa"/>
          </w:tcPr>
          <w:p w14:paraId="6034FDBB">
            <w:pPr>
              <w:pStyle w:val="14"/>
              <w:spacing w:before="63"/>
              <w:ind w:left="208" w:right="200"/>
              <w:jc w:val="center"/>
              <w:rPr>
                <w:sz w:val="21"/>
              </w:rPr>
            </w:pPr>
            <w:r>
              <w:rPr>
                <w:sz w:val="21"/>
              </w:rPr>
              <w:t>年平均</w:t>
            </w:r>
          </w:p>
        </w:tc>
        <w:tc>
          <w:tcPr>
            <w:tcW w:w="1416" w:type="dxa"/>
          </w:tcPr>
          <w:p w14:paraId="69A21EC5">
            <w:pPr>
              <w:pStyle w:val="14"/>
              <w:spacing w:before="77"/>
              <w:ind w:left="264" w:right="256"/>
              <w:jc w:val="center"/>
              <w:rPr>
                <w:rFonts w:ascii="Times New Roman" w:hAnsi="Times New Roman"/>
                <w:sz w:val="13"/>
              </w:rPr>
            </w:pPr>
            <w:r>
              <w:rPr>
                <w:rFonts w:ascii="Times New Roman" w:hAnsi="Times New Roman"/>
                <w:sz w:val="21"/>
              </w:rPr>
              <w:t>35μg/m</w:t>
            </w:r>
            <w:r>
              <w:rPr>
                <w:rFonts w:ascii="Times New Roman" w:hAnsi="Times New Roman"/>
                <w:position w:val="7"/>
                <w:sz w:val="13"/>
              </w:rPr>
              <w:t>3</w:t>
            </w:r>
          </w:p>
        </w:tc>
        <w:tc>
          <w:tcPr>
            <w:tcW w:w="2693" w:type="dxa"/>
            <w:vMerge w:val="continue"/>
            <w:tcBorders>
              <w:top w:val="nil"/>
            </w:tcBorders>
          </w:tcPr>
          <w:p w14:paraId="71298AEF">
            <w:pPr>
              <w:rPr>
                <w:sz w:val="2"/>
                <w:szCs w:val="2"/>
              </w:rPr>
            </w:pPr>
          </w:p>
        </w:tc>
      </w:tr>
      <w:tr w14:paraId="7D2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0B08E38A">
            <w:pPr>
              <w:pStyle w:val="14"/>
              <w:spacing w:before="64"/>
              <w:ind w:left="119" w:right="115"/>
              <w:jc w:val="center"/>
              <w:rPr>
                <w:sz w:val="21"/>
              </w:rPr>
            </w:pPr>
            <w:r>
              <w:rPr>
                <w:sz w:val="21"/>
              </w:rPr>
              <w:t>总悬浮颗粒物（</w:t>
            </w:r>
            <w:r>
              <w:rPr>
                <w:rFonts w:ascii="Times New Roman" w:eastAsia="Times New Roman"/>
                <w:sz w:val="21"/>
              </w:rPr>
              <w:t>TSP</w:t>
            </w:r>
            <w:r>
              <w:rPr>
                <w:sz w:val="21"/>
              </w:rPr>
              <w:t>）</w:t>
            </w:r>
          </w:p>
        </w:tc>
        <w:tc>
          <w:tcPr>
            <w:tcW w:w="1984" w:type="dxa"/>
          </w:tcPr>
          <w:p w14:paraId="5E025C82">
            <w:pPr>
              <w:pStyle w:val="14"/>
              <w:spacing w:before="64"/>
              <w:ind w:left="208" w:right="200"/>
              <w:jc w:val="center"/>
              <w:rPr>
                <w:sz w:val="21"/>
              </w:rPr>
            </w:pPr>
            <w:r>
              <w:rPr>
                <w:rFonts w:ascii="Times New Roman" w:eastAsia="Times New Roman"/>
                <w:sz w:val="21"/>
              </w:rPr>
              <w:t xml:space="preserve">24 </w:t>
            </w:r>
            <w:r>
              <w:rPr>
                <w:sz w:val="21"/>
              </w:rPr>
              <w:t>小时平均</w:t>
            </w:r>
          </w:p>
        </w:tc>
        <w:tc>
          <w:tcPr>
            <w:tcW w:w="1416" w:type="dxa"/>
          </w:tcPr>
          <w:p w14:paraId="545339CA">
            <w:pPr>
              <w:pStyle w:val="14"/>
              <w:spacing w:before="78"/>
              <w:ind w:left="264" w:right="256"/>
              <w:jc w:val="center"/>
              <w:rPr>
                <w:rFonts w:ascii="Times New Roman" w:hAnsi="Times New Roman"/>
                <w:sz w:val="13"/>
              </w:rPr>
            </w:pPr>
            <w:r>
              <w:rPr>
                <w:rFonts w:ascii="Times New Roman" w:hAnsi="Times New Roman"/>
                <w:sz w:val="21"/>
              </w:rPr>
              <w:t>300μg/m</w:t>
            </w:r>
            <w:r>
              <w:rPr>
                <w:rFonts w:ascii="Times New Roman" w:hAnsi="Times New Roman"/>
                <w:position w:val="7"/>
                <w:sz w:val="13"/>
              </w:rPr>
              <w:t>3</w:t>
            </w:r>
          </w:p>
        </w:tc>
        <w:tc>
          <w:tcPr>
            <w:tcW w:w="2693" w:type="dxa"/>
            <w:vMerge w:val="continue"/>
            <w:tcBorders>
              <w:top w:val="nil"/>
            </w:tcBorders>
          </w:tcPr>
          <w:p w14:paraId="00D3304A">
            <w:pPr>
              <w:rPr>
                <w:sz w:val="2"/>
                <w:szCs w:val="2"/>
              </w:rPr>
            </w:pPr>
          </w:p>
        </w:tc>
      </w:tr>
      <w:tr w14:paraId="23A04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79F7A79A">
            <w:pPr>
              <w:pStyle w:val="14"/>
              <w:spacing w:before="59"/>
              <w:ind w:left="119" w:right="112"/>
              <w:jc w:val="center"/>
              <w:rPr>
                <w:sz w:val="21"/>
              </w:rPr>
            </w:pPr>
            <w:r>
              <w:rPr>
                <w:position w:val="2"/>
                <w:sz w:val="21"/>
              </w:rPr>
              <w:t>氮氧化物（</w:t>
            </w:r>
            <w:r>
              <w:rPr>
                <w:rFonts w:ascii="Times New Roman" w:eastAsia="Times New Roman"/>
                <w:position w:val="2"/>
                <w:sz w:val="21"/>
              </w:rPr>
              <w:t>NO</w:t>
            </w:r>
            <w:r>
              <w:rPr>
                <w:rFonts w:ascii="Times New Roman" w:eastAsia="Times New Roman"/>
                <w:position w:val="2"/>
                <w:sz w:val="21"/>
                <w:vertAlign w:val="subscript"/>
              </w:rPr>
              <w:t>x</w:t>
            </w:r>
            <w:r>
              <w:rPr>
                <w:position w:val="2"/>
                <w:sz w:val="21"/>
                <w:vertAlign w:val="baseline"/>
              </w:rPr>
              <w:t>）</w:t>
            </w:r>
          </w:p>
        </w:tc>
        <w:tc>
          <w:tcPr>
            <w:tcW w:w="1984" w:type="dxa"/>
          </w:tcPr>
          <w:p w14:paraId="0CFAC158">
            <w:pPr>
              <w:pStyle w:val="14"/>
              <w:spacing w:before="62"/>
              <w:ind w:left="208" w:right="202"/>
              <w:jc w:val="center"/>
              <w:rPr>
                <w:sz w:val="21"/>
              </w:rPr>
            </w:pPr>
            <w:r>
              <w:rPr>
                <w:rFonts w:ascii="Times New Roman" w:eastAsia="Times New Roman"/>
                <w:sz w:val="21"/>
              </w:rPr>
              <w:t xml:space="preserve">1 </w:t>
            </w:r>
            <w:r>
              <w:rPr>
                <w:sz w:val="21"/>
              </w:rPr>
              <w:t>小时平均</w:t>
            </w:r>
          </w:p>
        </w:tc>
        <w:tc>
          <w:tcPr>
            <w:tcW w:w="1416" w:type="dxa"/>
          </w:tcPr>
          <w:p w14:paraId="1E804345">
            <w:pPr>
              <w:pStyle w:val="14"/>
              <w:spacing w:before="76"/>
              <w:ind w:left="264" w:right="256"/>
              <w:jc w:val="center"/>
              <w:rPr>
                <w:rFonts w:ascii="Times New Roman" w:hAnsi="Times New Roman"/>
                <w:sz w:val="13"/>
              </w:rPr>
            </w:pPr>
            <w:r>
              <w:rPr>
                <w:rFonts w:ascii="Times New Roman" w:hAnsi="Times New Roman"/>
                <w:sz w:val="21"/>
              </w:rPr>
              <w:t>250μg/m</w:t>
            </w:r>
            <w:r>
              <w:rPr>
                <w:rFonts w:ascii="Times New Roman" w:hAnsi="Times New Roman"/>
                <w:position w:val="7"/>
                <w:sz w:val="13"/>
              </w:rPr>
              <w:t>3</w:t>
            </w:r>
          </w:p>
        </w:tc>
        <w:tc>
          <w:tcPr>
            <w:tcW w:w="2693" w:type="dxa"/>
            <w:vMerge w:val="continue"/>
            <w:tcBorders>
              <w:top w:val="nil"/>
            </w:tcBorders>
          </w:tcPr>
          <w:p w14:paraId="2751C18E">
            <w:pPr>
              <w:rPr>
                <w:sz w:val="2"/>
                <w:szCs w:val="2"/>
              </w:rPr>
            </w:pPr>
          </w:p>
        </w:tc>
      </w:tr>
      <w:tr w14:paraId="2D3FD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718ABACD">
            <w:pPr>
              <w:pStyle w:val="14"/>
              <w:spacing w:before="63"/>
              <w:ind w:left="7"/>
              <w:jc w:val="center"/>
              <w:rPr>
                <w:sz w:val="21"/>
              </w:rPr>
            </w:pPr>
            <w:r>
              <w:rPr>
                <w:w w:val="99"/>
                <w:sz w:val="21"/>
              </w:rPr>
              <w:t>氨</w:t>
            </w:r>
          </w:p>
        </w:tc>
        <w:tc>
          <w:tcPr>
            <w:tcW w:w="1984" w:type="dxa"/>
          </w:tcPr>
          <w:p w14:paraId="1D70522A">
            <w:pPr>
              <w:pStyle w:val="14"/>
              <w:spacing w:before="63"/>
              <w:ind w:left="208" w:right="202"/>
              <w:jc w:val="center"/>
              <w:rPr>
                <w:sz w:val="21"/>
              </w:rPr>
            </w:pPr>
            <w:r>
              <w:rPr>
                <w:rFonts w:ascii="Times New Roman" w:eastAsia="Times New Roman"/>
                <w:sz w:val="21"/>
              </w:rPr>
              <w:t xml:space="preserve">1h </w:t>
            </w:r>
            <w:r>
              <w:rPr>
                <w:sz w:val="21"/>
              </w:rPr>
              <w:t>平均</w:t>
            </w:r>
          </w:p>
        </w:tc>
        <w:tc>
          <w:tcPr>
            <w:tcW w:w="1416" w:type="dxa"/>
          </w:tcPr>
          <w:p w14:paraId="55AF800C">
            <w:pPr>
              <w:pStyle w:val="14"/>
              <w:spacing w:before="77"/>
              <w:ind w:left="264" w:right="256"/>
              <w:jc w:val="center"/>
              <w:rPr>
                <w:rFonts w:ascii="Times New Roman" w:hAnsi="Times New Roman"/>
                <w:sz w:val="13"/>
              </w:rPr>
            </w:pPr>
            <w:r>
              <w:rPr>
                <w:rFonts w:ascii="Times New Roman" w:hAnsi="Times New Roman"/>
                <w:sz w:val="21"/>
              </w:rPr>
              <w:t>200μg/m</w:t>
            </w:r>
            <w:r>
              <w:rPr>
                <w:rFonts w:ascii="Times New Roman" w:hAnsi="Times New Roman"/>
                <w:position w:val="7"/>
                <w:sz w:val="13"/>
              </w:rPr>
              <w:t>3</w:t>
            </w:r>
          </w:p>
        </w:tc>
        <w:tc>
          <w:tcPr>
            <w:tcW w:w="2693" w:type="dxa"/>
            <w:vMerge w:val="restart"/>
          </w:tcPr>
          <w:p w14:paraId="088E066E">
            <w:pPr>
              <w:pStyle w:val="14"/>
              <w:spacing w:before="8"/>
              <w:rPr>
                <w:b/>
                <w:sz w:val="20"/>
              </w:rPr>
            </w:pPr>
          </w:p>
          <w:p w14:paraId="495BC68B">
            <w:pPr>
              <w:pStyle w:val="14"/>
              <w:spacing w:before="1"/>
              <w:ind w:left="212"/>
              <w:rPr>
                <w:rFonts w:ascii="Times New Roman" w:eastAsia="Times New Roman"/>
                <w:sz w:val="21"/>
              </w:rPr>
            </w:pPr>
            <w:r>
              <w:rPr>
                <w:rFonts w:ascii="Times New Roman" w:eastAsia="Times New Roman"/>
                <w:sz w:val="21"/>
              </w:rPr>
              <w:t xml:space="preserve">HJ2.2-2018 </w:t>
            </w:r>
            <w:r>
              <w:rPr>
                <w:sz w:val="21"/>
              </w:rPr>
              <w:t xml:space="preserve">附录 </w:t>
            </w:r>
            <w:r>
              <w:rPr>
                <w:rFonts w:ascii="Times New Roman" w:eastAsia="Times New Roman"/>
                <w:sz w:val="21"/>
              </w:rPr>
              <w:t xml:space="preserve">D </w:t>
            </w:r>
            <w:r>
              <w:rPr>
                <w:sz w:val="21"/>
              </w:rPr>
              <w:t xml:space="preserve">表 </w:t>
            </w:r>
            <w:r>
              <w:rPr>
                <w:rFonts w:ascii="Times New Roman" w:eastAsia="Times New Roman"/>
                <w:sz w:val="21"/>
              </w:rPr>
              <w:t>D.1</w:t>
            </w:r>
          </w:p>
        </w:tc>
      </w:tr>
      <w:tr w14:paraId="00D58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27" w:type="dxa"/>
          </w:tcPr>
          <w:p w14:paraId="4C7D12C1">
            <w:pPr>
              <w:pStyle w:val="14"/>
              <w:spacing w:before="62"/>
              <w:ind w:left="119" w:right="110"/>
              <w:jc w:val="center"/>
              <w:rPr>
                <w:sz w:val="21"/>
              </w:rPr>
            </w:pPr>
            <w:r>
              <w:rPr>
                <w:sz w:val="21"/>
              </w:rPr>
              <w:t>硫化氢</w:t>
            </w:r>
          </w:p>
        </w:tc>
        <w:tc>
          <w:tcPr>
            <w:tcW w:w="1984" w:type="dxa"/>
          </w:tcPr>
          <w:p w14:paraId="177FD83E">
            <w:pPr>
              <w:pStyle w:val="14"/>
              <w:spacing w:before="62"/>
              <w:ind w:left="208" w:right="202"/>
              <w:jc w:val="center"/>
              <w:rPr>
                <w:sz w:val="21"/>
              </w:rPr>
            </w:pPr>
            <w:r>
              <w:rPr>
                <w:rFonts w:ascii="Times New Roman" w:eastAsia="Times New Roman"/>
                <w:sz w:val="21"/>
              </w:rPr>
              <w:t xml:space="preserve">1h </w:t>
            </w:r>
            <w:r>
              <w:rPr>
                <w:sz w:val="21"/>
              </w:rPr>
              <w:t>平均</w:t>
            </w:r>
          </w:p>
        </w:tc>
        <w:tc>
          <w:tcPr>
            <w:tcW w:w="1416" w:type="dxa"/>
          </w:tcPr>
          <w:p w14:paraId="258BFFC9">
            <w:pPr>
              <w:pStyle w:val="14"/>
              <w:spacing w:before="76"/>
              <w:ind w:left="264" w:right="256"/>
              <w:jc w:val="center"/>
              <w:rPr>
                <w:rFonts w:ascii="Times New Roman" w:hAnsi="Times New Roman"/>
                <w:sz w:val="13"/>
              </w:rPr>
            </w:pPr>
            <w:r>
              <w:rPr>
                <w:rFonts w:ascii="Times New Roman" w:hAnsi="Times New Roman"/>
                <w:sz w:val="21"/>
              </w:rPr>
              <w:t>10μg/m</w:t>
            </w:r>
            <w:r>
              <w:rPr>
                <w:rFonts w:ascii="Times New Roman" w:hAnsi="Times New Roman"/>
                <w:position w:val="7"/>
                <w:sz w:val="13"/>
              </w:rPr>
              <w:t>3</w:t>
            </w:r>
          </w:p>
        </w:tc>
        <w:tc>
          <w:tcPr>
            <w:tcW w:w="2693" w:type="dxa"/>
            <w:vMerge w:val="continue"/>
            <w:tcBorders>
              <w:top w:val="nil"/>
            </w:tcBorders>
          </w:tcPr>
          <w:p w14:paraId="677ABF71">
            <w:pPr>
              <w:rPr>
                <w:sz w:val="2"/>
                <w:szCs w:val="2"/>
              </w:rPr>
            </w:pPr>
          </w:p>
        </w:tc>
      </w:tr>
    </w:tbl>
    <w:p w14:paraId="1D7F413A">
      <w:pPr>
        <w:pStyle w:val="7"/>
        <w:spacing w:before="2"/>
        <w:ind w:left="760"/>
      </w:pPr>
      <w:r>
        <w:rPr>
          <w:rFonts w:ascii="Times New Roman" w:eastAsia="Times New Roman"/>
        </w:rPr>
        <w:t>2</w:t>
      </w:r>
      <w:r>
        <w:t>、地表水环境质量标准</w:t>
      </w:r>
    </w:p>
    <w:p w14:paraId="32DC7E0C">
      <w:pPr>
        <w:pStyle w:val="7"/>
        <w:spacing w:before="158" w:line="364" w:lineRule="auto"/>
        <w:ind w:left="280" w:right="337" w:firstLine="480"/>
      </w:pPr>
      <w:r>
        <w:t>根据《湖南省主要地表水系水环境功能区划》（</w:t>
      </w:r>
      <w:r>
        <w:rPr>
          <w:rFonts w:ascii="Times New Roman" w:eastAsia="Times New Roman"/>
        </w:rPr>
        <w:t>DB43/023-2005</w:t>
      </w:r>
      <w:r>
        <w:t xml:space="preserve">），新墙河县水厂取水口上游 </w:t>
      </w:r>
      <w:r>
        <w:rPr>
          <w:rFonts w:ascii="Times New Roman" w:eastAsia="Times New Roman"/>
        </w:rPr>
        <w:t xml:space="preserve">1000 </w:t>
      </w:r>
      <w:r>
        <w:t xml:space="preserve">米至下游 </w:t>
      </w:r>
      <w:r>
        <w:rPr>
          <w:rFonts w:ascii="Times New Roman" w:eastAsia="Times New Roman"/>
        </w:rPr>
        <w:t xml:space="preserve">200 </w:t>
      </w:r>
      <w:r>
        <w:t>米河段，执行《地表水环境质量标准》</w:t>
      </w:r>
    </w:p>
    <w:p w14:paraId="32A778B7">
      <w:pPr>
        <w:pStyle w:val="7"/>
        <w:spacing w:line="364" w:lineRule="auto"/>
        <w:ind w:left="280" w:right="337"/>
        <w:jc w:val="both"/>
      </w:pPr>
      <w:r>
        <w:t>（</w:t>
      </w:r>
      <w:r>
        <w:rPr>
          <w:rFonts w:ascii="Times New Roman" w:hAnsi="Times New Roman" w:eastAsia="Times New Roman"/>
        </w:rPr>
        <w:t>GB3838-2002</w:t>
      </w:r>
      <w:r>
        <w:t xml:space="preserve">）中的Ⅱ类标准，县水厂取水口下游 </w:t>
      </w:r>
      <w:r>
        <w:rPr>
          <w:rFonts w:ascii="Times New Roman" w:hAnsi="Times New Roman" w:eastAsia="Times New Roman"/>
        </w:rPr>
        <w:t xml:space="preserve">200 </w:t>
      </w:r>
      <w:r>
        <w:t>米至铁路桥河段、新墙河铁路桥河段至春风河段，执行《地表水环境质量标准》（</w:t>
      </w:r>
      <w:r>
        <w:rPr>
          <w:rFonts w:ascii="Times New Roman" w:hAnsi="Times New Roman" w:eastAsia="Times New Roman"/>
        </w:rPr>
        <w:t>GB3838-2002</w:t>
      </w:r>
      <w:r>
        <w:t xml:space="preserve">） 中的Ⅲ类标准，具体见表 </w:t>
      </w:r>
      <w:r>
        <w:rPr>
          <w:rFonts w:ascii="Times New Roman" w:hAnsi="Times New Roman" w:eastAsia="Times New Roman"/>
        </w:rPr>
        <w:t>2.4- 2</w:t>
      </w:r>
      <w:r>
        <w:t>。</w:t>
      </w:r>
    </w:p>
    <w:p w14:paraId="31232E5F">
      <w:pPr>
        <w:spacing w:before="0" w:after="3" w:line="267" w:lineRule="exact"/>
        <w:ind w:left="1559" w:right="0" w:firstLine="0"/>
        <w:jc w:val="left"/>
        <w:rPr>
          <w:rFonts w:ascii="Times New Roman" w:eastAsia="Times New Roman"/>
          <w:b/>
          <w:sz w:val="21"/>
        </w:rPr>
      </w:pPr>
      <w:r>
        <w:rPr>
          <w:b/>
          <w:sz w:val="21"/>
        </w:rPr>
        <w:t xml:space="preserve">表 </w:t>
      </w:r>
      <w:r>
        <w:rPr>
          <w:rFonts w:ascii="Times New Roman" w:eastAsia="Times New Roman"/>
          <w:b/>
          <w:sz w:val="21"/>
        </w:rPr>
        <w:t xml:space="preserve">2.4- 2 </w:t>
      </w:r>
      <w:r>
        <w:rPr>
          <w:b/>
          <w:sz w:val="21"/>
        </w:rPr>
        <w:t>地表水环境质量标准污染物项目标准限值 单位：</w:t>
      </w:r>
      <w:r>
        <w:rPr>
          <w:rFonts w:ascii="Times New Roman" w:eastAsia="Times New Roman"/>
          <w:b/>
          <w:sz w:val="21"/>
        </w:rPr>
        <w:t>mg/L</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1"/>
        <w:gridCol w:w="3801"/>
        <w:gridCol w:w="1529"/>
        <w:gridCol w:w="1007"/>
        <w:gridCol w:w="1174"/>
      </w:tblGrid>
      <w:tr w14:paraId="137E8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11" w:type="dxa"/>
          </w:tcPr>
          <w:p w14:paraId="36F6AB73">
            <w:pPr>
              <w:pStyle w:val="14"/>
              <w:spacing w:before="89"/>
              <w:ind w:left="271" w:right="267"/>
              <w:jc w:val="center"/>
              <w:rPr>
                <w:b/>
                <w:sz w:val="21"/>
              </w:rPr>
            </w:pPr>
            <w:r>
              <w:rPr>
                <w:b/>
                <w:sz w:val="21"/>
              </w:rPr>
              <w:t>序号</w:t>
            </w:r>
          </w:p>
        </w:tc>
        <w:tc>
          <w:tcPr>
            <w:tcW w:w="5330" w:type="dxa"/>
            <w:gridSpan w:val="2"/>
          </w:tcPr>
          <w:p w14:paraId="5CAEB93E">
            <w:pPr>
              <w:pStyle w:val="14"/>
              <w:spacing w:before="89"/>
              <w:ind w:left="2115" w:right="2109"/>
              <w:jc w:val="center"/>
              <w:rPr>
                <w:b/>
                <w:sz w:val="21"/>
              </w:rPr>
            </w:pPr>
            <w:r>
              <w:rPr>
                <w:b/>
                <w:sz w:val="21"/>
              </w:rPr>
              <w:t>污染物项目</w:t>
            </w:r>
          </w:p>
        </w:tc>
        <w:tc>
          <w:tcPr>
            <w:tcW w:w="1007" w:type="dxa"/>
          </w:tcPr>
          <w:p w14:paraId="6550FBDA">
            <w:pPr>
              <w:pStyle w:val="14"/>
              <w:spacing w:before="89"/>
              <w:ind w:left="139" w:right="131"/>
              <w:jc w:val="center"/>
              <w:rPr>
                <w:b/>
                <w:sz w:val="21"/>
              </w:rPr>
            </w:pPr>
            <w:r>
              <w:rPr>
                <w:rFonts w:ascii="Times New Roman" w:eastAsia="Times New Roman"/>
                <w:b/>
                <w:sz w:val="21"/>
              </w:rPr>
              <w:t xml:space="preserve">II </w:t>
            </w:r>
            <w:r>
              <w:rPr>
                <w:b/>
                <w:sz w:val="21"/>
              </w:rPr>
              <w:t>类</w:t>
            </w:r>
          </w:p>
        </w:tc>
        <w:tc>
          <w:tcPr>
            <w:tcW w:w="1174" w:type="dxa"/>
          </w:tcPr>
          <w:p w14:paraId="260705F1">
            <w:pPr>
              <w:pStyle w:val="14"/>
              <w:spacing w:before="89"/>
              <w:ind w:left="87" w:right="81"/>
              <w:jc w:val="center"/>
              <w:rPr>
                <w:b/>
                <w:sz w:val="21"/>
              </w:rPr>
            </w:pPr>
            <w:r>
              <w:rPr>
                <w:rFonts w:ascii="Times New Roman" w:eastAsia="Times New Roman"/>
                <w:b/>
                <w:sz w:val="21"/>
              </w:rPr>
              <w:t xml:space="preserve">III </w:t>
            </w:r>
            <w:r>
              <w:rPr>
                <w:b/>
                <w:sz w:val="21"/>
              </w:rPr>
              <w:t>类</w:t>
            </w:r>
          </w:p>
        </w:tc>
      </w:tr>
      <w:tr w14:paraId="30B8F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11" w:type="dxa"/>
          </w:tcPr>
          <w:p w14:paraId="584D8D4C">
            <w:pPr>
              <w:pStyle w:val="14"/>
              <w:spacing w:before="105"/>
              <w:ind w:left="10"/>
              <w:jc w:val="center"/>
              <w:rPr>
                <w:rFonts w:ascii="Times New Roman"/>
                <w:sz w:val="21"/>
              </w:rPr>
            </w:pPr>
            <w:r>
              <w:rPr>
                <w:rFonts w:ascii="Times New Roman"/>
                <w:w w:val="99"/>
                <w:sz w:val="21"/>
              </w:rPr>
              <w:t>1</w:t>
            </w:r>
          </w:p>
        </w:tc>
        <w:tc>
          <w:tcPr>
            <w:tcW w:w="5330" w:type="dxa"/>
            <w:gridSpan w:val="2"/>
          </w:tcPr>
          <w:p w14:paraId="4265D456">
            <w:pPr>
              <w:pStyle w:val="14"/>
              <w:spacing w:before="91"/>
              <w:ind w:left="107"/>
              <w:rPr>
                <w:sz w:val="21"/>
              </w:rPr>
            </w:pPr>
            <w:r>
              <w:rPr>
                <w:rFonts w:ascii="Times New Roman" w:eastAsia="Times New Roman"/>
                <w:sz w:val="21"/>
              </w:rPr>
              <w:t>pH</w:t>
            </w:r>
            <w:r>
              <w:rPr>
                <w:sz w:val="21"/>
              </w:rPr>
              <w:t>（无量纲）</w:t>
            </w:r>
          </w:p>
        </w:tc>
        <w:tc>
          <w:tcPr>
            <w:tcW w:w="1007" w:type="dxa"/>
          </w:tcPr>
          <w:p w14:paraId="7CCB3017">
            <w:pPr>
              <w:pStyle w:val="14"/>
              <w:spacing w:before="105"/>
              <w:ind w:left="139" w:right="135"/>
              <w:jc w:val="center"/>
              <w:rPr>
                <w:rFonts w:ascii="Times New Roman"/>
                <w:sz w:val="21"/>
              </w:rPr>
            </w:pPr>
            <w:r>
              <w:rPr>
                <w:rFonts w:ascii="Times New Roman"/>
                <w:sz w:val="21"/>
              </w:rPr>
              <w:t>6-9</w:t>
            </w:r>
          </w:p>
        </w:tc>
        <w:tc>
          <w:tcPr>
            <w:tcW w:w="1174" w:type="dxa"/>
          </w:tcPr>
          <w:p w14:paraId="06A4DD54">
            <w:pPr>
              <w:pStyle w:val="14"/>
              <w:spacing w:before="105"/>
              <w:ind w:left="88" w:right="81"/>
              <w:jc w:val="center"/>
              <w:rPr>
                <w:rFonts w:ascii="Times New Roman"/>
                <w:sz w:val="21"/>
              </w:rPr>
            </w:pPr>
            <w:r>
              <w:rPr>
                <w:rFonts w:ascii="Times New Roman"/>
                <w:sz w:val="21"/>
              </w:rPr>
              <w:t>6-9</w:t>
            </w:r>
          </w:p>
        </w:tc>
      </w:tr>
      <w:tr w14:paraId="5B01E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11" w:type="dxa"/>
          </w:tcPr>
          <w:p w14:paraId="57B83963">
            <w:pPr>
              <w:pStyle w:val="14"/>
              <w:spacing w:before="104"/>
              <w:ind w:left="10"/>
              <w:jc w:val="center"/>
              <w:rPr>
                <w:rFonts w:ascii="Times New Roman"/>
                <w:sz w:val="21"/>
              </w:rPr>
            </w:pPr>
            <w:r>
              <w:rPr>
                <w:rFonts w:ascii="Times New Roman"/>
                <w:w w:val="99"/>
                <w:sz w:val="21"/>
              </w:rPr>
              <w:t>2</w:t>
            </w:r>
          </w:p>
        </w:tc>
        <w:tc>
          <w:tcPr>
            <w:tcW w:w="3801" w:type="dxa"/>
            <w:tcBorders>
              <w:right w:val="nil"/>
            </w:tcBorders>
          </w:tcPr>
          <w:p w14:paraId="76A2689C">
            <w:pPr>
              <w:pStyle w:val="14"/>
              <w:spacing w:before="90"/>
              <w:ind w:left="128"/>
              <w:rPr>
                <w:sz w:val="21"/>
              </w:rPr>
            </w:pPr>
            <w:r>
              <w:rPr>
                <w:sz w:val="21"/>
              </w:rPr>
              <w:t>化学需氧量（</w:t>
            </w:r>
            <w:r>
              <w:rPr>
                <w:rFonts w:ascii="Times New Roman" w:eastAsia="Times New Roman"/>
                <w:sz w:val="21"/>
              </w:rPr>
              <w:t>COD</w:t>
            </w:r>
            <w:r>
              <w:rPr>
                <w:sz w:val="21"/>
              </w:rPr>
              <w:t>）</w:t>
            </w:r>
          </w:p>
        </w:tc>
        <w:tc>
          <w:tcPr>
            <w:tcW w:w="1529" w:type="dxa"/>
            <w:tcBorders>
              <w:left w:val="nil"/>
            </w:tcBorders>
          </w:tcPr>
          <w:p w14:paraId="598A248C">
            <w:pPr>
              <w:pStyle w:val="14"/>
              <w:spacing w:before="104"/>
              <w:ind w:right="118"/>
              <w:jc w:val="right"/>
              <w:rPr>
                <w:rFonts w:ascii="Times New Roman" w:hAnsi="Times New Roman"/>
                <w:sz w:val="21"/>
              </w:rPr>
            </w:pPr>
            <w:r>
              <w:rPr>
                <w:rFonts w:ascii="Times New Roman" w:hAnsi="Times New Roman"/>
                <w:w w:val="99"/>
                <w:sz w:val="21"/>
              </w:rPr>
              <w:t>≤</w:t>
            </w:r>
          </w:p>
        </w:tc>
        <w:tc>
          <w:tcPr>
            <w:tcW w:w="1007" w:type="dxa"/>
          </w:tcPr>
          <w:p w14:paraId="6D403101">
            <w:pPr>
              <w:pStyle w:val="14"/>
              <w:spacing w:before="104"/>
              <w:ind w:left="139" w:right="130"/>
              <w:jc w:val="center"/>
              <w:rPr>
                <w:rFonts w:ascii="Times New Roman"/>
                <w:sz w:val="21"/>
              </w:rPr>
            </w:pPr>
            <w:r>
              <w:rPr>
                <w:rFonts w:ascii="Times New Roman"/>
                <w:sz w:val="21"/>
              </w:rPr>
              <w:t>15</w:t>
            </w:r>
          </w:p>
        </w:tc>
        <w:tc>
          <w:tcPr>
            <w:tcW w:w="1174" w:type="dxa"/>
          </w:tcPr>
          <w:p w14:paraId="5C43A3F8">
            <w:pPr>
              <w:pStyle w:val="14"/>
              <w:spacing w:before="104"/>
              <w:ind w:left="88" w:right="81"/>
              <w:jc w:val="center"/>
              <w:rPr>
                <w:rFonts w:ascii="Times New Roman"/>
                <w:sz w:val="21"/>
              </w:rPr>
            </w:pPr>
            <w:r>
              <w:rPr>
                <w:rFonts w:ascii="Times New Roman"/>
                <w:sz w:val="21"/>
              </w:rPr>
              <w:t>20</w:t>
            </w:r>
          </w:p>
        </w:tc>
      </w:tr>
      <w:tr w14:paraId="7DF00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11" w:type="dxa"/>
          </w:tcPr>
          <w:p w14:paraId="18A0083B">
            <w:pPr>
              <w:pStyle w:val="14"/>
              <w:spacing w:before="106"/>
              <w:ind w:left="10"/>
              <w:jc w:val="center"/>
              <w:rPr>
                <w:rFonts w:ascii="Times New Roman"/>
                <w:sz w:val="21"/>
              </w:rPr>
            </w:pPr>
            <w:r>
              <w:rPr>
                <w:rFonts w:ascii="Times New Roman"/>
                <w:w w:val="99"/>
                <w:sz w:val="21"/>
              </w:rPr>
              <w:t>3</w:t>
            </w:r>
          </w:p>
        </w:tc>
        <w:tc>
          <w:tcPr>
            <w:tcW w:w="3801" w:type="dxa"/>
            <w:tcBorders>
              <w:right w:val="nil"/>
            </w:tcBorders>
          </w:tcPr>
          <w:p w14:paraId="33C04AED">
            <w:pPr>
              <w:pStyle w:val="14"/>
              <w:spacing w:before="86"/>
              <w:ind w:left="119"/>
              <w:rPr>
                <w:sz w:val="21"/>
              </w:rPr>
            </w:pPr>
            <w:r>
              <w:rPr>
                <w:position w:val="2"/>
                <w:sz w:val="21"/>
              </w:rPr>
              <w:t>五日生化需氧量（</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p>
        </w:tc>
        <w:tc>
          <w:tcPr>
            <w:tcW w:w="1529" w:type="dxa"/>
            <w:tcBorders>
              <w:left w:val="nil"/>
            </w:tcBorders>
          </w:tcPr>
          <w:p w14:paraId="1552FC33">
            <w:pPr>
              <w:pStyle w:val="14"/>
              <w:spacing w:before="103"/>
              <w:ind w:right="111"/>
              <w:jc w:val="right"/>
              <w:rPr>
                <w:rFonts w:ascii="Times New Roman" w:hAnsi="Times New Roman"/>
                <w:sz w:val="21"/>
              </w:rPr>
            </w:pPr>
            <w:r>
              <w:rPr>
                <w:rFonts w:ascii="Times New Roman" w:hAnsi="Times New Roman"/>
                <w:w w:val="99"/>
                <w:sz w:val="21"/>
              </w:rPr>
              <w:t>≤</w:t>
            </w:r>
          </w:p>
        </w:tc>
        <w:tc>
          <w:tcPr>
            <w:tcW w:w="1007" w:type="dxa"/>
          </w:tcPr>
          <w:p w14:paraId="0F1818F5">
            <w:pPr>
              <w:pStyle w:val="14"/>
              <w:spacing w:before="106"/>
              <w:ind w:left="9"/>
              <w:jc w:val="center"/>
              <w:rPr>
                <w:rFonts w:ascii="Times New Roman"/>
                <w:sz w:val="21"/>
              </w:rPr>
            </w:pPr>
            <w:r>
              <w:rPr>
                <w:rFonts w:ascii="Times New Roman"/>
                <w:w w:val="99"/>
                <w:sz w:val="21"/>
              </w:rPr>
              <w:t>3</w:t>
            </w:r>
          </w:p>
        </w:tc>
        <w:tc>
          <w:tcPr>
            <w:tcW w:w="1174" w:type="dxa"/>
          </w:tcPr>
          <w:p w14:paraId="49A4582E">
            <w:pPr>
              <w:pStyle w:val="14"/>
              <w:spacing w:before="106"/>
              <w:ind w:left="7"/>
              <w:jc w:val="center"/>
              <w:rPr>
                <w:rFonts w:ascii="Times New Roman"/>
                <w:sz w:val="21"/>
              </w:rPr>
            </w:pPr>
            <w:r>
              <w:rPr>
                <w:rFonts w:ascii="Times New Roman"/>
                <w:w w:val="99"/>
                <w:sz w:val="21"/>
              </w:rPr>
              <w:t>4</w:t>
            </w:r>
          </w:p>
        </w:tc>
      </w:tr>
      <w:tr w14:paraId="71272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tcPr>
          <w:p w14:paraId="17BAE996">
            <w:pPr>
              <w:pStyle w:val="14"/>
              <w:spacing w:before="105"/>
              <w:ind w:left="10"/>
              <w:jc w:val="center"/>
              <w:rPr>
                <w:rFonts w:ascii="Times New Roman"/>
                <w:sz w:val="21"/>
              </w:rPr>
            </w:pPr>
            <w:r>
              <w:rPr>
                <w:rFonts w:ascii="Times New Roman"/>
                <w:w w:val="99"/>
                <w:sz w:val="21"/>
              </w:rPr>
              <w:t>4</w:t>
            </w:r>
          </w:p>
        </w:tc>
        <w:tc>
          <w:tcPr>
            <w:tcW w:w="3801" w:type="dxa"/>
            <w:tcBorders>
              <w:right w:val="nil"/>
            </w:tcBorders>
          </w:tcPr>
          <w:p w14:paraId="05C25ECA">
            <w:pPr>
              <w:pStyle w:val="14"/>
              <w:spacing w:before="88"/>
              <w:ind w:left="131"/>
              <w:rPr>
                <w:sz w:val="21"/>
              </w:rPr>
            </w:pPr>
            <w:r>
              <w:rPr>
                <w:position w:val="2"/>
                <w:sz w:val="21"/>
              </w:rPr>
              <w:t>氨氮（</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w:t>
            </w:r>
          </w:p>
        </w:tc>
        <w:tc>
          <w:tcPr>
            <w:tcW w:w="1529" w:type="dxa"/>
            <w:tcBorders>
              <w:left w:val="nil"/>
            </w:tcBorders>
          </w:tcPr>
          <w:p w14:paraId="0E26EBE5">
            <w:pPr>
              <w:pStyle w:val="14"/>
              <w:spacing w:before="105"/>
              <w:ind w:right="120"/>
              <w:jc w:val="right"/>
              <w:rPr>
                <w:rFonts w:ascii="Times New Roman" w:hAnsi="Times New Roman"/>
                <w:sz w:val="21"/>
              </w:rPr>
            </w:pPr>
            <w:r>
              <w:rPr>
                <w:rFonts w:ascii="Times New Roman" w:hAnsi="Times New Roman"/>
                <w:w w:val="99"/>
                <w:sz w:val="21"/>
              </w:rPr>
              <w:t>≤</w:t>
            </w:r>
          </w:p>
        </w:tc>
        <w:tc>
          <w:tcPr>
            <w:tcW w:w="1007" w:type="dxa"/>
          </w:tcPr>
          <w:p w14:paraId="2E5C207C">
            <w:pPr>
              <w:pStyle w:val="14"/>
              <w:spacing w:before="105"/>
              <w:ind w:left="139" w:right="130"/>
              <w:jc w:val="center"/>
              <w:rPr>
                <w:rFonts w:ascii="Times New Roman"/>
                <w:sz w:val="21"/>
              </w:rPr>
            </w:pPr>
            <w:r>
              <w:rPr>
                <w:rFonts w:ascii="Times New Roman"/>
                <w:sz w:val="21"/>
              </w:rPr>
              <w:t>0.5</w:t>
            </w:r>
          </w:p>
        </w:tc>
        <w:tc>
          <w:tcPr>
            <w:tcW w:w="1174" w:type="dxa"/>
          </w:tcPr>
          <w:p w14:paraId="78188DFD">
            <w:pPr>
              <w:pStyle w:val="14"/>
              <w:spacing w:before="105"/>
              <w:ind w:left="88" w:right="81"/>
              <w:jc w:val="center"/>
              <w:rPr>
                <w:rFonts w:ascii="Times New Roman"/>
                <w:sz w:val="21"/>
              </w:rPr>
            </w:pPr>
            <w:r>
              <w:rPr>
                <w:rFonts w:ascii="Times New Roman"/>
                <w:sz w:val="21"/>
              </w:rPr>
              <w:t>1.0</w:t>
            </w:r>
          </w:p>
        </w:tc>
      </w:tr>
      <w:tr w14:paraId="45491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11" w:type="dxa"/>
          </w:tcPr>
          <w:p w14:paraId="2684E8B8">
            <w:pPr>
              <w:pStyle w:val="14"/>
              <w:spacing w:before="104"/>
              <w:ind w:left="10"/>
              <w:jc w:val="center"/>
              <w:rPr>
                <w:rFonts w:ascii="Times New Roman"/>
                <w:sz w:val="21"/>
              </w:rPr>
            </w:pPr>
            <w:r>
              <w:rPr>
                <w:rFonts w:ascii="Times New Roman"/>
                <w:w w:val="99"/>
                <w:sz w:val="21"/>
              </w:rPr>
              <w:t>5</w:t>
            </w:r>
          </w:p>
        </w:tc>
        <w:tc>
          <w:tcPr>
            <w:tcW w:w="3801" w:type="dxa"/>
            <w:tcBorders>
              <w:right w:val="nil"/>
            </w:tcBorders>
          </w:tcPr>
          <w:p w14:paraId="033EB920">
            <w:pPr>
              <w:pStyle w:val="14"/>
              <w:spacing w:before="90"/>
              <w:ind w:left="111"/>
              <w:rPr>
                <w:sz w:val="21"/>
              </w:rPr>
            </w:pPr>
            <w:r>
              <w:rPr>
                <w:sz w:val="21"/>
              </w:rPr>
              <w:t xml:space="preserve">总磷（以 </w:t>
            </w:r>
            <w:r>
              <w:rPr>
                <w:rFonts w:ascii="Times New Roman" w:eastAsia="Times New Roman"/>
                <w:sz w:val="21"/>
              </w:rPr>
              <w:t xml:space="preserve">P </w:t>
            </w:r>
            <w:r>
              <w:rPr>
                <w:sz w:val="21"/>
              </w:rPr>
              <w:t>计）</w:t>
            </w:r>
          </w:p>
        </w:tc>
        <w:tc>
          <w:tcPr>
            <w:tcW w:w="1529" w:type="dxa"/>
            <w:tcBorders>
              <w:left w:val="nil"/>
            </w:tcBorders>
          </w:tcPr>
          <w:p w14:paraId="107373EA">
            <w:pPr>
              <w:pStyle w:val="14"/>
              <w:spacing w:before="104"/>
              <w:ind w:right="101"/>
              <w:jc w:val="right"/>
              <w:rPr>
                <w:rFonts w:ascii="Times New Roman" w:hAnsi="Times New Roman"/>
                <w:sz w:val="21"/>
              </w:rPr>
            </w:pPr>
            <w:r>
              <w:rPr>
                <w:rFonts w:ascii="Times New Roman" w:hAnsi="Times New Roman"/>
                <w:w w:val="99"/>
                <w:sz w:val="21"/>
              </w:rPr>
              <w:t>≤</w:t>
            </w:r>
          </w:p>
        </w:tc>
        <w:tc>
          <w:tcPr>
            <w:tcW w:w="1007" w:type="dxa"/>
          </w:tcPr>
          <w:p w14:paraId="010C92C5">
            <w:pPr>
              <w:pStyle w:val="14"/>
              <w:spacing w:before="104"/>
              <w:ind w:left="139" w:right="130"/>
              <w:jc w:val="center"/>
              <w:rPr>
                <w:rFonts w:ascii="Times New Roman"/>
                <w:sz w:val="21"/>
              </w:rPr>
            </w:pPr>
            <w:r>
              <w:rPr>
                <w:rFonts w:ascii="Times New Roman"/>
                <w:sz w:val="21"/>
              </w:rPr>
              <w:t>0.1</w:t>
            </w:r>
          </w:p>
        </w:tc>
        <w:tc>
          <w:tcPr>
            <w:tcW w:w="1174" w:type="dxa"/>
          </w:tcPr>
          <w:p w14:paraId="2539E161">
            <w:pPr>
              <w:pStyle w:val="14"/>
              <w:spacing w:before="104"/>
              <w:ind w:left="88" w:right="81"/>
              <w:jc w:val="center"/>
              <w:rPr>
                <w:rFonts w:ascii="Times New Roman"/>
                <w:sz w:val="21"/>
              </w:rPr>
            </w:pPr>
            <w:r>
              <w:rPr>
                <w:rFonts w:ascii="Times New Roman"/>
                <w:sz w:val="21"/>
              </w:rPr>
              <w:t>0.2</w:t>
            </w:r>
          </w:p>
        </w:tc>
      </w:tr>
      <w:tr w14:paraId="6C348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11" w:type="dxa"/>
          </w:tcPr>
          <w:p w14:paraId="1D78307A">
            <w:pPr>
              <w:pStyle w:val="14"/>
              <w:spacing w:before="106"/>
              <w:ind w:left="10"/>
              <w:jc w:val="center"/>
              <w:rPr>
                <w:rFonts w:ascii="Times New Roman"/>
                <w:sz w:val="21"/>
              </w:rPr>
            </w:pPr>
            <w:r>
              <w:rPr>
                <w:rFonts w:ascii="Times New Roman"/>
                <w:w w:val="99"/>
                <w:sz w:val="21"/>
              </w:rPr>
              <w:t>6</w:t>
            </w:r>
          </w:p>
        </w:tc>
        <w:tc>
          <w:tcPr>
            <w:tcW w:w="3801" w:type="dxa"/>
            <w:tcBorders>
              <w:right w:val="nil"/>
            </w:tcBorders>
          </w:tcPr>
          <w:p w14:paraId="0F56E6E4">
            <w:pPr>
              <w:pStyle w:val="14"/>
              <w:spacing w:before="89"/>
              <w:ind w:left="123"/>
              <w:rPr>
                <w:sz w:val="21"/>
              </w:rPr>
            </w:pPr>
            <w:r>
              <w:rPr>
                <w:sz w:val="21"/>
              </w:rPr>
              <w:t>粪大肠菌群（个</w:t>
            </w:r>
            <w:r>
              <w:rPr>
                <w:rFonts w:ascii="Times New Roman" w:eastAsia="Times New Roman"/>
                <w:sz w:val="21"/>
              </w:rPr>
              <w:t>/L</w:t>
            </w:r>
            <w:r>
              <w:rPr>
                <w:sz w:val="21"/>
              </w:rPr>
              <w:t>）</w:t>
            </w:r>
          </w:p>
        </w:tc>
        <w:tc>
          <w:tcPr>
            <w:tcW w:w="1529" w:type="dxa"/>
            <w:tcBorders>
              <w:left w:val="nil"/>
            </w:tcBorders>
          </w:tcPr>
          <w:p w14:paraId="683F3BEF">
            <w:pPr>
              <w:pStyle w:val="14"/>
              <w:spacing w:before="103"/>
              <w:ind w:right="113"/>
              <w:jc w:val="right"/>
              <w:rPr>
                <w:rFonts w:ascii="Times New Roman" w:hAnsi="Times New Roman"/>
                <w:sz w:val="21"/>
              </w:rPr>
            </w:pPr>
            <w:r>
              <w:rPr>
                <w:rFonts w:ascii="Times New Roman" w:hAnsi="Times New Roman"/>
                <w:w w:val="99"/>
                <w:sz w:val="21"/>
              </w:rPr>
              <w:t>≤</w:t>
            </w:r>
          </w:p>
        </w:tc>
        <w:tc>
          <w:tcPr>
            <w:tcW w:w="1007" w:type="dxa"/>
          </w:tcPr>
          <w:p w14:paraId="7D3DBBC9">
            <w:pPr>
              <w:pStyle w:val="14"/>
              <w:spacing w:before="106"/>
              <w:ind w:left="139" w:right="130"/>
              <w:jc w:val="center"/>
              <w:rPr>
                <w:rFonts w:ascii="Times New Roman"/>
                <w:sz w:val="21"/>
              </w:rPr>
            </w:pPr>
            <w:r>
              <w:rPr>
                <w:rFonts w:ascii="Times New Roman"/>
                <w:sz w:val="21"/>
              </w:rPr>
              <w:t>2000</w:t>
            </w:r>
          </w:p>
        </w:tc>
        <w:tc>
          <w:tcPr>
            <w:tcW w:w="1174" w:type="dxa"/>
          </w:tcPr>
          <w:p w14:paraId="5A29A71C">
            <w:pPr>
              <w:pStyle w:val="14"/>
              <w:spacing w:before="106"/>
              <w:ind w:left="89" w:right="80"/>
              <w:jc w:val="center"/>
              <w:rPr>
                <w:rFonts w:ascii="Times New Roman"/>
                <w:sz w:val="21"/>
              </w:rPr>
            </w:pPr>
            <w:r>
              <w:rPr>
                <w:rFonts w:ascii="Times New Roman"/>
                <w:sz w:val="21"/>
              </w:rPr>
              <w:t>10000</w:t>
            </w:r>
          </w:p>
        </w:tc>
      </w:tr>
    </w:tbl>
    <w:p w14:paraId="4FEE8B38">
      <w:pPr>
        <w:pStyle w:val="7"/>
        <w:spacing w:before="1"/>
        <w:ind w:left="760"/>
      </w:pPr>
      <w:r>
        <w:rPr>
          <w:rFonts w:ascii="Times New Roman" w:eastAsia="Times New Roman"/>
        </w:rPr>
        <w:t>3</w:t>
      </w:r>
      <w:r>
        <w:t>、地下水质量标准</w:t>
      </w:r>
    </w:p>
    <w:p w14:paraId="749ADA9F">
      <w:pPr>
        <w:pStyle w:val="7"/>
        <w:spacing w:before="161" w:line="362" w:lineRule="auto"/>
        <w:ind w:left="280" w:right="337" w:firstLine="480"/>
      </w:pPr>
      <w:r>
        <w:t>项目所处区域地下水未划分环境功能区，与场区同一水文地质单元内不涉及地下水环境敏感区，因此区域地下水环境质量执行《地下水质量标准》</w:t>
      </w:r>
    </w:p>
    <w:p w14:paraId="44114900">
      <w:pPr>
        <w:pStyle w:val="7"/>
        <w:spacing w:before="5"/>
        <w:ind w:left="280"/>
        <w:jc w:val="both"/>
      </w:pPr>
      <w:r>
        <w:t>（</w:t>
      </w:r>
      <w:r>
        <w:rPr>
          <w:rFonts w:ascii="Times New Roman" w:eastAsia="Times New Roman"/>
        </w:rPr>
        <w:t>GB/T14848-2017</w:t>
      </w:r>
      <w:r>
        <w:t>）</w:t>
      </w:r>
      <w:r>
        <w:rPr>
          <w:rFonts w:ascii="Times New Roman" w:eastAsia="Times New Roman"/>
        </w:rPr>
        <w:t xml:space="preserve">III </w:t>
      </w:r>
      <w:r>
        <w:t>类标准。</w:t>
      </w:r>
    </w:p>
    <w:p w14:paraId="1A645DA3">
      <w:pPr>
        <w:spacing w:before="156" w:after="4"/>
        <w:ind w:left="262" w:right="326" w:firstLine="0"/>
        <w:jc w:val="center"/>
        <w:rPr>
          <w:rFonts w:ascii="Times New Roman" w:eastAsia="Times New Roman"/>
          <w:b/>
          <w:sz w:val="21"/>
        </w:rPr>
      </w:pPr>
      <w:r>
        <w:rPr>
          <w:b/>
          <w:sz w:val="21"/>
        </w:rPr>
        <w:t xml:space="preserve">表 </w:t>
      </w:r>
      <w:r>
        <w:rPr>
          <w:rFonts w:ascii="Times New Roman" w:eastAsia="Times New Roman"/>
          <w:b/>
          <w:sz w:val="21"/>
        </w:rPr>
        <w:t xml:space="preserve">0- 3 </w:t>
      </w:r>
      <w:r>
        <w:rPr>
          <w:b/>
          <w:sz w:val="21"/>
        </w:rPr>
        <w:t>地下水质量指标及限值 单位：</w:t>
      </w:r>
      <w:r>
        <w:rPr>
          <w:rFonts w:ascii="Times New Roman" w:eastAsia="Times New Roman"/>
          <w:b/>
          <w:sz w:val="21"/>
        </w:rPr>
        <w:t>mg/L</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4"/>
        <w:gridCol w:w="2867"/>
        <w:gridCol w:w="4091"/>
      </w:tblGrid>
      <w:tr w14:paraId="42E99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58AF846D">
            <w:pPr>
              <w:pStyle w:val="14"/>
              <w:spacing w:before="90"/>
              <w:ind w:left="550" w:right="542"/>
              <w:jc w:val="center"/>
              <w:rPr>
                <w:b/>
                <w:sz w:val="21"/>
              </w:rPr>
            </w:pPr>
            <w:r>
              <w:rPr>
                <w:b/>
                <w:sz w:val="21"/>
              </w:rPr>
              <w:t>序号</w:t>
            </w:r>
          </w:p>
        </w:tc>
        <w:tc>
          <w:tcPr>
            <w:tcW w:w="2867" w:type="dxa"/>
          </w:tcPr>
          <w:p w14:paraId="11774633">
            <w:pPr>
              <w:pStyle w:val="14"/>
              <w:spacing w:before="90"/>
              <w:ind w:left="256" w:right="249"/>
              <w:jc w:val="center"/>
              <w:rPr>
                <w:b/>
                <w:sz w:val="21"/>
              </w:rPr>
            </w:pPr>
            <w:r>
              <w:rPr>
                <w:b/>
                <w:sz w:val="21"/>
              </w:rPr>
              <w:t>指标</w:t>
            </w:r>
          </w:p>
        </w:tc>
        <w:tc>
          <w:tcPr>
            <w:tcW w:w="4091" w:type="dxa"/>
          </w:tcPr>
          <w:p w14:paraId="4F93786E">
            <w:pPr>
              <w:pStyle w:val="14"/>
              <w:spacing w:before="90"/>
              <w:ind w:left="1419" w:right="1415"/>
              <w:jc w:val="center"/>
              <w:rPr>
                <w:b/>
                <w:sz w:val="21"/>
              </w:rPr>
            </w:pPr>
            <w:r>
              <w:rPr>
                <w:b/>
                <w:sz w:val="21"/>
              </w:rPr>
              <w:t>Ⅲ类</w:t>
            </w:r>
          </w:p>
        </w:tc>
      </w:tr>
      <w:tr w14:paraId="2B6C3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65BCB594">
            <w:pPr>
              <w:pStyle w:val="14"/>
              <w:spacing w:before="105"/>
              <w:ind w:left="9"/>
              <w:jc w:val="center"/>
              <w:rPr>
                <w:rFonts w:ascii="Times New Roman"/>
                <w:sz w:val="21"/>
              </w:rPr>
            </w:pPr>
            <w:r>
              <w:rPr>
                <w:rFonts w:ascii="Times New Roman"/>
                <w:w w:val="99"/>
                <w:sz w:val="21"/>
              </w:rPr>
              <w:t>1</w:t>
            </w:r>
          </w:p>
        </w:tc>
        <w:tc>
          <w:tcPr>
            <w:tcW w:w="2867" w:type="dxa"/>
          </w:tcPr>
          <w:p w14:paraId="589E2FC3">
            <w:pPr>
              <w:pStyle w:val="14"/>
              <w:spacing w:before="105"/>
              <w:ind w:left="256" w:right="249"/>
              <w:jc w:val="center"/>
              <w:rPr>
                <w:rFonts w:ascii="Times New Roman"/>
                <w:sz w:val="21"/>
              </w:rPr>
            </w:pPr>
            <w:r>
              <w:rPr>
                <w:rFonts w:ascii="Times New Roman"/>
                <w:sz w:val="21"/>
              </w:rPr>
              <w:t>pH</w:t>
            </w:r>
          </w:p>
        </w:tc>
        <w:tc>
          <w:tcPr>
            <w:tcW w:w="4091" w:type="dxa"/>
          </w:tcPr>
          <w:p w14:paraId="6EC189A7">
            <w:pPr>
              <w:pStyle w:val="14"/>
              <w:spacing w:before="91"/>
              <w:ind w:left="1423" w:right="1415"/>
              <w:jc w:val="center"/>
              <w:rPr>
                <w:rFonts w:ascii="Times New Roman" w:hAnsi="Times New Roman" w:eastAsia="Times New Roman"/>
                <w:sz w:val="21"/>
              </w:rPr>
            </w:pPr>
            <w:r>
              <w:rPr>
                <w:rFonts w:ascii="Times New Roman" w:hAnsi="Times New Roman" w:eastAsia="Times New Roman"/>
                <w:sz w:val="21"/>
              </w:rPr>
              <w:t>6.5</w:t>
            </w:r>
            <w:r>
              <w:rPr>
                <w:sz w:val="21"/>
              </w:rPr>
              <w:t>＜</w:t>
            </w:r>
            <w:r>
              <w:rPr>
                <w:rFonts w:ascii="Times New Roman" w:hAnsi="Times New Roman" w:eastAsia="Times New Roman"/>
                <w:sz w:val="21"/>
              </w:rPr>
              <w:t>pH</w:t>
            </w:r>
            <w:r>
              <w:rPr>
                <w:sz w:val="21"/>
              </w:rPr>
              <w:t>≤</w:t>
            </w:r>
            <w:r>
              <w:rPr>
                <w:rFonts w:ascii="Times New Roman" w:hAnsi="Times New Roman" w:eastAsia="Times New Roman"/>
                <w:sz w:val="21"/>
              </w:rPr>
              <w:t>8.5</w:t>
            </w:r>
          </w:p>
        </w:tc>
      </w:tr>
      <w:tr w14:paraId="7216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0EBBA768">
            <w:pPr>
              <w:pStyle w:val="14"/>
              <w:spacing w:before="105"/>
              <w:ind w:left="9"/>
              <w:jc w:val="center"/>
              <w:rPr>
                <w:rFonts w:ascii="Times New Roman"/>
                <w:sz w:val="21"/>
              </w:rPr>
            </w:pPr>
            <w:r>
              <w:rPr>
                <w:rFonts w:ascii="Times New Roman"/>
                <w:w w:val="99"/>
                <w:sz w:val="21"/>
              </w:rPr>
              <w:t>2</w:t>
            </w:r>
          </w:p>
        </w:tc>
        <w:tc>
          <w:tcPr>
            <w:tcW w:w="2867" w:type="dxa"/>
          </w:tcPr>
          <w:p w14:paraId="1843E97A">
            <w:pPr>
              <w:pStyle w:val="14"/>
              <w:spacing w:before="91"/>
              <w:ind w:left="256" w:right="251"/>
              <w:jc w:val="center"/>
              <w:rPr>
                <w:sz w:val="21"/>
              </w:rPr>
            </w:pPr>
            <w:r>
              <w:rPr>
                <w:sz w:val="21"/>
              </w:rPr>
              <w:t>总硬度</w:t>
            </w:r>
          </w:p>
        </w:tc>
        <w:tc>
          <w:tcPr>
            <w:tcW w:w="4091" w:type="dxa"/>
          </w:tcPr>
          <w:p w14:paraId="2CCE8E52">
            <w:pPr>
              <w:pStyle w:val="14"/>
              <w:spacing w:before="105"/>
              <w:ind w:left="1423" w:right="1413"/>
              <w:jc w:val="center"/>
              <w:rPr>
                <w:rFonts w:ascii="Times New Roman" w:hAnsi="Times New Roman"/>
                <w:sz w:val="21"/>
              </w:rPr>
            </w:pPr>
            <w:r>
              <w:rPr>
                <w:rFonts w:ascii="Times New Roman" w:hAnsi="Times New Roman"/>
                <w:sz w:val="21"/>
              </w:rPr>
              <w:t>≤450</w:t>
            </w:r>
          </w:p>
        </w:tc>
      </w:tr>
      <w:tr w14:paraId="3DB9D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787D0EFA">
            <w:pPr>
              <w:pStyle w:val="14"/>
              <w:spacing w:before="106"/>
              <w:ind w:left="9"/>
              <w:jc w:val="center"/>
              <w:rPr>
                <w:rFonts w:ascii="Times New Roman"/>
                <w:sz w:val="21"/>
              </w:rPr>
            </w:pPr>
            <w:r>
              <w:rPr>
                <w:rFonts w:ascii="Times New Roman"/>
                <w:w w:val="99"/>
                <w:sz w:val="21"/>
              </w:rPr>
              <w:t>3</w:t>
            </w:r>
          </w:p>
        </w:tc>
        <w:tc>
          <w:tcPr>
            <w:tcW w:w="2867" w:type="dxa"/>
          </w:tcPr>
          <w:p w14:paraId="6370A398">
            <w:pPr>
              <w:pStyle w:val="14"/>
              <w:spacing w:before="90"/>
              <w:ind w:left="256" w:right="251"/>
              <w:jc w:val="center"/>
              <w:rPr>
                <w:sz w:val="21"/>
              </w:rPr>
            </w:pPr>
            <w:r>
              <w:rPr>
                <w:sz w:val="21"/>
              </w:rPr>
              <w:t>溶解性总固体</w:t>
            </w:r>
          </w:p>
        </w:tc>
        <w:tc>
          <w:tcPr>
            <w:tcW w:w="4091" w:type="dxa"/>
          </w:tcPr>
          <w:p w14:paraId="616137E7">
            <w:pPr>
              <w:pStyle w:val="14"/>
              <w:spacing w:before="106"/>
              <w:ind w:left="1423" w:right="1413"/>
              <w:jc w:val="center"/>
              <w:rPr>
                <w:rFonts w:ascii="Times New Roman" w:hAnsi="Times New Roman"/>
                <w:sz w:val="21"/>
              </w:rPr>
            </w:pPr>
            <w:r>
              <w:rPr>
                <w:rFonts w:ascii="Times New Roman" w:hAnsi="Times New Roman"/>
                <w:sz w:val="21"/>
              </w:rPr>
              <w:t>≤1000</w:t>
            </w:r>
          </w:p>
        </w:tc>
      </w:tr>
      <w:tr w14:paraId="14075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08982E1C">
            <w:pPr>
              <w:pStyle w:val="14"/>
              <w:spacing w:before="105"/>
              <w:ind w:left="9"/>
              <w:jc w:val="center"/>
              <w:rPr>
                <w:rFonts w:ascii="Times New Roman"/>
                <w:sz w:val="21"/>
              </w:rPr>
            </w:pPr>
            <w:r>
              <w:rPr>
                <w:rFonts w:ascii="Times New Roman"/>
                <w:w w:val="99"/>
                <w:sz w:val="21"/>
              </w:rPr>
              <w:t>4</w:t>
            </w:r>
          </w:p>
        </w:tc>
        <w:tc>
          <w:tcPr>
            <w:tcW w:w="2867" w:type="dxa"/>
          </w:tcPr>
          <w:p w14:paraId="29EEC2C3">
            <w:pPr>
              <w:pStyle w:val="14"/>
              <w:spacing w:before="91"/>
              <w:ind w:left="256" w:right="251"/>
              <w:jc w:val="center"/>
              <w:rPr>
                <w:sz w:val="21"/>
              </w:rPr>
            </w:pPr>
            <w:r>
              <w:rPr>
                <w:sz w:val="21"/>
              </w:rPr>
              <w:t>硫酸盐</w:t>
            </w:r>
          </w:p>
        </w:tc>
        <w:tc>
          <w:tcPr>
            <w:tcW w:w="4091" w:type="dxa"/>
          </w:tcPr>
          <w:p w14:paraId="5D50EA6B">
            <w:pPr>
              <w:pStyle w:val="14"/>
              <w:spacing w:before="105"/>
              <w:ind w:left="1423" w:right="1413"/>
              <w:jc w:val="center"/>
              <w:rPr>
                <w:rFonts w:ascii="Times New Roman" w:hAnsi="Times New Roman"/>
                <w:sz w:val="21"/>
              </w:rPr>
            </w:pPr>
            <w:r>
              <w:rPr>
                <w:rFonts w:ascii="Times New Roman" w:hAnsi="Times New Roman"/>
                <w:sz w:val="21"/>
              </w:rPr>
              <w:t>≤250</w:t>
            </w:r>
          </w:p>
        </w:tc>
      </w:tr>
      <w:tr w14:paraId="0EF30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564" w:type="dxa"/>
          </w:tcPr>
          <w:p w14:paraId="0184480A">
            <w:pPr>
              <w:pStyle w:val="14"/>
              <w:spacing w:before="105"/>
              <w:ind w:left="9"/>
              <w:jc w:val="center"/>
              <w:rPr>
                <w:rFonts w:ascii="Times New Roman"/>
                <w:sz w:val="21"/>
              </w:rPr>
            </w:pPr>
            <w:r>
              <w:rPr>
                <w:rFonts w:ascii="Times New Roman"/>
                <w:w w:val="99"/>
                <w:sz w:val="21"/>
              </w:rPr>
              <w:t>5</w:t>
            </w:r>
          </w:p>
        </w:tc>
        <w:tc>
          <w:tcPr>
            <w:tcW w:w="2867" w:type="dxa"/>
          </w:tcPr>
          <w:p w14:paraId="79334976">
            <w:pPr>
              <w:pStyle w:val="14"/>
              <w:spacing w:before="91"/>
              <w:ind w:left="256" w:right="251"/>
              <w:jc w:val="center"/>
              <w:rPr>
                <w:sz w:val="21"/>
              </w:rPr>
            </w:pPr>
            <w:r>
              <w:rPr>
                <w:sz w:val="21"/>
              </w:rPr>
              <w:t>氯化物</w:t>
            </w:r>
          </w:p>
        </w:tc>
        <w:tc>
          <w:tcPr>
            <w:tcW w:w="4091" w:type="dxa"/>
          </w:tcPr>
          <w:p w14:paraId="55EAEAA9">
            <w:pPr>
              <w:pStyle w:val="14"/>
              <w:spacing w:before="105"/>
              <w:ind w:left="1423" w:right="1413"/>
              <w:jc w:val="center"/>
              <w:rPr>
                <w:rFonts w:ascii="Times New Roman" w:hAnsi="Times New Roman"/>
                <w:sz w:val="21"/>
              </w:rPr>
            </w:pPr>
            <w:r>
              <w:rPr>
                <w:rFonts w:ascii="Times New Roman" w:hAnsi="Times New Roman"/>
                <w:sz w:val="21"/>
              </w:rPr>
              <w:t>≤250</w:t>
            </w:r>
          </w:p>
        </w:tc>
      </w:tr>
    </w:tbl>
    <w:p w14:paraId="3AAD750E">
      <w:pPr>
        <w:spacing w:after="0"/>
        <w:jc w:val="center"/>
        <w:rPr>
          <w:rFonts w:ascii="Times New Roman" w:hAnsi="Times New Roman"/>
          <w:sz w:val="21"/>
        </w:rPr>
        <w:sectPr>
          <w:pgSz w:w="11910" w:h="16840"/>
          <w:pgMar w:top="1360" w:right="1460" w:bottom="1400" w:left="1520" w:header="878" w:footer="1204" w:gutter="0"/>
          <w:cols w:space="720" w:num="1"/>
        </w:sectPr>
      </w:pPr>
    </w:p>
    <w:p w14:paraId="04B2387A">
      <w:pPr>
        <w:pStyle w:val="7"/>
        <w:spacing w:before="9"/>
        <w:rPr>
          <w:rFonts w:ascii="Times New Roman"/>
          <w:b/>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4"/>
        <w:gridCol w:w="2867"/>
        <w:gridCol w:w="4091"/>
      </w:tblGrid>
      <w:tr w14:paraId="7BDA5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7A2B0D1A">
            <w:pPr>
              <w:pStyle w:val="14"/>
              <w:spacing w:before="107"/>
              <w:ind w:left="9"/>
              <w:jc w:val="center"/>
              <w:rPr>
                <w:rFonts w:ascii="Times New Roman"/>
                <w:sz w:val="21"/>
              </w:rPr>
            </w:pPr>
            <w:r>
              <w:rPr>
                <w:rFonts w:ascii="Times New Roman"/>
                <w:w w:val="99"/>
                <w:sz w:val="21"/>
              </w:rPr>
              <w:t>6</w:t>
            </w:r>
          </w:p>
        </w:tc>
        <w:tc>
          <w:tcPr>
            <w:tcW w:w="2867" w:type="dxa"/>
          </w:tcPr>
          <w:p w14:paraId="060212A9">
            <w:pPr>
              <w:pStyle w:val="14"/>
              <w:spacing w:before="91"/>
              <w:ind w:left="256" w:right="249"/>
              <w:jc w:val="center"/>
              <w:rPr>
                <w:sz w:val="21"/>
              </w:rPr>
            </w:pPr>
            <w:r>
              <w:rPr>
                <w:sz w:val="21"/>
              </w:rPr>
              <w:t>挥发性酚类</w:t>
            </w:r>
          </w:p>
        </w:tc>
        <w:tc>
          <w:tcPr>
            <w:tcW w:w="4091" w:type="dxa"/>
          </w:tcPr>
          <w:p w14:paraId="1405126D">
            <w:pPr>
              <w:pStyle w:val="14"/>
              <w:spacing w:before="107"/>
              <w:ind w:right="1740"/>
              <w:jc w:val="right"/>
              <w:rPr>
                <w:rFonts w:ascii="Times New Roman" w:hAnsi="Times New Roman"/>
                <w:sz w:val="21"/>
              </w:rPr>
            </w:pPr>
            <w:r>
              <w:rPr>
                <w:rFonts w:ascii="Times New Roman" w:hAnsi="Times New Roman"/>
                <w:w w:val="95"/>
                <w:sz w:val="21"/>
              </w:rPr>
              <w:t>≤0.002</w:t>
            </w:r>
          </w:p>
        </w:tc>
      </w:tr>
      <w:tr w14:paraId="31292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5F68FD3F">
            <w:pPr>
              <w:pStyle w:val="14"/>
              <w:spacing w:before="106"/>
              <w:ind w:left="9"/>
              <w:jc w:val="center"/>
              <w:rPr>
                <w:rFonts w:ascii="Times New Roman"/>
                <w:sz w:val="21"/>
              </w:rPr>
            </w:pPr>
            <w:r>
              <w:rPr>
                <w:rFonts w:ascii="Times New Roman"/>
                <w:w w:val="99"/>
                <w:sz w:val="21"/>
              </w:rPr>
              <w:t>7</w:t>
            </w:r>
          </w:p>
        </w:tc>
        <w:tc>
          <w:tcPr>
            <w:tcW w:w="2867" w:type="dxa"/>
          </w:tcPr>
          <w:p w14:paraId="046DA898">
            <w:pPr>
              <w:pStyle w:val="14"/>
              <w:spacing w:before="90"/>
              <w:ind w:left="256" w:right="251"/>
              <w:jc w:val="center"/>
              <w:rPr>
                <w:sz w:val="21"/>
              </w:rPr>
            </w:pPr>
            <w:r>
              <w:rPr>
                <w:sz w:val="21"/>
              </w:rPr>
              <w:t>高锰酸盐指数（耗氧量）</w:t>
            </w:r>
          </w:p>
        </w:tc>
        <w:tc>
          <w:tcPr>
            <w:tcW w:w="4091" w:type="dxa"/>
          </w:tcPr>
          <w:p w14:paraId="067DDC4F">
            <w:pPr>
              <w:pStyle w:val="14"/>
              <w:spacing w:before="106"/>
              <w:ind w:left="1423" w:right="1415"/>
              <w:jc w:val="center"/>
              <w:rPr>
                <w:rFonts w:ascii="Times New Roman" w:hAnsi="Times New Roman"/>
                <w:sz w:val="21"/>
              </w:rPr>
            </w:pPr>
            <w:r>
              <w:rPr>
                <w:rFonts w:ascii="Times New Roman" w:hAnsi="Times New Roman"/>
                <w:sz w:val="21"/>
              </w:rPr>
              <w:t>≤3.0</w:t>
            </w:r>
          </w:p>
        </w:tc>
      </w:tr>
      <w:tr w14:paraId="53FA9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64D4BDC0">
            <w:pPr>
              <w:pStyle w:val="14"/>
              <w:spacing w:before="105"/>
              <w:ind w:left="9"/>
              <w:jc w:val="center"/>
              <w:rPr>
                <w:rFonts w:ascii="Times New Roman"/>
                <w:sz w:val="21"/>
              </w:rPr>
            </w:pPr>
            <w:r>
              <w:rPr>
                <w:rFonts w:ascii="Times New Roman"/>
                <w:w w:val="99"/>
                <w:sz w:val="21"/>
              </w:rPr>
              <w:t>8</w:t>
            </w:r>
          </w:p>
        </w:tc>
        <w:tc>
          <w:tcPr>
            <w:tcW w:w="2867" w:type="dxa"/>
          </w:tcPr>
          <w:p w14:paraId="16BE0532">
            <w:pPr>
              <w:pStyle w:val="14"/>
              <w:spacing w:before="91"/>
              <w:ind w:left="256" w:right="251"/>
              <w:jc w:val="center"/>
              <w:rPr>
                <w:sz w:val="21"/>
              </w:rPr>
            </w:pPr>
            <w:r>
              <w:rPr>
                <w:sz w:val="21"/>
              </w:rPr>
              <w:t>硝酸盐</w:t>
            </w:r>
          </w:p>
        </w:tc>
        <w:tc>
          <w:tcPr>
            <w:tcW w:w="4091" w:type="dxa"/>
          </w:tcPr>
          <w:p w14:paraId="7C330173">
            <w:pPr>
              <w:pStyle w:val="14"/>
              <w:spacing w:before="105"/>
              <w:ind w:right="1793"/>
              <w:jc w:val="right"/>
              <w:rPr>
                <w:rFonts w:ascii="Times New Roman" w:hAnsi="Times New Roman"/>
                <w:sz w:val="21"/>
              </w:rPr>
            </w:pPr>
            <w:r>
              <w:rPr>
                <w:rFonts w:ascii="Times New Roman" w:hAnsi="Times New Roman"/>
                <w:sz w:val="21"/>
              </w:rPr>
              <w:t>≤20.0</w:t>
            </w:r>
          </w:p>
        </w:tc>
      </w:tr>
      <w:tr w14:paraId="3A6B7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021A25AD">
            <w:pPr>
              <w:pStyle w:val="14"/>
              <w:spacing w:before="107"/>
              <w:ind w:left="9"/>
              <w:jc w:val="center"/>
              <w:rPr>
                <w:rFonts w:ascii="Times New Roman"/>
                <w:sz w:val="21"/>
              </w:rPr>
            </w:pPr>
            <w:r>
              <w:rPr>
                <w:rFonts w:ascii="Times New Roman"/>
                <w:w w:val="99"/>
                <w:sz w:val="21"/>
              </w:rPr>
              <w:t>9</w:t>
            </w:r>
          </w:p>
        </w:tc>
        <w:tc>
          <w:tcPr>
            <w:tcW w:w="2867" w:type="dxa"/>
          </w:tcPr>
          <w:p w14:paraId="47DCBFBC">
            <w:pPr>
              <w:pStyle w:val="14"/>
              <w:spacing w:before="90"/>
              <w:ind w:left="256" w:right="249"/>
              <w:jc w:val="center"/>
              <w:rPr>
                <w:sz w:val="21"/>
              </w:rPr>
            </w:pPr>
            <w:r>
              <w:rPr>
                <w:sz w:val="21"/>
              </w:rPr>
              <w:t>亚硝酸盐</w:t>
            </w:r>
          </w:p>
        </w:tc>
        <w:tc>
          <w:tcPr>
            <w:tcW w:w="4091" w:type="dxa"/>
          </w:tcPr>
          <w:p w14:paraId="7614FDD3">
            <w:pPr>
              <w:pStyle w:val="14"/>
              <w:spacing w:before="107"/>
              <w:ind w:right="1793"/>
              <w:jc w:val="right"/>
              <w:rPr>
                <w:rFonts w:ascii="Times New Roman" w:hAnsi="Times New Roman"/>
                <w:sz w:val="21"/>
              </w:rPr>
            </w:pPr>
            <w:r>
              <w:rPr>
                <w:rFonts w:ascii="Times New Roman" w:hAnsi="Times New Roman"/>
                <w:w w:val="95"/>
                <w:sz w:val="21"/>
              </w:rPr>
              <w:t>≤1.00</w:t>
            </w:r>
          </w:p>
        </w:tc>
      </w:tr>
      <w:tr w14:paraId="31828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464861F5">
            <w:pPr>
              <w:pStyle w:val="14"/>
              <w:spacing w:before="106"/>
              <w:ind w:left="550" w:right="541"/>
              <w:jc w:val="center"/>
              <w:rPr>
                <w:rFonts w:ascii="Times New Roman"/>
                <w:sz w:val="21"/>
              </w:rPr>
            </w:pPr>
            <w:r>
              <w:rPr>
                <w:rFonts w:ascii="Times New Roman"/>
                <w:sz w:val="21"/>
              </w:rPr>
              <w:t>10</w:t>
            </w:r>
          </w:p>
        </w:tc>
        <w:tc>
          <w:tcPr>
            <w:tcW w:w="2867" w:type="dxa"/>
          </w:tcPr>
          <w:p w14:paraId="11E3317F">
            <w:pPr>
              <w:pStyle w:val="14"/>
              <w:spacing w:before="90"/>
              <w:ind w:left="256" w:right="251"/>
              <w:jc w:val="center"/>
              <w:rPr>
                <w:sz w:val="21"/>
              </w:rPr>
            </w:pPr>
            <w:r>
              <w:rPr>
                <w:sz w:val="21"/>
              </w:rPr>
              <w:t>氨氮</w:t>
            </w:r>
          </w:p>
        </w:tc>
        <w:tc>
          <w:tcPr>
            <w:tcW w:w="4091" w:type="dxa"/>
          </w:tcPr>
          <w:p w14:paraId="4E6B61E5">
            <w:pPr>
              <w:pStyle w:val="14"/>
              <w:spacing w:before="106"/>
              <w:ind w:right="1791"/>
              <w:jc w:val="right"/>
              <w:rPr>
                <w:rFonts w:ascii="Times New Roman" w:hAnsi="Times New Roman"/>
                <w:sz w:val="21"/>
              </w:rPr>
            </w:pPr>
            <w:r>
              <w:rPr>
                <w:rFonts w:ascii="Times New Roman" w:hAnsi="Times New Roman"/>
                <w:w w:val="95"/>
                <w:sz w:val="21"/>
              </w:rPr>
              <w:t>≤0.50</w:t>
            </w:r>
          </w:p>
        </w:tc>
      </w:tr>
      <w:tr w14:paraId="66F5B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53649532">
            <w:pPr>
              <w:pStyle w:val="14"/>
              <w:spacing w:before="105"/>
              <w:ind w:left="550" w:right="536"/>
              <w:jc w:val="center"/>
              <w:rPr>
                <w:rFonts w:ascii="Times New Roman"/>
                <w:sz w:val="21"/>
              </w:rPr>
            </w:pPr>
            <w:r>
              <w:rPr>
                <w:rFonts w:ascii="Times New Roman"/>
                <w:sz w:val="21"/>
              </w:rPr>
              <w:t>11</w:t>
            </w:r>
          </w:p>
        </w:tc>
        <w:tc>
          <w:tcPr>
            <w:tcW w:w="2867" w:type="dxa"/>
          </w:tcPr>
          <w:p w14:paraId="16AEC01C">
            <w:pPr>
              <w:pStyle w:val="14"/>
              <w:spacing w:before="91"/>
              <w:ind w:left="7"/>
              <w:jc w:val="center"/>
              <w:rPr>
                <w:sz w:val="21"/>
              </w:rPr>
            </w:pPr>
            <w:r>
              <w:rPr>
                <w:w w:val="99"/>
                <w:sz w:val="21"/>
              </w:rPr>
              <w:t>钠</w:t>
            </w:r>
          </w:p>
        </w:tc>
        <w:tc>
          <w:tcPr>
            <w:tcW w:w="4091" w:type="dxa"/>
          </w:tcPr>
          <w:p w14:paraId="6C8319DE">
            <w:pPr>
              <w:pStyle w:val="14"/>
              <w:spacing w:before="105"/>
              <w:ind w:right="1817"/>
              <w:jc w:val="right"/>
              <w:rPr>
                <w:rFonts w:ascii="Times New Roman" w:hAnsi="Times New Roman"/>
                <w:sz w:val="21"/>
              </w:rPr>
            </w:pPr>
            <w:r>
              <w:rPr>
                <w:rFonts w:ascii="Times New Roman" w:hAnsi="Times New Roman"/>
                <w:w w:val="95"/>
                <w:sz w:val="21"/>
              </w:rPr>
              <w:t>≤200</w:t>
            </w:r>
          </w:p>
        </w:tc>
      </w:tr>
      <w:tr w14:paraId="643D2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7C936885">
            <w:pPr>
              <w:pStyle w:val="14"/>
              <w:spacing w:before="107"/>
              <w:ind w:left="550" w:right="541"/>
              <w:jc w:val="center"/>
              <w:rPr>
                <w:rFonts w:ascii="Times New Roman"/>
                <w:sz w:val="21"/>
              </w:rPr>
            </w:pPr>
            <w:r>
              <w:rPr>
                <w:rFonts w:ascii="Times New Roman"/>
                <w:sz w:val="21"/>
              </w:rPr>
              <w:t>12</w:t>
            </w:r>
          </w:p>
        </w:tc>
        <w:tc>
          <w:tcPr>
            <w:tcW w:w="2867" w:type="dxa"/>
          </w:tcPr>
          <w:p w14:paraId="38AEB273">
            <w:pPr>
              <w:pStyle w:val="14"/>
              <w:spacing w:before="91"/>
              <w:ind w:left="256" w:right="249"/>
              <w:jc w:val="center"/>
              <w:rPr>
                <w:sz w:val="21"/>
              </w:rPr>
            </w:pPr>
            <w:r>
              <w:rPr>
                <w:sz w:val="21"/>
              </w:rPr>
              <w:t>总大肠菌群</w:t>
            </w:r>
          </w:p>
        </w:tc>
        <w:tc>
          <w:tcPr>
            <w:tcW w:w="4091" w:type="dxa"/>
          </w:tcPr>
          <w:p w14:paraId="6CC8DF7A">
            <w:pPr>
              <w:pStyle w:val="14"/>
              <w:spacing w:before="107"/>
              <w:ind w:left="1423" w:right="1415"/>
              <w:jc w:val="center"/>
              <w:rPr>
                <w:rFonts w:ascii="Times New Roman" w:hAnsi="Times New Roman"/>
                <w:sz w:val="21"/>
              </w:rPr>
            </w:pPr>
            <w:r>
              <w:rPr>
                <w:rFonts w:ascii="Times New Roman" w:hAnsi="Times New Roman"/>
                <w:sz w:val="21"/>
              </w:rPr>
              <w:t>≤3.0</w:t>
            </w:r>
          </w:p>
        </w:tc>
      </w:tr>
      <w:tr w14:paraId="3EF2B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292E9291">
            <w:pPr>
              <w:pStyle w:val="14"/>
              <w:spacing w:before="106"/>
              <w:ind w:left="550" w:right="541"/>
              <w:jc w:val="center"/>
              <w:rPr>
                <w:rFonts w:ascii="Times New Roman"/>
                <w:sz w:val="21"/>
              </w:rPr>
            </w:pPr>
            <w:r>
              <w:rPr>
                <w:rFonts w:ascii="Times New Roman"/>
                <w:sz w:val="21"/>
              </w:rPr>
              <w:t>13</w:t>
            </w:r>
          </w:p>
        </w:tc>
        <w:tc>
          <w:tcPr>
            <w:tcW w:w="2867" w:type="dxa"/>
          </w:tcPr>
          <w:p w14:paraId="777FD8C3">
            <w:pPr>
              <w:pStyle w:val="14"/>
              <w:spacing w:before="90"/>
              <w:ind w:left="256" w:right="249"/>
              <w:jc w:val="center"/>
              <w:rPr>
                <w:sz w:val="21"/>
              </w:rPr>
            </w:pPr>
            <w:r>
              <w:rPr>
                <w:sz w:val="21"/>
              </w:rPr>
              <w:t>细菌总数</w:t>
            </w:r>
          </w:p>
        </w:tc>
        <w:tc>
          <w:tcPr>
            <w:tcW w:w="4091" w:type="dxa"/>
          </w:tcPr>
          <w:p w14:paraId="4806923E">
            <w:pPr>
              <w:pStyle w:val="14"/>
              <w:spacing w:before="106"/>
              <w:ind w:right="1817"/>
              <w:jc w:val="right"/>
              <w:rPr>
                <w:rFonts w:ascii="Times New Roman" w:hAnsi="Times New Roman"/>
                <w:sz w:val="21"/>
              </w:rPr>
            </w:pPr>
            <w:r>
              <w:rPr>
                <w:rFonts w:ascii="Times New Roman" w:hAnsi="Times New Roman"/>
                <w:w w:val="95"/>
                <w:sz w:val="21"/>
              </w:rPr>
              <w:t>≤100</w:t>
            </w:r>
          </w:p>
        </w:tc>
      </w:tr>
      <w:tr w14:paraId="3F89C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637A784E">
            <w:pPr>
              <w:pStyle w:val="14"/>
              <w:spacing w:before="105"/>
              <w:ind w:left="550" w:right="541"/>
              <w:jc w:val="center"/>
              <w:rPr>
                <w:rFonts w:ascii="Times New Roman"/>
                <w:sz w:val="21"/>
              </w:rPr>
            </w:pPr>
            <w:r>
              <w:rPr>
                <w:rFonts w:ascii="Times New Roman"/>
                <w:sz w:val="21"/>
              </w:rPr>
              <w:t>14</w:t>
            </w:r>
          </w:p>
        </w:tc>
        <w:tc>
          <w:tcPr>
            <w:tcW w:w="2867" w:type="dxa"/>
          </w:tcPr>
          <w:p w14:paraId="3DEAF0DB">
            <w:pPr>
              <w:pStyle w:val="14"/>
              <w:spacing w:before="91"/>
              <w:ind w:left="256" w:right="251"/>
              <w:jc w:val="center"/>
              <w:rPr>
                <w:sz w:val="21"/>
              </w:rPr>
            </w:pPr>
            <w:r>
              <w:rPr>
                <w:sz w:val="21"/>
              </w:rPr>
              <w:t>氟化物</w:t>
            </w:r>
          </w:p>
        </w:tc>
        <w:tc>
          <w:tcPr>
            <w:tcW w:w="4091" w:type="dxa"/>
          </w:tcPr>
          <w:p w14:paraId="0D853E33">
            <w:pPr>
              <w:pStyle w:val="14"/>
              <w:spacing w:before="105"/>
              <w:ind w:left="1423" w:right="1415"/>
              <w:jc w:val="center"/>
              <w:rPr>
                <w:rFonts w:ascii="Times New Roman" w:hAnsi="Times New Roman"/>
                <w:sz w:val="21"/>
              </w:rPr>
            </w:pPr>
            <w:r>
              <w:rPr>
                <w:rFonts w:ascii="Times New Roman" w:hAnsi="Times New Roman"/>
                <w:sz w:val="21"/>
              </w:rPr>
              <w:t>≤1.0</w:t>
            </w:r>
          </w:p>
        </w:tc>
      </w:tr>
      <w:tr w14:paraId="436A5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2EC27157">
            <w:pPr>
              <w:pStyle w:val="14"/>
              <w:spacing w:before="107"/>
              <w:ind w:left="550" w:right="541"/>
              <w:jc w:val="center"/>
              <w:rPr>
                <w:rFonts w:ascii="Times New Roman"/>
                <w:sz w:val="21"/>
              </w:rPr>
            </w:pPr>
            <w:r>
              <w:rPr>
                <w:rFonts w:ascii="Times New Roman"/>
                <w:sz w:val="21"/>
              </w:rPr>
              <w:t>15</w:t>
            </w:r>
          </w:p>
        </w:tc>
        <w:tc>
          <w:tcPr>
            <w:tcW w:w="2867" w:type="dxa"/>
          </w:tcPr>
          <w:p w14:paraId="1C6C5D13">
            <w:pPr>
              <w:pStyle w:val="14"/>
              <w:spacing w:before="90"/>
              <w:ind w:left="256" w:right="251"/>
              <w:jc w:val="center"/>
              <w:rPr>
                <w:sz w:val="21"/>
              </w:rPr>
            </w:pPr>
            <w:r>
              <w:rPr>
                <w:sz w:val="21"/>
              </w:rPr>
              <w:t>氰化物</w:t>
            </w:r>
          </w:p>
        </w:tc>
        <w:tc>
          <w:tcPr>
            <w:tcW w:w="4091" w:type="dxa"/>
          </w:tcPr>
          <w:p w14:paraId="0E0834EE">
            <w:pPr>
              <w:pStyle w:val="14"/>
              <w:spacing w:before="107"/>
              <w:ind w:right="1791"/>
              <w:jc w:val="right"/>
              <w:rPr>
                <w:rFonts w:ascii="Times New Roman" w:hAnsi="Times New Roman"/>
                <w:sz w:val="21"/>
              </w:rPr>
            </w:pPr>
            <w:r>
              <w:rPr>
                <w:rFonts w:ascii="Times New Roman" w:hAnsi="Times New Roman"/>
                <w:w w:val="95"/>
                <w:sz w:val="21"/>
              </w:rPr>
              <w:t>≤0.05</w:t>
            </w:r>
          </w:p>
        </w:tc>
      </w:tr>
      <w:tr w14:paraId="76ECF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382B579A">
            <w:pPr>
              <w:pStyle w:val="14"/>
              <w:spacing w:before="106"/>
              <w:ind w:left="550" w:right="541"/>
              <w:jc w:val="center"/>
              <w:rPr>
                <w:rFonts w:ascii="Times New Roman"/>
                <w:sz w:val="21"/>
              </w:rPr>
            </w:pPr>
            <w:r>
              <w:rPr>
                <w:rFonts w:ascii="Times New Roman"/>
                <w:sz w:val="21"/>
              </w:rPr>
              <w:t>16</w:t>
            </w:r>
          </w:p>
        </w:tc>
        <w:tc>
          <w:tcPr>
            <w:tcW w:w="2867" w:type="dxa"/>
          </w:tcPr>
          <w:p w14:paraId="2155B146">
            <w:pPr>
              <w:pStyle w:val="14"/>
              <w:spacing w:before="90"/>
              <w:ind w:left="7"/>
              <w:jc w:val="center"/>
              <w:rPr>
                <w:sz w:val="21"/>
              </w:rPr>
            </w:pPr>
            <w:r>
              <w:rPr>
                <w:w w:val="99"/>
                <w:sz w:val="21"/>
              </w:rPr>
              <w:t>汞</w:t>
            </w:r>
          </w:p>
        </w:tc>
        <w:tc>
          <w:tcPr>
            <w:tcW w:w="4091" w:type="dxa"/>
          </w:tcPr>
          <w:p w14:paraId="0926BC85">
            <w:pPr>
              <w:pStyle w:val="14"/>
              <w:spacing w:before="106"/>
              <w:ind w:right="1740"/>
              <w:jc w:val="right"/>
              <w:rPr>
                <w:rFonts w:ascii="Times New Roman" w:hAnsi="Times New Roman"/>
                <w:sz w:val="21"/>
              </w:rPr>
            </w:pPr>
            <w:r>
              <w:rPr>
                <w:rFonts w:ascii="Times New Roman" w:hAnsi="Times New Roman"/>
                <w:w w:val="95"/>
                <w:sz w:val="21"/>
              </w:rPr>
              <w:t>≤0.001</w:t>
            </w:r>
          </w:p>
        </w:tc>
      </w:tr>
      <w:tr w14:paraId="4FE95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441F909C">
            <w:pPr>
              <w:pStyle w:val="14"/>
              <w:spacing w:before="105"/>
              <w:ind w:left="550" w:right="541"/>
              <w:jc w:val="center"/>
              <w:rPr>
                <w:rFonts w:ascii="Times New Roman"/>
                <w:sz w:val="21"/>
              </w:rPr>
            </w:pPr>
            <w:r>
              <w:rPr>
                <w:rFonts w:ascii="Times New Roman"/>
                <w:sz w:val="21"/>
              </w:rPr>
              <w:t>17</w:t>
            </w:r>
          </w:p>
        </w:tc>
        <w:tc>
          <w:tcPr>
            <w:tcW w:w="2867" w:type="dxa"/>
          </w:tcPr>
          <w:p w14:paraId="49C5B081">
            <w:pPr>
              <w:pStyle w:val="14"/>
              <w:spacing w:before="91"/>
              <w:ind w:left="7"/>
              <w:jc w:val="center"/>
              <w:rPr>
                <w:sz w:val="21"/>
              </w:rPr>
            </w:pPr>
            <w:r>
              <w:rPr>
                <w:w w:val="99"/>
                <w:sz w:val="21"/>
              </w:rPr>
              <w:t>砷</w:t>
            </w:r>
          </w:p>
        </w:tc>
        <w:tc>
          <w:tcPr>
            <w:tcW w:w="4091" w:type="dxa"/>
          </w:tcPr>
          <w:p w14:paraId="53D227C1">
            <w:pPr>
              <w:pStyle w:val="14"/>
              <w:spacing w:before="105"/>
              <w:ind w:right="1791"/>
              <w:jc w:val="right"/>
              <w:rPr>
                <w:rFonts w:ascii="Times New Roman" w:hAnsi="Times New Roman"/>
                <w:sz w:val="21"/>
              </w:rPr>
            </w:pPr>
            <w:r>
              <w:rPr>
                <w:rFonts w:ascii="Times New Roman" w:hAnsi="Times New Roman"/>
                <w:w w:val="95"/>
                <w:sz w:val="21"/>
              </w:rPr>
              <w:t>≤0.01</w:t>
            </w:r>
          </w:p>
        </w:tc>
      </w:tr>
      <w:tr w14:paraId="3EAAE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531173FC">
            <w:pPr>
              <w:pStyle w:val="14"/>
              <w:spacing w:before="107"/>
              <w:ind w:left="550" w:right="541"/>
              <w:jc w:val="center"/>
              <w:rPr>
                <w:rFonts w:ascii="Times New Roman"/>
                <w:sz w:val="21"/>
              </w:rPr>
            </w:pPr>
            <w:r>
              <w:rPr>
                <w:rFonts w:ascii="Times New Roman"/>
                <w:sz w:val="21"/>
              </w:rPr>
              <w:t>18</w:t>
            </w:r>
          </w:p>
        </w:tc>
        <w:tc>
          <w:tcPr>
            <w:tcW w:w="2867" w:type="dxa"/>
          </w:tcPr>
          <w:p w14:paraId="1BAC79DE">
            <w:pPr>
              <w:pStyle w:val="14"/>
              <w:spacing w:before="90"/>
              <w:ind w:left="7"/>
              <w:jc w:val="center"/>
              <w:rPr>
                <w:sz w:val="21"/>
              </w:rPr>
            </w:pPr>
            <w:r>
              <w:rPr>
                <w:w w:val="99"/>
                <w:sz w:val="21"/>
              </w:rPr>
              <w:t>镉</w:t>
            </w:r>
          </w:p>
        </w:tc>
        <w:tc>
          <w:tcPr>
            <w:tcW w:w="4091" w:type="dxa"/>
          </w:tcPr>
          <w:p w14:paraId="7F463C23">
            <w:pPr>
              <w:pStyle w:val="14"/>
              <w:spacing w:before="107"/>
              <w:ind w:right="1740"/>
              <w:jc w:val="right"/>
              <w:rPr>
                <w:rFonts w:ascii="Times New Roman" w:hAnsi="Times New Roman"/>
                <w:sz w:val="21"/>
              </w:rPr>
            </w:pPr>
            <w:r>
              <w:rPr>
                <w:rFonts w:ascii="Times New Roman" w:hAnsi="Times New Roman"/>
                <w:w w:val="95"/>
                <w:sz w:val="21"/>
              </w:rPr>
              <w:t>≤0.005</w:t>
            </w:r>
          </w:p>
        </w:tc>
      </w:tr>
      <w:tr w14:paraId="45997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2A25773B">
            <w:pPr>
              <w:pStyle w:val="14"/>
              <w:spacing w:before="106"/>
              <w:ind w:left="550" w:right="541"/>
              <w:jc w:val="center"/>
              <w:rPr>
                <w:rFonts w:ascii="Times New Roman"/>
                <w:sz w:val="21"/>
              </w:rPr>
            </w:pPr>
            <w:r>
              <w:rPr>
                <w:rFonts w:ascii="Times New Roman"/>
                <w:sz w:val="21"/>
              </w:rPr>
              <w:t>19</w:t>
            </w:r>
          </w:p>
        </w:tc>
        <w:tc>
          <w:tcPr>
            <w:tcW w:w="2867" w:type="dxa"/>
          </w:tcPr>
          <w:p w14:paraId="180843EA">
            <w:pPr>
              <w:pStyle w:val="14"/>
              <w:spacing w:before="90"/>
              <w:ind w:left="256" w:right="249"/>
              <w:jc w:val="center"/>
              <w:rPr>
                <w:sz w:val="21"/>
              </w:rPr>
            </w:pPr>
            <w:r>
              <w:rPr>
                <w:sz w:val="21"/>
              </w:rPr>
              <w:t>铬（六价）</w:t>
            </w:r>
          </w:p>
        </w:tc>
        <w:tc>
          <w:tcPr>
            <w:tcW w:w="4091" w:type="dxa"/>
          </w:tcPr>
          <w:p w14:paraId="6639C59F">
            <w:pPr>
              <w:pStyle w:val="14"/>
              <w:spacing w:before="106"/>
              <w:ind w:right="1791"/>
              <w:jc w:val="right"/>
              <w:rPr>
                <w:rFonts w:ascii="Times New Roman" w:hAnsi="Times New Roman"/>
                <w:sz w:val="21"/>
              </w:rPr>
            </w:pPr>
            <w:r>
              <w:rPr>
                <w:rFonts w:ascii="Times New Roman" w:hAnsi="Times New Roman"/>
                <w:w w:val="95"/>
                <w:sz w:val="21"/>
              </w:rPr>
              <w:t>≤0.05</w:t>
            </w:r>
          </w:p>
        </w:tc>
      </w:tr>
      <w:tr w14:paraId="4D3F4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35348C1E">
            <w:pPr>
              <w:pStyle w:val="14"/>
              <w:spacing w:before="105"/>
              <w:ind w:left="550" w:right="541"/>
              <w:jc w:val="center"/>
              <w:rPr>
                <w:rFonts w:ascii="Times New Roman"/>
                <w:sz w:val="21"/>
              </w:rPr>
            </w:pPr>
            <w:r>
              <w:rPr>
                <w:rFonts w:ascii="Times New Roman"/>
                <w:sz w:val="21"/>
              </w:rPr>
              <w:t>20</w:t>
            </w:r>
          </w:p>
        </w:tc>
        <w:tc>
          <w:tcPr>
            <w:tcW w:w="2867" w:type="dxa"/>
          </w:tcPr>
          <w:p w14:paraId="4E55A7D6">
            <w:pPr>
              <w:pStyle w:val="14"/>
              <w:spacing w:before="91"/>
              <w:ind w:left="7"/>
              <w:jc w:val="center"/>
              <w:rPr>
                <w:sz w:val="21"/>
              </w:rPr>
            </w:pPr>
            <w:r>
              <w:rPr>
                <w:w w:val="99"/>
                <w:sz w:val="21"/>
              </w:rPr>
              <w:t>铅</w:t>
            </w:r>
          </w:p>
        </w:tc>
        <w:tc>
          <w:tcPr>
            <w:tcW w:w="4091" w:type="dxa"/>
          </w:tcPr>
          <w:p w14:paraId="1B4A8726">
            <w:pPr>
              <w:pStyle w:val="14"/>
              <w:spacing w:before="105"/>
              <w:ind w:right="1791"/>
              <w:jc w:val="right"/>
              <w:rPr>
                <w:rFonts w:ascii="Times New Roman" w:hAnsi="Times New Roman"/>
                <w:sz w:val="21"/>
              </w:rPr>
            </w:pPr>
            <w:r>
              <w:rPr>
                <w:rFonts w:ascii="Times New Roman" w:hAnsi="Times New Roman"/>
                <w:w w:val="95"/>
                <w:sz w:val="21"/>
              </w:rPr>
              <w:t>≤0.01</w:t>
            </w:r>
          </w:p>
        </w:tc>
      </w:tr>
      <w:tr w14:paraId="4EF3A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7E94C1A9">
            <w:pPr>
              <w:pStyle w:val="14"/>
              <w:spacing w:before="107"/>
              <w:ind w:left="550" w:right="541"/>
              <w:jc w:val="center"/>
              <w:rPr>
                <w:rFonts w:ascii="Times New Roman"/>
                <w:sz w:val="21"/>
              </w:rPr>
            </w:pPr>
            <w:r>
              <w:rPr>
                <w:rFonts w:ascii="Times New Roman"/>
                <w:sz w:val="21"/>
              </w:rPr>
              <w:t>21</w:t>
            </w:r>
          </w:p>
        </w:tc>
        <w:tc>
          <w:tcPr>
            <w:tcW w:w="2867" w:type="dxa"/>
          </w:tcPr>
          <w:p w14:paraId="75CD1B39">
            <w:pPr>
              <w:pStyle w:val="14"/>
              <w:spacing w:before="91"/>
              <w:ind w:left="7"/>
              <w:jc w:val="center"/>
              <w:rPr>
                <w:sz w:val="21"/>
              </w:rPr>
            </w:pPr>
            <w:r>
              <w:rPr>
                <w:w w:val="99"/>
                <w:sz w:val="21"/>
              </w:rPr>
              <w:t>铁</w:t>
            </w:r>
          </w:p>
        </w:tc>
        <w:tc>
          <w:tcPr>
            <w:tcW w:w="4091" w:type="dxa"/>
          </w:tcPr>
          <w:p w14:paraId="206E2AA6">
            <w:pPr>
              <w:pStyle w:val="14"/>
              <w:spacing w:before="107"/>
              <w:ind w:left="1423" w:right="1415"/>
              <w:jc w:val="center"/>
              <w:rPr>
                <w:rFonts w:ascii="Times New Roman" w:hAnsi="Times New Roman"/>
                <w:sz w:val="21"/>
              </w:rPr>
            </w:pPr>
            <w:r>
              <w:rPr>
                <w:rFonts w:ascii="Times New Roman" w:hAnsi="Times New Roman"/>
                <w:sz w:val="21"/>
              </w:rPr>
              <w:t>≤0.3</w:t>
            </w:r>
          </w:p>
        </w:tc>
      </w:tr>
      <w:tr w14:paraId="6FFF7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104EA7FF">
            <w:pPr>
              <w:pStyle w:val="14"/>
              <w:spacing w:before="106"/>
              <w:ind w:left="550" w:right="541"/>
              <w:jc w:val="center"/>
              <w:rPr>
                <w:rFonts w:ascii="Times New Roman"/>
                <w:sz w:val="21"/>
              </w:rPr>
            </w:pPr>
            <w:r>
              <w:rPr>
                <w:rFonts w:ascii="Times New Roman"/>
                <w:sz w:val="21"/>
              </w:rPr>
              <w:t>22</w:t>
            </w:r>
          </w:p>
        </w:tc>
        <w:tc>
          <w:tcPr>
            <w:tcW w:w="2867" w:type="dxa"/>
          </w:tcPr>
          <w:p w14:paraId="46CC9A36">
            <w:pPr>
              <w:pStyle w:val="14"/>
              <w:spacing w:before="90"/>
              <w:ind w:left="7"/>
              <w:jc w:val="center"/>
              <w:rPr>
                <w:sz w:val="21"/>
              </w:rPr>
            </w:pPr>
            <w:r>
              <w:rPr>
                <w:w w:val="99"/>
                <w:sz w:val="21"/>
              </w:rPr>
              <w:t>锰</w:t>
            </w:r>
          </w:p>
        </w:tc>
        <w:tc>
          <w:tcPr>
            <w:tcW w:w="4091" w:type="dxa"/>
          </w:tcPr>
          <w:p w14:paraId="047FF80D">
            <w:pPr>
              <w:pStyle w:val="14"/>
              <w:spacing w:before="106"/>
              <w:ind w:right="1793"/>
              <w:jc w:val="right"/>
              <w:rPr>
                <w:rFonts w:ascii="Times New Roman" w:hAnsi="Times New Roman"/>
                <w:sz w:val="21"/>
              </w:rPr>
            </w:pPr>
            <w:r>
              <w:rPr>
                <w:rFonts w:ascii="Times New Roman" w:hAnsi="Times New Roman"/>
                <w:w w:val="95"/>
                <w:sz w:val="21"/>
              </w:rPr>
              <w:t>≤0.10</w:t>
            </w:r>
          </w:p>
        </w:tc>
      </w:tr>
      <w:tr w14:paraId="44379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2532174F">
            <w:pPr>
              <w:pStyle w:val="14"/>
              <w:spacing w:before="105"/>
              <w:ind w:left="550" w:right="541"/>
              <w:jc w:val="center"/>
              <w:rPr>
                <w:rFonts w:ascii="Times New Roman"/>
                <w:sz w:val="21"/>
              </w:rPr>
            </w:pPr>
            <w:r>
              <w:rPr>
                <w:rFonts w:ascii="Times New Roman"/>
                <w:sz w:val="21"/>
              </w:rPr>
              <w:t>23</w:t>
            </w:r>
          </w:p>
        </w:tc>
        <w:tc>
          <w:tcPr>
            <w:tcW w:w="2867" w:type="dxa"/>
          </w:tcPr>
          <w:p w14:paraId="671B3BF2">
            <w:pPr>
              <w:pStyle w:val="14"/>
              <w:spacing w:before="106"/>
              <w:ind w:left="256" w:right="249"/>
              <w:jc w:val="center"/>
              <w:rPr>
                <w:rFonts w:ascii="Times New Roman"/>
                <w:sz w:val="13"/>
              </w:rPr>
            </w:pPr>
            <w:r>
              <w:rPr>
                <w:rFonts w:ascii="Times New Roman"/>
                <w:position w:val="-6"/>
                <w:sz w:val="21"/>
              </w:rPr>
              <w:t>K</w:t>
            </w:r>
            <w:r>
              <w:rPr>
                <w:rFonts w:ascii="Times New Roman"/>
                <w:sz w:val="13"/>
              </w:rPr>
              <w:t>+</w:t>
            </w:r>
          </w:p>
        </w:tc>
        <w:tc>
          <w:tcPr>
            <w:tcW w:w="4091" w:type="dxa"/>
          </w:tcPr>
          <w:p w14:paraId="38989C67">
            <w:pPr>
              <w:pStyle w:val="14"/>
              <w:spacing w:before="105"/>
              <w:ind w:left="7"/>
              <w:jc w:val="center"/>
              <w:rPr>
                <w:rFonts w:ascii="Times New Roman"/>
                <w:sz w:val="21"/>
              </w:rPr>
            </w:pPr>
            <w:r>
              <w:rPr>
                <w:rFonts w:ascii="Times New Roman"/>
                <w:w w:val="99"/>
                <w:sz w:val="21"/>
              </w:rPr>
              <w:t>/</w:t>
            </w:r>
          </w:p>
        </w:tc>
      </w:tr>
      <w:tr w14:paraId="4BC2D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38E286BB">
            <w:pPr>
              <w:pStyle w:val="14"/>
              <w:spacing w:before="107"/>
              <w:ind w:left="550" w:right="541"/>
              <w:jc w:val="center"/>
              <w:rPr>
                <w:rFonts w:ascii="Times New Roman"/>
                <w:sz w:val="21"/>
              </w:rPr>
            </w:pPr>
            <w:r>
              <w:rPr>
                <w:rFonts w:ascii="Times New Roman"/>
                <w:sz w:val="21"/>
              </w:rPr>
              <w:t>24</w:t>
            </w:r>
          </w:p>
        </w:tc>
        <w:tc>
          <w:tcPr>
            <w:tcW w:w="2867" w:type="dxa"/>
          </w:tcPr>
          <w:p w14:paraId="57BF28F6">
            <w:pPr>
              <w:pStyle w:val="14"/>
              <w:spacing w:before="107"/>
              <w:ind w:left="256" w:right="246"/>
              <w:jc w:val="center"/>
              <w:rPr>
                <w:rFonts w:ascii="Times New Roman"/>
                <w:sz w:val="13"/>
              </w:rPr>
            </w:pPr>
            <w:r>
              <w:rPr>
                <w:rFonts w:ascii="Times New Roman"/>
                <w:position w:val="-6"/>
                <w:sz w:val="21"/>
              </w:rPr>
              <w:t>Ca</w:t>
            </w:r>
            <w:r>
              <w:rPr>
                <w:rFonts w:ascii="Times New Roman"/>
                <w:sz w:val="13"/>
              </w:rPr>
              <w:t>2+</w:t>
            </w:r>
          </w:p>
        </w:tc>
        <w:tc>
          <w:tcPr>
            <w:tcW w:w="4091" w:type="dxa"/>
          </w:tcPr>
          <w:p w14:paraId="1CE56C08">
            <w:pPr>
              <w:pStyle w:val="14"/>
              <w:spacing w:before="107"/>
              <w:ind w:left="7"/>
              <w:jc w:val="center"/>
              <w:rPr>
                <w:rFonts w:ascii="Times New Roman"/>
                <w:sz w:val="21"/>
              </w:rPr>
            </w:pPr>
            <w:r>
              <w:rPr>
                <w:rFonts w:ascii="Times New Roman"/>
                <w:w w:val="99"/>
                <w:sz w:val="21"/>
              </w:rPr>
              <w:t>/</w:t>
            </w:r>
          </w:p>
        </w:tc>
      </w:tr>
      <w:tr w14:paraId="22658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475FFB43">
            <w:pPr>
              <w:pStyle w:val="14"/>
              <w:spacing w:before="106"/>
              <w:ind w:left="550" w:right="541"/>
              <w:jc w:val="center"/>
              <w:rPr>
                <w:rFonts w:ascii="Times New Roman"/>
                <w:sz w:val="21"/>
              </w:rPr>
            </w:pPr>
            <w:r>
              <w:rPr>
                <w:rFonts w:ascii="Times New Roman"/>
                <w:sz w:val="21"/>
              </w:rPr>
              <w:t>25</w:t>
            </w:r>
          </w:p>
        </w:tc>
        <w:tc>
          <w:tcPr>
            <w:tcW w:w="2867" w:type="dxa"/>
          </w:tcPr>
          <w:p w14:paraId="2EEF9902">
            <w:pPr>
              <w:pStyle w:val="14"/>
              <w:spacing w:before="106"/>
              <w:ind w:left="256" w:right="246"/>
              <w:jc w:val="center"/>
              <w:rPr>
                <w:rFonts w:ascii="Times New Roman"/>
                <w:sz w:val="13"/>
              </w:rPr>
            </w:pPr>
            <w:r>
              <w:rPr>
                <w:rFonts w:ascii="Times New Roman"/>
                <w:position w:val="-6"/>
                <w:sz w:val="21"/>
              </w:rPr>
              <w:t>Mg</w:t>
            </w:r>
            <w:r>
              <w:rPr>
                <w:rFonts w:ascii="Times New Roman"/>
                <w:sz w:val="13"/>
              </w:rPr>
              <w:t>2+</w:t>
            </w:r>
          </w:p>
        </w:tc>
        <w:tc>
          <w:tcPr>
            <w:tcW w:w="4091" w:type="dxa"/>
          </w:tcPr>
          <w:p w14:paraId="630FE15A">
            <w:pPr>
              <w:pStyle w:val="14"/>
              <w:spacing w:before="106"/>
              <w:ind w:left="7"/>
              <w:jc w:val="center"/>
              <w:rPr>
                <w:rFonts w:ascii="Times New Roman"/>
                <w:sz w:val="21"/>
              </w:rPr>
            </w:pPr>
            <w:r>
              <w:rPr>
                <w:rFonts w:ascii="Times New Roman"/>
                <w:w w:val="99"/>
                <w:sz w:val="21"/>
              </w:rPr>
              <w:t>/</w:t>
            </w:r>
          </w:p>
        </w:tc>
      </w:tr>
      <w:tr w14:paraId="1B55D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4" w:type="dxa"/>
          </w:tcPr>
          <w:p w14:paraId="359E0FBE">
            <w:pPr>
              <w:pStyle w:val="14"/>
              <w:spacing w:before="105"/>
              <w:ind w:left="550" w:right="541"/>
              <w:jc w:val="center"/>
              <w:rPr>
                <w:rFonts w:ascii="Times New Roman"/>
                <w:sz w:val="21"/>
              </w:rPr>
            </w:pPr>
            <w:r>
              <w:rPr>
                <w:rFonts w:ascii="Times New Roman"/>
                <w:sz w:val="21"/>
              </w:rPr>
              <w:t>26</w:t>
            </w:r>
          </w:p>
        </w:tc>
        <w:tc>
          <w:tcPr>
            <w:tcW w:w="2867" w:type="dxa"/>
          </w:tcPr>
          <w:p w14:paraId="76581681">
            <w:pPr>
              <w:pStyle w:val="14"/>
              <w:spacing w:before="110" w:line="71" w:lineRule="exact"/>
              <w:ind w:left="620" w:right="251"/>
              <w:jc w:val="center"/>
              <w:rPr>
                <w:rFonts w:ascii="Times New Roman"/>
                <w:sz w:val="13"/>
              </w:rPr>
            </w:pPr>
            <w:r>
              <w:rPr>
                <w:rFonts w:ascii="Times New Roman"/>
                <w:w w:val="105"/>
                <w:sz w:val="13"/>
              </w:rPr>
              <w:t>2-</w:t>
            </w:r>
          </w:p>
          <w:p w14:paraId="406D9F20">
            <w:pPr>
              <w:pStyle w:val="14"/>
              <w:spacing w:line="183" w:lineRule="exact"/>
              <w:ind w:left="149" w:right="251"/>
              <w:jc w:val="center"/>
              <w:rPr>
                <w:rFonts w:ascii="Times New Roman"/>
                <w:sz w:val="21"/>
              </w:rPr>
            </w:pPr>
            <w:r>
              <w:rPr>
                <w:rFonts w:ascii="Times New Roman"/>
                <w:position w:val="2"/>
                <w:sz w:val="21"/>
              </w:rPr>
              <w:t>CO</w:t>
            </w:r>
            <w:r>
              <w:rPr>
                <w:rFonts w:ascii="Times New Roman"/>
                <w:position w:val="2"/>
                <w:sz w:val="21"/>
                <w:vertAlign w:val="subscript"/>
              </w:rPr>
              <w:t>3</w:t>
            </w:r>
          </w:p>
        </w:tc>
        <w:tc>
          <w:tcPr>
            <w:tcW w:w="4091" w:type="dxa"/>
          </w:tcPr>
          <w:p w14:paraId="74F6B228">
            <w:pPr>
              <w:pStyle w:val="14"/>
              <w:spacing w:before="105"/>
              <w:ind w:left="7"/>
              <w:jc w:val="center"/>
              <w:rPr>
                <w:rFonts w:ascii="Times New Roman"/>
                <w:sz w:val="21"/>
              </w:rPr>
            </w:pPr>
            <w:r>
              <w:rPr>
                <w:rFonts w:ascii="Times New Roman"/>
                <w:w w:val="99"/>
                <w:sz w:val="21"/>
              </w:rPr>
              <w:t>/</w:t>
            </w:r>
          </w:p>
        </w:tc>
      </w:tr>
      <w:tr w14:paraId="3869F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4" w:type="dxa"/>
          </w:tcPr>
          <w:p w14:paraId="2A816910">
            <w:pPr>
              <w:pStyle w:val="14"/>
              <w:spacing w:before="107"/>
              <w:ind w:left="550" w:right="541"/>
              <w:jc w:val="center"/>
              <w:rPr>
                <w:rFonts w:ascii="Times New Roman"/>
                <w:sz w:val="21"/>
              </w:rPr>
            </w:pPr>
            <w:r>
              <w:rPr>
                <w:rFonts w:ascii="Times New Roman"/>
                <w:sz w:val="21"/>
              </w:rPr>
              <w:t>27</w:t>
            </w:r>
          </w:p>
        </w:tc>
        <w:tc>
          <w:tcPr>
            <w:tcW w:w="2867" w:type="dxa"/>
          </w:tcPr>
          <w:p w14:paraId="41D2CB42">
            <w:pPr>
              <w:pStyle w:val="14"/>
              <w:spacing w:before="111"/>
              <w:ind w:left="256" w:right="247"/>
              <w:jc w:val="center"/>
              <w:rPr>
                <w:rFonts w:ascii="Times New Roman"/>
                <w:sz w:val="21"/>
              </w:rPr>
            </w:pPr>
            <w:r>
              <w:rPr>
                <w:rFonts w:ascii="Times New Roman"/>
                <w:position w:val="1"/>
                <w:sz w:val="21"/>
              </w:rPr>
              <w:t>HCO</w:t>
            </w:r>
            <w:r>
              <w:rPr>
                <w:rFonts w:ascii="Times New Roman"/>
                <w:position w:val="1"/>
                <w:sz w:val="21"/>
                <w:vertAlign w:val="subscript"/>
              </w:rPr>
              <w:t>3</w:t>
            </w:r>
            <w:r>
              <w:rPr>
                <w:rFonts w:ascii="Times New Roman"/>
                <w:position w:val="1"/>
                <w:sz w:val="21"/>
                <w:vertAlign w:val="superscript"/>
              </w:rPr>
              <w:t>-</w:t>
            </w:r>
          </w:p>
        </w:tc>
        <w:tc>
          <w:tcPr>
            <w:tcW w:w="4091" w:type="dxa"/>
          </w:tcPr>
          <w:p w14:paraId="46B9ECCC">
            <w:pPr>
              <w:pStyle w:val="14"/>
              <w:spacing w:before="107"/>
              <w:ind w:left="7"/>
              <w:jc w:val="center"/>
              <w:rPr>
                <w:rFonts w:ascii="Times New Roman"/>
                <w:sz w:val="21"/>
              </w:rPr>
            </w:pPr>
            <w:r>
              <w:rPr>
                <w:rFonts w:ascii="Times New Roman"/>
                <w:w w:val="99"/>
                <w:sz w:val="21"/>
              </w:rPr>
              <w:t>/</w:t>
            </w:r>
          </w:p>
        </w:tc>
      </w:tr>
    </w:tbl>
    <w:p w14:paraId="2958D9F3">
      <w:pPr>
        <w:pStyle w:val="7"/>
        <w:spacing w:before="3"/>
        <w:ind w:left="760"/>
      </w:pPr>
      <w:r>
        <w:rPr>
          <w:rFonts w:ascii="Times New Roman" w:eastAsia="Times New Roman"/>
        </w:rPr>
        <w:t>4</w:t>
      </w:r>
      <w:r>
        <w:t>、声环境质量标准</w:t>
      </w:r>
    </w:p>
    <w:p w14:paraId="74E1B590">
      <w:pPr>
        <w:pStyle w:val="7"/>
        <w:spacing w:before="158"/>
        <w:ind w:left="760"/>
        <w:rPr>
          <w:rFonts w:ascii="Times New Roman" w:eastAsia="Times New Roman"/>
        </w:rPr>
      </w:pPr>
      <w:r>
        <w:t>项目所在区域声环境质量执行《声环境质量标准》（</w:t>
      </w:r>
      <w:r>
        <w:rPr>
          <w:rFonts w:ascii="Times New Roman" w:eastAsia="Times New Roman"/>
        </w:rPr>
        <w:t>GB 3096-2008</w:t>
      </w:r>
      <w:r>
        <w:t xml:space="preserve">）中 </w:t>
      </w:r>
      <w:r>
        <w:rPr>
          <w:rFonts w:ascii="Times New Roman" w:eastAsia="Times New Roman"/>
        </w:rPr>
        <w:t>2</w:t>
      </w:r>
    </w:p>
    <w:p w14:paraId="34B7735A">
      <w:pPr>
        <w:pStyle w:val="7"/>
        <w:spacing w:before="161"/>
        <w:ind w:left="262" w:right="5267"/>
        <w:jc w:val="center"/>
      </w:pPr>
      <w:r>
        <w:t>类声环境功能区环境噪声限值。</w:t>
      </w:r>
    </w:p>
    <w:p w14:paraId="0A1586C0">
      <w:pPr>
        <w:spacing w:before="156" w:after="5"/>
        <w:ind w:left="262" w:right="321" w:firstLine="0"/>
        <w:jc w:val="center"/>
        <w:rPr>
          <w:b/>
          <w:sz w:val="21"/>
        </w:rPr>
      </w:pPr>
      <w:r>
        <w:rPr>
          <w:b/>
          <w:sz w:val="21"/>
        </w:rPr>
        <w:t xml:space="preserve">表 </w:t>
      </w:r>
      <w:r>
        <w:rPr>
          <w:rFonts w:ascii="Times New Roman" w:eastAsia="Times New Roman"/>
          <w:b/>
          <w:sz w:val="21"/>
        </w:rPr>
        <w:t xml:space="preserve">2.4- 4 </w:t>
      </w:r>
      <w:r>
        <w:rPr>
          <w:b/>
          <w:sz w:val="21"/>
        </w:rPr>
        <w:t>声环境质量执行标准</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9"/>
        <w:gridCol w:w="3492"/>
        <w:gridCol w:w="3501"/>
      </w:tblGrid>
      <w:tr w14:paraId="4A38B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29" w:type="dxa"/>
            <w:vMerge w:val="restart"/>
          </w:tcPr>
          <w:p w14:paraId="4E9350DB">
            <w:pPr>
              <w:pStyle w:val="14"/>
              <w:spacing w:before="1"/>
              <w:rPr>
                <w:b/>
                <w:sz w:val="25"/>
              </w:rPr>
            </w:pPr>
          </w:p>
          <w:p w14:paraId="54998A6E">
            <w:pPr>
              <w:pStyle w:val="14"/>
              <w:spacing w:before="1"/>
              <w:ind w:left="530" w:right="526"/>
              <w:jc w:val="center"/>
              <w:rPr>
                <w:b/>
                <w:sz w:val="21"/>
              </w:rPr>
            </w:pPr>
            <w:r>
              <w:rPr>
                <w:b/>
                <w:sz w:val="21"/>
              </w:rPr>
              <w:t>类别</w:t>
            </w:r>
          </w:p>
        </w:tc>
        <w:tc>
          <w:tcPr>
            <w:tcW w:w="6993" w:type="dxa"/>
            <w:gridSpan w:val="2"/>
          </w:tcPr>
          <w:p w14:paraId="6B7FAB4D">
            <w:pPr>
              <w:pStyle w:val="14"/>
              <w:spacing w:before="89"/>
              <w:ind w:left="2568" w:right="2561"/>
              <w:jc w:val="center"/>
              <w:rPr>
                <w:b/>
                <w:sz w:val="21"/>
              </w:rPr>
            </w:pPr>
            <w:r>
              <w:rPr>
                <w:b/>
                <w:sz w:val="21"/>
              </w:rPr>
              <w:t>标准限值（</w:t>
            </w:r>
            <w:r>
              <w:rPr>
                <w:rFonts w:ascii="Times New Roman" w:eastAsia="Times New Roman"/>
                <w:b/>
                <w:sz w:val="21"/>
              </w:rPr>
              <w:t>dB(A)</w:t>
            </w:r>
            <w:r>
              <w:rPr>
                <w:b/>
                <w:sz w:val="21"/>
              </w:rPr>
              <w:t>）</w:t>
            </w:r>
          </w:p>
        </w:tc>
      </w:tr>
      <w:tr w14:paraId="44728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29" w:type="dxa"/>
            <w:vMerge w:val="continue"/>
            <w:tcBorders>
              <w:top w:val="nil"/>
            </w:tcBorders>
          </w:tcPr>
          <w:p w14:paraId="1F08F02E">
            <w:pPr>
              <w:rPr>
                <w:sz w:val="2"/>
                <w:szCs w:val="2"/>
              </w:rPr>
            </w:pPr>
          </w:p>
        </w:tc>
        <w:tc>
          <w:tcPr>
            <w:tcW w:w="3492" w:type="dxa"/>
          </w:tcPr>
          <w:p w14:paraId="1BFCD692">
            <w:pPr>
              <w:pStyle w:val="14"/>
              <w:spacing w:before="91"/>
              <w:ind w:left="1514" w:right="1505"/>
              <w:jc w:val="center"/>
              <w:rPr>
                <w:b/>
                <w:sz w:val="21"/>
              </w:rPr>
            </w:pPr>
            <w:r>
              <w:rPr>
                <w:b/>
                <w:sz w:val="21"/>
              </w:rPr>
              <w:t>昼间</w:t>
            </w:r>
          </w:p>
        </w:tc>
        <w:tc>
          <w:tcPr>
            <w:tcW w:w="3501" w:type="dxa"/>
          </w:tcPr>
          <w:p w14:paraId="10DABF88">
            <w:pPr>
              <w:pStyle w:val="14"/>
              <w:spacing w:before="91"/>
              <w:ind w:left="1517" w:right="1512"/>
              <w:jc w:val="center"/>
              <w:rPr>
                <w:b/>
                <w:sz w:val="21"/>
              </w:rPr>
            </w:pPr>
            <w:r>
              <w:rPr>
                <w:b/>
                <w:sz w:val="21"/>
              </w:rPr>
              <w:t>夜间</w:t>
            </w:r>
          </w:p>
        </w:tc>
      </w:tr>
      <w:tr w14:paraId="5FEFD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29" w:type="dxa"/>
          </w:tcPr>
          <w:p w14:paraId="7CE21C84">
            <w:pPr>
              <w:pStyle w:val="14"/>
              <w:spacing w:before="90"/>
              <w:ind w:left="530" w:right="523"/>
              <w:jc w:val="center"/>
              <w:rPr>
                <w:sz w:val="21"/>
              </w:rPr>
            </w:pPr>
            <w:r>
              <w:rPr>
                <w:rFonts w:ascii="Times New Roman" w:eastAsia="Times New Roman"/>
                <w:sz w:val="21"/>
              </w:rPr>
              <w:t xml:space="preserve">2 </w:t>
            </w:r>
            <w:r>
              <w:rPr>
                <w:sz w:val="21"/>
              </w:rPr>
              <w:t>类</w:t>
            </w:r>
          </w:p>
        </w:tc>
        <w:tc>
          <w:tcPr>
            <w:tcW w:w="3492" w:type="dxa"/>
          </w:tcPr>
          <w:p w14:paraId="1E91F0AF">
            <w:pPr>
              <w:pStyle w:val="14"/>
              <w:spacing w:before="104"/>
              <w:ind w:left="1514" w:right="1504"/>
              <w:jc w:val="center"/>
              <w:rPr>
                <w:rFonts w:ascii="Times New Roman"/>
                <w:sz w:val="21"/>
              </w:rPr>
            </w:pPr>
            <w:r>
              <w:rPr>
                <w:rFonts w:ascii="Times New Roman"/>
                <w:sz w:val="21"/>
              </w:rPr>
              <w:t>60</w:t>
            </w:r>
          </w:p>
        </w:tc>
        <w:tc>
          <w:tcPr>
            <w:tcW w:w="3501" w:type="dxa"/>
          </w:tcPr>
          <w:p w14:paraId="6E032169">
            <w:pPr>
              <w:pStyle w:val="14"/>
              <w:spacing w:before="104"/>
              <w:ind w:left="1517" w:right="1511"/>
              <w:jc w:val="center"/>
              <w:rPr>
                <w:rFonts w:ascii="Times New Roman"/>
                <w:sz w:val="21"/>
              </w:rPr>
            </w:pPr>
            <w:r>
              <w:rPr>
                <w:rFonts w:ascii="Times New Roman"/>
                <w:sz w:val="21"/>
              </w:rPr>
              <w:t>50</w:t>
            </w:r>
          </w:p>
        </w:tc>
      </w:tr>
    </w:tbl>
    <w:p w14:paraId="3E8BF9FB">
      <w:pPr>
        <w:pStyle w:val="7"/>
        <w:spacing w:before="2"/>
        <w:ind w:left="760"/>
      </w:pPr>
      <w:r>
        <w:rPr>
          <w:rFonts w:ascii="Times New Roman" w:eastAsia="Times New Roman"/>
        </w:rPr>
        <w:t>5</w:t>
      </w:r>
      <w:r>
        <w:t>、土壤环境质量标准</w:t>
      </w:r>
    </w:p>
    <w:p w14:paraId="47EE2C40">
      <w:pPr>
        <w:spacing w:after="0"/>
        <w:sectPr>
          <w:footerReference r:id="rId18" w:type="default"/>
          <w:pgSz w:w="11910" w:h="16840"/>
          <w:pgMar w:top="1360" w:right="1460" w:bottom="1400" w:left="1520" w:header="878" w:footer="1204" w:gutter="0"/>
          <w:pgNumType w:start="30"/>
          <w:cols w:space="720" w:num="1"/>
        </w:sectPr>
      </w:pPr>
    </w:p>
    <w:p w14:paraId="34748AB3">
      <w:pPr>
        <w:pStyle w:val="7"/>
        <w:spacing w:before="68" w:line="364" w:lineRule="auto"/>
        <w:ind w:left="280" w:right="337" w:firstLine="480"/>
        <w:jc w:val="both"/>
      </w:pPr>
      <w:r>
        <w:t>根据《土壤环境质量 建设用地土壤污染风险管控标准（试行）》（</w:t>
      </w:r>
      <w:r>
        <w:rPr>
          <w:rFonts w:ascii="Times New Roman" w:eastAsia="Times New Roman"/>
        </w:rPr>
        <w:t>GB 36600-2018</w:t>
      </w:r>
      <w:r>
        <w:t>），本项目无需开展土壤环境影响评价，不涉及土壤环境现状评价，因此暂不涉及相关环境质量标准。</w:t>
      </w:r>
    </w:p>
    <w:p w14:paraId="31E7A164">
      <w:pPr>
        <w:pStyle w:val="6"/>
        <w:numPr>
          <w:ilvl w:val="2"/>
          <w:numId w:val="11"/>
        </w:numPr>
        <w:tabs>
          <w:tab w:val="left" w:pos="811"/>
        </w:tabs>
        <w:spacing w:before="0" w:after="0" w:line="307" w:lineRule="exact"/>
        <w:ind w:left="810" w:right="0" w:hanging="530"/>
        <w:jc w:val="left"/>
      </w:pPr>
      <w:bookmarkStart w:id="67" w:name="2.4.2污染物排放标准"/>
      <w:bookmarkEnd w:id="67"/>
      <w:bookmarkStart w:id="68" w:name="2.4.2污染物排放标准"/>
      <w:bookmarkEnd w:id="68"/>
      <w:r>
        <w:rPr>
          <w:w w:val="95"/>
        </w:rPr>
        <w:t>污染物排放标准</w:t>
      </w:r>
    </w:p>
    <w:p w14:paraId="07431B94">
      <w:pPr>
        <w:pStyle w:val="7"/>
        <w:spacing w:before="158"/>
        <w:ind w:left="760"/>
      </w:pPr>
      <w:r>
        <w:rPr>
          <w:rFonts w:ascii="Times New Roman" w:eastAsia="Times New Roman"/>
        </w:rPr>
        <w:t>1</w:t>
      </w:r>
      <w:r>
        <w:t>、大气污染物排放标准</w:t>
      </w:r>
    </w:p>
    <w:p w14:paraId="684A646F">
      <w:pPr>
        <w:pStyle w:val="7"/>
        <w:spacing w:before="160" w:line="362" w:lineRule="auto"/>
        <w:ind w:left="280" w:right="337" w:firstLine="480"/>
      </w:pPr>
      <w:r>
        <w:t>施工期施工扬尘排放参照《大气污染物综合排放标准》（</w:t>
      </w:r>
      <w:r>
        <w:rPr>
          <w:rFonts w:ascii="Times New Roman" w:eastAsia="Times New Roman"/>
        </w:rPr>
        <w:t>GB16297-1996</w:t>
      </w:r>
      <w:r>
        <w:t xml:space="preserve">） 表 </w:t>
      </w:r>
      <w:r>
        <w:rPr>
          <w:rFonts w:ascii="Times New Roman" w:eastAsia="Times New Roman"/>
        </w:rPr>
        <w:t xml:space="preserve">2 </w:t>
      </w:r>
      <w:r>
        <w:t>无组织排放监控浓度限值；</w:t>
      </w:r>
    </w:p>
    <w:p w14:paraId="6B34F489">
      <w:pPr>
        <w:pStyle w:val="7"/>
        <w:spacing w:before="5"/>
        <w:ind w:left="760"/>
      </w:pPr>
      <w:r>
        <w:t>运营期污水处理站 恶臭污染物排放执行《恶臭污染物 排放标准》</w:t>
      </w:r>
    </w:p>
    <w:p w14:paraId="793877C9">
      <w:pPr>
        <w:pStyle w:val="7"/>
        <w:spacing w:before="161"/>
        <w:ind w:left="280"/>
      </w:pPr>
      <w:r>
        <w:t>（</w:t>
      </w:r>
      <w:r>
        <w:rPr>
          <w:rFonts w:ascii="Times New Roman" w:eastAsia="Times New Roman"/>
        </w:rPr>
        <w:t>GB14554-93</w:t>
      </w:r>
      <w:r>
        <w:t>）二级标准。锅炉废气排放执行《锅炉大气污染物排放标准》</w:t>
      </w:r>
    </w:p>
    <w:p w14:paraId="3EFB5B15">
      <w:pPr>
        <w:pStyle w:val="7"/>
        <w:spacing w:before="158" w:line="364" w:lineRule="auto"/>
        <w:ind w:left="280" w:right="337"/>
        <w:jc w:val="both"/>
      </w:pPr>
      <w:r>
        <w:t>（</w:t>
      </w:r>
      <w:r>
        <w:rPr>
          <w:rFonts w:ascii="Times New Roman" w:eastAsia="Times New Roman"/>
        </w:rPr>
        <w:t>GB13271-2014</w:t>
      </w:r>
      <w:r>
        <w:t xml:space="preserve">）表 </w:t>
      </w:r>
      <w:r>
        <w:rPr>
          <w:rFonts w:ascii="Times New Roman" w:eastAsia="Times New Roman"/>
        </w:rPr>
        <w:t xml:space="preserve">2 </w:t>
      </w:r>
      <w:r>
        <w:t>新建锅炉大气污染物排放浓度限值；食堂油烟废气排放执行《饮食业油烟排放标准（试行）》（</w:t>
      </w:r>
      <w:r>
        <w:rPr>
          <w:rFonts w:ascii="Times New Roman" w:eastAsia="Times New Roman"/>
        </w:rPr>
        <w:t>GB18483-2001</w:t>
      </w:r>
      <w:r>
        <w:t>）中小型规定的油烟最高允许排放浓度。</w:t>
      </w:r>
    </w:p>
    <w:p w14:paraId="592E56FC">
      <w:pPr>
        <w:spacing w:before="0" w:after="2" w:line="268" w:lineRule="exact"/>
        <w:ind w:left="262" w:right="321" w:firstLine="0"/>
        <w:jc w:val="center"/>
        <w:rPr>
          <w:b/>
          <w:sz w:val="21"/>
        </w:rPr>
      </w:pPr>
      <w:r>
        <w:rPr>
          <w:b/>
          <w:spacing w:val="-28"/>
          <w:sz w:val="21"/>
        </w:rPr>
        <w:t xml:space="preserve">表 </w:t>
      </w:r>
      <w:r>
        <w:rPr>
          <w:rFonts w:ascii="Times New Roman" w:eastAsia="Times New Roman"/>
          <w:b/>
          <w:sz w:val="21"/>
        </w:rPr>
        <w:t>2.4-5</w:t>
      </w:r>
      <w:r>
        <w:rPr>
          <w:rFonts w:ascii="Times New Roman" w:eastAsia="Times New Roman"/>
          <w:b/>
          <w:spacing w:val="50"/>
          <w:sz w:val="21"/>
        </w:rPr>
        <w:t xml:space="preserve"> </w:t>
      </w:r>
      <w:r>
        <w:rPr>
          <w:b/>
          <w:sz w:val="21"/>
        </w:rPr>
        <w:t>新污染源大气污染物排放限值</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2943"/>
        <w:gridCol w:w="2199"/>
        <w:gridCol w:w="2395"/>
      </w:tblGrid>
      <w:tr w14:paraId="0F891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985" w:type="dxa"/>
            <w:vMerge w:val="restart"/>
          </w:tcPr>
          <w:p w14:paraId="54AFC8B3">
            <w:pPr>
              <w:pStyle w:val="14"/>
              <w:spacing w:before="7"/>
              <w:rPr>
                <w:b/>
                <w:sz w:val="29"/>
              </w:rPr>
            </w:pPr>
          </w:p>
          <w:p w14:paraId="74B5C206">
            <w:pPr>
              <w:pStyle w:val="14"/>
              <w:ind w:left="174"/>
              <w:rPr>
                <w:b/>
                <w:sz w:val="21"/>
              </w:rPr>
            </w:pPr>
            <w:r>
              <w:rPr>
                <w:b/>
                <w:sz w:val="21"/>
              </w:rPr>
              <w:t>污染物</w:t>
            </w:r>
          </w:p>
        </w:tc>
        <w:tc>
          <w:tcPr>
            <w:tcW w:w="2943" w:type="dxa"/>
            <w:vMerge w:val="restart"/>
          </w:tcPr>
          <w:p w14:paraId="0A3B5DAE">
            <w:pPr>
              <w:pStyle w:val="14"/>
              <w:spacing w:before="7"/>
              <w:rPr>
                <w:b/>
                <w:sz w:val="29"/>
              </w:rPr>
            </w:pPr>
          </w:p>
          <w:p w14:paraId="3329F90D">
            <w:pPr>
              <w:pStyle w:val="14"/>
              <w:ind w:left="310"/>
              <w:rPr>
                <w:rFonts w:ascii="Times New Roman" w:eastAsia="Times New Roman"/>
                <w:b/>
                <w:sz w:val="13"/>
              </w:rPr>
            </w:pPr>
            <w:r>
              <w:rPr>
                <w:b/>
                <w:sz w:val="21"/>
              </w:rPr>
              <w:t xml:space="preserve">最高允许排放浓度 </w:t>
            </w:r>
            <w:r>
              <w:rPr>
                <w:rFonts w:ascii="Times New Roman" w:eastAsia="Times New Roman"/>
                <w:b/>
                <w:sz w:val="21"/>
              </w:rPr>
              <w:t>mg/m</w:t>
            </w:r>
            <w:r>
              <w:rPr>
                <w:rFonts w:ascii="Times New Roman" w:eastAsia="Times New Roman"/>
                <w:b/>
                <w:position w:val="7"/>
                <w:sz w:val="13"/>
              </w:rPr>
              <w:t>3</w:t>
            </w:r>
          </w:p>
        </w:tc>
        <w:tc>
          <w:tcPr>
            <w:tcW w:w="4594" w:type="dxa"/>
            <w:gridSpan w:val="2"/>
          </w:tcPr>
          <w:p w14:paraId="72000676">
            <w:pPr>
              <w:pStyle w:val="14"/>
              <w:spacing w:before="119"/>
              <w:ind w:left="1747" w:right="1741"/>
              <w:jc w:val="center"/>
              <w:rPr>
                <w:b/>
                <w:sz w:val="21"/>
              </w:rPr>
            </w:pPr>
            <w:r>
              <w:rPr>
                <w:b/>
                <w:sz w:val="21"/>
              </w:rPr>
              <w:t>无组织排放</w:t>
            </w:r>
          </w:p>
        </w:tc>
      </w:tr>
      <w:tr w14:paraId="7AFB8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985" w:type="dxa"/>
            <w:vMerge w:val="continue"/>
            <w:tcBorders>
              <w:top w:val="nil"/>
            </w:tcBorders>
          </w:tcPr>
          <w:p w14:paraId="23E7EB34">
            <w:pPr>
              <w:rPr>
                <w:sz w:val="2"/>
                <w:szCs w:val="2"/>
              </w:rPr>
            </w:pPr>
          </w:p>
        </w:tc>
        <w:tc>
          <w:tcPr>
            <w:tcW w:w="2943" w:type="dxa"/>
            <w:vMerge w:val="continue"/>
            <w:tcBorders>
              <w:top w:val="nil"/>
            </w:tcBorders>
          </w:tcPr>
          <w:p w14:paraId="6650FC8C">
            <w:pPr>
              <w:rPr>
                <w:sz w:val="2"/>
                <w:szCs w:val="2"/>
              </w:rPr>
            </w:pPr>
          </w:p>
        </w:tc>
        <w:tc>
          <w:tcPr>
            <w:tcW w:w="2199" w:type="dxa"/>
          </w:tcPr>
          <w:p w14:paraId="424C0961">
            <w:pPr>
              <w:pStyle w:val="14"/>
              <w:spacing w:before="121"/>
              <w:ind w:left="238" w:right="230"/>
              <w:jc w:val="center"/>
              <w:rPr>
                <w:b/>
                <w:sz w:val="21"/>
              </w:rPr>
            </w:pPr>
            <w:r>
              <w:rPr>
                <w:b/>
                <w:sz w:val="21"/>
              </w:rPr>
              <w:t>监控点</w:t>
            </w:r>
          </w:p>
        </w:tc>
        <w:tc>
          <w:tcPr>
            <w:tcW w:w="2395" w:type="dxa"/>
          </w:tcPr>
          <w:p w14:paraId="69834D83">
            <w:pPr>
              <w:pStyle w:val="14"/>
              <w:spacing w:before="121"/>
              <w:ind w:left="253" w:right="248"/>
              <w:jc w:val="center"/>
              <w:rPr>
                <w:b/>
                <w:sz w:val="21"/>
              </w:rPr>
            </w:pPr>
            <w:r>
              <w:rPr>
                <w:b/>
                <w:sz w:val="21"/>
              </w:rPr>
              <w:t>浓度限值（</w:t>
            </w:r>
            <w:r>
              <w:rPr>
                <w:rFonts w:ascii="Times New Roman" w:eastAsia="Times New Roman"/>
                <w:b/>
                <w:sz w:val="21"/>
              </w:rPr>
              <w:t>mg/m</w:t>
            </w:r>
            <w:r>
              <w:rPr>
                <w:rFonts w:ascii="Times New Roman" w:eastAsia="Times New Roman"/>
                <w:b/>
                <w:position w:val="7"/>
                <w:sz w:val="13"/>
              </w:rPr>
              <w:t>3</w:t>
            </w:r>
            <w:r>
              <w:rPr>
                <w:b/>
                <w:sz w:val="21"/>
              </w:rPr>
              <w:t>）</w:t>
            </w:r>
          </w:p>
        </w:tc>
      </w:tr>
      <w:tr w14:paraId="317DD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50AF1BC3">
            <w:pPr>
              <w:pStyle w:val="14"/>
              <w:spacing w:before="90"/>
              <w:ind w:left="177"/>
              <w:rPr>
                <w:sz w:val="21"/>
              </w:rPr>
            </w:pPr>
            <w:r>
              <w:rPr>
                <w:sz w:val="21"/>
              </w:rPr>
              <w:t>颗粒物</w:t>
            </w:r>
          </w:p>
        </w:tc>
        <w:tc>
          <w:tcPr>
            <w:tcW w:w="2943" w:type="dxa"/>
          </w:tcPr>
          <w:p w14:paraId="61AAEA88">
            <w:pPr>
              <w:pStyle w:val="14"/>
              <w:spacing w:before="90"/>
              <w:ind w:left="893"/>
              <w:rPr>
                <w:sz w:val="21"/>
              </w:rPr>
            </w:pPr>
            <w:r>
              <w:rPr>
                <w:rFonts w:ascii="Times New Roman" w:eastAsia="Times New Roman"/>
                <w:sz w:val="21"/>
              </w:rPr>
              <w:t>120</w:t>
            </w:r>
            <w:r>
              <w:rPr>
                <w:sz w:val="21"/>
              </w:rPr>
              <w:t>（其他）</w:t>
            </w:r>
          </w:p>
        </w:tc>
        <w:tc>
          <w:tcPr>
            <w:tcW w:w="2199" w:type="dxa"/>
          </w:tcPr>
          <w:p w14:paraId="0D734BB7">
            <w:pPr>
              <w:pStyle w:val="14"/>
              <w:spacing w:before="90"/>
              <w:ind w:left="238" w:right="230"/>
              <w:jc w:val="center"/>
              <w:rPr>
                <w:sz w:val="21"/>
              </w:rPr>
            </w:pPr>
            <w:r>
              <w:rPr>
                <w:sz w:val="21"/>
              </w:rPr>
              <w:t>周围外浓度最高点</w:t>
            </w:r>
          </w:p>
        </w:tc>
        <w:tc>
          <w:tcPr>
            <w:tcW w:w="2395" w:type="dxa"/>
          </w:tcPr>
          <w:p w14:paraId="0D1EF42D">
            <w:pPr>
              <w:pStyle w:val="14"/>
              <w:spacing w:before="104"/>
              <w:ind w:left="253" w:right="244"/>
              <w:jc w:val="center"/>
              <w:rPr>
                <w:rFonts w:ascii="Times New Roman"/>
                <w:sz w:val="21"/>
              </w:rPr>
            </w:pPr>
            <w:r>
              <w:rPr>
                <w:rFonts w:ascii="Times New Roman"/>
                <w:sz w:val="21"/>
              </w:rPr>
              <w:t>1.0</w:t>
            </w:r>
          </w:p>
        </w:tc>
      </w:tr>
    </w:tbl>
    <w:p w14:paraId="16F548D1">
      <w:pPr>
        <w:spacing w:before="0" w:after="3"/>
        <w:ind w:left="262" w:right="321" w:firstLine="0"/>
        <w:jc w:val="center"/>
        <w:rPr>
          <w:b/>
          <w:sz w:val="21"/>
        </w:rPr>
      </w:pPr>
      <w:r>
        <w:rPr>
          <w:b/>
          <w:spacing w:val="-26"/>
          <w:sz w:val="21"/>
        </w:rPr>
        <w:t xml:space="preserve">表 </w:t>
      </w:r>
      <w:r>
        <w:rPr>
          <w:rFonts w:ascii="Times New Roman" w:eastAsia="Times New Roman"/>
          <w:b/>
          <w:sz w:val="21"/>
        </w:rPr>
        <w:t>2.4-6</w:t>
      </w:r>
      <w:r>
        <w:rPr>
          <w:rFonts w:ascii="Times New Roman" w:eastAsia="Times New Roman"/>
          <w:b/>
          <w:spacing w:val="50"/>
          <w:sz w:val="21"/>
        </w:rPr>
        <w:t xml:space="preserve"> </w:t>
      </w:r>
      <w:r>
        <w:rPr>
          <w:b/>
          <w:sz w:val="21"/>
        </w:rPr>
        <w:t>恶臭污染物排放标准值</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1679"/>
        <w:gridCol w:w="1476"/>
        <w:gridCol w:w="3234"/>
      </w:tblGrid>
      <w:tr w14:paraId="6A5B7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33" w:type="dxa"/>
          </w:tcPr>
          <w:p w14:paraId="355CEFCD">
            <w:pPr>
              <w:pStyle w:val="14"/>
              <w:spacing w:before="90"/>
              <w:ind w:left="99" w:right="89"/>
              <w:jc w:val="center"/>
              <w:rPr>
                <w:b/>
                <w:sz w:val="21"/>
              </w:rPr>
            </w:pPr>
            <w:r>
              <w:rPr>
                <w:b/>
                <w:sz w:val="21"/>
              </w:rPr>
              <w:t>控制项目</w:t>
            </w:r>
          </w:p>
        </w:tc>
        <w:tc>
          <w:tcPr>
            <w:tcW w:w="1679" w:type="dxa"/>
          </w:tcPr>
          <w:p w14:paraId="376B13C7">
            <w:pPr>
              <w:pStyle w:val="14"/>
              <w:spacing w:before="90"/>
              <w:ind w:left="117"/>
              <w:rPr>
                <w:rFonts w:ascii="Times New Roman" w:eastAsia="Times New Roman"/>
                <w:b/>
                <w:sz w:val="21"/>
              </w:rPr>
            </w:pPr>
            <w:r>
              <w:rPr>
                <w:b/>
                <w:sz w:val="21"/>
              </w:rPr>
              <w:t>排气筒高度，</w:t>
            </w:r>
            <w:r>
              <w:rPr>
                <w:rFonts w:ascii="Times New Roman" w:eastAsia="Times New Roman"/>
                <w:b/>
                <w:sz w:val="21"/>
              </w:rPr>
              <w:t>m</w:t>
            </w:r>
          </w:p>
        </w:tc>
        <w:tc>
          <w:tcPr>
            <w:tcW w:w="1476" w:type="dxa"/>
          </w:tcPr>
          <w:p w14:paraId="38D3FAD6">
            <w:pPr>
              <w:pStyle w:val="14"/>
              <w:spacing w:before="90"/>
              <w:ind w:left="95" w:right="89"/>
              <w:jc w:val="center"/>
              <w:rPr>
                <w:rFonts w:ascii="Times New Roman" w:eastAsia="Times New Roman"/>
                <w:b/>
                <w:sz w:val="21"/>
              </w:rPr>
            </w:pPr>
            <w:r>
              <w:rPr>
                <w:b/>
                <w:sz w:val="21"/>
              </w:rPr>
              <w:t>排放量，</w:t>
            </w:r>
            <w:r>
              <w:rPr>
                <w:rFonts w:ascii="Times New Roman" w:eastAsia="Times New Roman"/>
                <w:b/>
                <w:sz w:val="21"/>
              </w:rPr>
              <w:t>kg/h</w:t>
            </w:r>
          </w:p>
        </w:tc>
        <w:tc>
          <w:tcPr>
            <w:tcW w:w="3234" w:type="dxa"/>
          </w:tcPr>
          <w:p w14:paraId="0ED7D92B">
            <w:pPr>
              <w:pStyle w:val="14"/>
              <w:spacing w:before="90"/>
              <w:ind w:left="112" w:right="104"/>
              <w:jc w:val="center"/>
              <w:rPr>
                <w:rFonts w:ascii="Times New Roman" w:eastAsia="Times New Roman"/>
                <w:b/>
                <w:sz w:val="13"/>
              </w:rPr>
            </w:pPr>
            <w:r>
              <w:rPr>
                <w:b/>
                <w:sz w:val="21"/>
              </w:rPr>
              <w:t>厂界（二级</w:t>
            </w:r>
            <w:r>
              <w:rPr>
                <w:rFonts w:ascii="Times New Roman" w:eastAsia="Times New Roman"/>
                <w:b/>
                <w:sz w:val="21"/>
              </w:rPr>
              <w:t>-</w:t>
            </w:r>
            <w:r>
              <w:rPr>
                <w:b/>
                <w:sz w:val="21"/>
              </w:rPr>
              <w:t>新改扩建），</w:t>
            </w:r>
            <w:r>
              <w:rPr>
                <w:rFonts w:ascii="Times New Roman" w:eastAsia="Times New Roman"/>
                <w:b/>
                <w:sz w:val="21"/>
              </w:rPr>
              <w:t>mg/m</w:t>
            </w:r>
            <w:r>
              <w:rPr>
                <w:rFonts w:ascii="Times New Roman" w:eastAsia="Times New Roman"/>
                <w:b/>
                <w:position w:val="7"/>
                <w:sz w:val="13"/>
              </w:rPr>
              <w:t>3</w:t>
            </w:r>
          </w:p>
        </w:tc>
      </w:tr>
      <w:tr w14:paraId="7E635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33" w:type="dxa"/>
          </w:tcPr>
          <w:p w14:paraId="1B037197">
            <w:pPr>
              <w:pStyle w:val="14"/>
              <w:spacing w:before="89"/>
              <w:ind w:left="99" w:right="92"/>
              <w:jc w:val="center"/>
              <w:rPr>
                <w:sz w:val="21"/>
              </w:rPr>
            </w:pPr>
            <w:r>
              <w:rPr>
                <w:sz w:val="21"/>
              </w:rPr>
              <w:t>硫化氢</w:t>
            </w:r>
          </w:p>
        </w:tc>
        <w:tc>
          <w:tcPr>
            <w:tcW w:w="1679" w:type="dxa"/>
            <w:vMerge w:val="restart"/>
          </w:tcPr>
          <w:p w14:paraId="47810F02">
            <w:pPr>
              <w:pStyle w:val="14"/>
              <w:rPr>
                <w:b/>
                <w:sz w:val="22"/>
              </w:rPr>
            </w:pPr>
          </w:p>
          <w:p w14:paraId="6083C5CC">
            <w:pPr>
              <w:pStyle w:val="14"/>
              <w:spacing w:before="5"/>
              <w:rPr>
                <w:b/>
                <w:sz w:val="22"/>
              </w:rPr>
            </w:pPr>
          </w:p>
          <w:p w14:paraId="7E4A01FE">
            <w:pPr>
              <w:pStyle w:val="14"/>
              <w:ind w:left="714" w:right="704"/>
              <w:jc w:val="center"/>
              <w:rPr>
                <w:rFonts w:ascii="Times New Roman"/>
                <w:sz w:val="21"/>
              </w:rPr>
            </w:pPr>
            <w:r>
              <w:rPr>
                <w:rFonts w:ascii="Times New Roman"/>
                <w:sz w:val="21"/>
              </w:rPr>
              <w:t>15</w:t>
            </w:r>
          </w:p>
        </w:tc>
        <w:tc>
          <w:tcPr>
            <w:tcW w:w="1476" w:type="dxa"/>
          </w:tcPr>
          <w:p w14:paraId="1D42023E">
            <w:pPr>
              <w:pStyle w:val="14"/>
              <w:spacing w:before="106"/>
              <w:ind w:left="95" w:right="86"/>
              <w:jc w:val="center"/>
              <w:rPr>
                <w:rFonts w:ascii="Times New Roman"/>
                <w:sz w:val="21"/>
              </w:rPr>
            </w:pPr>
            <w:r>
              <w:rPr>
                <w:rFonts w:ascii="Times New Roman"/>
                <w:sz w:val="21"/>
              </w:rPr>
              <w:t>0.33</w:t>
            </w:r>
          </w:p>
        </w:tc>
        <w:tc>
          <w:tcPr>
            <w:tcW w:w="3234" w:type="dxa"/>
          </w:tcPr>
          <w:p w14:paraId="1F1E0D4D">
            <w:pPr>
              <w:pStyle w:val="14"/>
              <w:spacing w:before="106"/>
              <w:ind w:left="112" w:right="104"/>
              <w:jc w:val="center"/>
              <w:rPr>
                <w:rFonts w:ascii="Times New Roman"/>
                <w:sz w:val="21"/>
              </w:rPr>
            </w:pPr>
            <w:r>
              <w:rPr>
                <w:rFonts w:ascii="Times New Roman"/>
                <w:sz w:val="21"/>
              </w:rPr>
              <w:t>0.06</w:t>
            </w:r>
          </w:p>
        </w:tc>
      </w:tr>
      <w:tr w14:paraId="6EF00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33" w:type="dxa"/>
          </w:tcPr>
          <w:p w14:paraId="0612D812">
            <w:pPr>
              <w:pStyle w:val="14"/>
              <w:spacing w:before="91"/>
              <w:ind w:left="5"/>
              <w:jc w:val="center"/>
              <w:rPr>
                <w:sz w:val="21"/>
              </w:rPr>
            </w:pPr>
            <w:r>
              <w:rPr>
                <w:w w:val="99"/>
                <w:sz w:val="21"/>
              </w:rPr>
              <w:t>氨</w:t>
            </w:r>
          </w:p>
        </w:tc>
        <w:tc>
          <w:tcPr>
            <w:tcW w:w="1679" w:type="dxa"/>
            <w:vMerge w:val="continue"/>
            <w:tcBorders>
              <w:top w:val="nil"/>
            </w:tcBorders>
          </w:tcPr>
          <w:p w14:paraId="328826B6">
            <w:pPr>
              <w:rPr>
                <w:sz w:val="2"/>
                <w:szCs w:val="2"/>
              </w:rPr>
            </w:pPr>
          </w:p>
        </w:tc>
        <w:tc>
          <w:tcPr>
            <w:tcW w:w="1476" w:type="dxa"/>
          </w:tcPr>
          <w:p w14:paraId="1420D748">
            <w:pPr>
              <w:pStyle w:val="14"/>
              <w:spacing w:before="105"/>
              <w:ind w:left="95" w:right="86"/>
              <w:jc w:val="center"/>
              <w:rPr>
                <w:rFonts w:ascii="Times New Roman"/>
                <w:sz w:val="21"/>
              </w:rPr>
            </w:pPr>
            <w:r>
              <w:rPr>
                <w:rFonts w:ascii="Times New Roman"/>
                <w:sz w:val="21"/>
              </w:rPr>
              <w:t>4.9</w:t>
            </w:r>
          </w:p>
        </w:tc>
        <w:tc>
          <w:tcPr>
            <w:tcW w:w="3234" w:type="dxa"/>
          </w:tcPr>
          <w:p w14:paraId="1E756F80">
            <w:pPr>
              <w:pStyle w:val="14"/>
              <w:spacing w:before="105"/>
              <w:ind w:left="112" w:right="104"/>
              <w:jc w:val="center"/>
              <w:rPr>
                <w:rFonts w:ascii="Times New Roman"/>
                <w:sz w:val="21"/>
              </w:rPr>
            </w:pPr>
            <w:r>
              <w:rPr>
                <w:rFonts w:ascii="Times New Roman"/>
                <w:sz w:val="21"/>
              </w:rPr>
              <w:t>1.5</w:t>
            </w:r>
          </w:p>
        </w:tc>
      </w:tr>
      <w:tr w14:paraId="5E1D6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33" w:type="dxa"/>
          </w:tcPr>
          <w:p w14:paraId="0ED08E2C">
            <w:pPr>
              <w:pStyle w:val="14"/>
              <w:spacing w:before="90"/>
              <w:ind w:left="99" w:right="94"/>
              <w:jc w:val="center"/>
              <w:rPr>
                <w:sz w:val="21"/>
              </w:rPr>
            </w:pPr>
            <w:r>
              <w:rPr>
                <w:sz w:val="21"/>
              </w:rPr>
              <w:t>臭气浓度（无量纲）</w:t>
            </w:r>
          </w:p>
        </w:tc>
        <w:tc>
          <w:tcPr>
            <w:tcW w:w="1679" w:type="dxa"/>
            <w:vMerge w:val="continue"/>
            <w:tcBorders>
              <w:top w:val="nil"/>
            </w:tcBorders>
          </w:tcPr>
          <w:p w14:paraId="211C2552">
            <w:pPr>
              <w:rPr>
                <w:sz w:val="2"/>
                <w:szCs w:val="2"/>
              </w:rPr>
            </w:pPr>
          </w:p>
        </w:tc>
        <w:tc>
          <w:tcPr>
            <w:tcW w:w="1476" w:type="dxa"/>
          </w:tcPr>
          <w:p w14:paraId="48232BCC">
            <w:pPr>
              <w:pStyle w:val="14"/>
              <w:spacing w:before="104"/>
              <w:ind w:left="95" w:right="86"/>
              <w:jc w:val="center"/>
              <w:rPr>
                <w:rFonts w:ascii="Times New Roman"/>
                <w:sz w:val="21"/>
              </w:rPr>
            </w:pPr>
            <w:r>
              <w:rPr>
                <w:rFonts w:ascii="Times New Roman"/>
                <w:sz w:val="21"/>
              </w:rPr>
              <w:t>2000</w:t>
            </w:r>
          </w:p>
        </w:tc>
        <w:tc>
          <w:tcPr>
            <w:tcW w:w="3234" w:type="dxa"/>
          </w:tcPr>
          <w:p w14:paraId="70A0A82F">
            <w:pPr>
              <w:pStyle w:val="14"/>
              <w:spacing w:before="104"/>
              <w:ind w:left="112" w:right="104"/>
              <w:jc w:val="center"/>
              <w:rPr>
                <w:rFonts w:ascii="Times New Roman"/>
                <w:sz w:val="21"/>
              </w:rPr>
            </w:pPr>
            <w:r>
              <w:rPr>
                <w:rFonts w:ascii="Times New Roman"/>
                <w:sz w:val="21"/>
              </w:rPr>
              <w:t>20</w:t>
            </w:r>
          </w:p>
        </w:tc>
      </w:tr>
    </w:tbl>
    <w:p w14:paraId="3FCB5106">
      <w:pPr>
        <w:spacing w:before="1" w:after="2"/>
        <w:ind w:left="262" w:right="320" w:firstLine="0"/>
        <w:jc w:val="center"/>
        <w:rPr>
          <w:rFonts w:ascii="Times New Roman" w:eastAsia="Times New Roman"/>
          <w:b/>
          <w:sz w:val="13"/>
        </w:rPr>
      </w:pPr>
      <w:r>
        <w:rPr>
          <w:b/>
          <w:spacing w:val="-28"/>
          <w:sz w:val="21"/>
        </w:rPr>
        <w:t xml:space="preserve">表 </w:t>
      </w:r>
      <w:r>
        <w:rPr>
          <w:rFonts w:ascii="Times New Roman" w:eastAsia="Times New Roman"/>
          <w:b/>
          <w:sz w:val="21"/>
        </w:rPr>
        <w:t>2.4-7</w:t>
      </w:r>
      <w:r>
        <w:rPr>
          <w:rFonts w:ascii="Times New Roman" w:eastAsia="Times New Roman"/>
          <w:b/>
          <w:spacing w:val="50"/>
          <w:sz w:val="21"/>
        </w:rPr>
        <w:t xml:space="preserve"> </w:t>
      </w:r>
      <w:r>
        <w:rPr>
          <w:b/>
          <w:sz w:val="21"/>
        </w:rPr>
        <w:t>新建锅炉大气污染物排放浓度限值 单位：</w:t>
      </w:r>
      <w:r>
        <w:rPr>
          <w:rFonts w:ascii="Times New Roman" w:eastAsia="Times New Roman"/>
          <w:b/>
          <w:sz w:val="21"/>
        </w:rPr>
        <w:t>mg/m</w:t>
      </w:r>
      <w:r>
        <w:rPr>
          <w:rFonts w:ascii="Times New Roman" w:eastAsia="Times New Roman"/>
          <w:b/>
          <w:position w:val="7"/>
          <w:sz w:val="13"/>
        </w:rPr>
        <w:t>3</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7"/>
        <w:gridCol w:w="2328"/>
        <w:gridCol w:w="2327"/>
      </w:tblGrid>
      <w:tr w14:paraId="43D1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867" w:type="dxa"/>
          </w:tcPr>
          <w:p w14:paraId="15A57C0D">
            <w:pPr>
              <w:pStyle w:val="14"/>
              <w:spacing w:before="90"/>
              <w:ind w:left="545" w:right="539"/>
              <w:jc w:val="center"/>
              <w:rPr>
                <w:b/>
                <w:sz w:val="21"/>
              </w:rPr>
            </w:pPr>
            <w:r>
              <w:rPr>
                <w:b/>
                <w:sz w:val="21"/>
              </w:rPr>
              <w:t>污染物项目</w:t>
            </w:r>
          </w:p>
        </w:tc>
        <w:tc>
          <w:tcPr>
            <w:tcW w:w="2328" w:type="dxa"/>
          </w:tcPr>
          <w:p w14:paraId="0F9AB2D3">
            <w:pPr>
              <w:pStyle w:val="14"/>
              <w:spacing w:before="90"/>
              <w:ind w:left="720" w:right="714"/>
              <w:jc w:val="center"/>
              <w:rPr>
                <w:b/>
                <w:sz w:val="21"/>
              </w:rPr>
            </w:pPr>
            <w:r>
              <w:rPr>
                <w:b/>
                <w:sz w:val="21"/>
              </w:rPr>
              <w:t>燃气锅炉</w:t>
            </w:r>
          </w:p>
        </w:tc>
        <w:tc>
          <w:tcPr>
            <w:tcW w:w="2327" w:type="dxa"/>
          </w:tcPr>
          <w:p w14:paraId="2DD5305A">
            <w:pPr>
              <w:pStyle w:val="14"/>
              <w:spacing w:before="90"/>
              <w:ind w:left="119" w:right="110"/>
              <w:jc w:val="center"/>
              <w:rPr>
                <w:b/>
                <w:sz w:val="21"/>
              </w:rPr>
            </w:pPr>
            <w:r>
              <w:rPr>
                <w:b/>
                <w:sz w:val="21"/>
              </w:rPr>
              <w:t>污染物排放监控位置</w:t>
            </w:r>
          </w:p>
        </w:tc>
      </w:tr>
      <w:tr w14:paraId="004D0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67" w:type="dxa"/>
          </w:tcPr>
          <w:p w14:paraId="3BDFB335">
            <w:pPr>
              <w:pStyle w:val="14"/>
              <w:spacing w:before="90"/>
              <w:ind w:left="545" w:right="539"/>
              <w:jc w:val="center"/>
              <w:rPr>
                <w:sz w:val="21"/>
              </w:rPr>
            </w:pPr>
            <w:r>
              <w:rPr>
                <w:sz w:val="21"/>
              </w:rPr>
              <w:t>颗粒物</w:t>
            </w:r>
          </w:p>
        </w:tc>
        <w:tc>
          <w:tcPr>
            <w:tcW w:w="2328" w:type="dxa"/>
          </w:tcPr>
          <w:p w14:paraId="1A58E08F">
            <w:pPr>
              <w:pStyle w:val="14"/>
              <w:spacing w:before="106"/>
              <w:ind w:left="720" w:right="713"/>
              <w:jc w:val="center"/>
              <w:rPr>
                <w:rFonts w:ascii="Times New Roman"/>
                <w:sz w:val="21"/>
              </w:rPr>
            </w:pPr>
            <w:r>
              <w:rPr>
                <w:rFonts w:ascii="Times New Roman"/>
                <w:sz w:val="21"/>
              </w:rPr>
              <w:t>20</w:t>
            </w:r>
          </w:p>
        </w:tc>
        <w:tc>
          <w:tcPr>
            <w:tcW w:w="2327" w:type="dxa"/>
            <w:vMerge w:val="restart"/>
          </w:tcPr>
          <w:p w14:paraId="7BAE8362">
            <w:pPr>
              <w:pStyle w:val="14"/>
              <w:rPr>
                <w:rFonts w:ascii="Times New Roman"/>
                <w:b/>
                <w:sz w:val="20"/>
              </w:rPr>
            </w:pPr>
          </w:p>
          <w:p w14:paraId="0D25A008">
            <w:pPr>
              <w:pStyle w:val="14"/>
              <w:rPr>
                <w:rFonts w:ascii="Times New Roman"/>
                <w:b/>
                <w:sz w:val="20"/>
              </w:rPr>
            </w:pPr>
          </w:p>
          <w:p w14:paraId="6EAE5E51">
            <w:pPr>
              <w:pStyle w:val="14"/>
              <w:spacing w:before="117"/>
              <w:ind w:left="637"/>
              <w:rPr>
                <w:sz w:val="21"/>
              </w:rPr>
            </w:pPr>
            <w:r>
              <w:rPr>
                <w:sz w:val="21"/>
              </w:rPr>
              <w:t>烟囱或烟道</w:t>
            </w:r>
          </w:p>
        </w:tc>
      </w:tr>
      <w:tr w14:paraId="58A94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867" w:type="dxa"/>
          </w:tcPr>
          <w:p w14:paraId="78EF5A52">
            <w:pPr>
              <w:pStyle w:val="14"/>
              <w:spacing w:before="91"/>
              <w:ind w:left="543" w:right="539"/>
              <w:jc w:val="center"/>
              <w:rPr>
                <w:sz w:val="21"/>
              </w:rPr>
            </w:pPr>
            <w:r>
              <w:rPr>
                <w:sz w:val="21"/>
              </w:rPr>
              <w:t>二氧化硫</w:t>
            </w:r>
          </w:p>
        </w:tc>
        <w:tc>
          <w:tcPr>
            <w:tcW w:w="2328" w:type="dxa"/>
          </w:tcPr>
          <w:p w14:paraId="035BF6D2">
            <w:pPr>
              <w:pStyle w:val="14"/>
              <w:spacing w:before="105"/>
              <w:ind w:left="720" w:right="713"/>
              <w:jc w:val="center"/>
              <w:rPr>
                <w:rFonts w:ascii="Times New Roman"/>
                <w:sz w:val="21"/>
              </w:rPr>
            </w:pPr>
            <w:r>
              <w:rPr>
                <w:rFonts w:ascii="Times New Roman"/>
                <w:sz w:val="21"/>
              </w:rPr>
              <w:t>50</w:t>
            </w:r>
          </w:p>
        </w:tc>
        <w:tc>
          <w:tcPr>
            <w:tcW w:w="2327" w:type="dxa"/>
            <w:vMerge w:val="continue"/>
            <w:tcBorders>
              <w:top w:val="nil"/>
            </w:tcBorders>
          </w:tcPr>
          <w:p w14:paraId="757B955B">
            <w:pPr>
              <w:rPr>
                <w:sz w:val="2"/>
                <w:szCs w:val="2"/>
              </w:rPr>
            </w:pPr>
          </w:p>
        </w:tc>
      </w:tr>
      <w:tr w14:paraId="76E5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67" w:type="dxa"/>
          </w:tcPr>
          <w:p w14:paraId="1A077B29">
            <w:pPr>
              <w:pStyle w:val="14"/>
              <w:spacing w:before="90"/>
              <w:ind w:left="543" w:right="539"/>
              <w:jc w:val="center"/>
              <w:rPr>
                <w:sz w:val="21"/>
              </w:rPr>
            </w:pPr>
            <w:r>
              <w:rPr>
                <w:sz w:val="21"/>
              </w:rPr>
              <w:t>氮氧化物</w:t>
            </w:r>
          </w:p>
        </w:tc>
        <w:tc>
          <w:tcPr>
            <w:tcW w:w="2328" w:type="dxa"/>
          </w:tcPr>
          <w:p w14:paraId="782EBE20">
            <w:pPr>
              <w:pStyle w:val="14"/>
              <w:spacing w:before="107"/>
              <w:ind w:left="720" w:right="713"/>
              <w:jc w:val="center"/>
              <w:rPr>
                <w:rFonts w:ascii="Times New Roman"/>
                <w:sz w:val="21"/>
              </w:rPr>
            </w:pPr>
            <w:r>
              <w:rPr>
                <w:rFonts w:ascii="Times New Roman"/>
                <w:sz w:val="21"/>
              </w:rPr>
              <w:t>200</w:t>
            </w:r>
          </w:p>
        </w:tc>
        <w:tc>
          <w:tcPr>
            <w:tcW w:w="2327" w:type="dxa"/>
            <w:vMerge w:val="continue"/>
            <w:tcBorders>
              <w:top w:val="nil"/>
            </w:tcBorders>
          </w:tcPr>
          <w:p w14:paraId="41317196">
            <w:pPr>
              <w:rPr>
                <w:sz w:val="2"/>
                <w:szCs w:val="2"/>
              </w:rPr>
            </w:pPr>
          </w:p>
        </w:tc>
      </w:tr>
      <w:tr w14:paraId="5EFC8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67" w:type="dxa"/>
          </w:tcPr>
          <w:p w14:paraId="136FFA47">
            <w:pPr>
              <w:pStyle w:val="14"/>
              <w:spacing w:before="114"/>
              <w:ind w:left="548" w:right="539"/>
              <w:jc w:val="center"/>
              <w:rPr>
                <w:sz w:val="21"/>
              </w:rPr>
            </w:pPr>
            <w:r>
              <w:rPr>
                <w:sz w:val="21"/>
              </w:rPr>
              <w:t>烟气黑度（林格曼黑度，级）</w:t>
            </w:r>
          </w:p>
        </w:tc>
        <w:tc>
          <w:tcPr>
            <w:tcW w:w="2328" w:type="dxa"/>
          </w:tcPr>
          <w:p w14:paraId="3F42332D">
            <w:pPr>
              <w:pStyle w:val="14"/>
              <w:spacing w:before="114"/>
              <w:ind w:left="720" w:right="713"/>
              <w:jc w:val="center"/>
              <w:rPr>
                <w:rFonts w:ascii="Times New Roman" w:hAnsi="Times New Roman"/>
                <w:sz w:val="21"/>
              </w:rPr>
            </w:pPr>
            <w:r>
              <w:rPr>
                <w:sz w:val="21"/>
              </w:rPr>
              <w:t>≤</w:t>
            </w:r>
            <w:r>
              <w:rPr>
                <w:rFonts w:ascii="Times New Roman" w:hAnsi="Times New Roman"/>
                <w:sz w:val="21"/>
              </w:rPr>
              <w:t>1</w:t>
            </w:r>
          </w:p>
        </w:tc>
        <w:tc>
          <w:tcPr>
            <w:tcW w:w="2327" w:type="dxa"/>
          </w:tcPr>
          <w:p w14:paraId="4F636291">
            <w:pPr>
              <w:pStyle w:val="14"/>
              <w:spacing w:before="114"/>
              <w:ind w:left="119" w:right="112"/>
              <w:jc w:val="center"/>
              <w:rPr>
                <w:sz w:val="21"/>
              </w:rPr>
            </w:pPr>
            <w:r>
              <w:rPr>
                <w:sz w:val="21"/>
              </w:rPr>
              <w:t>烟囱排放口</w:t>
            </w:r>
          </w:p>
        </w:tc>
      </w:tr>
    </w:tbl>
    <w:p w14:paraId="573B258A">
      <w:pPr>
        <w:spacing w:before="0" w:after="4"/>
        <w:ind w:left="262" w:right="324" w:firstLine="0"/>
        <w:jc w:val="center"/>
        <w:rPr>
          <w:b/>
          <w:sz w:val="21"/>
        </w:rPr>
      </w:pPr>
      <w:r>
        <w:rPr>
          <w:b/>
          <w:sz w:val="21"/>
        </w:rPr>
        <w:t xml:space="preserve">表 </w:t>
      </w:r>
      <w:r>
        <w:rPr>
          <w:rFonts w:ascii="Times New Roman" w:eastAsia="Times New Roman"/>
          <w:b/>
          <w:sz w:val="21"/>
        </w:rPr>
        <w:t xml:space="preserve">2.4-8 </w:t>
      </w:r>
      <w:r>
        <w:rPr>
          <w:b/>
          <w:sz w:val="21"/>
        </w:rPr>
        <w:t>油烟最高允许排放浓度和油烟净化设施最低去除效率</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1883"/>
        <w:gridCol w:w="1883"/>
        <w:gridCol w:w="1884"/>
      </w:tblGrid>
      <w:tr w14:paraId="29ECC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967" w:type="dxa"/>
          </w:tcPr>
          <w:p w14:paraId="621148C5">
            <w:pPr>
              <w:pStyle w:val="14"/>
              <w:spacing w:before="89"/>
              <w:ind w:left="219" w:right="213"/>
              <w:jc w:val="center"/>
              <w:rPr>
                <w:b/>
                <w:sz w:val="21"/>
              </w:rPr>
            </w:pPr>
            <w:r>
              <w:rPr>
                <w:b/>
                <w:sz w:val="21"/>
              </w:rPr>
              <w:t>规模</w:t>
            </w:r>
          </w:p>
        </w:tc>
        <w:tc>
          <w:tcPr>
            <w:tcW w:w="1883" w:type="dxa"/>
          </w:tcPr>
          <w:p w14:paraId="6F09AE27">
            <w:pPr>
              <w:pStyle w:val="14"/>
              <w:spacing w:before="89"/>
              <w:ind w:left="706" w:right="702"/>
              <w:jc w:val="center"/>
              <w:rPr>
                <w:b/>
                <w:sz w:val="21"/>
              </w:rPr>
            </w:pPr>
            <w:r>
              <w:rPr>
                <w:b/>
                <w:sz w:val="21"/>
              </w:rPr>
              <w:t>小型</w:t>
            </w:r>
          </w:p>
        </w:tc>
        <w:tc>
          <w:tcPr>
            <w:tcW w:w="1883" w:type="dxa"/>
          </w:tcPr>
          <w:p w14:paraId="59779CF2">
            <w:pPr>
              <w:pStyle w:val="14"/>
              <w:spacing w:before="89"/>
              <w:ind w:left="707" w:right="701"/>
              <w:jc w:val="center"/>
              <w:rPr>
                <w:b/>
                <w:sz w:val="21"/>
              </w:rPr>
            </w:pPr>
            <w:r>
              <w:rPr>
                <w:b/>
                <w:sz w:val="21"/>
              </w:rPr>
              <w:t>中型</w:t>
            </w:r>
          </w:p>
        </w:tc>
        <w:tc>
          <w:tcPr>
            <w:tcW w:w="1884" w:type="dxa"/>
          </w:tcPr>
          <w:p w14:paraId="20DFE937">
            <w:pPr>
              <w:pStyle w:val="14"/>
              <w:spacing w:before="89"/>
              <w:ind w:left="709" w:right="702"/>
              <w:jc w:val="center"/>
              <w:rPr>
                <w:b/>
                <w:sz w:val="21"/>
              </w:rPr>
            </w:pPr>
            <w:r>
              <w:rPr>
                <w:b/>
                <w:sz w:val="21"/>
              </w:rPr>
              <w:t>大型</w:t>
            </w:r>
          </w:p>
        </w:tc>
      </w:tr>
      <w:tr w14:paraId="196A0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67" w:type="dxa"/>
          </w:tcPr>
          <w:p w14:paraId="52FA5CF0">
            <w:pPr>
              <w:pStyle w:val="14"/>
              <w:spacing w:before="91"/>
              <w:ind w:left="219" w:right="213"/>
              <w:jc w:val="center"/>
              <w:rPr>
                <w:rFonts w:ascii="Times New Roman" w:eastAsia="Times New Roman"/>
                <w:sz w:val="21"/>
              </w:rPr>
            </w:pPr>
            <w:r>
              <w:rPr>
                <w:sz w:val="21"/>
              </w:rPr>
              <w:t>最高允许排放浓度</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5650" w:type="dxa"/>
            <w:gridSpan w:val="3"/>
          </w:tcPr>
          <w:p w14:paraId="35A8FAC4">
            <w:pPr>
              <w:pStyle w:val="14"/>
              <w:spacing w:before="105"/>
              <w:ind w:left="2671" w:right="2665"/>
              <w:jc w:val="center"/>
              <w:rPr>
                <w:rFonts w:ascii="Times New Roman"/>
                <w:sz w:val="21"/>
              </w:rPr>
            </w:pPr>
            <w:r>
              <w:rPr>
                <w:rFonts w:ascii="Times New Roman"/>
                <w:sz w:val="21"/>
              </w:rPr>
              <w:t>2.0</w:t>
            </w:r>
          </w:p>
        </w:tc>
      </w:tr>
      <w:tr w14:paraId="0CEC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967" w:type="dxa"/>
          </w:tcPr>
          <w:p w14:paraId="37899C30">
            <w:pPr>
              <w:pStyle w:val="14"/>
              <w:spacing w:before="90"/>
              <w:ind w:left="219" w:right="213"/>
              <w:jc w:val="center"/>
              <w:rPr>
                <w:sz w:val="21"/>
              </w:rPr>
            </w:pPr>
            <w:r>
              <w:rPr>
                <w:sz w:val="21"/>
              </w:rPr>
              <w:t>净化设施最低去除率（</w:t>
            </w:r>
            <w:r>
              <w:rPr>
                <w:rFonts w:ascii="Times New Roman" w:eastAsia="Times New Roman"/>
                <w:sz w:val="21"/>
              </w:rPr>
              <w:t>%</w:t>
            </w:r>
            <w:r>
              <w:rPr>
                <w:sz w:val="21"/>
              </w:rPr>
              <w:t>）</w:t>
            </w:r>
          </w:p>
        </w:tc>
        <w:tc>
          <w:tcPr>
            <w:tcW w:w="1883" w:type="dxa"/>
          </w:tcPr>
          <w:p w14:paraId="1A21B8D7">
            <w:pPr>
              <w:pStyle w:val="14"/>
              <w:spacing w:before="104"/>
              <w:ind w:left="707" w:right="697"/>
              <w:jc w:val="center"/>
              <w:rPr>
                <w:rFonts w:ascii="Times New Roman"/>
                <w:sz w:val="21"/>
              </w:rPr>
            </w:pPr>
            <w:r>
              <w:rPr>
                <w:rFonts w:ascii="Times New Roman"/>
                <w:sz w:val="21"/>
              </w:rPr>
              <w:t>60</w:t>
            </w:r>
          </w:p>
        </w:tc>
        <w:tc>
          <w:tcPr>
            <w:tcW w:w="1883" w:type="dxa"/>
          </w:tcPr>
          <w:p w14:paraId="507B68AD">
            <w:pPr>
              <w:pStyle w:val="14"/>
              <w:spacing w:before="104"/>
              <w:ind w:left="707" w:right="700"/>
              <w:jc w:val="center"/>
              <w:rPr>
                <w:rFonts w:ascii="Times New Roman"/>
                <w:sz w:val="21"/>
              </w:rPr>
            </w:pPr>
            <w:r>
              <w:rPr>
                <w:rFonts w:ascii="Times New Roman"/>
                <w:sz w:val="21"/>
              </w:rPr>
              <w:t>75</w:t>
            </w:r>
          </w:p>
        </w:tc>
        <w:tc>
          <w:tcPr>
            <w:tcW w:w="1884" w:type="dxa"/>
          </w:tcPr>
          <w:p w14:paraId="44B8B57E">
            <w:pPr>
              <w:pStyle w:val="14"/>
              <w:spacing w:before="104"/>
              <w:ind w:left="709" w:right="701"/>
              <w:jc w:val="center"/>
              <w:rPr>
                <w:rFonts w:ascii="Times New Roman"/>
                <w:sz w:val="21"/>
              </w:rPr>
            </w:pPr>
            <w:r>
              <w:rPr>
                <w:rFonts w:ascii="Times New Roman"/>
                <w:sz w:val="21"/>
              </w:rPr>
              <w:t>85</w:t>
            </w:r>
          </w:p>
        </w:tc>
      </w:tr>
    </w:tbl>
    <w:p w14:paraId="4DC8494F">
      <w:pPr>
        <w:spacing w:after="0"/>
        <w:jc w:val="center"/>
        <w:rPr>
          <w:rFonts w:ascii="Times New Roman"/>
          <w:sz w:val="21"/>
        </w:rPr>
        <w:sectPr>
          <w:pgSz w:w="11910" w:h="16840"/>
          <w:pgMar w:top="1360" w:right="1460" w:bottom="1400" w:left="1520" w:header="878" w:footer="1204" w:gutter="0"/>
          <w:cols w:space="720" w:num="1"/>
        </w:sectPr>
      </w:pPr>
    </w:p>
    <w:p w14:paraId="4636D616">
      <w:pPr>
        <w:pStyle w:val="7"/>
        <w:spacing w:before="68"/>
        <w:ind w:left="760"/>
      </w:pPr>
      <w:r>
        <w:rPr>
          <w:rFonts w:ascii="Times New Roman" w:eastAsia="Times New Roman"/>
        </w:rPr>
        <w:t>2</w:t>
      </w:r>
      <w:r>
        <w:t>、水污染物排放标准</w:t>
      </w:r>
    </w:p>
    <w:p w14:paraId="49E5DDCE">
      <w:pPr>
        <w:pStyle w:val="7"/>
        <w:spacing w:before="160" w:line="362" w:lineRule="auto"/>
        <w:ind w:left="280" w:right="337" w:firstLine="480"/>
      </w:pPr>
      <w:r>
        <w:t>施工期施工废水循环利用不外排，生活污水经现有办公民房化粪池处理后用作农肥；</w:t>
      </w:r>
    </w:p>
    <w:p w14:paraId="7F48CF34">
      <w:pPr>
        <w:pStyle w:val="7"/>
        <w:spacing w:before="5" w:line="364" w:lineRule="auto"/>
        <w:ind w:left="280" w:right="337" w:firstLine="480"/>
        <w:jc w:val="both"/>
      </w:pPr>
      <w:r>
        <w:rPr>
          <w:spacing w:val="0"/>
        </w:rPr>
        <w:t>运营期生产废水经污水处理站预处理达到《肉类加工工业水污染物排放标准》</w:t>
      </w:r>
      <w:r>
        <w:t>（</w:t>
      </w:r>
      <w:r>
        <w:rPr>
          <w:rFonts w:ascii="Times New Roman" w:eastAsia="Times New Roman"/>
        </w:rPr>
        <w:t>GB13457-92</w:t>
      </w:r>
      <w:r>
        <w:t>）</w:t>
      </w:r>
      <w:r>
        <w:rPr>
          <w:spacing w:val="-20"/>
        </w:rPr>
        <w:t xml:space="preserve">表 </w:t>
      </w:r>
      <w:r>
        <w:rPr>
          <w:rFonts w:ascii="Times New Roman" w:eastAsia="Times New Roman"/>
        </w:rPr>
        <w:t xml:space="preserve">3 </w:t>
      </w:r>
      <w:r>
        <w:t>中畜类屠宰加工三级标准、同时应满足岳阳县污水处理厂进水水质要求，二者取其严；生活污水经化粪池预处理后一并排入厂区污水处理站处理达标后再排入岳阳县污水处理厂进行处理。废水经岳阳县污水处理厂处理达到《城镇污水处理厂污染物排放标准》（</w:t>
      </w:r>
      <w:r>
        <w:rPr>
          <w:rFonts w:ascii="Times New Roman" w:eastAsia="Times New Roman"/>
        </w:rPr>
        <w:t>GB18918-2002</w:t>
      </w:r>
      <w:r>
        <w:t>）</w:t>
      </w:r>
      <w:r>
        <w:rPr>
          <w:spacing w:val="-15"/>
        </w:rPr>
        <w:t xml:space="preserve">一级 </w:t>
      </w:r>
      <w:r>
        <w:rPr>
          <w:rFonts w:ascii="Times New Roman" w:eastAsia="Times New Roman"/>
        </w:rPr>
        <w:t xml:space="preserve">A </w:t>
      </w:r>
      <w:r>
        <w:t>标准后排入新墙河。</w:t>
      </w:r>
    </w:p>
    <w:p w14:paraId="6F0B1A68">
      <w:pPr>
        <w:spacing w:before="0" w:after="3" w:line="264" w:lineRule="exact"/>
        <w:ind w:left="262" w:right="324" w:firstLine="0"/>
        <w:jc w:val="center"/>
        <w:rPr>
          <w:b/>
          <w:sz w:val="21"/>
        </w:rPr>
      </w:pPr>
      <w:r>
        <w:rPr>
          <w:b/>
          <w:sz w:val="21"/>
        </w:rPr>
        <w:t xml:space="preserve">表 </w:t>
      </w:r>
      <w:r>
        <w:rPr>
          <w:rFonts w:ascii="Times New Roman" w:eastAsia="Times New Roman"/>
          <w:b/>
          <w:sz w:val="21"/>
        </w:rPr>
        <w:t xml:space="preserve">2.4-9 </w:t>
      </w:r>
      <w:r>
        <w:rPr>
          <w:b/>
          <w:sz w:val="21"/>
        </w:rPr>
        <w:t>《肉类加工工业水污染物排放标准》（</w:t>
      </w:r>
      <w:r>
        <w:rPr>
          <w:rFonts w:ascii="Times New Roman" w:eastAsia="Times New Roman"/>
          <w:b/>
          <w:sz w:val="21"/>
        </w:rPr>
        <w:t>GB13457-92</w:t>
      </w:r>
      <w:r>
        <w:rPr>
          <w:b/>
          <w:sz w:val="21"/>
        </w:rPr>
        <w:t xml:space="preserve">）表 </w:t>
      </w:r>
      <w:r>
        <w:rPr>
          <w:rFonts w:ascii="Times New Roman" w:eastAsia="Times New Roman"/>
          <w:b/>
          <w:sz w:val="21"/>
        </w:rPr>
        <w:t xml:space="preserve">3 </w:t>
      </w:r>
      <w:r>
        <w:rPr>
          <w:b/>
          <w:sz w:val="21"/>
        </w:rPr>
        <w:t>中规定的三级标准值</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2086"/>
        <w:gridCol w:w="3315"/>
      </w:tblGrid>
      <w:tr w14:paraId="48571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21" w:type="dxa"/>
          </w:tcPr>
          <w:p w14:paraId="7F996517">
            <w:pPr>
              <w:pStyle w:val="14"/>
              <w:spacing w:before="90"/>
              <w:ind w:left="474" w:right="466"/>
              <w:jc w:val="center"/>
              <w:rPr>
                <w:sz w:val="21"/>
              </w:rPr>
            </w:pPr>
            <w:r>
              <w:rPr>
                <w:sz w:val="21"/>
              </w:rPr>
              <w:t>污染物</w:t>
            </w:r>
          </w:p>
        </w:tc>
        <w:tc>
          <w:tcPr>
            <w:tcW w:w="2086" w:type="dxa"/>
          </w:tcPr>
          <w:p w14:paraId="2FD77E4B">
            <w:pPr>
              <w:pStyle w:val="14"/>
              <w:spacing w:before="90"/>
              <w:ind w:left="320" w:right="315"/>
              <w:jc w:val="center"/>
              <w:rPr>
                <w:rFonts w:ascii="Times New Roman" w:eastAsia="Times New Roman"/>
                <w:sz w:val="21"/>
              </w:rPr>
            </w:pPr>
            <w:r>
              <w:rPr>
                <w:sz w:val="21"/>
              </w:rPr>
              <w:t xml:space="preserve">排放浓度 </w:t>
            </w:r>
            <w:r>
              <w:rPr>
                <w:rFonts w:ascii="Times New Roman" w:eastAsia="Times New Roman"/>
                <w:sz w:val="21"/>
              </w:rPr>
              <w:t>mg/L</w:t>
            </w:r>
          </w:p>
        </w:tc>
        <w:tc>
          <w:tcPr>
            <w:tcW w:w="3315" w:type="dxa"/>
          </w:tcPr>
          <w:p w14:paraId="4E211115">
            <w:pPr>
              <w:pStyle w:val="14"/>
              <w:spacing w:before="90"/>
              <w:ind w:left="474" w:right="468"/>
              <w:jc w:val="center"/>
              <w:rPr>
                <w:sz w:val="21"/>
              </w:rPr>
            </w:pPr>
            <w:r>
              <w:rPr>
                <w:sz w:val="21"/>
              </w:rPr>
              <w:t xml:space="preserve">排放总量 </w:t>
            </w:r>
            <w:r>
              <w:rPr>
                <w:rFonts w:ascii="Times New Roman" w:eastAsia="Times New Roman"/>
                <w:sz w:val="21"/>
              </w:rPr>
              <w:t>kg/t</w:t>
            </w:r>
            <w:r>
              <w:rPr>
                <w:sz w:val="21"/>
              </w:rPr>
              <w:t>（活屠重）</w:t>
            </w:r>
          </w:p>
        </w:tc>
      </w:tr>
      <w:tr w14:paraId="169FD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495F20B3">
            <w:pPr>
              <w:pStyle w:val="14"/>
              <w:spacing w:before="92"/>
              <w:ind w:left="474" w:right="466"/>
              <w:jc w:val="center"/>
              <w:rPr>
                <w:sz w:val="21"/>
              </w:rPr>
            </w:pPr>
            <w:r>
              <w:rPr>
                <w:sz w:val="21"/>
              </w:rPr>
              <w:t>悬浮物</w:t>
            </w:r>
          </w:p>
        </w:tc>
        <w:tc>
          <w:tcPr>
            <w:tcW w:w="2086" w:type="dxa"/>
          </w:tcPr>
          <w:p w14:paraId="6E622A79">
            <w:pPr>
              <w:pStyle w:val="14"/>
              <w:spacing w:before="106"/>
              <w:ind w:left="320" w:right="312"/>
              <w:jc w:val="center"/>
              <w:rPr>
                <w:rFonts w:ascii="Times New Roman"/>
                <w:sz w:val="21"/>
              </w:rPr>
            </w:pPr>
            <w:r>
              <w:rPr>
                <w:rFonts w:ascii="Times New Roman"/>
                <w:sz w:val="21"/>
              </w:rPr>
              <w:t>400</w:t>
            </w:r>
          </w:p>
        </w:tc>
        <w:tc>
          <w:tcPr>
            <w:tcW w:w="3315" w:type="dxa"/>
          </w:tcPr>
          <w:p w14:paraId="1DB9D87E">
            <w:pPr>
              <w:pStyle w:val="14"/>
              <w:spacing w:before="106"/>
              <w:ind w:left="474" w:right="467"/>
              <w:jc w:val="center"/>
              <w:rPr>
                <w:rFonts w:ascii="Times New Roman"/>
                <w:sz w:val="21"/>
              </w:rPr>
            </w:pPr>
            <w:r>
              <w:rPr>
                <w:rFonts w:ascii="Times New Roman"/>
                <w:sz w:val="21"/>
              </w:rPr>
              <w:t>2.6</w:t>
            </w:r>
          </w:p>
        </w:tc>
      </w:tr>
      <w:tr w14:paraId="1CB00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21" w:type="dxa"/>
          </w:tcPr>
          <w:p w14:paraId="1C4B59A3">
            <w:pPr>
              <w:pStyle w:val="14"/>
              <w:spacing w:before="91"/>
              <w:ind w:left="474" w:right="466"/>
              <w:jc w:val="center"/>
              <w:rPr>
                <w:sz w:val="21"/>
              </w:rPr>
            </w:pPr>
            <w:r>
              <w:rPr>
                <w:sz w:val="21"/>
              </w:rPr>
              <w:t>生化需氧量（</w:t>
            </w:r>
            <w:r>
              <w:rPr>
                <w:rFonts w:ascii="Times New Roman" w:eastAsia="Times New Roman"/>
                <w:sz w:val="21"/>
              </w:rPr>
              <w:t>BOD5</w:t>
            </w:r>
            <w:r>
              <w:rPr>
                <w:sz w:val="21"/>
              </w:rPr>
              <w:t>）</w:t>
            </w:r>
          </w:p>
        </w:tc>
        <w:tc>
          <w:tcPr>
            <w:tcW w:w="2086" w:type="dxa"/>
          </w:tcPr>
          <w:p w14:paraId="59A146C8">
            <w:pPr>
              <w:pStyle w:val="14"/>
              <w:spacing w:before="105"/>
              <w:ind w:left="320" w:right="312"/>
              <w:jc w:val="center"/>
              <w:rPr>
                <w:rFonts w:ascii="Times New Roman"/>
                <w:sz w:val="21"/>
              </w:rPr>
            </w:pPr>
            <w:r>
              <w:rPr>
                <w:rFonts w:ascii="Times New Roman"/>
                <w:sz w:val="21"/>
              </w:rPr>
              <w:t>300</w:t>
            </w:r>
          </w:p>
        </w:tc>
        <w:tc>
          <w:tcPr>
            <w:tcW w:w="3315" w:type="dxa"/>
          </w:tcPr>
          <w:p w14:paraId="3DD2618C">
            <w:pPr>
              <w:pStyle w:val="14"/>
              <w:spacing w:before="105"/>
              <w:ind w:left="474" w:right="467"/>
              <w:jc w:val="center"/>
              <w:rPr>
                <w:rFonts w:ascii="Times New Roman"/>
                <w:sz w:val="21"/>
              </w:rPr>
            </w:pPr>
            <w:r>
              <w:rPr>
                <w:rFonts w:ascii="Times New Roman"/>
                <w:sz w:val="21"/>
              </w:rPr>
              <w:t>2.0</w:t>
            </w:r>
          </w:p>
        </w:tc>
      </w:tr>
      <w:tr w14:paraId="62770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5C03E5C2">
            <w:pPr>
              <w:pStyle w:val="14"/>
              <w:spacing w:before="87"/>
              <w:ind w:left="474" w:right="466"/>
              <w:jc w:val="center"/>
              <w:rPr>
                <w:sz w:val="21"/>
              </w:rPr>
            </w:pPr>
            <w:r>
              <w:rPr>
                <w:position w:val="2"/>
                <w:sz w:val="21"/>
              </w:rPr>
              <w:t>化学需氧量（</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p>
        </w:tc>
        <w:tc>
          <w:tcPr>
            <w:tcW w:w="2086" w:type="dxa"/>
          </w:tcPr>
          <w:p w14:paraId="5A9659E6">
            <w:pPr>
              <w:pStyle w:val="14"/>
              <w:spacing w:before="106"/>
              <w:ind w:left="320" w:right="312"/>
              <w:jc w:val="center"/>
              <w:rPr>
                <w:rFonts w:ascii="Times New Roman"/>
                <w:sz w:val="21"/>
              </w:rPr>
            </w:pPr>
            <w:r>
              <w:rPr>
                <w:rFonts w:ascii="Times New Roman"/>
                <w:sz w:val="21"/>
              </w:rPr>
              <w:t>500</w:t>
            </w:r>
          </w:p>
        </w:tc>
        <w:tc>
          <w:tcPr>
            <w:tcW w:w="3315" w:type="dxa"/>
          </w:tcPr>
          <w:p w14:paraId="493FE8BC">
            <w:pPr>
              <w:pStyle w:val="14"/>
              <w:spacing w:before="106"/>
              <w:ind w:left="474" w:right="467"/>
              <w:jc w:val="center"/>
              <w:rPr>
                <w:rFonts w:ascii="Times New Roman"/>
                <w:sz w:val="21"/>
              </w:rPr>
            </w:pPr>
            <w:r>
              <w:rPr>
                <w:rFonts w:ascii="Times New Roman"/>
                <w:sz w:val="21"/>
              </w:rPr>
              <w:t>3.3</w:t>
            </w:r>
          </w:p>
        </w:tc>
      </w:tr>
      <w:tr w14:paraId="2800B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505B74AA">
            <w:pPr>
              <w:pStyle w:val="14"/>
              <w:spacing w:before="92"/>
              <w:ind w:left="472" w:right="466"/>
              <w:jc w:val="center"/>
              <w:rPr>
                <w:sz w:val="21"/>
              </w:rPr>
            </w:pPr>
            <w:r>
              <w:rPr>
                <w:sz w:val="21"/>
              </w:rPr>
              <w:t>动植物油</w:t>
            </w:r>
          </w:p>
        </w:tc>
        <w:tc>
          <w:tcPr>
            <w:tcW w:w="2086" w:type="dxa"/>
          </w:tcPr>
          <w:p w14:paraId="7664B142">
            <w:pPr>
              <w:pStyle w:val="14"/>
              <w:spacing w:before="106"/>
              <w:ind w:left="320" w:right="312"/>
              <w:jc w:val="center"/>
              <w:rPr>
                <w:rFonts w:ascii="Times New Roman"/>
                <w:sz w:val="21"/>
              </w:rPr>
            </w:pPr>
            <w:r>
              <w:rPr>
                <w:rFonts w:ascii="Times New Roman"/>
                <w:sz w:val="21"/>
              </w:rPr>
              <w:t>60</w:t>
            </w:r>
          </w:p>
        </w:tc>
        <w:tc>
          <w:tcPr>
            <w:tcW w:w="3315" w:type="dxa"/>
          </w:tcPr>
          <w:p w14:paraId="411230D6">
            <w:pPr>
              <w:pStyle w:val="14"/>
              <w:spacing w:before="106"/>
              <w:ind w:left="474" w:right="467"/>
              <w:jc w:val="center"/>
              <w:rPr>
                <w:rFonts w:ascii="Times New Roman"/>
                <w:sz w:val="21"/>
              </w:rPr>
            </w:pPr>
            <w:r>
              <w:rPr>
                <w:rFonts w:ascii="Times New Roman"/>
                <w:sz w:val="21"/>
              </w:rPr>
              <w:t>0.4</w:t>
            </w:r>
          </w:p>
        </w:tc>
      </w:tr>
      <w:tr w14:paraId="4843B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327F0C6C">
            <w:pPr>
              <w:pStyle w:val="14"/>
              <w:spacing w:before="91"/>
              <w:ind w:left="472" w:right="466"/>
              <w:jc w:val="center"/>
              <w:rPr>
                <w:sz w:val="21"/>
              </w:rPr>
            </w:pPr>
            <w:r>
              <w:rPr>
                <w:rFonts w:ascii="Times New Roman" w:eastAsia="Times New Roman"/>
                <w:sz w:val="21"/>
              </w:rPr>
              <w:t xml:space="preserve">pH </w:t>
            </w:r>
            <w:r>
              <w:rPr>
                <w:sz w:val="21"/>
              </w:rPr>
              <w:t>值</w:t>
            </w:r>
          </w:p>
        </w:tc>
        <w:tc>
          <w:tcPr>
            <w:tcW w:w="5401" w:type="dxa"/>
            <w:gridSpan w:val="2"/>
          </w:tcPr>
          <w:p w14:paraId="32FC7EA0">
            <w:pPr>
              <w:pStyle w:val="14"/>
              <w:spacing w:before="105"/>
              <w:ind w:left="2359" w:right="2352"/>
              <w:jc w:val="center"/>
              <w:rPr>
                <w:rFonts w:ascii="Times New Roman"/>
                <w:sz w:val="21"/>
              </w:rPr>
            </w:pPr>
            <w:r>
              <w:rPr>
                <w:rFonts w:ascii="Times New Roman"/>
                <w:sz w:val="21"/>
              </w:rPr>
              <w:t>6.0~8.5</w:t>
            </w:r>
          </w:p>
        </w:tc>
      </w:tr>
      <w:tr w14:paraId="51D62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5996081C">
            <w:pPr>
              <w:pStyle w:val="14"/>
              <w:spacing w:before="90"/>
              <w:ind w:left="474" w:right="466"/>
              <w:jc w:val="center"/>
              <w:rPr>
                <w:sz w:val="21"/>
              </w:rPr>
            </w:pPr>
            <w:r>
              <w:rPr>
                <w:sz w:val="21"/>
              </w:rPr>
              <w:t xml:space="preserve">排水量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/t</w:t>
            </w:r>
            <w:r>
              <w:rPr>
                <w:sz w:val="21"/>
              </w:rPr>
              <w:t>（活屠重）</w:t>
            </w:r>
          </w:p>
        </w:tc>
        <w:tc>
          <w:tcPr>
            <w:tcW w:w="5401" w:type="dxa"/>
            <w:gridSpan w:val="2"/>
          </w:tcPr>
          <w:p w14:paraId="07AFC51E">
            <w:pPr>
              <w:pStyle w:val="14"/>
              <w:spacing w:before="106"/>
              <w:ind w:left="2359" w:right="2349"/>
              <w:jc w:val="center"/>
              <w:rPr>
                <w:rFonts w:ascii="Times New Roman"/>
                <w:sz w:val="21"/>
              </w:rPr>
            </w:pPr>
            <w:r>
              <w:rPr>
                <w:rFonts w:ascii="Times New Roman"/>
                <w:sz w:val="21"/>
              </w:rPr>
              <w:t>6.5</w:t>
            </w:r>
          </w:p>
        </w:tc>
      </w:tr>
      <w:tr w14:paraId="7EFD9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21" w:type="dxa"/>
          </w:tcPr>
          <w:p w14:paraId="37D20519">
            <w:pPr>
              <w:pStyle w:val="14"/>
              <w:spacing w:before="92"/>
              <w:ind w:left="473" w:right="466"/>
              <w:jc w:val="center"/>
              <w:rPr>
                <w:rFonts w:ascii="Times New Roman" w:eastAsia="Times New Roman"/>
                <w:sz w:val="21"/>
              </w:rPr>
            </w:pPr>
            <w:r>
              <w:rPr>
                <w:sz w:val="21"/>
              </w:rPr>
              <w:t>油脂回收率</w:t>
            </w:r>
            <w:r>
              <w:rPr>
                <w:rFonts w:ascii="Times New Roman" w:eastAsia="Times New Roman"/>
                <w:sz w:val="21"/>
              </w:rPr>
              <w:t>%</w:t>
            </w:r>
          </w:p>
        </w:tc>
        <w:tc>
          <w:tcPr>
            <w:tcW w:w="5401" w:type="dxa"/>
            <w:gridSpan w:val="2"/>
          </w:tcPr>
          <w:p w14:paraId="1DD61060">
            <w:pPr>
              <w:pStyle w:val="14"/>
              <w:spacing w:before="106"/>
              <w:ind w:left="2359" w:right="2349"/>
              <w:jc w:val="center"/>
              <w:rPr>
                <w:rFonts w:ascii="Times New Roman"/>
                <w:sz w:val="21"/>
              </w:rPr>
            </w:pPr>
            <w:r>
              <w:rPr>
                <w:rFonts w:ascii="Times New Roman"/>
                <w:sz w:val="21"/>
              </w:rPr>
              <w:t>75</w:t>
            </w:r>
          </w:p>
        </w:tc>
      </w:tr>
      <w:tr w14:paraId="71F51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6A24288B">
            <w:pPr>
              <w:pStyle w:val="14"/>
              <w:spacing w:before="91"/>
              <w:ind w:left="473" w:right="466"/>
              <w:jc w:val="center"/>
              <w:rPr>
                <w:rFonts w:ascii="Times New Roman" w:eastAsia="Times New Roman"/>
                <w:sz w:val="21"/>
              </w:rPr>
            </w:pPr>
            <w:r>
              <w:rPr>
                <w:sz w:val="21"/>
              </w:rPr>
              <w:t>血液回收率</w:t>
            </w:r>
            <w:r>
              <w:rPr>
                <w:rFonts w:ascii="Times New Roman" w:eastAsia="Times New Roman"/>
                <w:sz w:val="21"/>
              </w:rPr>
              <w:t>%</w:t>
            </w:r>
          </w:p>
        </w:tc>
        <w:tc>
          <w:tcPr>
            <w:tcW w:w="5401" w:type="dxa"/>
            <w:gridSpan w:val="2"/>
          </w:tcPr>
          <w:p w14:paraId="216E9EDA">
            <w:pPr>
              <w:pStyle w:val="14"/>
              <w:spacing w:before="105"/>
              <w:ind w:left="2359" w:right="2349"/>
              <w:jc w:val="center"/>
              <w:rPr>
                <w:rFonts w:ascii="Times New Roman"/>
                <w:sz w:val="21"/>
              </w:rPr>
            </w:pPr>
            <w:r>
              <w:rPr>
                <w:rFonts w:ascii="Times New Roman"/>
                <w:sz w:val="21"/>
              </w:rPr>
              <w:t>60</w:t>
            </w:r>
          </w:p>
        </w:tc>
      </w:tr>
      <w:tr w14:paraId="79C6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21" w:type="dxa"/>
          </w:tcPr>
          <w:p w14:paraId="1A34927E">
            <w:pPr>
              <w:pStyle w:val="14"/>
              <w:spacing w:before="90"/>
              <w:ind w:left="474" w:right="465"/>
              <w:jc w:val="center"/>
              <w:rPr>
                <w:rFonts w:ascii="Times New Roman" w:eastAsia="Times New Roman"/>
                <w:sz w:val="21"/>
              </w:rPr>
            </w:pPr>
            <w:r>
              <w:rPr>
                <w:sz w:val="21"/>
              </w:rPr>
              <w:t>肠胃内容物回收率</w:t>
            </w:r>
            <w:r>
              <w:rPr>
                <w:rFonts w:ascii="Times New Roman" w:eastAsia="Times New Roman"/>
                <w:sz w:val="21"/>
              </w:rPr>
              <w:t>%</w:t>
            </w:r>
          </w:p>
        </w:tc>
        <w:tc>
          <w:tcPr>
            <w:tcW w:w="5401" w:type="dxa"/>
            <w:gridSpan w:val="2"/>
          </w:tcPr>
          <w:p w14:paraId="5543D043">
            <w:pPr>
              <w:pStyle w:val="14"/>
              <w:spacing w:before="106"/>
              <w:ind w:left="2359" w:right="2349"/>
              <w:jc w:val="center"/>
              <w:rPr>
                <w:rFonts w:ascii="Times New Roman"/>
                <w:sz w:val="21"/>
              </w:rPr>
            </w:pPr>
            <w:r>
              <w:rPr>
                <w:rFonts w:ascii="Times New Roman"/>
                <w:sz w:val="21"/>
              </w:rPr>
              <w:t>60</w:t>
            </w:r>
          </w:p>
        </w:tc>
      </w:tr>
      <w:tr w14:paraId="51366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121" w:type="dxa"/>
          </w:tcPr>
          <w:p w14:paraId="466E29D4">
            <w:pPr>
              <w:pStyle w:val="14"/>
              <w:spacing w:before="92"/>
              <w:ind w:left="473" w:right="466"/>
              <w:jc w:val="center"/>
              <w:rPr>
                <w:rFonts w:ascii="Times New Roman" w:eastAsia="Times New Roman"/>
                <w:sz w:val="21"/>
              </w:rPr>
            </w:pPr>
            <w:r>
              <w:rPr>
                <w:sz w:val="21"/>
              </w:rPr>
              <w:t>废水回收率</w:t>
            </w:r>
            <w:r>
              <w:rPr>
                <w:rFonts w:ascii="Times New Roman" w:eastAsia="Times New Roman"/>
                <w:sz w:val="21"/>
              </w:rPr>
              <w:t>%</w:t>
            </w:r>
          </w:p>
        </w:tc>
        <w:tc>
          <w:tcPr>
            <w:tcW w:w="5401" w:type="dxa"/>
            <w:gridSpan w:val="2"/>
          </w:tcPr>
          <w:p w14:paraId="66570012">
            <w:pPr>
              <w:pStyle w:val="14"/>
              <w:spacing w:before="106"/>
              <w:ind w:left="2359" w:right="2349"/>
              <w:jc w:val="center"/>
              <w:rPr>
                <w:rFonts w:ascii="Times New Roman"/>
                <w:sz w:val="21"/>
              </w:rPr>
            </w:pPr>
            <w:r>
              <w:rPr>
                <w:rFonts w:ascii="Times New Roman"/>
                <w:sz w:val="21"/>
              </w:rPr>
              <w:t>15</w:t>
            </w:r>
          </w:p>
        </w:tc>
      </w:tr>
    </w:tbl>
    <w:p w14:paraId="6D58A7FE">
      <w:pPr>
        <w:spacing w:before="0" w:after="4"/>
        <w:ind w:left="262" w:right="324" w:firstLine="0"/>
        <w:jc w:val="center"/>
        <w:rPr>
          <w:b/>
          <w:sz w:val="21"/>
        </w:rPr>
      </w:pPr>
      <w:r>
        <w:rPr>
          <w:b/>
          <w:sz w:val="21"/>
        </w:rPr>
        <w:t xml:space="preserve">表 </w:t>
      </w:r>
      <w:r>
        <w:rPr>
          <w:rFonts w:ascii="Times New Roman" w:eastAsia="Times New Roman"/>
          <w:b/>
          <w:sz w:val="21"/>
        </w:rPr>
        <w:t xml:space="preserve">2.4- 10  </w:t>
      </w:r>
      <w:r>
        <w:rPr>
          <w:b/>
          <w:sz w:val="21"/>
        </w:rPr>
        <w:t>本项目废水排放标准</w:t>
      </w:r>
    </w:p>
    <w:tbl>
      <w:tblPr>
        <w:tblStyle w:val="10"/>
        <w:tblW w:w="0" w:type="auto"/>
        <w:tblInd w:w="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708"/>
        <w:gridCol w:w="662"/>
        <w:gridCol w:w="767"/>
        <w:gridCol w:w="491"/>
        <w:gridCol w:w="596"/>
        <w:gridCol w:w="462"/>
        <w:gridCol w:w="503"/>
        <w:gridCol w:w="731"/>
        <w:gridCol w:w="2486"/>
      </w:tblGrid>
      <w:tr w14:paraId="31934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070" w:type="dxa"/>
          </w:tcPr>
          <w:p w14:paraId="1B66233A">
            <w:pPr>
              <w:pStyle w:val="14"/>
              <w:spacing w:before="161"/>
              <w:ind w:left="241"/>
              <w:rPr>
                <w:b/>
                <w:sz w:val="21"/>
              </w:rPr>
            </w:pPr>
            <w:r>
              <w:rPr>
                <w:b/>
                <w:sz w:val="21"/>
              </w:rPr>
              <w:t>污染物</w:t>
            </w:r>
          </w:p>
        </w:tc>
        <w:tc>
          <w:tcPr>
            <w:tcW w:w="708" w:type="dxa"/>
          </w:tcPr>
          <w:p w14:paraId="7CC8C086">
            <w:pPr>
              <w:pStyle w:val="14"/>
              <w:spacing w:before="175"/>
              <w:ind w:left="113" w:right="63"/>
              <w:jc w:val="center"/>
              <w:rPr>
                <w:rFonts w:ascii="Times New Roman"/>
                <w:b/>
                <w:sz w:val="21"/>
              </w:rPr>
            </w:pPr>
            <w:r>
              <w:rPr>
                <w:rFonts w:ascii="Times New Roman"/>
                <w:b/>
                <w:sz w:val="21"/>
              </w:rPr>
              <w:t>PH</w:t>
            </w:r>
          </w:p>
        </w:tc>
        <w:tc>
          <w:tcPr>
            <w:tcW w:w="662" w:type="dxa"/>
          </w:tcPr>
          <w:p w14:paraId="48332C88">
            <w:pPr>
              <w:pStyle w:val="14"/>
              <w:spacing w:before="175"/>
              <w:ind w:left="98" w:right="47"/>
              <w:jc w:val="center"/>
              <w:rPr>
                <w:rFonts w:ascii="Times New Roman"/>
                <w:b/>
                <w:sz w:val="21"/>
              </w:rPr>
            </w:pPr>
            <w:r>
              <w:rPr>
                <w:rFonts w:ascii="Times New Roman"/>
                <w:b/>
                <w:sz w:val="21"/>
              </w:rPr>
              <w:t>COD</w:t>
            </w:r>
          </w:p>
        </w:tc>
        <w:tc>
          <w:tcPr>
            <w:tcW w:w="767" w:type="dxa"/>
          </w:tcPr>
          <w:p w14:paraId="36900E90">
            <w:pPr>
              <w:pStyle w:val="14"/>
              <w:spacing w:before="174"/>
              <w:ind w:left="123" w:right="69"/>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491" w:type="dxa"/>
          </w:tcPr>
          <w:p w14:paraId="75561CA0">
            <w:pPr>
              <w:pStyle w:val="14"/>
              <w:spacing w:before="175"/>
              <w:ind w:right="98"/>
              <w:jc w:val="right"/>
              <w:rPr>
                <w:rFonts w:ascii="Times New Roman"/>
                <w:b/>
                <w:sz w:val="21"/>
              </w:rPr>
            </w:pPr>
            <w:r>
              <w:rPr>
                <w:rFonts w:ascii="Times New Roman"/>
                <w:b/>
                <w:w w:val="95"/>
                <w:sz w:val="21"/>
              </w:rPr>
              <w:t>SS</w:t>
            </w:r>
          </w:p>
        </w:tc>
        <w:tc>
          <w:tcPr>
            <w:tcW w:w="596" w:type="dxa"/>
          </w:tcPr>
          <w:p w14:paraId="14D81DE7">
            <w:pPr>
              <w:pStyle w:val="14"/>
              <w:spacing w:before="161"/>
              <w:ind w:left="88" w:right="35"/>
              <w:jc w:val="center"/>
              <w:rPr>
                <w:b/>
                <w:sz w:val="21"/>
              </w:rPr>
            </w:pPr>
            <w:r>
              <w:rPr>
                <w:b/>
                <w:sz w:val="21"/>
              </w:rPr>
              <w:t>氨氮</w:t>
            </w:r>
          </w:p>
        </w:tc>
        <w:tc>
          <w:tcPr>
            <w:tcW w:w="462" w:type="dxa"/>
          </w:tcPr>
          <w:p w14:paraId="64FD44B5">
            <w:pPr>
              <w:pStyle w:val="14"/>
              <w:spacing w:before="175"/>
              <w:ind w:left="85" w:right="35"/>
              <w:jc w:val="center"/>
              <w:rPr>
                <w:rFonts w:ascii="Times New Roman"/>
                <w:b/>
                <w:sz w:val="21"/>
              </w:rPr>
            </w:pPr>
            <w:r>
              <w:rPr>
                <w:rFonts w:ascii="Times New Roman"/>
                <w:b/>
                <w:sz w:val="21"/>
              </w:rPr>
              <w:t>TN</w:t>
            </w:r>
          </w:p>
        </w:tc>
        <w:tc>
          <w:tcPr>
            <w:tcW w:w="503" w:type="dxa"/>
          </w:tcPr>
          <w:p w14:paraId="70A27BBA">
            <w:pPr>
              <w:pStyle w:val="14"/>
              <w:spacing w:before="175"/>
              <w:ind w:left="117" w:right="66"/>
              <w:jc w:val="center"/>
              <w:rPr>
                <w:rFonts w:ascii="Times New Roman"/>
                <w:b/>
                <w:sz w:val="21"/>
              </w:rPr>
            </w:pPr>
            <w:r>
              <w:rPr>
                <w:rFonts w:ascii="Times New Roman"/>
                <w:b/>
                <w:sz w:val="21"/>
              </w:rPr>
              <w:t>TP</w:t>
            </w:r>
          </w:p>
        </w:tc>
        <w:tc>
          <w:tcPr>
            <w:tcW w:w="731" w:type="dxa"/>
          </w:tcPr>
          <w:p w14:paraId="1DF0C93E">
            <w:pPr>
              <w:pStyle w:val="14"/>
              <w:spacing w:before="25" w:line="270" w:lineRule="atLeast"/>
              <w:ind w:left="175" w:right="123"/>
              <w:rPr>
                <w:b/>
                <w:sz w:val="21"/>
              </w:rPr>
            </w:pPr>
            <w:r>
              <w:rPr>
                <w:b/>
                <w:sz w:val="21"/>
              </w:rPr>
              <w:t>动植物油</w:t>
            </w:r>
          </w:p>
        </w:tc>
        <w:tc>
          <w:tcPr>
            <w:tcW w:w="2486" w:type="dxa"/>
          </w:tcPr>
          <w:p w14:paraId="2B7DE695">
            <w:pPr>
              <w:pStyle w:val="14"/>
              <w:spacing w:before="161"/>
              <w:ind w:left="114" w:right="65"/>
              <w:jc w:val="center"/>
              <w:rPr>
                <w:b/>
                <w:sz w:val="21"/>
              </w:rPr>
            </w:pPr>
            <w:r>
              <w:rPr>
                <w:b/>
                <w:sz w:val="21"/>
              </w:rPr>
              <w:t>标准</w:t>
            </w:r>
          </w:p>
        </w:tc>
      </w:tr>
      <w:tr w14:paraId="2501C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070" w:type="dxa"/>
            <w:vMerge w:val="restart"/>
          </w:tcPr>
          <w:p w14:paraId="395E6D23">
            <w:pPr>
              <w:pStyle w:val="14"/>
              <w:rPr>
                <w:b/>
                <w:sz w:val="20"/>
              </w:rPr>
            </w:pPr>
          </w:p>
          <w:p w14:paraId="62ED1350">
            <w:pPr>
              <w:pStyle w:val="14"/>
              <w:spacing w:before="8"/>
              <w:rPr>
                <w:b/>
                <w:sz w:val="17"/>
              </w:rPr>
            </w:pPr>
          </w:p>
          <w:p w14:paraId="143CF20B">
            <w:pPr>
              <w:pStyle w:val="14"/>
              <w:spacing w:line="244" w:lineRule="auto"/>
              <w:ind w:left="135" w:right="79"/>
              <w:rPr>
                <w:b/>
                <w:sz w:val="21"/>
              </w:rPr>
            </w:pPr>
            <w:r>
              <w:rPr>
                <w:b/>
                <w:sz w:val="21"/>
              </w:rPr>
              <w:t>最高允许</w:t>
            </w:r>
            <w:r>
              <w:rPr>
                <w:b/>
                <w:w w:val="95"/>
                <w:sz w:val="21"/>
              </w:rPr>
              <w:t>排放浓度</w:t>
            </w:r>
          </w:p>
          <w:p w14:paraId="3683851F">
            <w:pPr>
              <w:pStyle w:val="14"/>
              <w:spacing w:line="265" w:lineRule="exact"/>
              <w:ind w:left="106"/>
              <w:rPr>
                <w:b/>
                <w:sz w:val="21"/>
              </w:rPr>
            </w:pPr>
            <w:r>
              <w:rPr>
                <w:b/>
                <w:sz w:val="21"/>
              </w:rPr>
              <w:t>（</w:t>
            </w:r>
            <w:r>
              <w:rPr>
                <w:rFonts w:ascii="Times New Roman" w:eastAsia="Times New Roman"/>
                <w:b/>
                <w:sz w:val="21"/>
              </w:rPr>
              <w:t>mg/L</w:t>
            </w:r>
            <w:r>
              <w:rPr>
                <w:b/>
                <w:sz w:val="21"/>
              </w:rPr>
              <w:t>）</w:t>
            </w:r>
          </w:p>
        </w:tc>
        <w:tc>
          <w:tcPr>
            <w:tcW w:w="708" w:type="dxa"/>
          </w:tcPr>
          <w:p w14:paraId="3667C1C5">
            <w:pPr>
              <w:pStyle w:val="14"/>
              <w:spacing w:before="177"/>
              <w:ind w:left="113" w:right="63"/>
              <w:jc w:val="center"/>
              <w:rPr>
                <w:rFonts w:ascii="Times New Roman"/>
                <w:sz w:val="21"/>
              </w:rPr>
            </w:pPr>
            <w:r>
              <w:rPr>
                <w:rFonts w:ascii="Times New Roman"/>
                <w:sz w:val="21"/>
              </w:rPr>
              <w:t>6~9</w:t>
            </w:r>
          </w:p>
        </w:tc>
        <w:tc>
          <w:tcPr>
            <w:tcW w:w="662" w:type="dxa"/>
          </w:tcPr>
          <w:p w14:paraId="55FAC5DA">
            <w:pPr>
              <w:pStyle w:val="14"/>
              <w:spacing w:before="177"/>
              <w:ind w:left="97" w:right="47"/>
              <w:jc w:val="center"/>
              <w:rPr>
                <w:rFonts w:ascii="Times New Roman"/>
                <w:sz w:val="21"/>
              </w:rPr>
            </w:pPr>
            <w:r>
              <w:rPr>
                <w:rFonts w:ascii="Times New Roman"/>
                <w:sz w:val="21"/>
              </w:rPr>
              <w:t>300</w:t>
            </w:r>
          </w:p>
        </w:tc>
        <w:tc>
          <w:tcPr>
            <w:tcW w:w="767" w:type="dxa"/>
          </w:tcPr>
          <w:p w14:paraId="72573BA0">
            <w:pPr>
              <w:pStyle w:val="14"/>
              <w:spacing w:before="177"/>
              <w:ind w:left="121" w:right="69"/>
              <w:jc w:val="center"/>
              <w:rPr>
                <w:rFonts w:ascii="Times New Roman"/>
                <w:sz w:val="21"/>
              </w:rPr>
            </w:pPr>
            <w:r>
              <w:rPr>
                <w:rFonts w:ascii="Times New Roman"/>
                <w:sz w:val="21"/>
              </w:rPr>
              <w:t>130</w:t>
            </w:r>
          </w:p>
        </w:tc>
        <w:tc>
          <w:tcPr>
            <w:tcW w:w="491" w:type="dxa"/>
          </w:tcPr>
          <w:p w14:paraId="60859944">
            <w:pPr>
              <w:pStyle w:val="14"/>
              <w:spacing w:before="177"/>
              <w:ind w:right="54"/>
              <w:jc w:val="right"/>
              <w:rPr>
                <w:rFonts w:ascii="Times New Roman"/>
                <w:sz w:val="21"/>
              </w:rPr>
            </w:pPr>
            <w:r>
              <w:rPr>
                <w:rFonts w:ascii="Times New Roman"/>
                <w:sz w:val="21"/>
              </w:rPr>
              <w:t>200</w:t>
            </w:r>
          </w:p>
        </w:tc>
        <w:tc>
          <w:tcPr>
            <w:tcW w:w="596" w:type="dxa"/>
          </w:tcPr>
          <w:p w14:paraId="672BF5ED">
            <w:pPr>
              <w:pStyle w:val="14"/>
              <w:spacing w:before="177"/>
              <w:ind w:left="88" w:right="34"/>
              <w:jc w:val="center"/>
              <w:rPr>
                <w:rFonts w:ascii="Times New Roman"/>
                <w:sz w:val="21"/>
              </w:rPr>
            </w:pPr>
            <w:r>
              <w:rPr>
                <w:rFonts w:ascii="Times New Roman"/>
                <w:sz w:val="21"/>
              </w:rPr>
              <w:t>35</w:t>
            </w:r>
          </w:p>
        </w:tc>
        <w:tc>
          <w:tcPr>
            <w:tcW w:w="462" w:type="dxa"/>
          </w:tcPr>
          <w:p w14:paraId="7C55852D">
            <w:pPr>
              <w:pStyle w:val="14"/>
              <w:spacing w:before="177"/>
              <w:ind w:left="85" w:right="33"/>
              <w:jc w:val="center"/>
              <w:rPr>
                <w:rFonts w:ascii="Times New Roman"/>
                <w:sz w:val="21"/>
              </w:rPr>
            </w:pPr>
            <w:r>
              <w:rPr>
                <w:rFonts w:ascii="Times New Roman"/>
                <w:sz w:val="21"/>
              </w:rPr>
              <w:t>40</w:t>
            </w:r>
          </w:p>
        </w:tc>
        <w:tc>
          <w:tcPr>
            <w:tcW w:w="503" w:type="dxa"/>
          </w:tcPr>
          <w:p w14:paraId="244792BC">
            <w:pPr>
              <w:pStyle w:val="14"/>
              <w:spacing w:before="177"/>
              <w:ind w:left="117" w:right="65"/>
              <w:jc w:val="center"/>
              <w:rPr>
                <w:rFonts w:ascii="Times New Roman"/>
                <w:sz w:val="21"/>
              </w:rPr>
            </w:pPr>
            <w:r>
              <w:rPr>
                <w:rFonts w:ascii="Times New Roman"/>
                <w:sz w:val="21"/>
              </w:rPr>
              <w:t>4.0</w:t>
            </w:r>
          </w:p>
        </w:tc>
        <w:tc>
          <w:tcPr>
            <w:tcW w:w="731" w:type="dxa"/>
          </w:tcPr>
          <w:p w14:paraId="36D13898">
            <w:pPr>
              <w:pStyle w:val="14"/>
              <w:spacing w:before="177"/>
              <w:ind w:left="53"/>
              <w:jc w:val="center"/>
              <w:rPr>
                <w:rFonts w:ascii="Times New Roman"/>
                <w:sz w:val="21"/>
              </w:rPr>
            </w:pPr>
            <w:r>
              <w:rPr>
                <w:rFonts w:ascii="Times New Roman"/>
                <w:w w:val="99"/>
                <w:sz w:val="21"/>
              </w:rPr>
              <w:t>/</w:t>
            </w:r>
          </w:p>
        </w:tc>
        <w:tc>
          <w:tcPr>
            <w:tcW w:w="2486" w:type="dxa"/>
          </w:tcPr>
          <w:p w14:paraId="75A14764">
            <w:pPr>
              <w:pStyle w:val="14"/>
              <w:spacing w:before="25" w:line="270" w:lineRule="atLeast"/>
              <w:ind w:left="949" w:right="55" w:hanging="840"/>
              <w:rPr>
                <w:sz w:val="21"/>
              </w:rPr>
            </w:pPr>
            <w:r>
              <w:rPr>
                <w:w w:val="95"/>
                <w:sz w:val="21"/>
              </w:rPr>
              <w:t>岳阳县污水处理厂进水水</w:t>
            </w:r>
            <w:r>
              <w:rPr>
                <w:sz w:val="21"/>
              </w:rPr>
              <w:t>质要求</w:t>
            </w:r>
          </w:p>
        </w:tc>
      </w:tr>
      <w:tr w14:paraId="039AA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070" w:type="dxa"/>
            <w:vMerge w:val="continue"/>
            <w:tcBorders>
              <w:top w:val="nil"/>
            </w:tcBorders>
          </w:tcPr>
          <w:p w14:paraId="5177C726">
            <w:pPr>
              <w:rPr>
                <w:sz w:val="2"/>
                <w:szCs w:val="2"/>
              </w:rPr>
            </w:pPr>
          </w:p>
        </w:tc>
        <w:tc>
          <w:tcPr>
            <w:tcW w:w="708" w:type="dxa"/>
          </w:tcPr>
          <w:p w14:paraId="61E3E143">
            <w:pPr>
              <w:pStyle w:val="14"/>
              <w:spacing w:before="12"/>
              <w:rPr>
                <w:b/>
                <w:sz w:val="22"/>
              </w:rPr>
            </w:pPr>
          </w:p>
          <w:p w14:paraId="448C1833">
            <w:pPr>
              <w:pStyle w:val="14"/>
              <w:ind w:left="113" w:right="63"/>
              <w:jc w:val="center"/>
              <w:rPr>
                <w:rFonts w:ascii="Times New Roman"/>
                <w:sz w:val="21"/>
              </w:rPr>
            </w:pPr>
            <w:r>
              <w:rPr>
                <w:rFonts w:ascii="Times New Roman"/>
                <w:sz w:val="21"/>
              </w:rPr>
              <w:t>6~8.5</w:t>
            </w:r>
          </w:p>
        </w:tc>
        <w:tc>
          <w:tcPr>
            <w:tcW w:w="662" w:type="dxa"/>
          </w:tcPr>
          <w:p w14:paraId="0BF376D6">
            <w:pPr>
              <w:pStyle w:val="14"/>
              <w:spacing w:before="12"/>
              <w:rPr>
                <w:b/>
                <w:sz w:val="22"/>
              </w:rPr>
            </w:pPr>
          </w:p>
          <w:p w14:paraId="6823A289">
            <w:pPr>
              <w:pStyle w:val="14"/>
              <w:ind w:left="97" w:right="47"/>
              <w:jc w:val="center"/>
              <w:rPr>
                <w:rFonts w:ascii="Times New Roman"/>
                <w:sz w:val="21"/>
              </w:rPr>
            </w:pPr>
            <w:r>
              <w:rPr>
                <w:rFonts w:ascii="Times New Roman"/>
                <w:sz w:val="21"/>
              </w:rPr>
              <w:t>500</w:t>
            </w:r>
          </w:p>
        </w:tc>
        <w:tc>
          <w:tcPr>
            <w:tcW w:w="767" w:type="dxa"/>
          </w:tcPr>
          <w:p w14:paraId="4643AB75">
            <w:pPr>
              <w:pStyle w:val="14"/>
              <w:spacing w:before="12"/>
              <w:rPr>
                <w:b/>
                <w:sz w:val="22"/>
              </w:rPr>
            </w:pPr>
          </w:p>
          <w:p w14:paraId="17281BEB">
            <w:pPr>
              <w:pStyle w:val="14"/>
              <w:ind w:left="121" w:right="69"/>
              <w:jc w:val="center"/>
              <w:rPr>
                <w:rFonts w:ascii="Times New Roman"/>
                <w:sz w:val="21"/>
              </w:rPr>
            </w:pPr>
            <w:r>
              <w:rPr>
                <w:rFonts w:ascii="Times New Roman"/>
                <w:sz w:val="21"/>
              </w:rPr>
              <w:t>300</w:t>
            </w:r>
          </w:p>
        </w:tc>
        <w:tc>
          <w:tcPr>
            <w:tcW w:w="491" w:type="dxa"/>
          </w:tcPr>
          <w:p w14:paraId="2FFA5C8B">
            <w:pPr>
              <w:pStyle w:val="14"/>
              <w:spacing w:before="12"/>
              <w:rPr>
                <w:b/>
                <w:sz w:val="22"/>
              </w:rPr>
            </w:pPr>
          </w:p>
          <w:p w14:paraId="10376482">
            <w:pPr>
              <w:pStyle w:val="14"/>
              <w:ind w:right="54"/>
              <w:jc w:val="right"/>
              <w:rPr>
                <w:rFonts w:ascii="Times New Roman"/>
                <w:sz w:val="21"/>
              </w:rPr>
            </w:pPr>
            <w:r>
              <w:rPr>
                <w:rFonts w:ascii="Times New Roman"/>
                <w:sz w:val="21"/>
              </w:rPr>
              <w:t>400</w:t>
            </w:r>
          </w:p>
        </w:tc>
        <w:tc>
          <w:tcPr>
            <w:tcW w:w="596" w:type="dxa"/>
          </w:tcPr>
          <w:p w14:paraId="47D064BA">
            <w:pPr>
              <w:pStyle w:val="14"/>
              <w:spacing w:before="12"/>
              <w:rPr>
                <w:b/>
                <w:sz w:val="22"/>
              </w:rPr>
            </w:pPr>
          </w:p>
          <w:p w14:paraId="21F277D2">
            <w:pPr>
              <w:pStyle w:val="14"/>
              <w:ind w:left="51"/>
              <w:jc w:val="center"/>
              <w:rPr>
                <w:rFonts w:ascii="Times New Roman"/>
                <w:sz w:val="21"/>
              </w:rPr>
            </w:pPr>
            <w:r>
              <w:rPr>
                <w:rFonts w:ascii="Times New Roman"/>
                <w:w w:val="99"/>
                <w:sz w:val="21"/>
              </w:rPr>
              <w:t>/</w:t>
            </w:r>
          </w:p>
        </w:tc>
        <w:tc>
          <w:tcPr>
            <w:tcW w:w="462" w:type="dxa"/>
          </w:tcPr>
          <w:p w14:paraId="443CA70D">
            <w:pPr>
              <w:pStyle w:val="14"/>
              <w:spacing w:before="12"/>
              <w:rPr>
                <w:b/>
                <w:sz w:val="22"/>
              </w:rPr>
            </w:pPr>
          </w:p>
          <w:p w14:paraId="360661B2">
            <w:pPr>
              <w:pStyle w:val="14"/>
              <w:ind w:left="54"/>
              <w:jc w:val="center"/>
              <w:rPr>
                <w:rFonts w:ascii="Times New Roman"/>
                <w:sz w:val="21"/>
              </w:rPr>
            </w:pPr>
            <w:r>
              <w:rPr>
                <w:rFonts w:ascii="Times New Roman"/>
                <w:w w:val="99"/>
                <w:sz w:val="21"/>
              </w:rPr>
              <w:t>/</w:t>
            </w:r>
          </w:p>
        </w:tc>
        <w:tc>
          <w:tcPr>
            <w:tcW w:w="503" w:type="dxa"/>
          </w:tcPr>
          <w:p w14:paraId="692B9AF0">
            <w:pPr>
              <w:pStyle w:val="14"/>
              <w:spacing w:before="12"/>
              <w:rPr>
                <w:b/>
                <w:sz w:val="22"/>
              </w:rPr>
            </w:pPr>
          </w:p>
          <w:p w14:paraId="4124602D">
            <w:pPr>
              <w:pStyle w:val="14"/>
              <w:ind w:left="53"/>
              <w:jc w:val="center"/>
              <w:rPr>
                <w:rFonts w:ascii="Times New Roman"/>
                <w:sz w:val="21"/>
              </w:rPr>
            </w:pPr>
            <w:r>
              <w:rPr>
                <w:rFonts w:ascii="Times New Roman"/>
                <w:w w:val="99"/>
                <w:sz w:val="21"/>
              </w:rPr>
              <w:t>/</w:t>
            </w:r>
          </w:p>
        </w:tc>
        <w:tc>
          <w:tcPr>
            <w:tcW w:w="731" w:type="dxa"/>
          </w:tcPr>
          <w:p w14:paraId="71A72F3E">
            <w:pPr>
              <w:pStyle w:val="14"/>
              <w:spacing w:before="12"/>
              <w:rPr>
                <w:b/>
                <w:sz w:val="22"/>
              </w:rPr>
            </w:pPr>
          </w:p>
          <w:p w14:paraId="7B21E1FE">
            <w:pPr>
              <w:pStyle w:val="14"/>
              <w:ind w:left="105" w:right="54"/>
              <w:jc w:val="center"/>
              <w:rPr>
                <w:rFonts w:ascii="Times New Roman"/>
                <w:sz w:val="21"/>
              </w:rPr>
            </w:pPr>
            <w:r>
              <w:rPr>
                <w:rFonts w:ascii="Times New Roman"/>
                <w:sz w:val="21"/>
              </w:rPr>
              <w:t>60</w:t>
            </w:r>
          </w:p>
        </w:tc>
        <w:tc>
          <w:tcPr>
            <w:tcW w:w="2486" w:type="dxa"/>
          </w:tcPr>
          <w:p w14:paraId="135AC211">
            <w:pPr>
              <w:pStyle w:val="14"/>
              <w:spacing w:before="143"/>
              <w:ind w:left="119" w:right="65"/>
              <w:jc w:val="center"/>
              <w:rPr>
                <w:sz w:val="21"/>
              </w:rPr>
            </w:pPr>
            <w:r>
              <w:rPr>
                <w:rFonts w:ascii="Times New Roman" w:eastAsia="Times New Roman"/>
                <w:sz w:val="21"/>
              </w:rPr>
              <w:t xml:space="preserve">GB13457-92 </w:t>
            </w:r>
            <w:r>
              <w:rPr>
                <w:sz w:val="21"/>
              </w:rPr>
              <w:t xml:space="preserve">表 </w:t>
            </w:r>
            <w:r>
              <w:rPr>
                <w:rFonts w:ascii="Times New Roman" w:eastAsia="Times New Roman"/>
                <w:sz w:val="21"/>
              </w:rPr>
              <w:t xml:space="preserve">3 </w:t>
            </w:r>
            <w:r>
              <w:rPr>
                <w:sz w:val="21"/>
              </w:rPr>
              <w:t>中畜类</w:t>
            </w:r>
          </w:p>
          <w:p w14:paraId="16E30833">
            <w:pPr>
              <w:pStyle w:val="14"/>
              <w:spacing w:before="2"/>
              <w:ind w:left="114" w:right="65"/>
              <w:jc w:val="center"/>
              <w:rPr>
                <w:sz w:val="21"/>
              </w:rPr>
            </w:pPr>
            <w:r>
              <w:rPr>
                <w:sz w:val="21"/>
              </w:rPr>
              <w:t>屠宰加工三级标准</w:t>
            </w:r>
          </w:p>
        </w:tc>
      </w:tr>
      <w:tr w14:paraId="46C60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070" w:type="dxa"/>
            <w:vMerge w:val="continue"/>
            <w:tcBorders>
              <w:top w:val="nil"/>
            </w:tcBorders>
          </w:tcPr>
          <w:p w14:paraId="0839ABC5">
            <w:pPr>
              <w:rPr>
                <w:sz w:val="2"/>
                <w:szCs w:val="2"/>
              </w:rPr>
            </w:pPr>
          </w:p>
        </w:tc>
        <w:tc>
          <w:tcPr>
            <w:tcW w:w="708" w:type="dxa"/>
          </w:tcPr>
          <w:p w14:paraId="5F4CAC67">
            <w:pPr>
              <w:pStyle w:val="14"/>
              <w:spacing w:before="50"/>
              <w:ind w:left="113" w:right="63"/>
              <w:jc w:val="center"/>
              <w:rPr>
                <w:rFonts w:ascii="Times New Roman"/>
                <w:b/>
                <w:sz w:val="21"/>
              </w:rPr>
            </w:pPr>
            <w:r>
              <w:rPr>
                <w:rFonts w:ascii="Times New Roman"/>
                <w:b/>
                <w:sz w:val="21"/>
              </w:rPr>
              <w:t>6~8.5</w:t>
            </w:r>
          </w:p>
        </w:tc>
        <w:tc>
          <w:tcPr>
            <w:tcW w:w="662" w:type="dxa"/>
          </w:tcPr>
          <w:p w14:paraId="53F6252A">
            <w:pPr>
              <w:pStyle w:val="14"/>
              <w:spacing w:before="50"/>
              <w:ind w:left="97" w:right="47"/>
              <w:jc w:val="center"/>
              <w:rPr>
                <w:rFonts w:ascii="Times New Roman"/>
                <w:b/>
                <w:sz w:val="21"/>
              </w:rPr>
            </w:pPr>
            <w:r>
              <w:rPr>
                <w:rFonts w:ascii="Times New Roman"/>
                <w:b/>
                <w:sz w:val="21"/>
              </w:rPr>
              <w:t>300</w:t>
            </w:r>
          </w:p>
        </w:tc>
        <w:tc>
          <w:tcPr>
            <w:tcW w:w="767" w:type="dxa"/>
          </w:tcPr>
          <w:p w14:paraId="0F1B165D">
            <w:pPr>
              <w:pStyle w:val="14"/>
              <w:spacing w:before="50"/>
              <w:ind w:left="121" w:right="69"/>
              <w:jc w:val="center"/>
              <w:rPr>
                <w:rFonts w:ascii="Times New Roman"/>
                <w:b/>
                <w:sz w:val="21"/>
              </w:rPr>
            </w:pPr>
            <w:r>
              <w:rPr>
                <w:rFonts w:ascii="Times New Roman"/>
                <w:b/>
                <w:sz w:val="21"/>
              </w:rPr>
              <w:t>130</w:t>
            </w:r>
          </w:p>
        </w:tc>
        <w:tc>
          <w:tcPr>
            <w:tcW w:w="491" w:type="dxa"/>
          </w:tcPr>
          <w:p w14:paraId="4F2CFF34">
            <w:pPr>
              <w:pStyle w:val="14"/>
              <w:spacing w:before="50"/>
              <w:ind w:right="54"/>
              <w:jc w:val="right"/>
              <w:rPr>
                <w:rFonts w:ascii="Times New Roman"/>
                <w:b/>
                <w:sz w:val="21"/>
              </w:rPr>
            </w:pPr>
            <w:r>
              <w:rPr>
                <w:rFonts w:ascii="Times New Roman"/>
                <w:b/>
                <w:sz w:val="21"/>
              </w:rPr>
              <w:t>200</w:t>
            </w:r>
          </w:p>
        </w:tc>
        <w:tc>
          <w:tcPr>
            <w:tcW w:w="596" w:type="dxa"/>
          </w:tcPr>
          <w:p w14:paraId="69DA09D2">
            <w:pPr>
              <w:pStyle w:val="14"/>
              <w:spacing w:before="50"/>
              <w:ind w:left="88" w:right="34"/>
              <w:jc w:val="center"/>
              <w:rPr>
                <w:rFonts w:ascii="Times New Roman"/>
                <w:b/>
                <w:sz w:val="21"/>
              </w:rPr>
            </w:pPr>
            <w:r>
              <w:rPr>
                <w:rFonts w:ascii="Times New Roman"/>
                <w:b/>
                <w:sz w:val="21"/>
              </w:rPr>
              <w:t>35</w:t>
            </w:r>
          </w:p>
        </w:tc>
        <w:tc>
          <w:tcPr>
            <w:tcW w:w="462" w:type="dxa"/>
          </w:tcPr>
          <w:p w14:paraId="1F51169D">
            <w:pPr>
              <w:pStyle w:val="14"/>
              <w:spacing w:before="50"/>
              <w:ind w:left="85" w:right="33"/>
              <w:jc w:val="center"/>
              <w:rPr>
                <w:rFonts w:ascii="Times New Roman"/>
                <w:b/>
                <w:sz w:val="21"/>
              </w:rPr>
            </w:pPr>
            <w:r>
              <w:rPr>
                <w:rFonts w:ascii="Times New Roman"/>
                <w:b/>
                <w:sz w:val="21"/>
              </w:rPr>
              <w:t>40</w:t>
            </w:r>
          </w:p>
        </w:tc>
        <w:tc>
          <w:tcPr>
            <w:tcW w:w="503" w:type="dxa"/>
          </w:tcPr>
          <w:p w14:paraId="24A556C5">
            <w:pPr>
              <w:pStyle w:val="14"/>
              <w:spacing w:before="50"/>
              <w:ind w:left="117" w:right="65"/>
              <w:jc w:val="center"/>
              <w:rPr>
                <w:rFonts w:ascii="Times New Roman"/>
                <w:b/>
                <w:sz w:val="21"/>
              </w:rPr>
            </w:pPr>
            <w:r>
              <w:rPr>
                <w:rFonts w:ascii="Times New Roman"/>
                <w:b/>
                <w:sz w:val="21"/>
              </w:rPr>
              <w:t>4.0</w:t>
            </w:r>
          </w:p>
        </w:tc>
        <w:tc>
          <w:tcPr>
            <w:tcW w:w="731" w:type="dxa"/>
          </w:tcPr>
          <w:p w14:paraId="4E1E57AA">
            <w:pPr>
              <w:pStyle w:val="14"/>
              <w:spacing w:before="50"/>
              <w:ind w:left="105" w:right="54"/>
              <w:jc w:val="center"/>
              <w:rPr>
                <w:rFonts w:ascii="Times New Roman"/>
                <w:b/>
                <w:sz w:val="21"/>
              </w:rPr>
            </w:pPr>
            <w:r>
              <w:rPr>
                <w:rFonts w:ascii="Times New Roman"/>
                <w:b/>
                <w:sz w:val="21"/>
              </w:rPr>
              <w:t>60</w:t>
            </w:r>
          </w:p>
        </w:tc>
        <w:tc>
          <w:tcPr>
            <w:tcW w:w="2486" w:type="dxa"/>
          </w:tcPr>
          <w:p w14:paraId="5B6463FD">
            <w:pPr>
              <w:pStyle w:val="14"/>
              <w:spacing w:before="37"/>
              <w:ind w:left="117" w:right="65"/>
              <w:jc w:val="center"/>
              <w:rPr>
                <w:b/>
                <w:sz w:val="21"/>
              </w:rPr>
            </w:pPr>
            <w:r>
              <w:rPr>
                <w:b/>
                <w:sz w:val="21"/>
              </w:rPr>
              <w:t>本项目废水排放标准</w:t>
            </w:r>
          </w:p>
        </w:tc>
      </w:tr>
    </w:tbl>
    <w:p w14:paraId="0CC38E2D">
      <w:pPr>
        <w:pStyle w:val="7"/>
        <w:spacing w:before="1"/>
        <w:ind w:left="760"/>
      </w:pPr>
      <w:r>
        <w:rPr>
          <w:rFonts w:ascii="Times New Roman" w:eastAsia="Times New Roman"/>
        </w:rPr>
        <w:t>3</w:t>
      </w:r>
      <w:r>
        <w:t>、噪声排放标准</w:t>
      </w:r>
    </w:p>
    <w:p w14:paraId="3D8B6E68">
      <w:pPr>
        <w:pStyle w:val="7"/>
        <w:spacing w:before="158"/>
        <w:ind w:left="760"/>
      </w:pPr>
      <w:r>
        <w:t>施工期执行《建筑施工场界环境噪声排放标准》（</w:t>
      </w:r>
      <w:r>
        <w:rPr>
          <w:rFonts w:ascii="Times New Roman" w:eastAsia="Times New Roman"/>
        </w:rPr>
        <w:t>GB12523-2011</w:t>
      </w:r>
      <w:r>
        <w:t>）；</w:t>
      </w:r>
    </w:p>
    <w:p w14:paraId="35F1C715">
      <w:pPr>
        <w:pStyle w:val="7"/>
        <w:spacing w:before="161"/>
        <w:ind w:left="760"/>
      </w:pPr>
      <w:r>
        <w:t>营运期执行《工业企业厂界环境噪声排放标准》（</w:t>
      </w:r>
      <w:r>
        <w:rPr>
          <w:rFonts w:ascii="Times New Roman" w:eastAsia="Times New Roman"/>
        </w:rPr>
        <w:t>GB 12348-2008</w:t>
      </w:r>
      <w:r>
        <w:t xml:space="preserve">）中 </w:t>
      </w:r>
      <w:r>
        <w:rPr>
          <w:rFonts w:ascii="Times New Roman" w:eastAsia="Times New Roman"/>
        </w:rPr>
        <w:t xml:space="preserve">2 </w:t>
      </w:r>
      <w:r>
        <w:t>类</w:t>
      </w:r>
    </w:p>
    <w:p w14:paraId="05EF4E96">
      <w:pPr>
        <w:spacing w:after="0"/>
        <w:sectPr>
          <w:pgSz w:w="11910" w:h="16840"/>
          <w:pgMar w:top="1360" w:right="1460" w:bottom="1400" w:left="1520" w:header="878" w:footer="1204" w:gutter="0"/>
          <w:cols w:space="720" w:num="1"/>
        </w:sectPr>
      </w:pPr>
    </w:p>
    <w:p w14:paraId="4AB24D92">
      <w:pPr>
        <w:pStyle w:val="7"/>
        <w:spacing w:before="68"/>
        <w:ind w:left="280"/>
      </w:pPr>
      <w:r>
        <w:t>标准。</w:t>
      </w:r>
    </w:p>
    <w:p w14:paraId="4BBE0CC4">
      <w:pPr>
        <w:spacing w:before="159" w:after="3"/>
        <w:ind w:left="1652" w:right="0" w:firstLine="0"/>
        <w:jc w:val="left"/>
        <w:rPr>
          <w:rFonts w:ascii="Times New Roman" w:eastAsia="Times New Roman"/>
          <w:b/>
          <w:sz w:val="21"/>
        </w:rPr>
      </w:pPr>
      <w:r>
        <w:rPr>
          <w:b/>
          <w:sz w:val="21"/>
        </w:rPr>
        <w:t xml:space="preserve">表 </w:t>
      </w:r>
      <w:r>
        <w:rPr>
          <w:rFonts w:ascii="Times New Roman" w:eastAsia="Times New Roman"/>
          <w:b/>
          <w:sz w:val="21"/>
        </w:rPr>
        <w:t xml:space="preserve">2.4-11 </w:t>
      </w:r>
      <w:r>
        <w:rPr>
          <w:b/>
          <w:sz w:val="21"/>
        </w:rPr>
        <w:t>项目厂界（场界）环境噪声排放限值 单位：</w:t>
      </w:r>
      <w:r>
        <w:rPr>
          <w:rFonts w:ascii="Times New Roman" w:eastAsia="Times New Roman"/>
          <w:b/>
          <w:sz w:val="21"/>
        </w:rPr>
        <w:t>dB(A)</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60"/>
        <w:gridCol w:w="3450"/>
        <w:gridCol w:w="1156"/>
        <w:gridCol w:w="1156"/>
      </w:tblGrid>
      <w:tr w14:paraId="62FB8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60" w:type="dxa"/>
            <w:vMerge w:val="restart"/>
          </w:tcPr>
          <w:p w14:paraId="1437E22C">
            <w:pPr>
              <w:pStyle w:val="14"/>
              <w:spacing w:before="1"/>
              <w:rPr>
                <w:rFonts w:ascii="Times New Roman"/>
                <w:b/>
                <w:sz w:val="28"/>
              </w:rPr>
            </w:pPr>
          </w:p>
          <w:p w14:paraId="38C2A527">
            <w:pPr>
              <w:pStyle w:val="14"/>
              <w:spacing w:before="1"/>
              <w:ind w:left="703" w:right="696"/>
              <w:jc w:val="center"/>
              <w:rPr>
                <w:b/>
                <w:sz w:val="21"/>
              </w:rPr>
            </w:pPr>
            <w:r>
              <w:rPr>
                <w:b/>
                <w:sz w:val="21"/>
              </w:rPr>
              <w:t>执行标准</w:t>
            </w:r>
          </w:p>
        </w:tc>
        <w:tc>
          <w:tcPr>
            <w:tcW w:w="3450" w:type="dxa"/>
            <w:vMerge w:val="restart"/>
          </w:tcPr>
          <w:p w14:paraId="6F0F470A">
            <w:pPr>
              <w:pStyle w:val="14"/>
              <w:spacing w:before="1"/>
              <w:rPr>
                <w:rFonts w:ascii="Times New Roman"/>
                <w:b/>
                <w:sz w:val="28"/>
              </w:rPr>
            </w:pPr>
          </w:p>
          <w:p w14:paraId="0ED2CCAC">
            <w:pPr>
              <w:pStyle w:val="14"/>
              <w:spacing w:before="1"/>
              <w:ind w:left="880"/>
              <w:rPr>
                <w:b/>
                <w:sz w:val="21"/>
              </w:rPr>
            </w:pPr>
            <w:r>
              <w:rPr>
                <w:b/>
                <w:sz w:val="21"/>
              </w:rPr>
              <w:t>声环境功能区类别</w:t>
            </w:r>
          </w:p>
        </w:tc>
        <w:tc>
          <w:tcPr>
            <w:tcW w:w="2312" w:type="dxa"/>
            <w:gridSpan w:val="2"/>
          </w:tcPr>
          <w:p w14:paraId="59D48B5B">
            <w:pPr>
              <w:pStyle w:val="14"/>
              <w:spacing w:before="91"/>
              <w:ind w:left="287" w:right="281"/>
              <w:jc w:val="center"/>
              <w:rPr>
                <w:b/>
                <w:sz w:val="21"/>
              </w:rPr>
            </w:pPr>
            <w:r>
              <w:rPr>
                <w:b/>
                <w:sz w:val="21"/>
              </w:rPr>
              <w:t>时段</w:t>
            </w:r>
          </w:p>
        </w:tc>
      </w:tr>
      <w:tr w14:paraId="5241E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60" w:type="dxa"/>
            <w:vMerge w:val="continue"/>
            <w:tcBorders>
              <w:top w:val="nil"/>
            </w:tcBorders>
          </w:tcPr>
          <w:p w14:paraId="51F6DFE5">
            <w:pPr>
              <w:rPr>
                <w:sz w:val="2"/>
                <w:szCs w:val="2"/>
              </w:rPr>
            </w:pPr>
          </w:p>
        </w:tc>
        <w:tc>
          <w:tcPr>
            <w:tcW w:w="3450" w:type="dxa"/>
            <w:vMerge w:val="continue"/>
            <w:tcBorders>
              <w:top w:val="nil"/>
            </w:tcBorders>
          </w:tcPr>
          <w:p w14:paraId="40843D3A">
            <w:pPr>
              <w:rPr>
                <w:sz w:val="2"/>
                <w:szCs w:val="2"/>
              </w:rPr>
            </w:pPr>
          </w:p>
        </w:tc>
        <w:tc>
          <w:tcPr>
            <w:tcW w:w="1156" w:type="dxa"/>
          </w:tcPr>
          <w:p w14:paraId="6F6C2E8A">
            <w:pPr>
              <w:pStyle w:val="14"/>
              <w:spacing w:before="90"/>
              <w:ind w:left="107" w:right="102"/>
              <w:jc w:val="center"/>
              <w:rPr>
                <w:b/>
                <w:sz w:val="21"/>
              </w:rPr>
            </w:pPr>
            <w:r>
              <w:rPr>
                <w:b/>
                <w:sz w:val="21"/>
              </w:rPr>
              <w:t>昼间</w:t>
            </w:r>
          </w:p>
        </w:tc>
        <w:tc>
          <w:tcPr>
            <w:tcW w:w="1156" w:type="dxa"/>
          </w:tcPr>
          <w:p w14:paraId="2D883DA7">
            <w:pPr>
              <w:pStyle w:val="14"/>
              <w:spacing w:before="90"/>
              <w:ind w:left="109" w:right="102"/>
              <w:jc w:val="center"/>
              <w:rPr>
                <w:b/>
                <w:sz w:val="21"/>
              </w:rPr>
            </w:pPr>
            <w:r>
              <w:rPr>
                <w:b/>
                <w:sz w:val="21"/>
              </w:rPr>
              <w:t>夜间</w:t>
            </w:r>
          </w:p>
        </w:tc>
      </w:tr>
      <w:tr w14:paraId="23C44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60" w:type="dxa"/>
          </w:tcPr>
          <w:p w14:paraId="382F5060">
            <w:pPr>
              <w:pStyle w:val="14"/>
              <w:spacing w:before="105"/>
              <w:ind w:left="704" w:right="694"/>
              <w:jc w:val="center"/>
              <w:rPr>
                <w:rFonts w:ascii="Times New Roman"/>
                <w:sz w:val="21"/>
              </w:rPr>
            </w:pPr>
            <w:r>
              <w:rPr>
                <w:rFonts w:ascii="Times New Roman"/>
                <w:sz w:val="21"/>
              </w:rPr>
              <w:t>GB12523-2011</w:t>
            </w:r>
          </w:p>
        </w:tc>
        <w:tc>
          <w:tcPr>
            <w:tcW w:w="3450" w:type="dxa"/>
          </w:tcPr>
          <w:p w14:paraId="7197AF02">
            <w:pPr>
              <w:pStyle w:val="14"/>
              <w:spacing w:before="105"/>
              <w:ind w:left="11"/>
              <w:jc w:val="center"/>
              <w:rPr>
                <w:rFonts w:ascii="Times New Roman"/>
                <w:sz w:val="21"/>
              </w:rPr>
            </w:pPr>
            <w:r>
              <w:rPr>
                <w:rFonts w:ascii="Times New Roman"/>
                <w:w w:val="99"/>
                <w:sz w:val="21"/>
              </w:rPr>
              <w:t>/</w:t>
            </w:r>
          </w:p>
        </w:tc>
        <w:tc>
          <w:tcPr>
            <w:tcW w:w="1156" w:type="dxa"/>
          </w:tcPr>
          <w:p w14:paraId="779911AC">
            <w:pPr>
              <w:pStyle w:val="14"/>
              <w:spacing w:before="105"/>
              <w:ind w:left="110" w:right="99"/>
              <w:jc w:val="center"/>
              <w:rPr>
                <w:rFonts w:ascii="Times New Roman"/>
                <w:sz w:val="21"/>
              </w:rPr>
            </w:pPr>
            <w:r>
              <w:rPr>
                <w:rFonts w:ascii="Times New Roman"/>
                <w:sz w:val="21"/>
              </w:rPr>
              <w:t>70</w:t>
            </w:r>
          </w:p>
        </w:tc>
        <w:tc>
          <w:tcPr>
            <w:tcW w:w="1156" w:type="dxa"/>
          </w:tcPr>
          <w:p w14:paraId="670A6384">
            <w:pPr>
              <w:pStyle w:val="14"/>
              <w:spacing w:before="105"/>
              <w:ind w:left="110" w:right="102"/>
              <w:jc w:val="center"/>
              <w:rPr>
                <w:rFonts w:ascii="Times New Roman"/>
                <w:sz w:val="21"/>
              </w:rPr>
            </w:pPr>
            <w:r>
              <w:rPr>
                <w:rFonts w:ascii="Times New Roman"/>
                <w:sz w:val="21"/>
              </w:rPr>
              <w:t>55</w:t>
            </w:r>
          </w:p>
        </w:tc>
      </w:tr>
      <w:tr w14:paraId="787CF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60" w:type="dxa"/>
          </w:tcPr>
          <w:p w14:paraId="428E311A">
            <w:pPr>
              <w:pStyle w:val="14"/>
              <w:spacing w:before="105"/>
              <w:ind w:left="702" w:right="696"/>
              <w:jc w:val="center"/>
              <w:rPr>
                <w:rFonts w:ascii="Times New Roman"/>
                <w:sz w:val="21"/>
              </w:rPr>
            </w:pPr>
            <w:r>
              <w:rPr>
                <w:rFonts w:ascii="Times New Roman"/>
                <w:sz w:val="21"/>
              </w:rPr>
              <w:t>GB12348-2008</w:t>
            </w:r>
          </w:p>
        </w:tc>
        <w:tc>
          <w:tcPr>
            <w:tcW w:w="3450" w:type="dxa"/>
          </w:tcPr>
          <w:p w14:paraId="0056F485">
            <w:pPr>
              <w:pStyle w:val="14"/>
              <w:spacing w:before="91"/>
              <w:ind w:left="1519" w:right="1513"/>
              <w:jc w:val="center"/>
              <w:rPr>
                <w:sz w:val="21"/>
              </w:rPr>
            </w:pPr>
            <w:r>
              <w:rPr>
                <w:rFonts w:ascii="Times New Roman" w:eastAsia="Times New Roman"/>
                <w:sz w:val="21"/>
              </w:rPr>
              <w:t xml:space="preserve">2 </w:t>
            </w:r>
            <w:r>
              <w:rPr>
                <w:sz w:val="21"/>
              </w:rPr>
              <w:t>类</w:t>
            </w:r>
          </w:p>
        </w:tc>
        <w:tc>
          <w:tcPr>
            <w:tcW w:w="1156" w:type="dxa"/>
          </w:tcPr>
          <w:p w14:paraId="75243B75">
            <w:pPr>
              <w:pStyle w:val="14"/>
              <w:spacing w:before="105"/>
              <w:ind w:left="110" w:right="99"/>
              <w:jc w:val="center"/>
              <w:rPr>
                <w:rFonts w:ascii="Times New Roman"/>
                <w:sz w:val="21"/>
              </w:rPr>
            </w:pPr>
            <w:r>
              <w:rPr>
                <w:rFonts w:ascii="Times New Roman"/>
                <w:sz w:val="21"/>
              </w:rPr>
              <w:t>60</w:t>
            </w:r>
          </w:p>
        </w:tc>
        <w:tc>
          <w:tcPr>
            <w:tcW w:w="1156" w:type="dxa"/>
          </w:tcPr>
          <w:p w14:paraId="544EEB6E">
            <w:pPr>
              <w:pStyle w:val="14"/>
              <w:spacing w:before="105"/>
              <w:ind w:left="110" w:right="102"/>
              <w:jc w:val="center"/>
              <w:rPr>
                <w:rFonts w:ascii="Times New Roman"/>
                <w:sz w:val="21"/>
              </w:rPr>
            </w:pPr>
            <w:r>
              <w:rPr>
                <w:rFonts w:ascii="Times New Roman"/>
                <w:sz w:val="21"/>
              </w:rPr>
              <w:t>50</w:t>
            </w:r>
          </w:p>
        </w:tc>
      </w:tr>
    </w:tbl>
    <w:p w14:paraId="44BBE789">
      <w:pPr>
        <w:pStyle w:val="7"/>
        <w:spacing w:before="2"/>
        <w:ind w:left="760"/>
      </w:pPr>
      <w:r>
        <w:rPr>
          <w:rFonts w:ascii="Times New Roman" w:eastAsia="Times New Roman"/>
        </w:rPr>
        <w:t>4</w:t>
      </w:r>
      <w:r>
        <w:t>、固体废物控制标准</w:t>
      </w:r>
    </w:p>
    <w:p w14:paraId="720A2359">
      <w:pPr>
        <w:pStyle w:val="7"/>
        <w:spacing w:before="159" w:line="364" w:lineRule="auto"/>
        <w:ind w:left="280" w:right="337" w:firstLine="480"/>
      </w:pPr>
      <w:r>
        <w:t>施工期厂区内配备生活垃圾桶，施工人员产生的生活垃圾可有效收集；施工期固体废物主要为弃方和建筑垃圾，委托当地渣土办定时收集，合理处置；</w:t>
      </w:r>
    </w:p>
    <w:p w14:paraId="1DF88949">
      <w:pPr>
        <w:pStyle w:val="7"/>
        <w:spacing w:line="364" w:lineRule="auto"/>
        <w:ind w:left="280" w:right="341" w:firstLine="480"/>
        <w:jc w:val="both"/>
      </w:pPr>
      <w:r>
        <w:t>生活垃圾委托环卫部门清运和处置，执行《生活垃圾填埋场污染控制标准》（</w:t>
      </w:r>
      <w:r>
        <w:rPr>
          <w:rFonts w:ascii="Times New Roman" w:eastAsia="Times New Roman"/>
        </w:rPr>
        <w:t>GB 16889-2008</w:t>
      </w:r>
      <w:r>
        <w:t>）；一般工业固体废物执行《一般工业固体废物贮存和填埋污染控制标准》（</w:t>
      </w:r>
      <w:r>
        <w:rPr>
          <w:rFonts w:ascii="Times New Roman" w:eastAsia="Times New Roman"/>
        </w:rPr>
        <w:t>GB18599-2020</w:t>
      </w:r>
      <w:r>
        <w:t>）（</w:t>
      </w:r>
      <w:r>
        <w:rPr>
          <w:rFonts w:ascii="Times New Roman" w:eastAsia="Times New Roman"/>
        </w:rPr>
        <w:t xml:space="preserve">2021 </w:t>
      </w:r>
      <w:r>
        <w:t xml:space="preserve">年 </w:t>
      </w:r>
      <w:r>
        <w:rPr>
          <w:rFonts w:ascii="Times New Roman" w:eastAsia="Times New Roman"/>
        </w:rPr>
        <w:t xml:space="preserve">7 </w:t>
      </w:r>
      <w:r>
        <w:t xml:space="preserve">月 </w:t>
      </w:r>
      <w:r>
        <w:rPr>
          <w:rFonts w:ascii="Times New Roman" w:eastAsia="Times New Roman"/>
        </w:rPr>
        <w:t xml:space="preserve">1 </w:t>
      </w:r>
      <w:r>
        <w:t>日起实施）中的有关规定；危险废物执行《危险废物贮存污染控制标准》（</w:t>
      </w:r>
      <w:r>
        <w:rPr>
          <w:rFonts w:ascii="Times New Roman" w:eastAsia="Times New Roman"/>
        </w:rPr>
        <w:t>GB18597-2023</w:t>
      </w:r>
      <w:r>
        <w:t xml:space="preserve">）中的规定，危废转移按照《危险废物转移管理办法》（部令第 </w:t>
      </w:r>
      <w:r>
        <w:rPr>
          <w:rFonts w:ascii="Times New Roman" w:eastAsia="Times New Roman"/>
        </w:rPr>
        <w:t xml:space="preserve">23 </w:t>
      </w:r>
      <w:r>
        <w:t>号）；厂区内无害化处理严格按照《病死及病害动物无害化处理技术规范》（农医发〔</w:t>
      </w:r>
      <w:r>
        <w:rPr>
          <w:rFonts w:ascii="Times New Roman" w:eastAsia="Times New Roman"/>
        </w:rPr>
        <w:t>2017</w:t>
      </w:r>
      <w:r>
        <w:t>〕</w:t>
      </w:r>
      <w:r>
        <w:rPr>
          <w:rFonts w:ascii="Times New Roman" w:eastAsia="Times New Roman"/>
        </w:rPr>
        <w:t xml:space="preserve">25 </w:t>
      </w:r>
      <w:r>
        <w:t>号）中相关技术要求，运行前与岳阳县病死畜禽无害化处理厂签订委托协议。</w:t>
      </w:r>
    </w:p>
    <w:p w14:paraId="06F1E2D3">
      <w:pPr>
        <w:pStyle w:val="3"/>
        <w:numPr>
          <w:ilvl w:val="1"/>
          <w:numId w:val="11"/>
        </w:numPr>
        <w:tabs>
          <w:tab w:val="left" w:pos="688"/>
        </w:tabs>
        <w:spacing w:before="0" w:after="0" w:line="357" w:lineRule="exact"/>
        <w:ind w:left="688" w:right="0" w:hanging="408"/>
        <w:jc w:val="left"/>
      </w:pPr>
      <w:bookmarkStart w:id="69" w:name="2.5评价工作等级和评价范围"/>
      <w:bookmarkEnd w:id="69"/>
      <w:bookmarkStart w:id="70" w:name="_bookmark11"/>
      <w:bookmarkEnd w:id="70"/>
      <w:bookmarkStart w:id="71" w:name="_bookmark11"/>
      <w:bookmarkEnd w:id="71"/>
      <w:r>
        <w:t>评价工作等级和评价范围</w:t>
      </w:r>
    </w:p>
    <w:p w14:paraId="1ADCE9EF">
      <w:pPr>
        <w:pStyle w:val="6"/>
        <w:numPr>
          <w:ilvl w:val="2"/>
          <w:numId w:val="11"/>
        </w:numPr>
        <w:tabs>
          <w:tab w:val="left" w:pos="811"/>
        </w:tabs>
        <w:spacing w:before="184" w:after="0" w:line="240" w:lineRule="auto"/>
        <w:ind w:left="810" w:right="0" w:hanging="530"/>
        <w:jc w:val="left"/>
      </w:pPr>
      <w:bookmarkStart w:id="72" w:name="2.5.1评价等级"/>
      <w:bookmarkEnd w:id="72"/>
      <w:bookmarkStart w:id="73" w:name="2.5.1评价等级"/>
      <w:bookmarkEnd w:id="73"/>
      <w:r>
        <w:t>评价等级</w:t>
      </w:r>
    </w:p>
    <w:p w14:paraId="06F2A59D">
      <w:pPr>
        <w:pStyle w:val="6"/>
        <w:numPr>
          <w:ilvl w:val="3"/>
          <w:numId w:val="11"/>
        </w:numPr>
        <w:tabs>
          <w:tab w:val="left" w:pos="1471"/>
        </w:tabs>
        <w:spacing w:before="158" w:after="0" w:line="240" w:lineRule="auto"/>
        <w:ind w:left="1470" w:right="0" w:hanging="710"/>
        <w:jc w:val="left"/>
        <w:rPr>
          <w:rFonts w:ascii="Times New Roman" w:eastAsia="Times New Roman"/>
        </w:rPr>
      </w:pPr>
      <w:r>
        <w:t>大气环境影响评价等级确定</w:t>
      </w:r>
    </w:p>
    <w:p w14:paraId="31E523D8">
      <w:pPr>
        <w:pStyle w:val="7"/>
        <w:spacing w:before="160"/>
        <w:ind w:left="760"/>
      </w:pPr>
      <w:r>
        <w:t>（</w:t>
      </w:r>
      <w:r>
        <w:rPr>
          <w:rFonts w:ascii="Times New Roman" w:eastAsia="Times New Roman"/>
        </w:rPr>
        <w:t>1</w:t>
      </w:r>
      <w:r>
        <w:t>）评价工作等级</w:t>
      </w:r>
    </w:p>
    <w:p w14:paraId="7470EC81">
      <w:pPr>
        <w:pStyle w:val="7"/>
        <w:spacing w:before="161" w:line="364" w:lineRule="auto"/>
        <w:ind w:left="280" w:right="330" w:firstLine="480"/>
      </w:pPr>
      <w:r>
        <w:t>依据《环境影响评价技术导则</w:t>
      </w:r>
      <w:r>
        <w:rPr>
          <w:rFonts w:ascii="Times New Roman" w:eastAsia="Times New Roman"/>
        </w:rPr>
        <w:t>-</w:t>
      </w:r>
      <w:r>
        <w:t>大气环境》</w:t>
      </w:r>
      <w:r>
        <w:rPr>
          <w:rFonts w:ascii="Times New Roman" w:eastAsia="Times New Roman"/>
        </w:rPr>
        <w:t>(HJ2.2-2018)</w:t>
      </w:r>
      <w:r>
        <w:rPr>
          <w:spacing w:val="-31"/>
        </w:rPr>
        <w:t xml:space="preserve">中 </w:t>
      </w:r>
      <w:r>
        <w:rPr>
          <w:rFonts w:ascii="Times New Roman" w:eastAsia="Times New Roman"/>
        </w:rPr>
        <w:t xml:space="preserve">5.3 </w:t>
      </w:r>
      <w:r>
        <w:t xml:space="preserve">节工作等级的确定方法，结合项目工程分析结果，选择正常排放的主要污染物及排放参数， </w:t>
      </w:r>
      <w:r>
        <w:rPr>
          <w:spacing w:val="-13"/>
        </w:rPr>
        <w:t xml:space="preserve">采用附录 </w:t>
      </w:r>
      <w:r>
        <w:rPr>
          <w:rFonts w:ascii="Times New Roman" w:eastAsia="Times New Roman"/>
        </w:rPr>
        <w:t xml:space="preserve">A </w:t>
      </w:r>
      <w:r>
        <w:rPr>
          <w:spacing w:val="-9"/>
        </w:rPr>
        <w:t xml:space="preserve">推荐模型中的 </w:t>
      </w:r>
      <w:r>
        <w:rPr>
          <w:rFonts w:ascii="Times New Roman" w:eastAsia="Times New Roman"/>
        </w:rPr>
        <w:t xml:space="preserve">AERSCREEN </w:t>
      </w:r>
      <w:r>
        <w:t>模式计算项目污染源的最大环境影响， 根据评价工作分级判据进行分级。</w:t>
      </w:r>
    </w:p>
    <w:p w14:paraId="44AD5FC9">
      <w:pPr>
        <w:pStyle w:val="7"/>
        <w:spacing w:line="305" w:lineRule="exact"/>
        <w:ind w:left="760"/>
      </w:pPr>
      <w:r>
        <w:t>①</w:t>
      </w:r>
      <w:r>
        <w:rPr>
          <w:rFonts w:ascii="Times New Roman" w:hAnsi="Times New Roman" w:eastAsia="Times New Roman"/>
        </w:rPr>
        <w:t xml:space="preserve">Pmax </w:t>
      </w:r>
      <w:r>
        <w:t xml:space="preserve">及 </w:t>
      </w:r>
      <w:r>
        <w:rPr>
          <w:rFonts w:ascii="Times New Roman" w:hAnsi="Times New Roman" w:eastAsia="Times New Roman"/>
        </w:rPr>
        <w:t>D10%</w:t>
      </w:r>
      <w:r>
        <w:t>的确定</w:t>
      </w:r>
    </w:p>
    <w:p w14:paraId="13C80164">
      <w:pPr>
        <w:pStyle w:val="7"/>
        <w:spacing w:before="158" w:line="364" w:lineRule="auto"/>
        <w:ind w:left="280" w:right="510" w:firstLine="480"/>
      </w:pPr>
      <w:r>
        <w:t>依据《环境影响评价技术导则 大气环境》</w:t>
      </w:r>
      <w:r>
        <w:rPr>
          <w:rFonts w:ascii="Times New Roman" w:eastAsia="Times New Roman"/>
        </w:rPr>
        <w:t>(HJ2.2-2018)</w:t>
      </w:r>
      <w:r>
        <w:t xml:space="preserve">中最大地面浓度占标率 </w:t>
      </w:r>
      <w:r>
        <w:rPr>
          <w:rFonts w:ascii="Times New Roman" w:eastAsia="Times New Roman"/>
        </w:rPr>
        <w:t xml:space="preserve">Pi </w:t>
      </w:r>
      <w:r>
        <w:t>定义如下：</w:t>
      </w:r>
    </w:p>
    <w:p w14:paraId="0DE7CFAD">
      <w:pPr>
        <w:pStyle w:val="7"/>
        <w:ind w:left="3793"/>
        <w:rPr>
          <w:sz w:val="20"/>
        </w:rPr>
      </w:pPr>
      <w:r>
        <w:rPr>
          <w:sz w:val="20"/>
        </w:rPr>
        <w:drawing>
          <wp:inline distT="0" distB="0" distL="0" distR="0">
            <wp:extent cx="1083310" cy="375920"/>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pic:cNvPicPr>
                      <a:picLocks noChangeAspect="1"/>
                    </pic:cNvPicPr>
                  </pic:nvPicPr>
                  <pic:blipFill>
                    <a:blip r:embed="rId64" cstate="print"/>
                    <a:stretch>
                      <a:fillRect/>
                    </a:stretch>
                  </pic:blipFill>
                  <pic:spPr>
                    <a:xfrm>
                      <a:off x="0" y="0"/>
                      <a:ext cx="1083652" cy="376523"/>
                    </a:xfrm>
                    <a:prstGeom prst="rect">
                      <a:avLst/>
                    </a:prstGeom>
                  </pic:spPr>
                </pic:pic>
              </a:graphicData>
            </a:graphic>
          </wp:inline>
        </w:drawing>
      </w:r>
    </w:p>
    <w:p w14:paraId="1AA0D732">
      <w:pPr>
        <w:pStyle w:val="7"/>
        <w:spacing w:before="37"/>
        <w:ind w:left="760"/>
      </w:pPr>
      <w:r>
        <w:rPr>
          <w:position w:val="-4"/>
        </w:rPr>
        <w:drawing>
          <wp:inline distT="0" distB="0" distL="0" distR="0">
            <wp:extent cx="126365" cy="177800"/>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pic:cNvPicPr>
                      <a:picLocks noChangeAspect="1"/>
                    </pic:cNvPicPr>
                  </pic:nvPicPr>
                  <pic:blipFill>
                    <a:blip r:embed="rId65" cstate="print"/>
                    <a:stretch>
                      <a:fillRect/>
                    </a:stretch>
                  </pic:blipFill>
                  <pic:spPr>
                    <a:xfrm>
                      <a:off x="0" y="0"/>
                      <a:ext cx="126492" cy="178307"/>
                    </a:xfrm>
                    <a:prstGeom prst="rect">
                      <a:avLst/>
                    </a:prstGeom>
                  </pic:spPr>
                </pic:pic>
              </a:graphicData>
            </a:graphic>
          </wp:inline>
        </w:drawing>
      </w:r>
      <w:r>
        <w:rPr>
          <w:rFonts w:ascii="Times New Roman" w:hAnsi="Times New Roman" w:eastAsia="Times New Roman"/>
          <w:spacing w:val="8"/>
          <w:sz w:val="20"/>
        </w:rPr>
        <w:t xml:space="preserve"> </w:t>
      </w:r>
      <w:r>
        <w:rPr>
          <w:rFonts w:ascii="Times New Roman" w:hAnsi="Times New Roman" w:eastAsia="Times New Roman"/>
        </w:rPr>
        <w:t>——</w:t>
      </w:r>
      <w:r>
        <w:rPr>
          <w:spacing w:val="-31"/>
        </w:rPr>
        <w:t xml:space="preserve">第 </w:t>
      </w:r>
      <w:r>
        <w:rPr>
          <w:rFonts w:ascii="Times New Roman" w:hAnsi="Times New Roman" w:eastAsia="Times New Roman"/>
        </w:rPr>
        <w:t>i</w:t>
      </w:r>
      <w:r>
        <w:rPr>
          <w:rFonts w:ascii="Times New Roman" w:hAnsi="Times New Roman" w:eastAsia="Times New Roman"/>
          <w:spacing w:val="-13"/>
        </w:rPr>
        <w:t xml:space="preserve"> </w:t>
      </w:r>
      <w:r>
        <w:rPr>
          <w:spacing w:val="-4"/>
        </w:rPr>
        <w:t>个污染物的最大地面空气质量浓度 占标率，</w:t>
      </w:r>
      <w:r>
        <w:rPr>
          <w:rFonts w:ascii="Times New Roman" w:hAnsi="Times New Roman" w:eastAsia="Times New Roman"/>
        </w:rPr>
        <w:t>%</w:t>
      </w:r>
      <w:r>
        <w:t>；</w:t>
      </w:r>
    </w:p>
    <w:p w14:paraId="3CA8ECE6">
      <w:pPr>
        <w:pStyle w:val="7"/>
        <w:spacing w:before="160"/>
        <w:ind w:left="959"/>
      </w:pPr>
      <w:r>
        <w:drawing>
          <wp:anchor distT="0" distB="0" distL="0" distR="0" simplePos="0" relativeHeight="251659264" behindDoc="0" locked="0" layoutInCell="1" allowOverlap="1">
            <wp:simplePos x="0" y="0"/>
            <wp:positionH relativeFrom="page">
              <wp:posOffset>1447800</wp:posOffset>
            </wp:positionH>
            <wp:positionV relativeFrom="paragraph">
              <wp:posOffset>106680</wp:posOffset>
            </wp:positionV>
            <wp:extent cx="126365" cy="178435"/>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pic:cNvPicPr>
                  </pic:nvPicPr>
                  <pic:blipFill>
                    <a:blip r:embed="rId66" cstate="print"/>
                    <a:stretch>
                      <a:fillRect/>
                    </a:stretch>
                  </pic:blipFill>
                  <pic:spPr>
                    <a:xfrm>
                      <a:off x="0" y="0"/>
                      <a:ext cx="126492" cy="178307"/>
                    </a:xfrm>
                    <a:prstGeom prst="rect">
                      <a:avLst/>
                    </a:prstGeom>
                  </pic:spPr>
                </pic:pic>
              </a:graphicData>
            </a:graphic>
          </wp:anchor>
        </w:drawing>
      </w:r>
      <w:r>
        <w:rPr>
          <w:rFonts w:ascii="Times New Roman" w:hAnsi="Times New Roman" w:eastAsia="Times New Roman"/>
        </w:rPr>
        <w:t>——</w:t>
      </w:r>
      <w:r>
        <w:t xml:space="preserve">采用估算模型计算出的第 </w:t>
      </w:r>
      <w:r>
        <w:rPr>
          <w:rFonts w:ascii="Times New Roman" w:hAnsi="Times New Roman" w:eastAsia="Times New Roman"/>
        </w:rPr>
        <w:t xml:space="preserve">i </w:t>
      </w:r>
      <w:r>
        <w:t xml:space="preserve">个污染物的最大 </w:t>
      </w:r>
      <w:r>
        <w:rPr>
          <w:rFonts w:ascii="Times New Roman" w:hAnsi="Times New Roman" w:eastAsia="Times New Roman"/>
        </w:rPr>
        <w:t xml:space="preserve">1h </w:t>
      </w:r>
      <w:r>
        <w:t>地面空气质量浓度，</w:t>
      </w:r>
    </w:p>
    <w:p w14:paraId="6855D8F3">
      <w:pPr>
        <w:spacing w:after="0"/>
        <w:sectPr>
          <w:pgSz w:w="11910" w:h="16840"/>
          <w:pgMar w:top="1360" w:right="1460" w:bottom="1400" w:left="1520" w:header="878" w:footer="1204" w:gutter="0"/>
          <w:cols w:space="720" w:num="1"/>
        </w:sectPr>
      </w:pPr>
    </w:p>
    <w:p w14:paraId="37579161">
      <w:pPr>
        <w:pStyle w:val="7"/>
        <w:spacing w:before="68"/>
        <w:ind w:left="280"/>
      </w:pPr>
      <w:r>
        <w:rPr>
          <w:rFonts w:ascii="Times New Roman" w:hAnsi="Times New Roman" w:eastAsia="Times New Roman"/>
        </w:rPr>
        <w:t>μg/m</w:t>
      </w:r>
      <w:r>
        <w:rPr>
          <w:rFonts w:ascii="Times New Roman" w:hAnsi="Times New Roman" w:eastAsia="Times New Roman"/>
          <w:position w:val="8"/>
          <w:sz w:val="15"/>
        </w:rPr>
        <w:t>3</w:t>
      </w:r>
      <w:r>
        <w:t>；</w:t>
      </w:r>
    </w:p>
    <w:p w14:paraId="3A144A4D">
      <w:pPr>
        <w:pStyle w:val="7"/>
        <w:spacing w:before="160"/>
        <w:ind w:left="1060"/>
      </w:pPr>
      <w:r>
        <w:drawing>
          <wp:anchor distT="0" distB="0" distL="0" distR="0" simplePos="0" relativeHeight="251659264" behindDoc="0" locked="0" layoutInCell="1" allowOverlap="1">
            <wp:simplePos x="0" y="0"/>
            <wp:positionH relativeFrom="page">
              <wp:posOffset>1447800</wp:posOffset>
            </wp:positionH>
            <wp:positionV relativeFrom="paragraph">
              <wp:posOffset>106680</wp:posOffset>
            </wp:positionV>
            <wp:extent cx="190500" cy="178435"/>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pic:cNvPicPr>
                      <a:picLocks noChangeAspect="1"/>
                    </pic:cNvPicPr>
                  </pic:nvPicPr>
                  <pic:blipFill>
                    <a:blip r:embed="rId67" cstate="print"/>
                    <a:stretch>
                      <a:fillRect/>
                    </a:stretch>
                  </pic:blipFill>
                  <pic:spPr>
                    <a:xfrm>
                      <a:off x="0" y="0"/>
                      <a:ext cx="190500" cy="178307"/>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14:paraId="1B299259">
      <w:pPr>
        <w:pStyle w:val="7"/>
        <w:spacing w:before="159"/>
        <w:ind w:left="760"/>
      </w:pPr>
      <w:r>
        <w:t>②评价等级判别表</w:t>
      </w:r>
    </w:p>
    <w:p w14:paraId="38D2E404">
      <w:pPr>
        <w:pStyle w:val="7"/>
        <w:spacing w:before="160"/>
        <w:ind w:left="760"/>
      </w:pPr>
      <w:r>
        <w:t>评价等级按下表的分级判据进行划分</w:t>
      </w:r>
    </w:p>
    <w:p w14:paraId="56C926D7">
      <w:pPr>
        <w:pStyle w:val="7"/>
        <w:spacing w:before="8"/>
        <w:rPr>
          <w:sz w:val="21"/>
        </w:rPr>
      </w:pPr>
    </w:p>
    <w:p w14:paraId="57D0B56F">
      <w:pPr>
        <w:spacing w:before="0"/>
        <w:ind w:left="262" w:right="324" w:firstLine="0"/>
        <w:jc w:val="center"/>
        <w:rPr>
          <w:b/>
          <w:sz w:val="21"/>
        </w:rPr>
      </w:pPr>
      <w:r>
        <w:rPr>
          <w:b/>
          <w:spacing w:val="-26"/>
          <w:sz w:val="21"/>
        </w:rPr>
        <w:t xml:space="preserve">表 </w:t>
      </w:r>
      <w:r>
        <w:rPr>
          <w:rFonts w:ascii="Times New Roman" w:eastAsia="Times New Roman"/>
          <w:b/>
          <w:sz w:val="21"/>
        </w:rPr>
        <w:t>2.5-1</w:t>
      </w:r>
      <w:r>
        <w:rPr>
          <w:rFonts w:ascii="Times New Roman" w:eastAsia="Times New Roman"/>
          <w:b/>
          <w:spacing w:val="50"/>
          <w:sz w:val="21"/>
        </w:rPr>
        <w:t xml:space="preserve"> </w:t>
      </w:r>
      <w:r>
        <w:rPr>
          <w:b/>
          <w:sz w:val="21"/>
        </w:rPr>
        <w:t>评价等级判别表</w:t>
      </w:r>
    </w:p>
    <w:p w14:paraId="4575D290">
      <w:pPr>
        <w:pStyle w:val="7"/>
        <w:spacing w:before="8"/>
        <w:rPr>
          <w:b/>
          <w:sz w:val="9"/>
        </w:rPr>
      </w:pPr>
    </w:p>
    <w:tbl>
      <w:tblPr>
        <w:tblStyle w:val="10"/>
        <w:tblW w:w="0" w:type="auto"/>
        <w:tblInd w:w="2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1"/>
        <w:gridCol w:w="4791"/>
      </w:tblGrid>
      <w:tr w14:paraId="57E43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731" w:type="dxa"/>
          </w:tcPr>
          <w:p w14:paraId="04279C0F">
            <w:pPr>
              <w:pStyle w:val="14"/>
              <w:spacing w:before="89"/>
              <w:ind w:left="1211" w:right="1204"/>
              <w:jc w:val="center"/>
              <w:rPr>
                <w:b/>
                <w:sz w:val="21"/>
              </w:rPr>
            </w:pPr>
            <w:r>
              <w:rPr>
                <w:b/>
                <w:sz w:val="21"/>
              </w:rPr>
              <w:t>评价工作等级</w:t>
            </w:r>
          </w:p>
        </w:tc>
        <w:tc>
          <w:tcPr>
            <w:tcW w:w="4791" w:type="dxa"/>
          </w:tcPr>
          <w:p w14:paraId="4FC42FD3">
            <w:pPr>
              <w:pStyle w:val="14"/>
              <w:spacing w:before="89"/>
              <w:ind w:left="1529" w:right="1524"/>
              <w:jc w:val="center"/>
              <w:rPr>
                <w:b/>
                <w:sz w:val="21"/>
              </w:rPr>
            </w:pPr>
            <w:r>
              <w:rPr>
                <w:b/>
                <w:sz w:val="21"/>
              </w:rPr>
              <w:t>评价工作分级判据</w:t>
            </w:r>
          </w:p>
        </w:tc>
      </w:tr>
      <w:tr w14:paraId="28D49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731" w:type="dxa"/>
          </w:tcPr>
          <w:p w14:paraId="0C4105E6">
            <w:pPr>
              <w:pStyle w:val="14"/>
              <w:spacing w:before="91"/>
              <w:ind w:left="1209" w:right="1204"/>
              <w:jc w:val="center"/>
              <w:rPr>
                <w:sz w:val="21"/>
              </w:rPr>
            </w:pPr>
            <w:r>
              <w:rPr>
                <w:sz w:val="21"/>
              </w:rPr>
              <w:t>一级评价</w:t>
            </w:r>
          </w:p>
        </w:tc>
        <w:tc>
          <w:tcPr>
            <w:tcW w:w="4791" w:type="dxa"/>
          </w:tcPr>
          <w:p w14:paraId="3F3CAC54">
            <w:pPr>
              <w:pStyle w:val="14"/>
              <w:spacing w:before="91"/>
              <w:ind w:left="1529" w:right="1520"/>
              <w:jc w:val="center"/>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14:paraId="01032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731" w:type="dxa"/>
          </w:tcPr>
          <w:p w14:paraId="26C27CE3">
            <w:pPr>
              <w:pStyle w:val="14"/>
              <w:spacing w:before="90"/>
              <w:ind w:left="1209" w:right="1204"/>
              <w:jc w:val="center"/>
              <w:rPr>
                <w:sz w:val="21"/>
              </w:rPr>
            </w:pPr>
            <w:r>
              <w:rPr>
                <w:sz w:val="21"/>
              </w:rPr>
              <w:t>二级评价</w:t>
            </w:r>
          </w:p>
        </w:tc>
        <w:tc>
          <w:tcPr>
            <w:tcW w:w="4791" w:type="dxa"/>
          </w:tcPr>
          <w:p w14:paraId="2141E36C">
            <w:pPr>
              <w:pStyle w:val="14"/>
              <w:spacing w:before="90"/>
              <w:ind w:left="1529" w:right="1522"/>
              <w:jc w:val="center"/>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14:paraId="34A8D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731" w:type="dxa"/>
          </w:tcPr>
          <w:p w14:paraId="6DFF7B3D">
            <w:pPr>
              <w:pStyle w:val="14"/>
              <w:spacing w:before="89"/>
              <w:ind w:left="1209" w:right="1204"/>
              <w:jc w:val="center"/>
              <w:rPr>
                <w:sz w:val="21"/>
              </w:rPr>
            </w:pPr>
            <w:r>
              <w:rPr>
                <w:sz w:val="21"/>
              </w:rPr>
              <w:t>三级评价</w:t>
            </w:r>
          </w:p>
        </w:tc>
        <w:tc>
          <w:tcPr>
            <w:tcW w:w="4791" w:type="dxa"/>
          </w:tcPr>
          <w:p w14:paraId="7C33C56E">
            <w:pPr>
              <w:pStyle w:val="14"/>
              <w:spacing w:before="105"/>
              <w:ind w:left="1529" w:right="1522"/>
              <w:jc w:val="center"/>
              <w:rPr>
                <w:rFonts w:ascii="Times New Roman"/>
                <w:sz w:val="21"/>
              </w:rPr>
            </w:pPr>
            <w:r>
              <w:rPr>
                <w:rFonts w:ascii="Times New Roman"/>
                <w:sz w:val="21"/>
              </w:rPr>
              <w:t>Pmax&lt;1%</w:t>
            </w:r>
          </w:p>
        </w:tc>
      </w:tr>
    </w:tbl>
    <w:p w14:paraId="156690A9">
      <w:pPr>
        <w:pStyle w:val="7"/>
        <w:spacing w:before="1"/>
        <w:ind w:left="760"/>
      </w:pPr>
      <w:r>
        <w:t>③污染物评价标准</w:t>
      </w:r>
    </w:p>
    <w:p w14:paraId="3B036A69">
      <w:pPr>
        <w:pStyle w:val="7"/>
        <w:spacing w:before="160"/>
        <w:ind w:left="760"/>
      </w:pPr>
      <w:r>
        <w:t>污染物评价标准和来源见下表。</w:t>
      </w:r>
    </w:p>
    <w:p w14:paraId="32C2E968">
      <w:pPr>
        <w:pStyle w:val="7"/>
        <w:spacing w:before="8"/>
        <w:rPr>
          <w:sz w:val="21"/>
        </w:rPr>
      </w:pPr>
    </w:p>
    <w:p w14:paraId="52DF01AF">
      <w:pPr>
        <w:spacing w:before="0"/>
        <w:ind w:left="262" w:right="324" w:firstLine="0"/>
        <w:jc w:val="center"/>
        <w:rPr>
          <w:b/>
          <w:sz w:val="21"/>
        </w:rPr>
      </w:pPr>
      <w:r>
        <w:rPr>
          <w:b/>
          <w:spacing w:val="-26"/>
          <w:sz w:val="21"/>
        </w:rPr>
        <w:t xml:space="preserve">表 </w:t>
      </w:r>
      <w:r>
        <w:rPr>
          <w:rFonts w:ascii="Times New Roman" w:eastAsia="Times New Roman"/>
          <w:b/>
          <w:sz w:val="21"/>
        </w:rPr>
        <w:t>2.5-2</w:t>
      </w:r>
      <w:r>
        <w:rPr>
          <w:rFonts w:ascii="Times New Roman" w:eastAsia="Times New Roman"/>
          <w:b/>
          <w:spacing w:val="50"/>
          <w:sz w:val="21"/>
        </w:rPr>
        <w:t xml:space="preserve"> </w:t>
      </w:r>
      <w:r>
        <w:rPr>
          <w:b/>
          <w:sz w:val="21"/>
        </w:rPr>
        <w:t>污染物评价标准</w:t>
      </w:r>
    </w:p>
    <w:p w14:paraId="1E64614D">
      <w:pPr>
        <w:pStyle w:val="7"/>
        <w:spacing w:before="8" w:after="1"/>
        <w:rPr>
          <w:b/>
          <w:sz w:val="9"/>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1"/>
        <w:gridCol w:w="879"/>
        <w:gridCol w:w="883"/>
        <w:gridCol w:w="1394"/>
        <w:gridCol w:w="4275"/>
      </w:tblGrid>
      <w:tr w14:paraId="090BC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91" w:type="dxa"/>
          </w:tcPr>
          <w:p w14:paraId="052848BD">
            <w:pPr>
              <w:pStyle w:val="14"/>
              <w:ind w:left="103" w:right="93"/>
              <w:jc w:val="center"/>
              <w:rPr>
                <w:b/>
                <w:sz w:val="21"/>
              </w:rPr>
            </w:pPr>
            <w:r>
              <w:rPr>
                <w:b/>
                <w:sz w:val="21"/>
              </w:rPr>
              <w:t>污染物名</w:t>
            </w:r>
          </w:p>
          <w:p w14:paraId="719BD97F">
            <w:pPr>
              <w:pStyle w:val="14"/>
              <w:spacing w:before="2" w:line="253" w:lineRule="exact"/>
              <w:ind w:left="5"/>
              <w:jc w:val="center"/>
              <w:rPr>
                <w:b/>
                <w:sz w:val="21"/>
              </w:rPr>
            </w:pPr>
            <w:r>
              <w:rPr>
                <w:b/>
                <w:w w:val="99"/>
                <w:sz w:val="21"/>
              </w:rPr>
              <w:t>称</w:t>
            </w:r>
          </w:p>
        </w:tc>
        <w:tc>
          <w:tcPr>
            <w:tcW w:w="879" w:type="dxa"/>
          </w:tcPr>
          <w:p w14:paraId="54F834C1">
            <w:pPr>
              <w:pStyle w:val="14"/>
              <w:spacing w:before="134"/>
              <w:ind w:left="123"/>
              <w:rPr>
                <w:b/>
                <w:sz w:val="21"/>
              </w:rPr>
            </w:pPr>
            <w:r>
              <w:rPr>
                <w:b/>
                <w:sz w:val="21"/>
              </w:rPr>
              <w:t>功能区</w:t>
            </w:r>
          </w:p>
        </w:tc>
        <w:tc>
          <w:tcPr>
            <w:tcW w:w="883" w:type="dxa"/>
          </w:tcPr>
          <w:p w14:paraId="04886CA3">
            <w:pPr>
              <w:pStyle w:val="14"/>
              <w:ind w:left="104" w:right="96"/>
              <w:jc w:val="center"/>
              <w:rPr>
                <w:b/>
                <w:sz w:val="21"/>
              </w:rPr>
            </w:pPr>
            <w:r>
              <w:rPr>
                <w:b/>
                <w:sz w:val="21"/>
              </w:rPr>
              <w:t>取值时</w:t>
            </w:r>
          </w:p>
          <w:p w14:paraId="5687707A">
            <w:pPr>
              <w:pStyle w:val="14"/>
              <w:spacing w:before="2" w:line="253" w:lineRule="exact"/>
              <w:ind w:left="8"/>
              <w:jc w:val="center"/>
              <w:rPr>
                <w:b/>
                <w:sz w:val="21"/>
              </w:rPr>
            </w:pPr>
            <w:r>
              <w:rPr>
                <w:b/>
                <w:w w:val="99"/>
                <w:sz w:val="21"/>
              </w:rPr>
              <w:t>间</w:t>
            </w:r>
          </w:p>
        </w:tc>
        <w:tc>
          <w:tcPr>
            <w:tcW w:w="1394" w:type="dxa"/>
          </w:tcPr>
          <w:p w14:paraId="0E59F7AA">
            <w:pPr>
              <w:pStyle w:val="14"/>
              <w:spacing w:before="14"/>
              <w:ind w:left="379"/>
              <w:rPr>
                <w:b/>
                <w:sz w:val="21"/>
              </w:rPr>
            </w:pPr>
            <w:r>
              <w:rPr>
                <w:b/>
                <w:sz w:val="21"/>
              </w:rPr>
              <w:t>标准值</w:t>
            </w:r>
          </w:p>
          <w:p w14:paraId="0344CED6">
            <w:pPr>
              <w:pStyle w:val="14"/>
              <w:spacing w:before="2" w:line="239" w:lineRule="exact"/>
              <w:ind w:left="338"/>
              <w:rPr>
                <w:rFonts w:ascii="Times New Roman" w:hAnsi="Times New Roman"/>
                <w:b/>
                <w:sz w:val="21"/>
              </w:rPr>
            </w:pPr>
            <w:r>
              <w:rPr>
                <w:rFonts w:ascii="Times New Roman" w:hAnsi="Times New Roman"/>
                <w:b/>
                <w:sz w:val="21"/>
              </w:rPr>
              <w:t>(mg/m³)</w:t>
            </w:r>
          </w:p>
        </w:tc>
        <w:tc>
          <w:tcPr>
            <w:tcW w:w="4275" w:type="dxa"/>
          </w:tcPr>
          <w:p w14:paraId="299796E2">
            <w:pPr>
              <w:pStyle w:val="14"/>
              <w:spacing w:before="134"/>
              <w:ind w:left="47" w:right="36"/>
              <w:jc w:val="center"/>
              <w:rPr>
                <w:b/>
                <w:sz w:val="21"/>
              </w:rPr>
            </w:pPr>
            <w:r>
              <w:rPr>
                <w:b/>
                <w:sz w:val="21"/>
              </w:rPr>
              <w:t>标准来源</w:t>
            </w:r>
          </w:p>
        </w:tc>
      </w:tr>
      <w:tr w14:paraId="18D39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91" w:type="dxa"/>
          </w:tcPr>
          <w:p w14:paraId="0E0112AD">
            <w:pPr>
              <w:pStyle w:val="14"/>
              <w:spacing w:before="101"/>
              <w:ind w:left="376"/>
              <w:rPr>
                <w:rFonts w:ascii="Times New Roman"/>
                <w:sz w:val="21"/>
              </w:rPr>
            </w:pPr>
            <w:r>
              <w:rPr>
                <w:rFonts w:ascii="Times New Roman"/>
                <w:position w:val="2"/>
                <w:sz w:val="21"/>
              </w:rPr>
              <w:t>SO</w:t>
            </w:r>
            <w:r>
              <w:rPr>
                <w:rFonts w:ascii="Times New Roman"/>
                <w:position w:val="2"/>
                <w:sz w:val="21"/>
                <w:vertAlign w:val="subscript"/>
              </w:rPr>
              <w:t>2</w:t>
            </w:r>
          </w:p>
        </w:tc>
        <w:tc>
          <w:tcPr>
            <w:tcW w:w="879" w:type="dxa"/>
            <w:vMerge w:val="restart"/>
          </w:tcPr>
          <w:p w14:paraId="5A695DF7">
            <w:pPr>
              <w:pStyle w:val="14"/>
              <w:rPr>
                <w:b/>
                <w:sz w:val="20"/>
              </w:rPr>
            </w:pPr>
          </w:p>
          <w:p w14:paraId="11FC21F1">
            <w:pPr>
              <w:pStyle w:val="14"/>
              <w:rPr>
                <w:b/>
                <w:sz w:val="20"/>
              </w:rPr>
            </w:pPr>
          </w:p>
          <w:p w14:paraId="62D170EB">
            <w:pPr>
              <w:pStyle w:val="14"/>
              <w:spacing w:before="137" w:line="242" w:lineRule="auto"/>
              <w:ind w:left="334" w:right="114" w:hanging="212"/>
              <w:rPr>
                <w:sz w:val="21"/>
              </w:rPr>
            </w:pPr>
            <w:r>
              <w:rPr>
                <w:sz w:val="21"/>
              </w:rPr>
              <w:t>二类限区</w:t>
            </w:r>
          </w:p>
        </w:tc>
        <w:tc>
          <w:tcPr>
            <w:tcW w:w="883" w:type="dxa"/>
          </w:tcPr>
          <w:p w14:paraId="42D1412D">
            <w:pPr>
              <w:pStyle w:val="14"/>
              <w:spacing w:before="91"/>
              <w:ind w:left="124"/>
              <w:rPr>
                <w:sz w:val="21"/>
              </w:rPr>
            </w:pPr>
            <w:r>
              <w:rPr>
                <w:sz w:val="21"/>
              </w:rPr>
              <w:t>一小时</w:t>
            </w:r>
          </w:p>
        </w:tc>
        <w:tc>
          <w:tcPr>
            <w:tcW w:w="1394" w:type="dxa"/>
          </w:tcPr>
          <w:p w14:paraId="238EF8A2">
            <w:pPr>
              <w:pStyle w:val="14"/>
              <w:spacing w:before="105"/>
              <w:ind w:left="144" w:right="137"/>
              <w:jc w:val="center"/>
              <w:rPr>
                <w:rFonts w:ascii="Times New Roman"/>
                <w:sz w:val="21"/>
              </w:rPr>
            </w:pPr>
            <w:r>
              <w:rPr>
                <w:rFonts w:ascii="Times New Roman"/>
                <w:sz w:val="21"/>
              </w:rPr>
              <w:t>500</w:t>
            </w:r>
          </w:p>
        </w:tc>
        <w:tc>
          <w:tcPr>
            <w:tcW w:w="4275" w:type="dxa"/>
            <w:vMerge w:val="restart"/>
          </w:tcPr>
          <w:p w14:paraId="51EEA0FC">
            <w:pPr>
              <w:pStyle w:val="14"/>
              <w:spacing w:before="1"/>
              <w:rPr>
                <w:b/>
                <w:sz w:val="25"/>
              </w:rPr>
            </w:pPr>
          </w:p>
          <w:p w14:paraId="6448CA0F">
            <w:pPr>
              <w:pStyle w:val="14"/>
              <w:ind w:left="118"/>
              <w:rPr>
                <w:sz w:val="21"/>
              </w:rPr>
            </w:pPr>
            <w:r>
              <w:rPr>
                <w:sz w:val="21"/>
              </w:rPr>
              <w:t>《环境空气质量标准》（</w:t>
            </w:r>
            <w:r>
              <w:rPr>
                <w:rFonts w:ascii="Times New Roman" w:eastAsia="Times New Roman"/>
                <w:sz w:val="21"/>
              </w:rPr>
              <w:t>GB3095-2012</w:t>
            </w:r>
            <w:r>
              <w:rPr>
                <w:sz w:val="21"/>
              </w:rPr>
              <w:t>）二级</w:t>
            </w:r>
          </w:p>
        </w:tc>
      </w:tr>
      <w:tr w14:paraId="5F3C4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91" w:type="dxa"/>
          </w:tcPr>
          <w:p w14:paraId="506F7B61">
            <w:pPr>
              <w:pStyle w:val="14"/>
              <w:spacing w:before="104"/>
              <w:ind w:left="340"/>
              <w:rPr>
                <w:rFonts w:ascii="Times New Roman"/>
                <w:sz w:val="21"/>
              </w:rPr>
            </w:pPr>
            <w:r>
              <w:rPr>
                <w:rFonts w:ascii="Times New Roman"/>
                <w:sz w:val="21"/>
              </w:rPr>
              <w:t>NOx</w:t>
            </w:r>
          </w:p>
        </w:tc>
        <w:tc>
          <w:tcPr>
            <w:tcW w:w="879" w:type="dxa"/>
            <w:vMerge w:val="continue"/>
            <w:tcBorders>
              <w:top w:val="nil"/>
            </w:tcBorders>
          </w:tcPr>
          <w:p w14:paraId="07200E18">
            <w:pPr>
              <w:rPr>
                <w:sz w:val="2"/>
                <w:szCs w:val="2"/>
              </w:rPr>
            </w:pPr>
          </w:p>
        </w:tc>
        <w:tc>
          <w:tcPr>
            <w:tcW w:w="883" w:type="dxa"/>
          </w:tcPr>
          <w:p w14:paraId="75BC4552">
            <w:pPr>
              <w:pStyle w:val="14"/>
              <w:spacing w:before="90"/>
              <w:ind w:left="124"/>
              <w:rPr>
                <w:sz w:val="21"/>
              </w:rPr>
            </w:pPr>
            <w:r>
              <w:rPr>
                <w:sz w:val="21"/>
              </w:rPr>
              <w:t>一小时</w:t>
            </w:r>
          </w:p>
        </w:tc>
        <w:tc>
          <w:tcPr>
            <w:tcW w:w="1394" w:type="dxa"/>
          </w:tcPr>
          <w:p w14:paraId="24A7F796">
            <w:pPr>
              <w:pStyle w:val="14"/>
              <w:spacing w:before="104"/>
              <w:ind w:left="144" w:right="137"/>
              <w:jc w:val="center"/>
              <w:rPr>
                <w:rFonts w:ascii="Times New Roman"/>
                <w:sz w:val="21"/>
              </w:rPr>
            </w:pPr>
            <w:r>
              <w:rPr>
                <w:rFonts w:ascii="Times New Roman"/>
                <w:sz w:val="21"/>
              </w:rPr>
              <w:t>250</w:t>
            </w:r>
          </w:p>
        </w:tc>
        <w:tc>
          <w:tcPr>
            <w:tcW w:w="4275" w:type="dxa"/>
            <w:vMerge w:val="continue"/>
            <w:tcBorders>
              <w:top w:val="nil"/>
            </w:tcBorders>
          </w:tcPr>
          <w:p w14:paraId="2DB9D33F">
            <w:pPr>
              <w:rPr>
                <w:sz w:val="2"/>
                <w:szCs w:val="2"/>
              </w:rPr>
            </w:pPr>
          </w:p>
        </w:tc>
      </w:tr>
      <w:tr w14:paraId="47A1F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91" w:type="dxa"/>
          </w:tcPr>
          <w:p w14:paraId="70521D76">
            <w:pPr>
              <w:pStyle w:val="14"/>
              <w:spacing w:before="102"/>
              <w:ind w:left="359"/>
              <w:rPr>
                <w:rFonts w:ascii="Times New Roman"/>
                <w:sz w:val="21"/>
              </w:rPr>
            </w:pPr>
            <w:r>
              <w:rPr>
                <w:rFonts w:ascii="Times New Roman"/>
                <w:position w:val="2"/>
                <w:sz w:val="21"/>
              </w:rPr>
              <w:t>NH</w:t>
            </w:r>
            <w:r>
              <w:rPr>
                <w:rFonts w:ascii="Times New Roman"/>
                <w:position w:val="2"/>
                <w:sz w:val="21"/>
                <w:vertAlign w:val="subscript"/>
              </w:rPr>
              <w:t>3</w:t>
            </w:r>
          </w:p>
        </w:tc>
        <w:tc>
          <w:tcPr>
            <w:tcW w:w="879" w:type="dxa"/>
            <w:vMerge w:val="continue"/>
            <w:tcBorders>
              <w:top w:val="nil"/>
            </w:tcBorders>
          </w:tcPr>
          <w:p w14:paraId="700CB7FB">
            <w:pPr>
              <w:rPr>
                <w:sz w:val="2"/>
                <w:szCs w:val="2"/>
              </w:rPr>
            </w:pPr>
          </w:p>
        </w:tc>
        <w:tc>
          <w:tcPr>
            <w:tcW w:w="883" w:type="dxa"/>
          </w:tcPr>
          <w:p w14:paraId="7A601FF4">
            <w:pPr>
              <w:pStyle w:val="14"/>
              <w:spacing w:before="89"/>
              <w:ind w:left="124"/>
              <w:rPr>
                <w:sz w:val="21"/>
              </w:rPr>
            </w:pPr>
            <w:r>
              <w:rPr>
                <w:sz w:val="21"/>
              </w:rPr>
              <w:t>一小时</w:t>
            </w:r>
          </w:p>
        </w:tc>
        <w:tc>
          <w:tcPr>
            <w:tcW w:w="1394" w:type="dxa"/>
          </w:tcPr>
          <w:p w14:paraId="0A5DCE8F">
            <w:pPr>
              <w:pStyle w:val="14"/>
              <w:spacing w:before="105"/>
              <w:ind w:left="144" w:right="137"/>
              <w:jc w:val="center"/>
              <w:rPr>
                <w:rFonts w:ascii="Times New Roman"/>
                <w:sz w:val="21"/>
              </w:rPr>
            </w:pPr>
            <w:r>
              <w:rPr>
                <w:rFonts w:ascii="Times New Roman"/>
                <w:sz w:val="21"/>
              </w:rPr>
              <w:t>200</w:t>
            </w:r>
          </w:p>
        </w:tc>
        <w:tc>
          <w:tcPr>
            <w:tcW w:w="4275" w:type="dxa"/>
            <w:vMerge w:val="restart"/>
          </w:tcPr>
          <w:p w14:paraId="12CEE6B8">
            <w:pPr>
              <w:pStyle w:val="14"/>
              <w:spacing w:before="185"/>
              <w:ind w:left="47" w:right="41"/>
              <w:jc w:val="center"/>
              <w:rPr>
                <w:rFonts w:ascii="Times New Roman" w:eastAsia="Times New Roman"/>
                <w:sz w:val="21"/>
              </w:rPr>
            </w:pPr>
            <w:r>
              <w:rPr>
                <w:sz w:val="21"/>
              </w:rPr>
              <w:t>《环境影响评价技术导则大气环境》（</w:t>
            </w:r>
            <w:r>
              <w:rPr>
                <w:rFonts w:ascii="Times New Roman" w:eastAsia="Times New Roman"/>
                <w:sz w:val="21"/>
              </w:rPr>
              <w:t>HJ2.2-</w:t>
            </w:r>
          </w:p>
          <w:p w14:paraId="571095AC">
            <w:pPr>
              <w:pStyle w:val="14"/>
              <w:spacing w:before="5"/>
              <w:ind w:left="47" w:right="39"/>
              <w:jc w:val="center"/>
              <w:rPr>
                <w:rFonts w:ascii="Times New Roman" w:eastAsia="Times New Roman"/>
                <w:sz w:val="21"/>
              </w:rPr>
            </w:pPr>
            <w:r>
              <w:rPr>
                <w:rFonts w:ascii="Times New Roman" w:eastAsia="Times New Roman"/>
                <w:sz w:val="21"/>
              </w:rPr>
              <w:t>2018</w:t>
            </w:r>
            <w:r>
              <w:rPr>
                <w:sz w:val="21"/>
              </w:rPr>
              <w:t xml:space="preserve">）附录 </w:t>
            </w:r>
            <w:r>
              <w:rPr>
                <w:rFonts w:ascii="Times New Roman" w:eastAsia="Times New Roman"/>
                <w:sz w:val="21"/>
              </w:rPr>
              <w:t>D</w:t>
            </w:r>
          </w:p>
        </w:tc>
      </w:tr>
      <w:tr w14:paraId="01C2E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91" w:type="dxa"/>
          </w:tcPr>
          <w:p w14:paraId="05965845">
            <w:pPr>
              <w:pStyle w:val="14"/>
              <w:spacing w:before="101"/>
              <w:ind w:left="376"/>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879" w:type="dxa"/>
            <w:vMerge w:val="continue"/>
            <w:tcBorders>
              <w:top w:val="nil"/>
            </w:tcBorders>
          </w:tcPr>
          <w:p w14:paraId="0E477AAD">
            <w:pPr>
              <w:rPr>
                <w:sz w:val="2"/>
                <w:szCs w:val="2"/>
              </w:rPr>
            </w:pPr>
          </w:p>
        </w:tc>
        <w:tc>
          <w:tcPr>
            <w:tcW w:w="883" w:type="dxa"/>
          </w:tcPr>
          <w:p w14:paraId="0A3BFE7E">
            <w:pPr>
              <w:pStyle w:val="14"/>
              <w:spacing w:before="91"/>
              <w:ind w:left="124"/>
              <w:rPr>
                <w:sz w:val="21"/>
              </w:rPr>
            </w:pPr>
            <w:r>
              <w:rPr>
                <w:sz w:val="21"/>
              </w:rPr>
              <w:t>一小时</w:t>
            </w:r>
          </w:p>
        </w:tc>
        <w:tc>
          <w:tcPr>
            <w:tcW w:w="1394" w:type="dxa"/>
          </w:tcPr>
          <w:p w14:paraId="42226164">
            <w:pPr>
              <w:pStyle w:val="14"/>
              <w:spacing w:before="105"/>
              <w:ind w:left="144" w:right="137"/>
              <w:jc w:val="center"/>
              <w:rPr>
                <w:rFonts w:ascii="Times New Roman"/>
                <w:sz w:val="21"/>
              </w:rPr>
            </w:pPr>
            <w:r>
              <w:rPr>
                <w:rFonts w:ascii="Times New Roman"/>
                <w:sz w:val="21"/>
              </w:rPr>
              <w:t>10</w:t>
            </w:r>
          </w:p>
        </w:tc>
        <w:tc>
          <w:tcPr>
            <w:tcW w:w="4275" w:type="dxa"/>
            <w:vMerge w:val="continue"/>
            <w:tcBorders>
              <w:top w:val="nil"/>
            </w:tcBorders>
          </w:tcPr>
          <w:p w14:paraId="1224D80E">
            <w:pPr>
              <w:rPr>
                <w:sz w:val="2"/>
                <w:szCs w:val="2"/>
              </w:rPr>
            </w:pPr>
          </w:p>
        </w:tc>
      </w:tr>
    </w:tbl>
    <w:p w14:paraId="2F2BFA21">
      <w:pPr>
        <w:pStyle w:val="7"/>
        <w:ind w:left="760"/>
      </w:pPr>
      <w:r>
        <w:t>（</w:t>
      </w:r>
      <w:r>
        <w:rPr>
          <w:rFonts w:ascii="Times New Roman" w:eastAsia="Times New Roman"/>
        </w:rPr>
        <w:t>2</w:t>
      </w:r>
      <w:r>
        <w:t>）污染源参数</w:t>
      </w:r>
    </w:p>
    <w:p w14:paraId="1AAFC3FB">
      <w:pPr>
        <w:pStyle w:val="7"/>
        <w:spacing w:before="10"/>
        <w:rPr>
          <w:sz w:val="21"/>
        </w:rPr>
      </w:pPr>
    </w:p>
    <w:p w14:paraId="122D921C">
      <w:pPr>
        <w:spacing w:before="0"/>
        <w:ind w:left="262" w:right="322" w:firstLine="0"/>
        <w:jc w:val="center"/>
        <w:rPr>
          <w:rFonts w:ascii="Times New Roman" w:eastAsia="Times New Roman"/>
          <w:b/>
          <w:sz w:val="21"/>
        </w:rPr>
      </w:pPr>
      <w:r>
        <w:rPr>
          <w:b/>
          <w:sz w:val="21"/>
        </w:rPr>
        <w:t xml:space="preserve">表 </w:t>
      </w:r>
      <w:r>
        <w:rPr>
          <w:rFonts w:ascii="Times New Roman" w:eastAsia="Times New Roman"/>
          <w:b/>
          <w:sz w:val="21"/>
        </w:rPr>
        <w:t xml:space="preserve">2.5-3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14:paraId="25100F46">
      <w:pPr>
        <w:pStyle w:val="7"/>
        <w:spacing w:before="8"/>
        <w:rPr>
          <w:rFonts w:ascii="Times New Roman"/>
          <w:b/>
          <w:sz w:val="10"/>
        </w:rPr>
      </w:pPr>
    </w:p>
    <w:tbl>
      <w:tblPr>
        <w:tblStyle w:val="10"/>
        <w:tblW w:w="0" w:type="auto"/>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081"/>
        <w:gridCol w:w="1002"/>
        <w:gridCol w:w="633"/>
        <w:gridCol w:w="493"/>
        <w:gridCol w:w="493"/>
        <w:gridCol w:w="525"/>
        <w:gridCol w:w="633"/>
        <w:gridCol w:w="725"/>
        <w:gridCol w:w="725"/>
        <w:gridCol w:w="725"/>
        <w:gridCol w:w="726"/>
      </w:tblGrid>
      <w:tr w14:paraId="6531B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761" w:type="dxa"/>
            <w:tcBorders>
              <w:bottom w:val="nil"/>
            </w:tcBorders>
          </w:tcPr>
          <w:p w14:paraId="6F9B0D4B">
            <w:pPr>
              <w:pStyle w:val="14"/>
              <w:rPr>
                <w:rFonts w:ascii="Times New Roman"/>
                <w:sz w:val="18"/>
              </w:rPr>
            </w:pPr>
          </w:p>
        </w:tc>
        <w:tc>
          <w:tcPr>
            <w:tcW w:w="2083" w:type="dxa"/>
            <w:gridSpan w:val="2"/>
            <w:tcBorders>
              <w:bottom w:val="nil"/>
            </w:tcBorders>
          </w:tcPr>
          <w:p w14:paraId="280D1E95">
            <w:pPr>
              <w:pStyle w:val="14"/>
              <w:spacing w:line="245" w:lineRule="exact"/>
              <w:ind w:left="198"/>
              <w:rPr>
                <w:b/>
                <w:sz w:val="21"/>
              </w:rPr>
            </w:pPr>
            <w:r>
              <w:rPr>
                <w:b/>
                <w:sz w:val="21"/>
              </w:rPr>
              <w:t>排气筒底部中心坐</w:t>
            </w:r>
          </w:p>
        </w:tc>
        <w:tc>
          <w:tcPr>
            <w:tcW w:w="633" w:type="dxa"/>
            <w:tcBorders>
              <w:bottom w:val="nil"/>
            </w:tcBorders>
          </w:tcPr>
          <w:p w14:paraId="056ADFC5">
            <w:pPr>
              <w:pStyle w:val="14"/>
              <w:spacing w:line="245" w:lineRule="exact"/>
              <w:ind w:left="211"/>
              <w:rPr>
                <w:b/>
                <w:sz w:val="21"/>
              </w:rPr>
            </w:pPr>
            <w:r>
              <w:rPr>
                <w:b/>
                <w:w w:val="99"/>
                <w:sz w:val="21"/>
              </w:rPr>
              <w:t>排</w:t>
            </w:r>
          </w:p>
        </w:tc>
        <w:tc>
          <w:tcPr>
            <w:tcW w:w="2144" w:type="dxa"/>
            <w:gridSpan w:val="4"/>
            <w:vMerge w:val="restart"/>
          </w:tcPr>
          <w:p w14:paraId="388D784C">
            <w:pPr>
              <w:pStyle w:val="14"/>
              <w:spacing w:before="135"/>
              <w:ind w:left="545"/>
              <w:rPr>
                <w:b/>
                <w:sz w:val="21"/>
              </w:rPr>
            </w:pPr>
            <w:r>
              <w:rPr>
                <w:b/>
                <w:sz w:val="21"/>
              </w:rPr>
              <w:t>排气筒参数</w:t>
            </w:r>
          </w:p>
        </w:tc>
        <w:tc>
          <w:tcPr>
            <w:tcW w:w="2901" w:type="dxa"/>
            <w:gridSpan w:val="4"/>
            <w:vMerge w:val="restart"/>
          </w:tcPr>
          <w:p w14:paraId="0346D073">
            <w:pPr>
              <w:pStyle w:val="14"/>
              <w:spacing w:before="135"/>
              <w:ind w:left="443"/>
              <w:rPr>
                <w:rFonts w:ascii="Times New Roman" w:eastAsia="Times New Roman"/>
                <w:b/>
                <w:sz w:val="21"/>
              </w:rPr>
            </w:pPr>
            <w:r>
              <w:rPr>
                <w:b/>
                <w:sz w:val="21"/>
              </w:rPr>
              <w:t>污染物排放速率</w:t>
            </w:r>
            <w:r>
              <w:rPr>
                <w:rFonts w:ascii="Times New Roman" w:eastAsia="Times New Roman"/>
                <w:b/>
                <w:sz w:val="21"/>
              </w:rPr>
              <w:t>(kg/h)</w:t>
            </w:r>
          </w:p>
        </w:tc>
      </w:tr>
      <w:tr w14:paraId="237D2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61" w:type="dxa"/>
            <w:tcBorders>
              <w:top w:val="nil"/>
              <w:bottom w:val="nil"/>
            </w:tcBorders>
          </w:tcPr>
          <w:p w14:paraId="47958B5E">
            <w:pPr>
              <w:pStyle w:val="14"/>
              <w:rPr>
                <w:rFonts w:ascii="Times New Roman"/>
                <w:sz w:val="20"/>
              </w:rPr>
            </w:pPr>
          </w:p>
        </w:tc>
        <w:tc>
          <w:tcPr>
            <w:tcW w:w="2083" w:type="dxa"/>
            <w:gridSpan w:val="2"/>
            <w:tcBorders>
              <w:top w:val="nil"/>
            </w:tcBorders>
          </w:tcPr>
          <w:p w14:paraId="109CDD60">
            <w:pPr>
              <w:pStyle w:val="14"/>
              <w:spacing w:before="2" w:line="253" w:lineRule="exact"/>
              <w:ind w:left="802" w:right="800"/>
              <w:jc w:val="center"/>
              <w:rPr>
                <w:rFonts w:ascii="Times New Roman" w:hAnsi="Times New Roman" w:eastAsia="Times New Roman"/>
                <w:b/>
                <w:sz w:val="21"/>
              </w:rPr>
            </w:pPr>
            <w:r>
              <w:rPr>
                <w:b/>
                <w:sz w:val="21"/>
              </w:rPr>
              <w:t>标</w:t>
            </w:r>
            <w:r>
              <w:rPr>
                <w:rFonts w:ascii="Times New Roman" w:hAnsi="Times New Roman" w:eastAsia="Times New Roman"/>
                <w:b/>
                <w:sz w:val="21"/>
              </w:rPr>
              <w:t>(°)</w:t>
            </w:r>
          </w:p>
        </w:tc>
        <w:tc>
          <w:tcPr>
            <w:tcW w:w="633" w:type="dxa"/>
            <w:tcBorders>
              <w:top w:val="nil"/>
              <w:bottom w:val="nil"/>
            </w:tcBorders>
          </w:tcPr>
          <w:p w14:paraId="5F12D215">
            <w:pPr>
              <w:pStyle w:val="14"/>
              <w:spacing w:before="2" w:line="253" w:lineRule="exact"/>
              <w:ind w:left="211"/>
              <w:rPr>
                <w:b/>
                <w:sz w:val="21"/>
              </w:rPr>
            </w:pPr>
            <w:r>
              <w:rPr>
                <w:b/>
                <w:w w:val="99"/>
                <w:sz w:val="21"/>
              </w:rPr>
              <w:t>气</w:t>
            </w:r>
          </w:p>
        </w:tc>
        <w:tc>
          <w:tcPr>
            <w:tcW w:w="2144" w:type="dxa"/>
            <w:gridSpan w:val="4"/>
            <w:vMerge w:val="continue"/>
            <w:tcBorders>
              <w:top w:val="nil"/>
            </w:tcBorders>
          </w:tcPr>
          <w:p w14:paraId="62330ECF">
            <w:pPr>
              <w:rPr>
                <w:sz w:val="2"/>
                <w:szCs w:val="2"/>
              </w:rPr>
            </w:pPr>
          </w:p>
        </w:tc>
        <w:tc>
          <w:tcPr>
            <w:tcW w:w="2901" w:type="dxa"/>
            <w:gridSpan w:val="4"/>
            <w:vMerge w:val="continue"/>
            <w:tcBorders>
              <w:top w:val="nil"/>
            </w:tcBorders>
          </w:tcPr>
          <w:p w14:paraId="4EDB8450">
            <w:pPr>
              <w:rPr>
                <w:sz w:val="2"/>
                <w:szCs w:val="2"/>
              </w:rPr>
            </w:pPr>
          </w:p>
        </w:tc>
      </w:tr>
      <w:tr w14:paraId="2E847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61" w:type="dxa"/>
            <w:tcBorders>
              <w:top w:val="nil"/>
              <w:bottom w:val="nil"/>
            </w:tcBorders>
          </w:tcPr>
          <w:p w14:paraId="77DC115B">
            <w:pPr>
              <w:pStyle w:val="14"/>
              <w:rPr>
                <w:rFonts w:ascii="Times New Roman"/>
                <w:sz w:val="18"/>
              </w:rPr>
            </w:pPr>
          </w:p>
        </w:tc>
        <w:tc>
          <w:tcPr>
            <w:tcW w:w="1081" w:type="dxa"/>
            <w:tcBorders>
              <w:bottom w:val="nil"/>
            </w:tcBorders>
          </w:tcPr>
          <w:p w14:paraId="2BF52132">
            <w:pPr>
              <w:pStyle w:val="14"/>
              <w:rPr>
                <w:rFonts w:ascii="Times New Roman"/>
                <w:sz w:val="18"/>
              </w:rPr>
            </w:pPr>
          </w:p>
        </w:tc>
        <w:tc>
          <w:tcPr>
            <w:tcW w:w="1002" w:type="dxa"/>
            <w:tcBorders>
              <w:bottom w:val="nil"/>
            </w:tcBorders>
          </w:tcPr>
          <w:p w14:paraId="3DBED65C">
            <w:pPr>
              <w:pStyle w:val="14"/>
              <w:rPr>
                <w:rFonts w:ascii="Times New Roman"/>
                <w:sz w:val="18"/>
              </w:rPr>
            </w:pPr>
          </w:p>
        </w:tc>
        <w:tc>
          <w:tcPr>
            <w:tcW w:w="633" w:type="dxa"/>
            <w:tcBorders>
              <w:top w:val="nil"/>
              <w:bottom w:val="nil"/>
            </w:tcBorders>
          </w:tcPr>
          <w:p w14:paraId="106F035E">
            <w:pPr>
              <w:pStyle w:val="14"/>
              <w:spacing w:line="245" w:lineRule="exact"/>
              <w:ind w:left="211"/>
              <w:rPr>
                <w:b/>
                <w:sz w:val="21"/>
              </w:rPr>
            </w:pPr>
            <w:r>
              <w:rPr>
                <w:b/>
                <w:w w:val="99"/>
                <w:sz w:val="21"/>
              </w:rPr>
              <w:t>筒</w:t>
            </w:r>
          </w:p>
        </w:tc>
        <w:tc>
          <w:tcPr>
            <w:tcW w:w="493" w:type="dxa"/>
            <w:tcBorders>
              <w:bottom w:val="nil"/>
            </w:tcBorders>
          </w:tcPr>
          <w:p w14:paraId="540A2501">
            <w:pPr>
              <w:pStyle w:val="14"/>
              <w:rPr>
                <w:rFonts w:ascii="Times New Roman"/>
                <w:sz w:val="18"/>
              </w:rPr>
            </w:pPr>
          </w:p>
        </w:tc>
        <w:tc>
          <w:tcPr>
            <w:tcW w:w="493" w:type="dxa"/>
            <w:tcBorders>
              <w:bottom w:val="nil"/>
            </w:tcBorders>
          </w:tcPr>
          <w:p w14:paraId="2A1531CE">
            <w:pPr>
              <w:pStyle w:val="14"/>
              <w:rPr>
                <w:rFonts w:ascii="Times New Roman"/>
                <w:sz w:val="18"/>
              </w:rPr>
            </w:pPr>
          </w:p>
        </w:tc>
        <w:tc>
          <w:tcPr>
            <w:tcW w:w="525" w:type="dxa"/>
            <w:tcBorders>
              <w:bottom w:val="nil"/>
            </w:tcBorders>
          </w:tcPr>
          <w:p w14:paraId="02522775">
            <w:pPr>
              <w:pStyle w:val="14"/>
              <w:rPr>
                <w:rFonts w:ascii="Times New Roman"/>
                <w:sz w:val="18"/>
              </w:rPr>
            </w:pPr>
          </w:p>
        </w:tc>
        <w:tc>
          <w:tcPr>
            <w:tcW w:w="633" w:type="dxa"/>
            <w:tcBorders>
              <w:bottom w:val="nil"/>
            </w:tcBorders>
          </w:tcPr>
          <w:p w14:paraId="60ACF1C8">
            <w:pPr>
              <w:pStyle w:val="14"/>
              <w:rPr>
                <w:rFonts w:ascii="Times New Roman"/>
                <w:sz w:val="18"/>
              </w:rPr>
            </w:pPr>
          </w:p>
        </w:tc>
        <w:tc>
          <w:tcPr>
            <w:tcW w:w="725" w:type="dxa"/>
            <w:tcBorders>
              <w:bottom w:val="nil"/>
            </w:tcBorders>
          </w:tcPr>
          <w:p w14:paraId="561CD478">
            <w:pPr>
              <w:pStyle w:val="14"/>
              <w:rPr>
                <w:rFonts w:ascii="Times New Roman"/>
                <w:sz w:val="18"/>
              </w:rPr>
            </w:pPr>
          </w:p>
        </w:tc>
        <w:tc>
          <w:tcPr>
            <w:tcW w:w="725" w:type="dxa"/>
            <w:tcBorders>
              <w:bottom w:val="nil"/>
            </w:tcBorders>
          </w:tcPr>
          <w:p w14:paraId="2A919AC1">
            <w:pPr>
              <w:pStyle w:val="14"/>
              <w:rPr>
                <w:rFonts w:ascii="Times New Roman"/>
                <w:sz w:val="18"/>
              </w:rPr>
            </w:pPr>
          </w:p>
        </w:tc>
        <w:tc>
          <w:tcPr>
            <w:tcW w:w="725" w:type="dxa"/>
            <w:tcBorders>
              <w:bottom w:val="nil"/>
            </w:tcBorders>
          </w:tcPr>
          <w:p w14:paraId="632DD366">
            <w:pPr>
              <w:pStyle w:val="14"/>
              <w:rPr>
                <w:rFonts w:ascii="Times New Roman"/>
                <w:sz w:val="18"/>
              </w:rPr>
            </w:pPr>
          </w:p>
        </w:tc>
        <w:tc>
          <w:tcPr>
            <w:tcW w:w="726" w:type="dxa"/>
            <w:tcBorders>
              <w:bottom w:val="nil"/>
            </w:tcBorders>
          </w:tcPr>
          <w:p w14:paraId="2071C79B">
            <w:pPr>
              <w:pStyle w:val="14"/>
              <w:rPr>
                <w:rFonts w:ascii="Times New Roman"/>
                <w:sz w:val="18"/>
              </w:rPr>
            </w:pPr>
          </w:p>
        </w:tc>
      </w:tr>
      <w:tr w14:paraId="7076F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761" w:type="dxa"/>
            <w:tcBorders>
              <w:top w:val="nil"/>
              <w:bottom w:val="nil"/>
            </w:tcBorders>
          </w:tcPr>
          <w:p w14:paraId="511976A7">
            <w:pPr>
              <w:pStyle w:val="14"/>
              <w:spacing w:before="122" w:line="242" w:lineRule="auto"/>
              <w:ind w:left="167" w:right="165"/>
              <w:jc w:val="both"/>
              <w:rPr>
                <w:b/>
                <w:sz w:val="21"/>
              </w:rPr>
            </w:pPr>
            <w:r>
              <w:rPr>
                <w:b/>
                <w:sz w:val="21"/>
              </w:rPr>
              <w:t>污染源名称</w:t>
            </w:r>
          </w:p>
        </w:tc>
        <w:tc>
          <w:tcPr>
            <w:tcW w:w="1081" w:type="dxa"/>
            <w:tcBorders>
              <w:top w:val="nil"/>
              <w:bottom w:val="nil"/>
            </w:tcBorders>
          </w:tcPr>
          <w:p w14:paraId="4BCD7037">
            <w:pPr>
              <w:pStyle w:val="14"/>
              <w:rPr>
                <w:rFonts w:ascii="Times New Roman"/>
                <w:b/>
                <w:sz w:val="20"/>
              </w:rPr>
            </w:pPr>
          </w:p>
          <w:p w14:paraId="08F2ACB8">
            <w:pPr>
              <w:pStyle w:val="14"/>
              <w:rPr>
                <w:rFonts w:ascii="Times New Roman"/>
                <w:b/>
                <w:sz w:val="20"/>
              </w:rPr>
            </w:pPr>
          </w:p>
          <w:p w14:paraId="01274047">
            <w:pPr>
              <w:pStyle w:val="14"/>
              <w:spacing w:before="2"/>
              <w:rPr>
                <w:rFonts w:ascii="Times New Roman"/>
                <w:b/>
                <w:sz w:val="18"/>
              </w:rPr>
            </w:pPr>
          </w:p>
          <w:p w14:paraId="66D704E4">
            <w:pPr>
              <w:pStyle w:val="14"/>
              <w:ind w:left="123" w:right="122"/>
              <w:jc w:val="center"/>
              <w:rPr>
                <w:b/>
                <w:sz w:val="21"/>
              </w:rPr>
            </w:pPr>
            <w:r>
              <w:rPr>
                <w:b/>
                <w:sz w:val="21"/>
              </w:rPr>
              <w:t>经度</w:t>
            </w:r>
          </w:p>
        </w:tc>
        <w:tc>
          <w:tcPr>
            <w:tcW w:w="1002" w:type="dxa"/>
            <w:tcBorders>
              <w:top w:val="nil"/>
              <w:bottom w:val="nil"/>
            </w:tcBorders>
          </w:tcPr>
          <w:p w14:paraId="6CAFA5F7">
            <w:pPr>
              <w:pStyle w:val="14"/>
              <w:rPr>
                <w:rFonts w:ascii="Times New Roman"/>
                <w:b/>
                <w:sz w:val="20"/>
              </w:rPr>
            </w:pPr>
          </w:p>
          <w:p w14:paraId="02076345">
            <w:pPr>
              <w:pStyle w:val="14"/>
              <w:rPr>
                <w:rFonts w:ascii="Times New Roman"/>
                <w:b/>
                <w:sz w:val="20"/>
              </w:rPr>
            </w:pPr>
          </w:p>
          <w:p w14:paraId="465313C0">
            <w:pPr>
              <w:pStyle w:val="14"/>
              <w:spacing w:before="2"/>
              <w:rPr>
                <w:rFonts w:ascii="Times New Roman"/>
                <w:b/>
                <w:sz w:val="18"/>
              </w:rPr>
            </w:pPr>
          </w:p>
          <w:p w14:paraId="6FAA45C3">
            <w:pPr>
              <w:pStyle w:val="14"/>
              <w:ind w:left="136" w:right="135"/>
              <w:jc w:val="center"/>
              <w:rPr>
                <w:b/>
                <w:sz w:val="21"/>
              </w:rPr>
            </w:pPr>
            <w:r>
              <w:rPr>
                <w:b/>
                <w:sz w:val="21"/>
              </w:rPr>
              <w:t>纬度</w:t>
            </w:r>
          </w:p>
        </w:tc>
        <w:tc>
          <w:tcPr>
            <w:tcW w:w="633" w:type="dxa"/>
            <w:tcBorders>
              <w:top w:val="nil"/>
              <w:bottom w:val="nil"/>
            </w:tcBorders>
          </w:tcPr>
          <w:p w14:paraId="5D8CDE00">
            <w:pPr>
              <w:pStyle w:val="14"/>
              <w:spacing w:before="2" w:line="242" w:lineRule="auto"/>
              <w:ind w:left="211" w:right="205"/>
              <w:jc w:val="both"/>
              <w:rPr>
                <w:b/>
                <w:sz w:val="21"/>
              </w:rPr>
            </w:pPr>
            <w:r>
              <w:rPr>
                <w:b/>
                <w:sz w:val="21"/>
              </w:rPr>
              <w:t>底部海拔</w:t>
            </w:r>
          </w:p>
          <w:p w14:paraId="3437779C">
            <w:pPr>
              <w:pStyle w:val="14"/>
              <w:spacing w:before="2" w:line="251" w:lineRule="exact"/>
              <w:ind w:left="211"/>
              <w:jc w:val="both"/>
              <w:rPr>
                <w:b/>
                <w:sz w:val="21"/>
              </w:rPr>
            </w:pPr>
            <w:r>
              <w:rPr>
                <w:b/>
                <w:w w:val="99"/>
                <w:sz w:val="21"/>
              </w:rPr>
              <w:t>高</w:t>
            </w:r>
          </w:p>
        </w:tc>
        <w:tc>
          <w:tcPr>
            <w:tcW w:w="493" w:type="dxa"/>
            <w:tcBorders>
              <w:top w:val="nil"/>
              <w:bottom w:val="nil"/>
            </w:tcBorders>
          </w:tcPr>
          <w:p w14:paraId="4111CF3E">
            <w:pPr>
              <w:pStyle w:val="14"/>
              <w:spacing w:before="4"/>
              <w:rPr>
                <w:rFonts w:ascii="Times New Roman"/>
                <w:b/>
                <w:sz w:val="25"/>
              </w:rPr>
            </w:pPr>
          </w:p>
          <w:p w14:paraId="31718059">
            <w:pPr>
              <w:pStyle w:val="14"/>
              <w:spacing w:before="1" w:line="242" w:lineRule="auto"/>
              <w:ind w:left="122" w:right="119" w:firstLine="16"/>
              <w:jc w:val="both"/>
              <w:rPr>
                <w:rFonts w:ascii="Times New Roman" w:eastAsia="Times New Roman"/>
                <w:b/>
                <w:sz w:val="21"/>
              </w:rPr>
            </w:pPr>
            <w:r>
              <w:rPr>
                <w:b/>
                <w:sz w:val="21"/>
              </w:rPr>
              <w:t>高度</w:t>
            </w:r>
            <w:r>
              <w:rPr>
                <w:rFonts w:ascii="Times New Roman" w:eastAsia="Times New Roman"/>
                <w:b/>
                <w:sz w:val="21"/>
              </w:rPr>
              <w:t>(m</w:t>
            </w:r>
          </w:p>
          <w:p w14:paraId="1461EC7A">
            <w:pPr>
              <w:pStyle w:val="14"/>
              <w:spacing w:line="238" w:lineRule="exact"/>
              <w:ind w:left="4"/>
              <w:jc w:val="center"/>
              <w:rPr>
                <w:rFonts w:ascii="Times New Roman"/>
                <w:b/>
                <w:sz w:val="21"/>
              </w:rPr>
            </w:pPr>
            <w:r>
              <w:rPr>
                <w:rFonts w:ascii="Times New Roman"/>
                <w:b/>
                <w:w w:val="99"/>
                <w:sz w:val="21"/>
              </w:rPr>
              <w:t>)</w:t>
            </w:r>
          </w:p>
        </w:tc>
        <w:tc>
          <w:tcPr>
            <w:tcW w:w="493" w:type="dxa"/>
            <w:tcBorders>
              <w:top w:val="nil"/>
              <w:bottom w:val="nil"/>
            </w:tcBorders>
          </w:tcPr>
          <w:p w14:paraId="2B5FFD36">
            <w:pPr>
              <w:pStyle w:val="14"/>
              <w:spacing w:before="4"/>
              <w:rPr>
                <w:rFonts w:ascii="Times New Roman"/>
                <w:b/>
                <w:sz w:val="25"/>
              </w:rPr>
            </w:pPr>
          </w:p>
          <w:p w14:paraId="05F1E36A">
            <w:pPr>
              <w:pStyle w:val="14"/>
              <w:spacing w:before="1" w:line="242" w:lineRule="auto"/>
              <w:ind w:left="124" w:right="118" w:firstLine="16"/>
              <w:jc w:val="both"/>
              <w:rPr>
                <w:rFonts w:ascii="Times New Roman" w:eastAsia="Times New Roman"/>
                <w:b/>
                <w:sz w:val="21"/>
              </w:rPr>
            </w:pPr>
            <w:r>
              <w:rPr>
                <w:b/>
                <w:sz w:val="21"/>
              </w:rPr>
              <w:t>内径</w:t>
            </w:r>
            <w:r>
              <w:rPr>
                <w:rFonts w:ascii="Times New Roman" w:eastAsia="Times New Roman"/>
                <w:b/>
                <w:sz w:val="21"/>
              </w:rPr>
              <w:t>(m</w:t>
            </w:r>
          </w:p>
          <w:p w14:paraId="63732947">
            <w:pPr>
              <w:pStyle w:val="14"/>
              <w:spacing w:line="238" w:lineRule="exact"/>
              <w:ind w:left="2"/>
              <w:jc w:val="center"/>
              <w:rPr>
                <w:rFonts w:ascii="Times New Roman"/>
                <w:b/>
                <w:sz w:val="21"/>
              </w:rPr>
            </w:pPr>
            <w:r>
              <w:rPr>
                <w:rFonts w:ascii="Times New Roman"/>
                <w:b/>
                <w:w w:val="99"/>
                <w:sz w:val="21"/>
              </w:rPr>
              <w:t>)</w:t>
            </w:r>
          </w:p>
        </w:tc>
        <w:tc>
          <w:tcPr>
            <w:tcW w:w="525" w:type="dxa"/>
            <w:tcBorders>
              <w:top w:val="nil"/>
              <w:bottom w:val="nil"/>
            </w:tcBorders>
          </w:tcPr>
          <w:p w14:paraId="3795228F">
            <w:pPr>
              <w:pStyle w:val="14"/>
              <w:spacing w:before="11"/>
              <w:rPr>
                <w:rFonts w:ascii="Times New Roman"/>
                <w:b/>
                <w:sz w:val="23"/>
              </w:rPr>
            </w:pPr>
          </w:p>
          <w:p w14:paraId="65B243CD">
            <w:pPr>
              <w:pStyle w:val="14"/>
              <w:spacing w:line="242" w:lineRule="auto"/>
              <w:ind w:left="120" w:right="118" w:firstLine="36"/>
              <w:jc w:val="both"/>
              <w:rPr>
                <w:b/>
                <w:sz w:val="21"/>
              </w:rPr>
            </w:pPr>
            <w:r>
              <w:rPr>
                <w:b/>
                <w:sz w:val="21"/>
              </w:rPr>
              <w:t>温度</w:t>
            </w:r>
            <w:r>
              <w:rPr>
                <w:rFonts w:ascii="Times New Roman" w:hAnsi="Times New Roman" w:eastAsia="Times New Roman"/>
                <w:b/>
                <w:sz w:val="21"/>
              </w:rPr>
              <w:t>(</w:t>
            </w:r>
            <w:r>
              <w:rPr>
                <w:b/>
                <w:sz w:val="21"/>
              </w:rPr>
              <w:t>℃</w:t>
            </w:r>
          </w:p>
          <w:p w14:paraId="36CD31C6">
            <w:pPr>
              <w:pStyle w:val="14"/>
              <w:ind w:left="2"/>
              <w:jc w:val="center"/>
              <w:rPr>
                <w:rFonts w:ascii="Times New Roman"/>
                <w:b/>
                <w:sz w:val="21"/>
              </w:rPr>
            </w:pPr>
            <w:r>
              <w:rPr>
                <w:rFonts w:ascii="Times New Roman"/>
                <w:b/>
                <w:w w:val="99"/>
                <w:sz w:val="21"/>
              </w:rPr>
              <w:t>)</w:t>
            </w:r>
          </w:p>
        </w:tc>
        <w:tc>
          <w:tcPr>
            <w:tcW w:w="633" w:type="dxa"/>
            <w:tcBorders>
              <w:top w:val="nil"/>
              <w:bottom w:val="nil"/>
            </w:tcBorders>
          </w:tcPr>
          <w:p w14:paraId="7763ED25">
            <w:pPr>
              <w:pStyle w:val="14"/>
              <w:spacing w:before="4"/>
              <w:rPr>
                <w:rFonts w:ascii="Times New Roman"/>
                <w:b/>
                <w:sz w:val="25"/>
              </w:rPr>
            </w:pPr>
          </w:p>
          <w:p w14:paraId="30371A88">
            <w:pPr>
              <w:pStyle w:val="14"/>
              <w:spacing w:before="1" w:line="242" w:lineRule="auto"/>
              <w:ind w:left="123" w:right="118" w:firstLine="86"/>
              <w:jc w:val="both"/>
              <w:rPr>
                <w:rFonts w:ascii="Times New Roman" w:eastAsia="Times New Roman"/>
                <w:b/>
                <w:sz w:val="21"/>
              </w:rPr>
            </w:pPr>
            <w:r>
              <w:rPr>
                <w:b/>
                <w:sz w:val="21"/>
              </w:rPr>
              <w:t>流速</w:t>
            </w:r>
            <w:r>
              <w:rPr>
                <w:rFonts w:ascii="Times New Roman" w:eastAsia="Times New Roman"/>
                <w:b/>
                <w:sz w:val="21"/>
              </w:rPr>
              <w:t>(m/s</w:t>
            </w:r>
          </w:p>
          <w:p w14:paraId="360E8798">
            <w:pPr>
              <w:pStyle w:val="14"/>
              <w:spacing w:line="238" w:lineRule="exact"/>
              <w:ind w:left="1"/>
              <w:jc w:val="center"/>
              <w:rPr>
                <w:rFonts w:ascii="Times New Roman"/>
                <w:b/>
                <w:sz w:val="21"/>
              </w:rPr>
            </w:pPr>
            <w:r>
              <w:rPr>
                <w:rFonts w:ascii="Times New Roman"/>
                <w:b/>
                <w:w w:val="99"/>
                <w:sz w:val="21"/>
              </w:rPr>
              <w:t>)</w:t>
            </w:r>
          </w:p>
        </w:tc>
        <w:tc>
          <w:tcPr>
            <w:tcW w:w="725" w:type="dxa"/>
            <w:tcBorders>
              <w:top w:val="nil"/>
              <w:bottom w:val="nil"/>
            </w:tcBorders>
          </w:tcPr>
          <w:p w14:paraId="22D58D52">
            <w:pPr>
              <w:pStyle w:val="14"/>
              <w:rPr>
                <w:rFonts w:ascii="Times New Roman"/>
                <w:b/>
                <w:sz w:val="22"/>
              </w:rPr>
            </w:pPr>
          </w:p>
          <w:p w14:paraId="6B9E8838">
            <w:pPr>
              <w:pStyle w:val="14"/>
              <w:rPr>
                <w:rFonts w:ascii="Times New Roman"/>
                <w:b/>
                <w:sz w:val="22"/>
              </w:rPr>
            </w:pPr>
          </w:p>
          <w:p w14:paraId="0BDD8DE2">
            <w:pPr>
              <w:pStyle w:val="14"/>
              <w:spacing w:before="174"/>
              <w:ind w:left="99" w:right="97"/>
              <w:jc w:val="center"/>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vertAlign w:val="baseline"/>
              </w:rPr>
              <w:t>S</w:t>
            </w:r>
          </w:p>
        </w:tc>
        <w:tc>
          <w:tcPr>
            <w:tcW w:w="725" w:type="dxa"/>
            <w:tcBorders>
              <w:top w:val="nil"/>
              <w:bottom w:val="nil"/>
            </w:tcBorders>
          </w:tcPr>
          <w:p w14:paraId="1F285FE4">
            <w:pPr>
              <w:pStyle w:val="14"/>
              <w:rPr>
                <w:rFonts w:ascii="Times New Roman"/>
                <w:b/>
                <w:sz w:val="22"/>
              </w:rPr>
            </w:pPr>
          </w:p>
          <w:p w14:paraId="18AD486D">
            <w:pPr>
              <w:pStyle w:val="14"/>
              <w:rPr>
                <w:rFonts w:ascii="Times New Roman"/>
                <w:b/>
                <w:sz w:val="22"/>
              </w:rPr>
            </w:pPr>
          </w:p>
          <w:p w14:paraId="7E24E489">
            <w:pPr>
              <w:pStyle w:val="14"/>
              <w:spacing w:before="174"/>
              <w:ind w:left="102" w:right="97"/>
              <w:jc w:val="center"/>
              <w:rPr>
                <w:rFonts w:ascii="Times New Roman"/>
                <w:b/>
                <w:sz w:val="21"/>
              </w:rPr>
            </w:pPr>
            <w:r>
              <w:rPr>
                <w:rFonts w:ascii="Times New Roman"/>
                <w:b/>
                <w:position w:val="2"/>
                <w:sz w:val="21"/>
              </w:rPr>
              <w:t>NH</w:t>
            </w:r>
            <w:r>
              <w:rPr>
                <w:rFonts w:ascii="Times New Roman"/>
                <w:b/>
                <w:position w:val="2"/>
                <w:sz w:val="21"/>
                <w:vertAlign w:val="subscript"/>
              </w:rPr>
              <w:t>3</w:t>
            </w:r>
          </w:p>
        </w:tc>
        <w:tc>
          <w:tcPr>
            <w:tcW w:w="725" w:type="dxa"/>
            <w:tcBorders>
              <w:top w:val="nil"/>
              <w:bottom w:val="nil"/>
            </w:tcBorders>
          </w:tcPr>
          <w:p w14:paraId="551F48D0">
            <w:pPr>
              <w:pStyle w:val="14"/>
              <w:rPr>
                <w:rFonts w:ascii="Times New Roman"/>
                <w:b/>
                <w:sz w:val="22"/>
              </w:rPr>
            </w:pPr>
          </w:p>
          <w:p w14:paraId="6EDD7950">
            <w:pPr>
              <w:pStyle w:val="14"/>
              <w:rPr>
                <w:rFonts w:ascii="Times New Roman"/>
                <w:b/>
                <w:sz w:val="22"/>
              </w:rPr>
            </w:pPr>
          </w:p>
          <w:p w14:paraId="77324D26">
            <w:pPr>
              <w:pStyle w:val="14"/>
              <w:spacing w:before="174"/>
              <w:ind w:left="188"/>
              <w:rPr>
                <w:rFonts w:ascii="Times New Roman"/>
                <w:b/>
                <w:sz w:val="21"/>
              </w:rPr>
            </w:pPr>
            <w:r>
              <w:rPr>
                <w:rFonts w:ascii="Times New Roman"/>
                <w:b/>
                <w:position w:val="2"/>
                <w:sz w:val="21"/>
              </w:rPr>
              <w:t>SO</w:t>
            </w:r>
            <w:r>
              <w:rPr>
                <w:rFonts w:ascii="Times New Roman"/>
                <w:b/>
                <w:position w:val="2"/>
                <w:sz w:val="21"/>
                <w:vertAlign w:val="subscript"/>
              </w:rPr>
              <w:t>2</w:t>
            </w:r>
          </w:p>
        </w:tc>
        <w:tc>
          <w:tcPr>
            <w:tcW w:w="726" w:type="dxa"/>
            <w:tcBorders>
              <w:top w:val="nil"/>
              <w:bottom w:val="nil"/>
            </w:tcBorders>
          </w:tcPr>
          <w:p w14:paraId="5C622572">
            <w:pPr>
              <w:pStyle w:val="14"/>
              <w:rPr>
                <w:rFonts w:ascii="Times New Roman"/>
                <w:b/>
                <w:sz w:val="22"/>
              </w:rPr>
            </w:pPr>
          </w:p>
          <w:p w14:paraId="7DE5F0FF">
            <w:pPr>
              <w:pStyle w:val="14"/>
              <w:rPr>
                <w:rFonts w:ascii="Times New Roman"/>
                <w:b/>
                <w:sz w:val="22"/>
              </w:rPr>
            </w:pPr>
          </w:p>
          <w:p w14:paraId="7D2DA922">
            <w:pPr>
              <w:pStyle w:val="14"/>
              <w:spacing w:before="177"/>
              <w:ind w:left="105" w:right="102"/>
              <w:jc w:val="center"/>
              <w:rPr>
                <w:rFonts w:ascii="Times New Roman"/>
                <w:b/>
                <w:sz w:val="21"/>
              </w:rPr>
            </w:pPr>
            <w:r>
              <w:rPr>
                <w:rFonts w:ascii="Times New Roman"/>
                <w:b/>
                <w:sz w:val="21"/>
              </w:rPr>
              <w:t>NOx</w:t>
            </w:r>
          </w:p>
        </w:tc>
      </w:tr>
      <w:tr w14:paraId="4AC6E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61" w:type="dxa"/>
            <w:tcBorders>
              <w:top w:val="nil"/>
              <w:bottom w:val="nil"/>
            </w:tcBorders>
          </w:tcPr>
          <w:p w14:paraId="09790ECA">
            <w:pPr>
              <w:pStyle w:val="14"/>
              <w:rPr>
                <w:rFonts w:ascii="Times New Roman"/>
                <w:sz w:val="18"/>
              </w:rPr>
            </w:pPr>
          </w:p>
        </w:tc>
        <w:tc>
          <w:tcPr>
            <w:tcW w:w="1081" w:type="dxa"/>
            <w:tcBorders>
              <w:top w:val="nil"/>
              <w:bottom w:val="nil"/>
            </w:tcBorders>
          </w:tcPr>
          <w:p w14:paraId="1B8551D5">
            <w:pPr>
              <w:pStyle w:val="14"/>
              <w:rPr>
                <w:rFonts w:ascii="Times New Roman"/>
                <w:sz w:val="18"/>
              </w:rPr>
            </w:pPr>
          </w:p>
        </w:tc>
        <w:tc>
          <w:tcPr>
            <w:tcW w:w="1002" w:type="dxa"/>
            <w:tcBorders>
              <w:top w:val="nil"/>
              <w:bottom w:val="nil"/>
            </w:tcBorders>
          </w:tcPr>
          <w:p w14:paraId="4281D1BC">
            <w:pPr>
              <w:pStyle w:val="14"/>
              <w:rPr>
                <w:rFonts w:ascii="Times New Roman"/>
                <w:sz w:val="18"/>
              </w:rPr>
            </w:pPr>
          </w:p>
        </w:tc>
        <w:tc>
          <w:tcPr>
            <w:tcW w:w="633" w:type="dxa"/>
            <w:tcBorders>
              <w:top w:val="nil"/>
              <w:bottom w:val="nil"/>
            </w:tcBorders>
          </w:tcPr>
          <w:p w14:paraId="52FDD2A9">
            <w:pPr>
              <w:pStyle w:val="14"/>
              <w:spacing w:line="240" w:lineRule="exact"/>
              <w:ind w:left="211"/>
              <w:rPr>
                <w:b/>
                <w:sz w:val="21"/>
              </w:rPr>
            </w:pPr>
            <w:r>
              <w:rPr>
                <w:b/>
                <w:w w:val="99"/>
                <w:sz w:val="21"/>
              </w:rPr>
              <w:t>度</w:t>
            </w:r>
          </w:p>
        </w:tc>
        <w:tc>
          <w:tcPr>
            <w:tcW w:w="493" w:type="dxa"/>
            <w:tcBorders>
              <w:top w:val="nil"/>
              <w:bottom w:val="nil"/>
            </w:tcBorders>
          </w:tcPr>
          <w:p w14:paraId="24B6B1EB">
            <w:pPr>
              <w:pStyle w:val="14"/>
              <w:rPr>
                <w:rFonts w:ascii="Times New Roman"/>
                <w:sz w:val="18"/>
              </w:rPr>
            </w:pPr>
          </w:p>
        </w:tc>
        <w:tc>
          <w:tcPr>
            <w:tcW w:w="493" w:type="dxa"/>
            <w:tcBorders>
              <w:top w:val="nil"/>
              <w:bottom w:val="nil"/>
            </w:tcBorders>
          </w:tcPr>
          <w:p w14:paraId="59C88ECE">
            <w:pPr>
              <w:pStyle w:val="14"/>
              <w:rPr>
                <w:rFonts w:ascii="Times New Roman"/>
                <w:sz w:val="18"/>
              </w:rPr>
            </w:pPr>
          </w:p>
        </w:tc>
        <w:tc>
          <w:tcPr>
            <w:tcW w:w="525" w:type="dxa"/>
            <w:tcBorders>
              <w:top w:val="nil"/>
              <w:bottom w:val="nil"/>
            </w:tcBorders>
          </w:tcPr>
          <w:p w14:paraId="2A1AE318">
            <w:pPr>
              <w:pStyle w:val="14"/>
              <w:rPr>
                <w:rFonts w:ascii="Times New Roman"/>
                <w:sz w:val="18"/>
              </w:rPr>
            </w:pPr>
          </w:p>
        </w:tc>
        <w:tc>
          <w:tcPr>
            <w:tcW w:w="633" w:type="dxa"/>
            <w:tcBorders>
              <w:top w:val="nil"/>
              <w:bottom w:val="nil"/>
            </w:tcBorders>
          </w:tcPr>
          <w:p w14:paraId="323F082B">
            <w:pPr>
              <w:pStyle w:val="14"/>
              <w:rPr>
                <w:rFonts w:ascii="Times New Roman"/>
                <w:sz w:val="18"/>
              </w:rPr>
            </w:pPr>
          </w:p>
        </w:tc>
        <w:tc>
          <w:tcPr>
            <w:tcW w:w="725" w:type="dxa"/>
            <w:tcBorders>
              <w:top w:val="nil"/>
              <w:bottom w:val="nil"/>
            </w:tcBorders>
          </w:tcPr>
          <w:p w14:paraId="793B8530">
            <w:pPr>
              <w:pStyle w:val="14"/>
              <w:rPr>
                <w:rFonts w:ascii="Times New Roman"/>
                <w:sz w:val="18"/>
              </w:rPr>
            </w:pPr>
          </w:p>
        </w:tc>
        <w:tc>
          <w:tcPr>
            <w:tcW w:w="725" w:type="dxa"/>
            <w:tcBorders>
              <w:top w:val="nil"/>
              <w:bottom w:val="nil"/>
            </w:tcBorders>
          </w:tcPr>
          <w:p w14:paraId="6DB7A3E9">
            <w:pPr>
              <w:pStyle w:val="14"/>
              <w:rPr>
                <w:rFonts w:ascii="Times New Roman"/>
                <w:sz w:val="18"/>
              </w:rPr>
            </w:pPr>
          </w:p>
        </w:tc>
        <w:tc>
          <w:tcPr>
            <w:tcW w:w="725" w:type="dxa"/>
            <w:tcBorders>
              <w:top w:val="nil"/>
              <w:bottom w:val="nil"/>
            </w:tcBorders>
          </w:tcPr>
          <w:p w14:paraId="75CC83E7">
            <w:pPr>
              <w:pStyle w:val="14"/>
              <w:rPr>
                <w:rFonts w:ascii="Times New Roman"/>
                <w:sz w:val="18"/>
              </w:rPr>
            </w:pPr>
          </w:p>
        </w:tc>
        <w:tc>
          <w:tcPr>
            <w:tcW w:w="726" w:type="dxa"/>
            <w:tcBorders>
              <w:top w:val="nil"/>
              <w:bottom w:val="nil"/>
            </w:tcBorders>
          </w:tcPr>
          <w:p w14:paraId="5CEDCFE0">
            <w:pPr>
              <w:pStyle w:val="14"/>
              <w:rPr>
                <w:rFonts w:ascii="Times New Roman"/>
                <w:sz w:val="18"/>
              </w:rPr>
            </w:pPr>
          </w:p>
        </w:tc>
      </w:tr>
      <w:tr w14:paraId="367C3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761" w:type="dxa"/>
            <w:tcBorders>
              <w:top w:val="nil"/>
            </w:tcBorders>
          </w:tcPr>
          <w:p w14:paraId="22172C30">
            <w:pPr>
              <w:pStyle w:val="14"/>
              <w:rPr>
                <w:rFonts w:ascii="Times New Roman"/>
                <w:sz w:val="18"/>
              </w:rPr>
            </w:pPr>
          </w:p>
        </w:tc>
        <w:tc>
          <w:tcPr>
            <w:tcW w:w="1081" w:type="dxa"/>
            <w:tcBorders>
              <w:top w:val="nil"/>
            </w:tcBorders>
          </w:tcPr>
          <w:p w14:paraId="42F3694C">
            <w:pPr>
              <w:pStyle w:val="14"/>
              <w:rPr>
                <w:rFonts w:ascii="Times New Roman"/>
                <w:sz w:val="18"/>
              </w:rPr>
            </w:pPr>
          </w:p>
        </w:tc>
        <w:tc>
          <w:tcPr>
            <w:tcW w:w="1002" w:type="dxa"/>
            <w:tcBorders>
              <w:top w:val="nil"/>
            </w:tcBorders>
          </w:tcPr>
          <w:p w14:paraId="1497D37C">
            <w:pPr>
              <w:pStyle w:val="14"/>
              <w:rPr>
                <w:rFonts w:ascii="Times New Roman"/>
                <w:sz w:val="18"/>
              </w:rPr>
            </w:pPr>
          </w:p>
        </w:tc>
        <w:tc>
          <w:tcPr>
            <w:tcW w:w="633" w:type="dxa"/>
            <w:tcBorders>
              <w:top w:val="nil"/>
            </w:tcBorders>
          </w:tcPr>
          <w:p w14:paraId="499A9C05">
            <w:pPr>
              <w:pStyle w:val="14"/>
              <w:spacing w:before="10" w:line="223" w:lineRule="exact"/>
              <w:ind w:right="153"/>
              <w:jc w:val="right"/>
              <w:rPr>
                <w:rFonts w:ascii="Times New Roman"/>
                <w:b/>
                <w:sz w:val="21"/>
              </w:rPr>
            </w:pPr>
            <w:r>
              <w:rPr>
                <w:rFonts w:ascii="Times New Roman"/>
                <w:b/>
                <w:w w:val="95"/>
                <w:sz w:val="21"/>
              </w:rPr>
              <w:t>(m)</w:t>
            </w:r>
          </w:p>
        </w:tc>
        <w:tc>
          <w:tcPr>
            <w:tcW w:w="493" w:type="dxa"/>
            <w:tcBorders>
              <w:top w:val="nil"/>
            </w:tcBorders>
          </w:tcPr>
          <w:p w14:paraId="401D0FB5">
            <w:pPr>
              <w:pStyle w:val="14"/>
              <w:rPr>
                <w:rFonts w:ascii="Times New Roman"/>
                <w:sz w:val="18"/>
              </w:rPr>
            </w:pPr>
          </w:p>
        </w:tc>
        <w:tc>
          <w:tcPr>
            <w:tcW w:w="493" w:type="dxa"/>
            <w:tcBorders>
              <w:top w:val="nil"/>
            </w:tcBorders>
          </w:tcPr>
          <w:p w14:paraId="280E5561">
            <w:pPr>
              <w:pStyle w:val="14"/>
              <w:rPr>
                <w:rFonts w:ascii="Times New Roman"/>
                <w:sz w:val="18"/>
              </w:rPr>
            </w:pPr>
          </w:p>
        </w:tc>
        <w:tc>
          <w:tcPr>
            <w:tcW w:w="525" w:type="dxa"/>
            <w:tcBorders>
              <w:top w:val="nil"/>
            </w:tcBorders>
          </w:tcPr>
          <w:p w14:paraId="55D3F1AA">
            <w:pPr>
              <w:pStyle w:val="14"/>
              <w:rPr>
                <w:rFonts w:ascii="Times New Roman"/>
                <w:sz w:val="18"/>
              </w:rPr>
            </w:pPr>
          </w:p>
        </w:tc>
        <w:tc>
          <w:tcPr>
            <w:tcW w:w="633" w:type="dxa"/>
            <w:tcBorders>
              <w:top w:val="nil"/>
            </w:tcBorders>
          </w:tcPr>
          <w:p w14:paraId="75C55698">
            <w:pPr>
              <w:pStyle w:val="14"/>
              <w:rPr>
                <w:rFonts w:ascii="Times New Roman"/>
                <w:sz w:val="18"/>
              </w:rPr>
            </w:pPr>
          </w:p>
        </w:tc>
        <w:tc>
          <w:tcPr>
            <w:tcW w:w="725" w:type="dxa"/>
            <w:tcBorders>
              <w:top w:val="nil"/>
            </w:tcBorders>
          </w:tcPr>
          <w:p w14:paraId="0A7BAD71">
            <w:pPr>
              <w:pStyle w:val="14"/>
              <w:rPr>
                <w:rFonts w:ascii="Times New Roman"/>
                <w:sz w:val="18"/>
              </w:rPr>
            </w:pPr>
          </w:p>
        </w:tc>
        <w:tc>
          <w:tcPr>
            <w:tcW w:w="725" w:type="dxa"/>
            <w:tcBorders>
              <w:top w:val="nil"/>
            </w:tcBorders>
          </w:tcPr>
          <w:p w14:paraId="1C6B1340">
            <w:pPr>
              <w:pStyle w:val="14"/>
              <w:rPr>
                <w:rFonts w:ascii="Times New Roman"/>
                <w:sz w:val="18"/>
              </w:rPr>
            </w:pPr>
          </w:p>
        </w:tc>
        <w:tc>
          <w:tcPr>
            <w:tcW w:w="725" w:type="dxa"/>
            <w:tcBorders>
              <w:top w:val="nil"/>
            </w:tcBorders>
          </w:tcPr>
          <w:p w14:paraId="3AE34B63">
            <w:pPr>
              <w:pStyle w:val="14"/>
              <w:rPr>
                <w:rFonts w:ascii="Times New Roman"/>
                <w:sz w:val="18"/>
              </w:rPr>
            </w:pPr>
          </w:p>
        </w:tc>
        <w:tc>
          <w:tcPr>
            <w:tcW w:w="726" w:type="dxa"/>
            <w:tcBorders>
              <w:top w:val="nil"/>
            </w:tcBorders>
          </w:tcPr>
          <w:p w14:paraId="2E977788">
            <w:pPr>
              <w:pStyle w:val="14"/>
              <w:rPr>
                <w:rFonts w:ascii="Times New Roman"/>
                <w:sz w:val="18"/>
              </w:rPr>
            </w:pPr>
          </w:p>
        </w:tc>
      </w:tr>
      <w:tr w14:paraId="05E08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761" w:type="dxa"/>
            <w:tcBorders>
              <w:bottom w:val="nil"/>
            </w:tcBorders>
          </w:tcPr>
          <w:p w14:paraId="7EFEF19A">
            <w:pPr>
              <w:pStyle w:val="14"/>
              <w:spacing w:line="223" w:lineRule="exact"/>
              <w:ind w:left="103" w:right="98"/>
              <w:jc w:val="center"/>
              <w:rPr>
                <w:rFonts w:ascii="Times New Roman"/>
                <w:sz w:val="21"/>
              </w:rPr>
            </w:pPr>
            <w:r>
              <w:rPr>
                <w:rFonts w:ascii="Times New Roman"/>
                <w:sz w:val="21"/>
              </w:rPr>
              <w:t>DA00</w:t>
            </w:r>
          </w:p>
        </w:tc>
        <w:tc>
          <w:tcPr>
            <w:tcW w:w="1081" w:type="dxa"/>
            <w:tcBorders>
              <w:bottom w:val="nil"/>
            </w:tcBorders>
          </w:tcPr>
          <w:p w14:paraId="482F0737">
            <w:pPr>
              <w:pStyle w:val="14"/>
              <w:spacing w:line="223" w:lineRule="exact"/>
              <w:ind w:left="124" w:right="122"/>
              <w:jc w:val="center"/>
              <w:rPr>
                <w:rFonts w:ascii="Times New Roman"/>
                <w:sz w:val="21"/>
              </w:rPr>
            </w:pPr>
            <w:r>
              <w:rPr>
                <w:rFonts w:ascii="Times New Roman"/>
                <w:sz w:val="21"/>
              </w:rPr>
              <w:t>113.1121</w:t>
            </w:r>
          </w:p>
        </w:tc>
        <w:tc>
          <w:tcPr>
            <w:tcW w:w="1002" w:type="dxa"/>
            <w:tcBorders>
              <w:bottom w:val="nil"/>
            </w:tcBorders>
          </w:tcPr>
          <w:p w14:paraId="3CACDB4F">
            <w:pPr>
              <w:pStyle w:val="14"/>
              <w:spacing w:line="223" w:lineRule="exact"/>
              <w:ind w:left="139" w:right="135"/>
              <w:jc w:val="center"/>
              <w:rPr>
                <w:rFonts w:ascii="Times New Roman"/>
                <w:sz w:val="21"/>
              </w:rPr>
            </w:pPr>
            <w:r>
              <w:rPr>
                <w:rFonts w:ascii="Times New Roman"/>
                <w:sz w:val="21"/>
              </w:rPr>
              <w:t>29.1231</w:t>
            </w:r>
          </w:p>
        </w:tc>
        <w:tc>
          <w:tcPr>
            <w:tcW w:w="633" w:type="dxa"/>
            <w:tcBorders>
              <w:bottom w:val="nil"/>
            </w:tcBorders>
          </w:tcPr>
          <w:p w14:paraId="70F16B76">
            <w:pPr>
              <w:pStyle w:val="14"/>
              <w:spacing w:line="223" w:lineRule="exact"/>
              <w:ind w:right="125"/>
              <w:jc w:val="right"/>
              <w:rPr>
                <w:rFonts w:ascii="Times New Roman"/>
                <w:sz w:val="21"/>
              </w:rPr>
            </w:pPr>
            <w:r>
              <w:rPr>
                <w:rFonts w:ascii="Times New Roman"/>
                <w:sz w:val="21"/>
              </w:rPr>
              <w:t>64.0</w:t>
            </w:r>
          </w:p>
        </w:tc>
        <w:tc>
          <w:tcPr>
            <w:tcW w:w="493" w:type="dxa"/>
            <w:vMerge w:val="restart"/>
          </w:tcPr>
          <w:p w14:paraId="2D87157F">
            <w:pPr>
              <w:pStyle w:val="14"/>
              <w:spacing w:before="119"/>
              <w:ind w:left="139"/>
              <w:rPr>
                <w:rFonts w:ascii="Times New Roman"/>
                <w:sz w:val="21"/>
              </w:rPr>
            </w:pPr>
            <w:r>
              <w:rPr>
                <w:rFonts w:ascii="Times New Roman"/>
                <w:sz w:val="21"/>
              </w:rPr>
              <w:t>15</w:t>
            </w:r>
          </w:p>
        </w:tc>
        <w:tc>
          <w:tcPr>
            <w:tcW w:w="493" w:type="dxa"/>
            <w:vMerge w:val="restart"/>
          </w:tcPr>
          <w:p w14:paraId="68C4E67D">
            <w:pPr>
              <w:pStyle w:val="14"/>
              <w:spacing w:before="119"/>
              <w:ind w:left="114"/>
              <w:rPr>
                <w:rFonts w:ascii="Times New Roman"/>
                <w:sz w:val="21"/>
              </w:rPr>
            </w:pPr>
            <w:r>
              <w:rPr>
                <w:rFonts w:ascii="Times New Roman"/>
                <w:sz w:val="21"/>
              </w:rPr>
              <w:t>0.6</w:t>
            </w:r>
          </w:p>
        </w:tc>
        <w:tc>
          <w:tcPr>
            <w:tcW w:w="525" w:type="dxa"/>
            <w:vMerge w:val="restart"/>
          </w:tcPr>
          <w:p w14:paraId="1BA2C621">
            <w:pPr>
              <w:pStyle w:val="14"/>
              <w:spacing w:before="119"/>
              <w:ind w:left="156"/>
              <w:rPr>
                <w:rFonts w:ascii="Times New Roman"/>
                <w:sz w:val="21"/>
              </w:rPr>
            </w:pPr>
            <w:r>
              <w:rPr>
                <w:rFonts w:ascii="Times New Roman"/>
                <w:sz w:val="21"/>
              </w:rPr>
              <w:t>21</w:t>
            </w:r>
          </w:p>
        </w:tc>
        <w:tc>
          <w:tcPr>
            <w:tcW w:w="633" w:type="dxa"/>
            <w:tcBorders>
              <w:bottom w:val="nil"/>
            </w:tcBorders>
          </w:tcPr>
          <w:p w14:paraId="7766A33B">
            <w:pPr>
              <w:pStyle w:val="14"/>
              <w:spacing w:line="223" w:lineRule="exact"/>
              <w:ind w:left="84" w:right="79"/>
              <w:jc w:val="center"/>
              <w:rPr>
                <w:rFonts w:ascii="Times New Roman"/>
                <w:sz w:val="21"/>
              </w:rPr>
            </w:pPr>
            <w:r>
              <w:rPr>
                <w:rFonts w:ascii="Times New Roman"/>
                <w:sz w:val="21"/>
              </w:rPr>
              <w:t>11.7</w:t>
            </w:r>
          </w:p>
        </w:tc>
        <w:tc>
          <w:tcPr>
            <w:tcW w:w="725" w:type="dxa"/>
            <w:tcBorders>
              <w:bottom w:val="nil"/>
            </w:tcBorders>
          </w:tcPr>
          <w:p w14:paraId="7D49161A">
            <w:pPr>
              <w:pStyle w:val="14"/>
              <w:spacing w:line="223" w:lineRule="exact"/>
              <w:ind w:left="106" w:right="94"/>
              <w:jc w:val="center"/>
              <w:rPr>
                <w:rFonts w:ascii="Times New Roman"/>
                <w:sz w:val="21"/>
              </w:rPr>
            </w:pPr>
            <w:r>
              <w:rPr>
                <w:rFonts w:ascii="Times New Roman"/>
                <w:sz w:val="21"/>
              </w:rPr>
              <w:t>0.001</w:t>
            </w:r>
          </w:p>
        </w:tc>
        <w:tc>
          <w:tcPr>
            <w:tcW w:w="725" w:type="dxa"/>
            <w:tcBorders>
              <w:bottom w:val="nil"/>
            </w:tcBorders>
          </w:tcPr>
          <w:p w14:paraId="6997A7F4">
            <w:pPr>
              <w:pStyle w:val="14"/>
              <w:spacing w:line="223" w:lineRule="exact"/>
              <w:ind w:left="102" w:right="97"/>
              <w:jc w:val="center"/>
              <w:rPr>
                <w:rFonts w:ascii="Times New Roman"/>
                <w:sz w:val="21"/>
              </w:rPr>
            </w:pPr>
            <w:r>
              <w:rPr>
                <w:rFonts w:ascii="Times New Roman"/>
                <w:sz w:val="21"/>
              </w:rPr>
              <w:t>0.012</w:t>
            </w:r>
          </w:p>
        </w:tc>
        <w:tc>
          <w:tcPr>
            <w:tcW w:w="725" w:type="dxa"/>
            <w:vMerge w:val="restart"/>
          </w:tcPr>
          <w:p w14:paraId="7819F95E">
            <w:pPr>
              <w:pStyle w:val="14"/>
              <w:spacing w:before="119"/>
              <w:jc w:val="center"/>
              <w:rPr>
                <w:rFonts w:ascii="Times New Roman"/>
                <w:sz w:val="21"/>
              </w:rPr>
            </w:pPr>
            <w:r>
              <w:rPr>
                <w:rFonts w:ascii="Times New Roman"/>
                <w:w w:val="99"/>
                <w:sz w:val="21"/>
              </w:rPr>
              <w:t>-</w:t>
            </w:r>
          </w:p>
        </w:tc>
        <w:tc>
          <w:tcPr>
            <w:tcW w:w="726" w:type="dxa"/>
            <w:vMerge w:val="restart"/>
          </w:tcPr>
          <w:p w14:paraId="2578859D">
            <w:pPr>
              <w:pStyle w:val="14"/>
              <w:spacing w:before="119"/>
              <w:ind w:left="4"/>
              <w:jc w:val="center"/>
              <w:rPr>
                <w:rFonts w:ascii="Times New Roman"/>
                <w:sz w:val="21"/>
              </w:rPr>
            </w:pPr>
            <w:r>
              <w:rPr>
                <w:rFonts w:ascii="Times New Roman"/>
                <w:w w:val="99"/>
                <w:sz w:val="21"/>
              </w:rPr>
              <w:t>-</w:t>
            </w:r>
          </w:p>
        </w:tc>
      </w:tr>
      <w:tr w14:paraId="00414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761" w:type="dxa"/>
            <w:tcBorders>
              <w:top w:val="nil"/>
            </w:tcBorders>
          </w:tcPr>
          <w:p w14:paraId="324ECCF5">
            <w:pPr>
              <w:pStyle w:val="14"/>
              <w:spacing w:line="215" w:lineRule="exact"/>
              <w:ind w:left="5"/>
              <w:jc w:val="center"/>
              <w:rPr>
                <w:rFonts w:ascii="Times New Roman"/>
                <w:sz w:val="21"/>
              </w:rPr>
            </w:pPr>
            <w:r>
              <w:rPr>
                <w:rFonts w:ascii="Times New Roman"/>
                <w:w w:val="99"/>
                <w:sz w:val="21"/>
              </w:rPr>
              <w:t>1</w:t>
            </w:r>
          </w:p>
        </w:tc>
        <w:tc>
          <w:tcPr>
            <w:tcW w:w="1081" w:type="dxa"/>
            <w:tcBorders>
              <w:top w:val="nil"/>
            </w:tcBorders>
          </w:tcPr>
          <w:p w14:paraId="50C86692">
            <w:pPr>
              <w:pStyle w:val="14"/>
              <w:spacing w:line="215" w:lineRule="exact"/>
              <w:ind w:left="124" w:right="122"/>
              <w:jc w:val="center"/>
              <w:rPr>
                <w:rFonts w:ascii="Times New Roman"/>
                <w:sz w:val="21"/>
              </w:rPr>
            </w:pPr>
            <w:r>
              <w:rPr>
                <w:rFonts w:ascii="Times New Roman"/>
                <w:sz w:val="21"/>
              </w:rPr>
              <w:t>82</w:t>
            </w:r>
          </w:p>
        </w:tc>
        <w:tc>
          <w:tcPr>
            <w:tcW w:w="1002" w:type="dxa"/>
            <w:tcBorders>
              <w:top w:val="nil"/>
            </w:tcBorders>
          </w:tcPr>
          <w:p w14:paraId="0D64ADEF">
            <w:pPr>
              <w:pStyle w:val="14"/>
              <w:spacing w:line="215" w:lineRule="exact"/>
              <w:ind w:left="137" w:right="135"/>
              <w:jc w:val="center"/>
              <w:rPr>
                <w:rFonts w:ascii="Times New Roman"/>
                <w:sz w:val="21"/>
              </w:rPr>
            </w:pPr>
            <w:r>
              <w:rPr>
                <w:rFonts w:ascii="Times New Roman"/>
                <w:sz w:val="21"/>
              </w:rPr>
              <w:t>02</w:t>
            </w:r>
          </w:p>
        </w:tc>
        <w:tc>
          <w:tcPr>
            <w:tcW w:w="633" w:type="dxa"/>
            <w:tcBorders>
              <w:top w:val="nil"/>
            </w:tcBorders>
          </w:tcPr>
          <w:p w14:paraId="55965E7F">
            <w:pPr>
              <w:pStyle w:val="14"/>
              <w:spacing w:line="215" w:lineRule="exact"/>
              <w:ind w:left="4"/>
              <w:jc w:val="center"/>
              <w:rPr>
                <w:rFonts w:ascii="Times New Roman"/>
                <w:sz w:val="21"/>
              </w:rPr>
            </w:pPr>
            <w:r>
              <w:rPr>
                <w:rFonts w:ascii="Times New Roman"/>
                <w:w w:val="99"/>
                <w:sz w:val="21"/>
              </w:rPr>
              <w:t>0</w:t>
            </w:r>
          </w:p>
        </w:tc>
        <w:tc>
          <w:tcPr>
            <w:tcW w:w="493" w:type="dxa"/>
            <w:vMerge w:val="continue"/>
            <w:tcBorders>
              <w:top w:val="nil"/>
            </w:tcBorders>
          </w:tcPr>
          <w:p w14:paraId="7F701E7C">
            <w:pPr>
              <w:rPr>
                <w:sz w:val="2"/>
                <w:szCs w:val="2"/>
              </w:rPr>
            </w:pPr>
          </w:p>
        </w:tc>
        <w:tc>
          <w:tcPr>
            <w:tcW w:w="493" w:type="dxa"/>
            <w:vMerge w:val="continue"/>
            <w:tcBorders>
              <w:top w:val="nil"/>
            </w:tcBorders>
          </w:tcPr>
          <w:p w14:paraId="6E8A8D3C">
            <w:pPr>
              <w:rPr>
                <w:sz w:val="2"/>
                <w:szCs w:val="2"/>
              </w:rPr>
            </w:pPr>
          </w:p>
        </w:tc>
        <w:tc>
          <w:tcPr>
            <w:tcW w:w="525" w:type="dxa"/>
            <w:vMerge w:val="continue"/>
            <w:tcBorders>
              <w:top w:val="nil"/>
            </w:tcBorders>
          </w:tcPr>
          <w:p w14:paraId="65E39CC3">
            <w:pPr>
              <w:rPr>
                <w:sz w:val="2"/>
                <w:szCs w:val="2"/>
              </w:rPr>
            </w:pPr>
          </w:p>
        </w:tc>
        <w:tc>
          <w:tcPr>
            <w:tcW w:w="633" w:type="dxa"/>
            <w:tcBorders>
              <w:top w:val="nil"/>
            </w:tcBorders>
          </w:tcPr>
          <w:p w14:paraId="7DAB588F">
            <w:pPr>
              <w:pStyle w:val="14"/>
              <w:spacing w:line="215" w:lineRule="exact"/>
              <w:ind w:left="2"/>
              <w:jc w:val="center"/>
              <w:rPr>
                <w:rFonts w:ascii="Times New Roman"/>
                <w:sz w:val="21"/>
              </w:rPr>
            </w:pPr>
            <w:r>
              <w:rPr>
                <w:rFonts w:ascii="Times New Roman"/>
                <w:w w:val="99"/>
                <w:sz w:val="21"/>
              </w:rPr>
              <w:t>9</w:t>
            </w:r>
          </w:p>
        </w:tc>
        <w:tc>
          <w:tcPr>
            <w:tcW w:w="725" w:type="dxa"/>
            <w:tcBorders>
              <w:top w:val="nil"/>
            </w:tcBorders>
          </w:tcPr>
          <w:p w14:paraId="298B3B8A">
            <w:pPr>
              <w:pStyle w:val="14"/>
              <w:spacing w:line="215" w:lineRule="exact"/>
              <w:ind w:left="3"/>
              <w:jc w:val="center"/>
              <w:rPr>
                <w:rFonts w:ascii="Times New Roman"/>
                <w:sz w:val="21"/>
              </w:rPr>
            </w:pPr>
            <w:r>
              <w:rPr>
                <w:rFonts w:ascii="Times New Roman"/>
                <w:w w:val="99"/>
                <w:sz w:val="21"/>
              </w:rPr>
              <w:t>1</w:t>
            </w:r>
          </w:p>
        </w:tc>
        <w:tc>
          <w:tcPr>
            <w:tcW w:w="725" w:type="dxa"/>
            <w:tcBorders>
              <w:top w:val="nil"/>
            </w:tcBorders>
          </w:tcPr>
          <w:p w14:paraId="4AABFC64">
            <w:pPr>
              <w:pStyle w:val="14"/>
              <w:spacing w:line="215" w:lineRule="exact"/>
              <w:ind w:left="2"/>
              <w:jc w:val="center"/>
              <w:rPr>
                <w:rFonts w:ascii="Times New Roman"/>
                <w:sz w:val="21"/>
              </w:rPr>
            </w:pPr>
            <w:r>
              <w:rPr>
                <w:rFonts w:ascii="Times New Roman"/>
                <w:w w:val="99"/>
                <w:sz w:val="21"/>
              </w:rPr>
              <w:t>3</w:t>
            </w:r>
          </w:p>
        </w:tc>
        <w:tc>
          <w:tcPr>
            <w:tcW w:w="725" w:type="dxa"/>
            <w:vMerge w:val="continue"/>
            <w:tcBorders>
              <w:top w:val="nil"/>
            </w:tcBorders>
          </w:tcPr>
          <w:p w14:paraId="008D2080">
            <w:pPr>
              <w:rPr>
                <w:sz w:val="2"/>
                <w:szCs w:val="2"/>
              </w:rPr>
            </w:pPr>
          </w:p>
        </w:tc>
        <w:tc>
          <w:tcPr>
            <w:tcW w:w="726" w:type="dxa"/>
            <w:vMerge w:val="continue"/>
            <w:tcBorders>
              <w:top w:val="nil"/>
            </w:tcBorders>
          </w:tcPr>
          <w:p w14:paraId="69A23B7C">
            <w:pPr>
              <w:rPr>
                <w:sz w:val="2"/>
                <w:szCs w:val="2"/>
              </w:rPr>
            </w:pPr>
          </w:p>
        </w:tc>
      </w:tr>
      <w:tr w14:paraId="42C0B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761" w:type="dxa"/>
            <w:tcBorders>
              <w:bottom w:val="nil"/>
            </w:tcBorders>
          </w:tcPr>
          <w:p w14:paraId="15CF5BA9">
            <w:pPr>
              <w:pStyle w:val="14"/>
              <w:spacing w:line="223" w:lineRule="exact"/>
              <w:ind w:left="103" w:right="98"/>
              <w:jc w:val="center"/>
              <w:rPr>
                <w:rFonts w:ascii="Times New Roman"/>
                <w:sz w:val="21"/>
              </w:rPr>
            </w:pPr>
            <w:r>
              <w:rPr>
                <w:rFonts w:ascii="Times New Roman"/>
                <w:sz w:val="21"/>
              </w:rPr>
              <w:t>DA00</w:t>
            </w:r>
          </w:p>
        </w:tc>
        <w:tc>
          <w:tcPr>
            <w:tcW w:w="1081" w:type="dxa"/>
            <w:tcBorders>
              <w:bottom w:val="nil"/>
            </w:tcBorders>
          </w:tcPr>
          <w:p w14:paraId="33647AA1">
            <w:pPr>
              <w:pStyle w:val="14"/>
              <w:spacing w:line="223" w:lineRule="exact"/>
              <w:ind w:left="125" w:right="121"/>
              <w:jc w:val="center"/>
              <w:rPr>
                <w:rFonts w:ascii="Times New Roman"/>
                <w:sz w:val="21"/>
              </w:rPr>
            </w:pPr>
            <w:r>
              <w:rPr>
                <w:rFonts w:ascii="Times New Roman"/>
                <w:sz w:val="21"/>
              </w:rPr>
              <w:t>113.1116</w:t>
            </w:r>
          </w:p>
        </w:tc>
        <w:tc>
          <w:tcPr>
            <w:tcW w:w="1002" w:type="dxa"/>
            <w:tcBorders>
              <w:bottom w:val="nil"/>
            </w:tcBorders>
          </w:tcPr>
          <w:p w14:paraId="149A5164">
            <w:pPr>
              <w:pStyle w:val="14"/>
              <w:spacing w:line="223" w:lineRule="exact"/>
              <w:ind w:left="139" w:right="135"/>
              <w:jc w:val="center"/>
              <w:rPr>
                <w:rFonts w:ascii="Times New Roman"/>
                <w:sz w:val="21"/>
              </w:rPr>
            </w:pPr>
            <w:r>
              <w:rPr>
                <w:rFonts w:ascii="Times New Roman"/>
                <w:sz w:val="21"/>
              </w:rPr>
              <w:t>29.1229</w:t>
            </w:r>
          </w:p>
        </w:tc>
        <w:tc>
          <w:tcPr>
            <w:tcW w:w="633" w:type="dxa"/>
            <w:tcBorders>
              <w:bottom w:val="nil"/>
            </w:tcBorders>
          </w:tcPr>
          <w:p w14:paraId="454B44CC">
            <w:pPr>
              <w:pStyle w:val="14"/>
              <w:spacing w:line="223" w:lineRule="exact"/>
              <w:ind w:right="125"/>
              <w:jc w:val="right"/>
              <w:rPr>
                <w:rFonts w:ascii="Times New Roman"/>
                <w:sz w:val="21"/>
              </w:rPr>
            </w:pPr>
            <w:r>
              <w:rPr>
                <w:rFonts w:ascii="Times New Roman"/>
                <w:sz w:val="21"/>
              </w:rPr>
              <w:t>67.0</w:t>
            </w:r>
          </w:p>
        </w:tc>
        <w:tc>
          <w:tcPr>
            <w:tcW w:w="493" w:type="dxa"/>
            <w:vMerge w:val="restart"/>
          </w:tcPr>
          <w:p w14:paraId="0DFEEACB">
            <w:pPr>
              <w:pStyle w:val="14"/>
              <w:spacing w:before="120"/>
              <w:ind w:left="139"/>
              <w:rPr>
                <w:rFonts w:ascii="Times New Roman"/>
                <w:sz w:val="21"/>
              </w:rPr>
            </w:pPr>
            <w:r>
              <w:rPr>
                <w:rFonts w:ascii="Times New Roman"/>
                <w:sz w:val="21"/>
              </w:rPr>
              <w:t>15</w:t>
            </w:r>
          </w:p>
        </w:tc>
        <w:tc>
          <w:tcPr>
            <w:tcW w:w="493" w:type="dxa"/>
            <w:vMerge w:val="restart"/>
          </w:tcPr>
          <w:p w14:paraId="698A0829">
            <w:pPr>
              <w:pStyle w:val="14"/>
              <w:spacing w:before="120"/>
              <w:ind w:left="114"/>
              <w:rPr>
                <w:rFonts w:ascii="Times New Roman"/>
                <w:sz w:val="21"/>
              </w:rPr>
            </w:pPr>
            <w:r>
              <w:rPr>
                <w:rFonts w:ascii="Times New Roman"/>
                <w:sz w:val="21"/>
              </w:rPr>
              <w:t>0.5</w:t>
            </w:r>
          </w:p>
        </w:tc>
        <w:tc>
          <w:tcPr>
            <w:tcW w:w="525" w:type="dxa"/>
            <w:vMerge w:val="restart"/>
          </w:tcPr>
          <w:p w14:paraId="587524D4">
            <w:pPr>
              <w:pStyle w:val="14"/>
              <w:spacing w:before="120"/>
              <w:ind w:left="156"/>
              <w:rPr>
                <w:rFonts w:ascii="Times New Roman"/>
                <w:sz w:val="21"/>
              </w:rPr>
            </w:pPr>
            <w:r>
              <w:rPr>
                <w:rFonts w:ascii="Times New Roman"/>
                <w:sz w:val="21"/>
              </w:rPr>
              <w:t>21</w:t>
            </w:r>
          </w:p>
        </w:tc>
        <w:tc>
          <w:tcPr>
            <w:tcW w:w="633" w:type="dxa"/>
            <w:tcBorders>
              <w:bottom w:val="nil"/>
            </w:tcBorders>
          </w:tcPr>
          <w:p w14:paraId="1A28912C">
            <w:pPr>
              <w:pStyle w:val="14"/>
              <w:spacing w:line="223" w:lineRule="exact"/>
              <w:ind w:left="81" w:right="79"/>
              <w:jc w:val="center"/>
              <w:rPr>
                <w:rFonts w:ascii="Times New Roman"/>
                <w:sz w:val="21"/>
              </w:rPr>
            </w:pPr>
            <w:r>
              <w:rPr>
                <w:rFonts w:ascii="Times New Roman"/>
                <w:sz w:val="21"/>
              </w:rPr>
              <w:t>12.2</w:t>
            </w:r>
          </w:p>
        </w:tc>
        <w:tc>
          <w:tcPr>
            <w:tcW w:w="725" w:type="dxa"/>
            <w:tcBorders>
              <w:bottom w:val="nil"/>
            </w:tcBorders>
          </w:tcPr>
          <w:p w14:paraId="05DF061F">
            <w:pPr>
              <w:pStyle w:val="14"/>
              <w:spacing w:line="223" w:lineRule="exact"/>
              <w:ind w:left="102" w:right="97"/>
              <w:jc w:val="center"/>
              <w:rPr>
                <w:rFonts w:ascii="Times New Roman"/>
                <w:sz w:val="21"/>
              </w:rPr>
            </w:pPr>
            <w:r>
              <w:rPr>
                <w:rFonts w:ascii="Times New Roman"/>
                <w:sz w:val="21"/>
              </w:rPr>
              <w:t>0.000</w:t>
            </w:r>
          </w:p>
        </w:tc>
        <w:tc>
          <w:tcPr>
            <w:tcW w:w="725" w:type="dxa"/>
            <w:tcBorders>
              <w:bottom w:val="nil"/>
            </w:tcBorders>
          </w:tcPr>
          <w:p w14:paraId="0CD150F4">
            <w:pPr>
              <w:pStyle w:val="14"/>
              <w:spacing w:line="223" w:lineRule="exact"/>
              <w:ind w:left="102" w:right="97"/>
              <w:jc w:val="center"/>
              <w:rPr>
                <w:rFonts w:ascii="Times New Roman"/>
                <w:sz w:val="21"/>
              </w:rPr>
            </w:pPr>
            <w:r>
              <w:rPr>
                <w:rFonts w:ascii="Times New Roman"/>
                <w:sz w:val="21"/>
              </w:rPr>
              <w:t>0.008</w:t>
            </w:r>
          </w:p>
        </w:tc>
        <w:tc>
          <w:tcPr>
            <w:tcW w:w="725" w:type="dxa"/>
            <w:vMerge w:val="restart"/>
          </w:tcPr>
          <w:p w14:paraId="5377E2A0">
            <w:pPr>
              <w:pStyle w:val="14"/>
              <w:spacing w:before="120"/>
              <w:jc w:val="center"/>
              <w:rPr>
                <w:rFonts w:ascii="Times New Roman"/>
                <w:sz w:val="21"/>
              </w:rPr>
            </w:pPr>
            <w:r>
              <w:rPr>
                <w:rFonts w:ascii="Times New Roman"/>
                <w:w w:val="99"/>
                <w:sz w:val="21"/>
              </w:rPr>
              <w:t>-</w:t>
            </w:r>
          </w:p>
        </w:tc>
        <w:tc>
          <w:tcPr>
            <w:tcW w:w="726" w:type="dxa"/>
            <w:vMerge w:val="restart"/>
          </w:tcPr>
          <w:p w14:paraId="67798DCC">
            <w:pPr>
              <w:pStyle w:val="14"/>
              <w:spacing w:before="120"/>
              <w:ind w:left="4"/>
              <w:jc w:val="center"/>
              <w:rPr>
                <w:rFonts w:ascii="Times New Roman"/>
                <w:sz w:val="21"/>
              </w:rPr>
            </w:pPr>
            <w:r>
              <w:rPr>
                <w:rFonts w:ascii="Times New Roman"/>
                <w:w w:val="99"/>
                <w:sz w:val="21"/>
              </w:rPr>
              <w:t>-</w:t>
            </w:r>
          </w:p>
        </w:tc>
      </w:tr>
      <w:tr w14:paraId="698D1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761" w:type="dxa"/>
            <w:tcBorders>
              <w:top w:val="nil"/>
            </w:tcBorders>
          </w:tcPr>
          <w:p w14:paraId="0BD25CEB">
            <w:pPr>
              <w:pStyle w:val="14"/>
              <w:spacing w:line="214" w:lineRule="exact"/>
              <w:ind w:left="5"/>
              <w:jc w:val="center"/>
              <w:rPr>
                <w:rFonts w:ascii="Times New Roman"/>
                <w:sz w:val="21"/>
              </w:rPr>
            </w:pPr>
            <w:r>
              <w:rPr>
                <w:rFonts w:ascii="Times New Roman"/>
                <w:w w:val="99"/>
                <w:sz w:val="21"/>
              </w:rPr>
              <w:t>2</w:t>
            </w:r>
          </w:p>
        </w:tc>
        <w:tc>
          <w:tcPr>
            <w:tcW w:w="1081" w:type="dxa"/>
            <w:tcBorders>
              <w:top w:val="nil"/>
            </w:tcBorders>
          </w:tcPr>
          <w:p w14:paraId="453AF113">
            <w:pPr>
              <w:pStyle w:val="14"/>
              <w:spacing w:line="214" w:lineRule="exact"/>
              <w:ind w:left="124" w:right="122"/>
              <w:jc w:val="center"/>
              <w:rPr>
                <w:rFonts w:ascii="Times New Roman"/>
                <w:sz w:val="21"/>
              </w:rPr>
            </w:pPr>
            <w:r>
              <w:rPr>
                <w:rFonts w:ascii="Times New Roman"/>
                <w:sz w:val="21"/>
              </w:rPr>
              <w:t>91</w:t>
            </w:r>
          </w:p>
        </w:tc>
        <w:tc>
          <w:tcPr>
            <w:tcW w:w="1002" w:type="dxa"/>
            <w:tcBorders>
              <w:top w:val="nil"/>
            </w:tcBorders>
          </w:tcPr>
          <w:p w14:paraId="2BDD9ACC">
            <w:pPr>
              <w:pStyle w:val="14"/>
              <w:spacing w:line="214" w:lineRule="exact"/>
              <w:ind w:left="137" w:right="135"/>
              <w:jc w:val="center"/>
              <w:rPr>
                <w:rFonts w:ascii="Times New Roman"/>
                <w:sz w:val="21"/>
              </w:rPr>
            </w:pPr>
            <w:r>
              <w:rPr>
                <w:rFonts w:ascii="Times New Roman"/>
                <w:sz w:val="21"/>
              </w:rPr>
              <w:t>66</w:t>
            </w:r>
          </w:p>
        </w:tc>
        <w:tc>
          <w:tcPr>
            <w:tcW w:w="633" w:type="dxa"/>
            <w:tcBorders>
              <w:top w:val="nil"/>
            </w:tcBorders>
          </w:tcPr>
          <w:p w14:paraId="60861C94">
            <w:pPr>
              <w:pStyle w:val="14"/>
              <w:spacing w:line="214" w:lineRule="exact"/>
              <w:ind w:left="4"/>
              <w:jc w:val="center"/>
              <w:rPr>
                <w:rFonts w:ascii="Times New Roman"/>
                <w:sz w:val="21"/>
              </w:rPr>
            </w:pPr>
            <w:r>
              <w:rPr>
                <w:rFonts w:ascii="Times New Roman"/>
                <w:w w:val="99"/>
                <w:sz w:val="21"/>
              </w:rPr>
              <w:t>0</w:t>
            </w:r>
          </w:p>
        </w:tc>
        <w:tc>
          <w:tcPr>
            <w:tcW w:w="493" w:type="dxa"/>
            <w:vMerge w:val="continue"/>
            <w:tcBorders>
              <w:top w:val="nil"/>
            </w:tcBorders>
          </w:tcPr>
          <w:p w14:paraId="32BE9BD8">
            <w:pPr>
              <w:rPr>
                <w:sz w:val="2"/>
                <w:szCs w:val="2"/>
              </w:rPr>
            </w:pPr>
          </w:p>
        </w:tc>
        <w:tc>
          <w:tcPr>
            <w:tcW w:w="493" w:type="dxa"/>
            <w:vMerge w:val="continue"/>
            <w:tcBorders>
              <w:top w:val="nil"/>
            </w:tcBorders>
          </w:tcPr>
          <w:p w14:paraId="268A7B78">
            <w:pPr>
              <w:rPr>
                <w:sz w:val="2"/>
                <w:szCs w:val="2"/>
              </w:rPr>
            </w:pPr>
          </w:p>
        </w:tc>
        <w:tc>
          <w:tcPr>
            <w:tcW w:w="525" w:type="dxa"/>
            <w:vMerge w:val="continue"/>
            <w:tcBorders>
              <w:top w:val="nil"/>
            </w:tcBorders>
          </w:tcPr>
          <w:p w14:paraId="33BAD461">
            <w:pPr>
              <w:rPr>
                <w:sz w:val="2"/>
                <w:szCs w:val="2"/>
              </w:rPr>
            </w:pPr>
          </w:p>
        </w:tc>
        <w:tc>
          <w:tcPr>
            <w:tcW w:w="633" w:type="dxa"/>
            <w:tcBorders>
              <w:top w:val="nil"/>
            </w:tcBorders>
          </w:tcPr>
          <w:p w14:paraId="54054ECF">
            <w:pPr>
              <w:pStyle w:val="14"/>
              <w:spacing w:line="214" w:lineRule="exact"/>
              <w:ind w:left="2"/>
              <w:jc w:val="center"/>
              <w:rPr>
                <w:rFonts w:ascii="Times New Roman"/>
                <w:sz w:val="21"/>
              </w:rPr>
            </w:pPr>
            <w:r>
              <w:rPr>
                <w:rFonts w:ascii="Times New Roman"/>
                <w:w w:val="99"/>
                <w:sz w:val="21"/>
              </w:rPr>
              <w:t>8</w:t>
            </w:r>
          </w:p>
        </w:tc>
        <w:tc>
          <w:tcPr>
            <w:tcW w:w="725" w:type="dxa"/>
            <w:tcBorders>
              <w:top w:val="nil"/>
            </w:tcBorders>
          </w:tcPr>
          <w:p w14:paraId="48FDD218">
            <w:pPr>
              <w:pStyle w:val="14"/>
              <w:spacing w:line="214" w:lineRule="exact"/>
              <w:ind w:left="3"/>
              <w:jc w:val="center"/>
              <w:rPr>
                <w:rFonts w:ascii="Times New Roman"/>
                <w:sz w:val="21"/>
              </w:rPr>
            </w:pPr>
            <w:r>
              <w:rPr>
                <w:rFonts w:ascii="Times New Roman"/>
                <w:w w:val="99"/>
                <w:sz w:val="21"/>
              </w:rPr>
              <w:t>3</w:t>
            </w:r>
          </w:p>
        </w:tc>
        <w:tc>
          <w:tcPr>
            <w:tcW w:w="725" w:type="dxa"/>
            <w:tcBorders>
              <w:top w:val="nil"/>
            </w:tcBorders>
          </w:tcPr>
          <w:p w14:paraId="279B9111">
            <w:pPr>
              <w:pStyle w:val="14"/>
              <w:spacing w:line="214" w:lineRule="exact"/>
              <w:ind w:left="2"/>
              <w:jc w:val="center"/>
              <w:rPr>
                <w:rFonts w:ascii="Times New Roman"/>
                <w:sz w:val="21"/>
              </w:rPr>
            </w:pPr>
            <w:r>
              <w:rPr>
                <w:rFonts w:ascii="Times New Roman"/>
                <w:w w:val="99"/>
                <w:sz w:val="21"/>
              </w:rPr>
              <w:t>9</w:t>
            </w:r>
          </w:p>
        </w:tc>
        <w:tc>
          <w:tcPr>
            <w:tcW w:w="725" w:type="dxa"/>
            <w:vMerge w:val="continue"/>
            <w:tcBorders>
              <w:top w:val="nil"/>
            </w:tcBorders>
          </w:tcPr>
          <w:p w14:paraId="4E8EE219">
            <w:pPr>
              <w:rPr>
                <w:sz w:val="2"/>
                <w:szCs w:val="2"/>
              </w:rPr>
            </w:pPr>
          </w:p>
        </w:tc>
        <w:tc>
          <w:tcPr>
            <w:tcW w:w="726" w:type="dxa"/>
            <w:vMerge w:val="continue"/>
            <w:tcBorders>
              <w:top w:val="nil"/>
            </w:tcBorders>
          </w:tcPr>
          <w:p w14:paraId="52066F05">
            <w:pPr>
              <w:rPr>
                <w:sz w:val="2"/>
                <w:szCs w:val="2"/>
              </w:rPr>
            </w:pPr>
          </w:p>
        </w:tc>
      </w:tr>
      <w:tr w14:paraId="5303B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761" w:type="dxa"/>
            <w:tcBorders>
              <w:bottom w:val="nil"/>
            </w:tcBorders>
          </w:tcPr>
          <w:p w14:paraId="383F8C8D">
            <w:pPr>
              <w:pStyle w:val="14"/>
              <w:spacing w:line="223" w:lineRule="exact"/>
              <w:ind w:left="103" w:right="98"/>
              <w:jc w:val="center"/>
              <w:rPr>
                <w:rFonts w:ascii="Times New Roman"/>
                <w:sz w:val="21"/>
              </w:rPr>
            </w:pPr>
            <w:r>
              <w:rPr>
                <w:rFonts w:ascii="Times New Roman"/>
                <w:sz w:val="21"/>
              </w:rPr>
              <w:t>DA00</w:t>
            </w:r>
          </w:p>
        </w:tc>
        <w:tc>
          <w:tcPr>
            <w:tcW w:w="1081" w:type="dxa"/>
            <w:tcBorders>
              <w:bottom w:val="nil"/>
            </w:tcBorders>
          </w:tcPr>
          <w:p w14:paraId="3F25359D">
            <w:pPr>
              <w:pStyle w:val="14"/>
              <w:spacing w:line="223" w:lineRule="exact"/>
              <w:ind w:left="125" w:right="121"/>
              <w:jc w:val="center"/>
              <w:rPr>
                <w:rFonts w:ascii="Times New Roman"/>
                <w:sz w:val="21"/>
              </w:rPr>
            </w:pPr>
            <w:r>
              <w:rPr>
                <w:rFonts w:ascii="Times New Roman"/>
                <w:sz w:val="21"/>
              </w:rPr>
              <w:t>113.1116</w:t>
            </w:r>
          </w:p>
        </w:tc>
        <w:tc>
          <w:tcPr>
            <w:tcW w:w="1002" w:type="dxa"/>
            <w:tcBorders>
              <w:bottom w:val="nil"/>
            </w:tcBorders>
          </w:tcPr>
          <w:p w14:paraId="02C0B9D8">
            <w:pPr>
              <w:pStyle w:val="14"/>
              <w:spacing w:line="223" w:lineRule="exact"/>
              <w:ind w:left="139" w:right="135"/>
              <w:jc w:val="center"/>
              <w:rPr>
                <w:rFonts w:ascii="Times New Roman"/>
                <w:sz w:val="21"/>
              </w:rPr>
            </w:pPr>
            <w:r>
              <w:rPr>
                <w:rFonts w:ascii="Times New Roman"/>
                <w:sz w:val="21"/>
              </w:rPr>
              <w:t>29.1235</w:t>
            </w:r>
          </w:p>
        </w:tc>
        <w:tc>
          <w:tcPr>
            <w:tcW w:w="633" w:type="dxa"/>
            <w:tcBorders>
              <w:bottom w:val="nil"/>
            </w:tcBorders>
          </w:tcPr>
          <w:p w14:paraId="6CB830A0">
            <w:pPr>
              <w:pStyle w:val="14"/>
              <w:spacing w:line="223" w:lineRule="exact"/>
              <w:ind w:right="125"/>
              <w:jc w:val="right"/>
              <w:rPr>
                <w:rFonts w:ascii="Times New Roman"/>
                <w:sz w:val="21"/>
              </w:rPr>
            </w:pPr>
            <w:r>
              <w:rPr>
                <w:rFonts w:ascii="Times New Roman"/>
                <w:sz w:val="21"/>
              </w:rPr>
              <w:t>67.0</w:t>
            </w:r>
          </w:p>
        </w:tc>
        <w:tc>
          <w:tcPr>
            <w:tcW w:w="493" w:type="dxa"/>
            <w:vMerge w:val="restart"/>
          </w:tcPr>
          <w:p w14:paraId="67116276">
            <w:pPr>
              <w:pStyle w:val="14"/>
              <w:spacing w:before="120"/>
              <w:ind w:left="139"/>
              <w:rPr>
                <w:rFonts w:ascii="Times New Roman"/>
                <w:sz w:val="21"/>
              </w:rPr>
            </w:pPr>
            <w:r>
              <w:rPr>
                <w:rFonts w:ascii="Times New Roman"/>
                <w:sz w:val="21"/>
              </w:rPr>
              <w:t>15</w:t>
            </w:r>
          </w:p>
        </w:tc>
        <w:tc>
          <w:tcPr>
            <w:tcW w:w="493" w:type="dxa"/>
            <w:vMerge w:val="restart"/>
          </w:tcPr>
          <w:p w14:paraId="26177177">
            <w:pPr>
              <w:pStyle w:val="14"/>
              <w:spacing w:before="120"/>
              <w:ind w:left="114"/>
              <w:rPr>
                <w:rFonts w:ascii="Times New Roman"/>
                <w:sz w:val="21"/>
              </w:rPr>
            </w:pPr>
            <w:r>
              <w:rPr>
                <w:rFonts w:ascii="Times New Roman"/>
                <w:sz w:val="21"/>
              </w:rPr>
              <w:t>0.5</w:t>
            </w:r>
          </w:p>
        </w:tc>
        <w:tc>
          <w:tcPr>
            <w:tcW w:w="525" w:type="dxa"/>
            <w:vMerge w:val="restart"/>
          </w:tcPr>
          <w:p w14:paraId="4FC07751">
            <w:pPr>
              <w:pStyle w:val="14"/>
              <w:spacing w:before="120"/>
              <w:ind w:left="156"/>
              <w:rPr>
                <w:rFonts w:ascii="Times New Roman"/>
                <w:sz w:val="21"/>
              </w:rPr>
            </w:pPr>
            <w:r>
              <w:rPr>
                <w:rFonts w:ascii="Times New Roman"/>
                <w:sz w:val="21"/>
              </w:rPr>
              <w:t>21</w:t>
            </w:r>
          </w:p>
        </w:tc>
        <w:tc>
          <w:tcPr>
            <w:tcW w:w="633" w:type="dxa"/>
            <w:tcBorders>
              <w:bottom w:val="nil"/>
            </w:tcBorders>
          </w:tcPr>
          <w:p w14:paraId="3F6673B5">
            <w:pPr>
              <w:pStyle w:val="14"/>
              <w:spacing w:line="223" w:lineRule="exact"/>
              <w:ind w:left="81" w:right="79"/>
              <w:jc w:val="center"/>
              <w:rPr>
                <w:rFonts w:ascii="Times New Roman"/>
                <w:sz w:val="21"/>
              </w:rPr>
            </w:pPr>
            <w:r>
              <w:rPr>
                <w:rFonts w:ascii="Times New Roman"/>
                <w:sz w:val="21"/>
              </w:rPr>
              <w:t>12.0</w:t>
            </w:r>
          </w:p>
        </w:tc>
        <w:tc>
          <w:tcPr>
            <w:tcW w:w="725" w:type="dxa"/>
            <w:tcBorders>
              <w:bottom w:val="nil"/>
            </w:tcBorders>
          </w:tcPr>
          <w:p w14:paraId="68CA0569">
            <w:pPr>
              <w:pStyle w:val="14"/>
              <w:spacing w:line="223" w:lineRule="exact"/>
              <w:ind w:left="102" w:right="97"/>
              <w:jc w:val="center"/>
              <w:rPr>
                <w:rFonts w:ascii="Times New Roman"/>
                <w:sz w:val="21"/>
              </w:rPr>
            </w:pPr>
            <w:r>
              <w:rPr>
                <w:rFonts w:ascii="Times New Roman"/>
                <w:sz w:val="21"/>
              </w:rPr>
              <w:t>0.000</w:t>
            </w:r>
          </w:p>
        </w:tc>
        <w:tc>
          <w:tcPr>
            <w:tcW w:w="725" w:type="dxa"/>
            <w:tcBorders>
              <w:bottom w:val="nil"/>
            </w:tcBorders>
          </w:tcPr>
          <w:p w14:paraId="6946E3D7">
            <w:pPr>
              <w:pStyle w:val="14"/>
              <w:spacing w:line="223" w:lineRule="exact"/>
              <w:ind w:left="102" w:right="97"/>
              <w:jc w:val="center"/>
              <w:rPr>
                <w:rFonts w:ascii="Times New Roman"/>
                <w:sz w:val="21"/>
              </w:rPr>
            </w:pPr>
            <w:r>
              <w:rPr>
                <w:rFonts w:ascii="Times New Roman"/>
                <w:sz w:val="21"/>
              </w:rPr>
              <w:t>0.001</w:t>
            </w:r>
          </w:p>
        </w:tc>
        <w:tc>
          <w:tcPr>
            <w:tcW w:w="725" w:type="dxa"/>
            <w:vMerge w:val="restart"/>
          </w:tcPr>
          <w:p w14:paraId="4141846A">
            <w:pPr>
              <w:pStyle w:val="14"/>
              <w:spacing w:before="120"/>
              <w:jc w:val="center"/>
              <w:rPr>
                <w:rFonts w:ascii="Times New Roman"/>
                <w:sz w:val="21"/>
              </w:rPr>
            </w:pPr>
            <w:r>
              <w:rPr>
                <w:rFonts w:ascii="Times New Roman"/>
                <w:w w:val="99"/>
                <w:sz w:val="21"/>
              </w:rPr>
              <w:t>-</w:t>
            </w:r>
          </w:p>
        </w:tc>
        <w:tc>
          <w:tcPr>
            <w:tcW w:w="726" w:type="dxa"/>
            <w:vMerge w:val="restart"/>
          </w:tcPr>
          <w:p w14:paraId="6224406B">
            <w:pPr>
              <w:pStyle w:val="14"/>
              <w:spacing w:before="120"/>
              <w:ind w:left="4"/>
              <w:jc w:val="center"/>
              <w:rPr>
                <w:rFonts w:ascii="Times New Roman"/>
                <w:sz w:val="21"/>
              </w:rPr>
            </w:pPr>
            <w:r>
              <w:rPr>
                <w:rFonts w:ascii="Times New Roman"/>
                <w:w w:val="99"/>
                <w:sz w:val="21"/>
              </w:rPr>
              <w:t>-</w:t>
            </w:r>
          </w:p>
        </w:tc>
      </w:tr>
      <w:tr w14:paraId="13C72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761" w:type="dxa"/>
            <w:tcBorders>
              <w:top w:val="nil"/>
            </w:tcBorders>
          </w:tcPr>
          <w:p w14:paraId="7C0AC50D">
            <w:pPr>
              <w:pStyle w:val="14"/>
              <w:spacing w:line="215" w:lineRule="exact"/>
              <w:ind w:left="5"/>
              <w:jc w:val="center"/>
              <w:rPr>
                <w:rFonts w:ascii="Times New Roman"/>
                <w:sz w:val="21"/>
              </w:rPr>
            </w:pPr>
            <w:r>
              <w:rPr>
                <w:rFonts w:ascii="Times New Roman"/>
                <w:w w:val="99"/>
                <w:sz w:val="21"/>
              </w:rPr>
              <w:t>3</w:t>
            </w:r>
          </w:p>
        </w:tc>
        <w:tc>
          <w:tcPr>
            <w:tcW w:w="1081" w:type="dxa"/>
            <w:tcBorders>
              <w:top w:val="nil"/>
            </w:tcBorders>
          </w:tcPr>
          <w:p w14:paraId="65BEAA29">
            <w:pPr>
              <w:pStyle w:val="14"/>
              <w:spacing w:line="215" w:lineRule="exact"/>
              <w:ind w:left="124" w:right="122"/>
              <w:jc w:val="center"/>
              <w:rPr>
                <w:rFonts w:ascii="Times New Roman"/>
                <w:sz w:val="21"/>
              </w:rPr>
            </w:pPr>
            <w:r>
              <w:rPr>
                <w:rFonts w:ascii="Times New Roman"/>
                <w:sz w:val="21"/>
              </w:rPr>
              <w:t>03</w:t>
            </w:r>
          </w:p>
        </w:tc>
        <w:tc>
          <w:tcPr>
            <w:tcW w:w="1002" w:type="dxa"/>
            <w:tcBorders>
              <w:top w:val="nil"/>
            </w:tcBorders>
          </w:tcPr>
          <w:p w14:paraId="74D34996">
            <w:pPr>
              <w:pStyle w:val="14"/>
              <w:spacing w:line="215" w:lineRule="exact"/>
              <w:ind w:left="137" w:right="135"/>
              <w:jc w:val="center"/>
              <w:rPr>
                <w:rFonts w:ascii="Times New Roman"/>
                <w:sz w:val="21"/>
              </w:rPr>
            </w:pPr>
            <w:r>
              <w:rPr>
                <w:rFonts w:ascii="Times New Roman"/>
                <w:sz w:val="21"/>
              </w:rPr>
              <w:t>22</w:t>
            </w:r>
          </w:p>
        </w:tc>
        <w:tc>
          <w:tcPr>
            <w:tcW w:w="633" w:type="dxa"/>
            <w:tcBorders>
              <w:top w:val="nil"/>
            </w:tcBorders>
          </w:tcPr>
          <w:p w14:paraId="6EA16EFB">
            <w:pPr>
              <w:pStyle w:val="14"/>
              <w:spacing w:line="215" w:lineRule="exact"/>
              <w:ind w:left="4"/>
              <w:jc w:val="center"/>
              <w:rPr>
                <w:rFonts w:ascii="Times New Roman"/>
                <w:sz w:val="21"/>
              </w:rPr>
            </w:pPr>
            <w:r>
              <w:rPr>
                <w:rFonts w:ascii="Times New Roman"/>
                <w:w w:val="99"/>
                <w:sz w:val="21"/>
              </w:rPr>
              <w:t>0</w:t>
            </w:r>
          </w:p>
        </w:tc>
        <w:tc>
          <w:tcPr>
            <w:tcW w:w="493" w:type="dxa"/>
            <w:vMerge w:val="continue"/>
            <w:tcBorders>
              <w:top w:val="nil"/>
            </w:tcBorders>
          </w:tcPr>
          <w:p w14:paraId="2F8F6DF6">
            <w:pPr>
              <w:rPr>
                <w:sz w:val="2"/>
                <w:szCs w:val="2"/>
              </w:rPr>
            </w:pPr>
          </w:p>
        </w:tc>
        <w:tc>
          <w:tcPr>
            <w:tcW w:w="493" w:type="dxa"/>
            <w:vMerge w:val="continue"/>
            <w:tcBorders>
              <w:top w:val="nil"/>
            </w:tcBorders>
          </w:tcPr>
          <w:p w14:paraId="11B5D9CC">
            <w:pPr>
              <w:rPr>
                <w:sz w:val="2"/>
                <w:szCs w:val="2"/>
              </w:rPr>
            </w:pPr>
          </w:p>
        </w:tc>
        <w:tc>
          <w:tcPr>
            <w:tcW w:w="525" w:type="dxa"/>
            <w:vMerge w:val="continue"/>
            <w:tcBorders>
              <w:top w:val="nil"/>
            </w:tcBorders>
          </w:tcPr>
          <w:p w14:paraId="4CA9132D">
            <w:pPr>
              <w:rPr>
                <w:sz w:val="2"/>
                <w:szCs w:val="2"/>
              </w:rPr>
            </w:pPr>
          </w:p>
        </w:tc>
        <w:tc>
          <w:tcPr>
            <w:tcW w:w="633" w:type="dxa"/>
            <w:tcBorders>
              <w:top w:val="nil"/>
            </w:tcBorders>
          </w:tcPr>
          <w:p w14:paraId="7E7458A2">
            <w:pPr>
              <w:pStyle w:val="14"/>
              <w:spacing w:line="215" w:lineRule="exact"/>
              <w:ind w:left="2"/>
              <w:jc w:val="center"/>
              <w:rPr>
                <w:rFonts w:ascii="Times New Roman"/>
                <w:sz w:val="21"/>
              </w:rPr>
            </w:pPr>
            <w:r>
              <w:rPr>
                <w:rFonts w:ascii="Times New Roman"/>
                <w:w w:val="99"/>
                <w:sz w:val="21"/>
              </w:rPr>
              <w:t>0</w:t>
            </w:r>
          </w:p>
        </w:tc>
        <w:tc>
          <w:tcPr>
            <w:tcW w:w="725" w:type="dxa"/>
            <w:tcBorders>
              <w:top w:val="nil"/>
            </w:tcBorders>
          </w:tcPr>
          <w:p w14:paraId="51735BDF">
            <w:pPr>
              <w:pStyle w:val="14"/>
              <w:spacing w:line="215" w:lineRule="exact"/>
              <w:ind w:left="3"/>
              <w:jc w:val="center"/>
              <w:rPr>
                <w:rFonts w:ascii="Times New Roman"/>
                <w:sz w:val="21"/>
              </w:rPr>
            </w:pPr>
            <w:r>
              <w:rPr>
                <w:rFonts w:ascii="Times New Roman"/>
                <w:w w:val="99"/>
                <w:sz w:val="21"/>
              </w:rPr>
              <w:t>0</w:t>
            </w:r>
          </w:p>
        </w:tc>
        <w:tc>
          <w:tcPr>
            <w:tcW w:w="725" w:type="dxa"/>
            <w:tcBorders>
              <w:top w:val="nil"/>
            </w:tcBorders>
          </w:tcPr>
          <w:p w14:paraId="44C1AD3F">
            <w:pPr>
              <w:pStyle w:val="14"/>
              <w:spacing w:line="215" w:lineRule="exact"/>
              <w:ind w:left="2"/>
              <w:jc w:val="center"/>
              <w:rPr>
                <w:rFonts w:ascii="Times New Roman"/>
                <w:sz w:val="21"/>
              </w:rPr>
            </w:pPr>
            <w:r>
              <w:rPr>
                <w:rFonts w:ascii="Times New Roman"/>
                <w:w w:val="99"/>
                <w:sz w:val="21"/>
              </w:rPr>
              <w:t>6</w:t>
            </w:r>
          </w:p>
        </w:tc>
        <w:tc>
          <w:tcPr>
            <w:tcW w:w="725" w:type="dxa"/>
            <w:vMerge w:val="continue"/>
            <w:tcBorders>
              <w:top w:val="nil"/>
            </w:tcBorders>
          </w:tcPr>
          <w:p w14:paraId="5BA2317A">
            <w:pPr>
              <w:rPr>
                <w:sz w:val="2"/>
                <w:szCs w:val="2"/>
              </w:rPr>
            </w:pPr>
          </w:p>
        </w:tc>
        <w:tc>
          <w:tcPr>
            <w:tcW w:w="726" w:type="dxa"/>
            <w:vMerge w:val="continue"/>
            <w:tcBorders>
              <w:top w:val="nil"/>
            </w:tcBorders>
          </w:tcPr>
          <w:p w14:paraId="7C8DA49F">
            <w:pPr>
              <w:rPr>
                <w:sz w:val="2"/>
                <w:szCs w:val="2"/>
              </w:rPr>
            </w:pPr>
          </w:p>
        </w:tc>
      </w:tr>
      <w:tr w14:paraId="55BDB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761" w:type="dxa"/>
            <w:tcBorders>
              <w:bottom w:val="nil"/>
            </w:tcBorders>
          </w:tcPr>
          <w:p w14:paraId="3EE179DC">
            <w:pPr>
              <w:pStyle w:val="14"/>
              <w:spacing w:line="223" w:lineRule="exact"/>
              <w:ind w:left="103" w:right="98"/>
              <w:jc w:val="center"/>
              <w:rPr>
                <w:rFonts w:ascii="Times New Roman"/>
                <w:sz w:val="21"/>
              </w:rPr>
            </w:pPr>
            <w:r>
              <w:rPr>
                <w:rFonts w:ascii="Times New Roman"/>
                <w:sz w:val="21"/>
              </w:rPr>
              <w:t>DA00</w:t>
            </w:r>
          </w:p>
        </w:tc>
        <w:tc>
          <w:tcPr>
            <w:tcW w:w="1081" w:type="dxa"/>
            <w:tcBorders>
              <w:bottom w:val="nil"/>
            </w:tcBorders>
          </w:tcPr>
          <w:p w14:paraId="575B3639">
            <w:pPr>
              <w:pStyle w:val="14"/>
              <w:spacing w:line="223" w:lineRule="exact"/>
              <w:ind w:left="125" w:right="121"/>
              <w:jc w:val="center"/>
              <w:rPr>
                <w:rFonts w:ascii="Times New Roman"/>
                <w:sz w:val="21"/>
              </w:rPr>
            </w:pPr>
            <w:r>
              <w:rPr>
                <w:rFonts w:ascii="Times New Roman"/>
                <w:sz w:val="21"/>
              </w:rPr>
              <w:t>113.1114</w:t>
            </w:r>
          </w:p>
        </w:tc>
        <w:tc>
          <w:tcPr>
            <w:tcW w:w="1002" w:type="dxa"/>
            <w:tcBorders>
              <w:bottom w:val="nil"/>
            </w:tcBorders>
          </w:tcPr>
          <w:p w14:paraId="658E203D">
            <w:pPr>
              <w:pStyle w:val="14"/>
              <w:spacing w:line="223" w:lineRule="exact"/>
              <w:ind w:left="139" w:right="135"/>
              <w:jc w:val="center"/>
              <w:rPr>
                <w:rFonts w:ascii="Times New Roman"/>
                <w:sz w:val="21"/>
              </w:rPr>
            </w:pPr>
            <w:r>
              <w:rPr>
                <w:rFonts w:ascii="Times New Roman"/>
                <w:sz w:val="21"/>
              </w:rPr>
              <w:t>29.1231</w:t>
            </w:r>
          </w:p>
        </w:tc>
        <w:tc>
          <w:tcPr>
            <w:tcW w:w="633" w:type="dxa"/>
            <w:tcBorders>
              <w:bottom w:val="nil"/>
            </w:tcBorders>
          </w:tcPr>
          <w:p w14:paraId="1F01E5EA">
            <w:pPr>
              <w:pStyle w:val="14"/>
              <w:spacing w:line="223" w:lineRule="exact"/>
              <w:ind w:right="125"/>
              <w:jc w:val="right"/>
              <w:rPr>
                <w:rFonts w:ascii="Times New Roman"/>
                <w:sz w:val="21"/>
              </w:rPr>
            </w:pPr>
            <w:r>
              <w:rPr>
                <w:rFonts w:ascii="Times New Roman"/>
                <w:sz w:val="21"/>
              </w:rPr>
              <w:t>67.0</w:t>
            </w:r>
          </w:p>
        </w:tc>
        <w:tc>
          <w:tcPr>
            <w:tcW w:w="493" w:type="dxa"/>
            <w:vMerge w:val="restart"/>
          </w:tcPr>
          <w:p w14:paraId="5EB11D5E">
            <w:pPr>
              <w:pStyle w:val="14"/>
              <w:spacing w:before="119"/>
              <w:ind w:left="139"/>
              <w:rPr>
                <w:rFonts w:ascii="Times New Roman"/>
                <w:sz w:val="21"/>
              </w:rPr>
            </w:pPr>
            <w:r>
              <w:rPr>
                <w:rFonts w:ascii="Times New Roman"/>
                <w:sz w:val="21"/>
              </w:rPr>
              <w:t>15</w:t>
            </w:r>
          </w:p>
        </w:tc>
        <w:tc>
          <w:tcPr>
            <w:tcW w:w="493" w:type="dxa"/>
            <w:vMerge w:val="restart"/>
          </w:tcPr>
          <w:p w14:paraId="0A151354">
            <w:pPr>
              <w:pStyle w:val="14"/>
              <w:spacing w:before="119"/>
              <w:ind w:left="114"/>
              <w:rPr>
                <w:rFonts w:ascii="Times New Roman"/>
                <w:sz w:val="21"/>
              </w:rPr>
            </w:pPr>
            <w:r>
              <w:rPr>
                <w:rFonts w:ascii="Times New Roman"/>
                <w:sz w:val="21"/>
              </w:rPr>
              <w:t>0.4</w:t>
            </w:r>
          </w:p>
        </w:tc>
        <w:tc>
          <w:tcPr>
            <w:tcW w:w="525" w:type="dxa"/>
            <w:vMerge w:val="restart"/>
          </w:tcPr>
          <w:p w14:paraId="02A99304">
            <w:pPr>
              <w:pStyle w:val="14"/>
              <w:spacing w:before="119"/>
              <w:ind w:left="156"/>
              <w:rPr>
                <w:rFonts w:ascii="Times New Roman"/>
                <w:sz w:val="21"/>
              </w:rPr>
            </w:pPr>
            <w:r>
              <w:rPr>
                <w:rFonts w:ascii="Times New Roman"/>
                <w:sz w:val="21"/>
              </w:rPr>
              <w:t>37</w:t>
            </w:r>
          </w:p>
        </w:tc>
        <w:tc>
          <w:tcPr>
            <w:tcW w:w="633" w:type="dxa"/>
            <w:vMerge w:val="restart"/>
          </w:tcPr>
          <w:p w14:paraId="7D5109A7">
            <w:pPr>
              <w:pStyle w:val="14"/>
              <w:spacing w:before="119"/>
              <w:ind w:left="131"/>
              <w:rPr>
                <w:rFonts w:ascii="Times New Roman"/>
                <w:sz w:val="21"/>
              </w:rPr>
            </w:pPr>
            <w:r>
              <w:rPr>
                <w:rFonts w:ascii="Times New Roman"/>
                <w:sz w:val="21"/>
              </w:rPr>
              <w:t>5.40</w:t>
            </w:r>
          </w:p>
        </w:tc>
        <w:tc>
          <w:tcPr>
            <w:tcW w:w="725" w:type="dxa"/>
            <w:vMerge w:val="restart"/>
          </w:tcPr>
          <w:p w14:paraId="2498994A">
            <w:pPr>
              <w:pStyle w:val="14"/>
              <w:spacing w:before="119"/>
              <w:ind w:left="1"/>
              <w:jc w:val="center"/>
              <w:rPr>
                <w:rFonts w:ascii="Times New Roman"/>
                <w:sz w:val="21"/>
              </w:rPr>
            </w:pPr>
            <w:r>
              <w:rPr>
                <w:rFonts w:ascii="Times New Roman"/>
                <w:w w:val="99"/>
                <w:sz w:val="21"/>
              </w:rPr>
              <w:t>-</w:t>
            </w:r>
          </w:p>
        </w:tc>
        <w:tc>
          <w:tcPr>
            <w:tcW w:w="725" w:type="dxa"/>
            <w:vMerge w:val="restart"/>
          </w:tcPr>
          <w:p w14:paraId="031BFA93">
            <w:pPr>
              <w:pStyle w:val="14"/>
              <w:spacing w:before="119"/>
              <w:ind w:left="1"/>
              <w:jc w:val="center"/>
              <w:rPr>
                <w:rFonts w:ascii="Times New Roman"/>
                <w:sz w:val="21"/>
              </w:rPr>
            </w:pPr>
            <w:r>
              <w:rPr>
                <w:rFonts w:ascii="Times New Roman"/>
                <w:w w:val="99"/>
                <w:sz w:val="21"/>
              </w:rPr>
              <w:t>-</w:t>
            </w:r>
          </w:p>
        </w:tc>
        <w:tc>
          <w:tcPr>
            <w:tcW w:w="725" w:type="dxa"/>
            <w:tcBorders>
              <w:bottom w:val="nil"/>
            </w:tcBorders>
          </w:tcPr>
          <w:p w14:paraId="2EE0FF6F">
            <w:pPr>
              <w:pStyle w:val="14"/>
              <w:spacing w:line="223" w:lineRule="exact"/>
              <w:ind w:left="126"/>
              <w:rPr>
                <w:rFonts w:ascii="Times New Roman"/>
                <w:sz w:val="21"/>
              </w:rPr>
            </w:pPr>
            <w:r>
              <w:rPr>
                <w:rFonts w:ascii="Times New Roman"/>
                <w:sz w:val="21"/>
              </w:rPr>
              <w:t>0.017</w:t>
            </w:r>
          </w:p>
        </w:tc>
        <w:tc>
          <w:tcPr>
            <w:tcW w:w="726" w:type="dxa"/>
            <w:tcBorders>
              <w:bottom w:val="nil"/>
            </w:tcBorders>
          </w:tcPr>
          <w:p w14:paraId="39BB5179">
            <w:pPr>
              <w:pStyle w:val="14"/>
              <w:spacing w:line="223" w:lineRule="exact"/>
              <w:ind w:left="105" w:right="102"/>
              <w:jc w:val="center"/>
              <w:rPr>
                <w:rFonts w:ascii="Times New Roman"/>
                <w:sz w:val="21"/>
              </w:rPr>
            </w:pPr>
            <w:r>
              <w:rPr>
                <w:rFonts w:ascii="Times New Roman"/>
                <w:sz w:val="21"/>
              </w:rPr>
              <w:t>0.021</w:t>
            </w:r>
          </w:p>
        </w:tc>
      </w:tr>
      <w:tr w14:paraId="0B6AC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761" w:type="dxa"/>
            <w:tcBorders>
              <w:top w:val="nil"/>
            </w:tcBorders>
          </w:tcPr>
          <w:p w14:paraId="53FCE41A">
            <w:pPr>
              <w:pStyle w:val="14"/>
              <w:spacing w:line="215" w:lineRule="exact"/>
              <w:ind w:left="5"/>
              <w:jc w:val="center"/>
              <w:rPr>
                <w:rFonts w:ascii="Times New Roman"/>
                <w:sz w:val="21"/>
              </w:rPr>
            </w:pPr>
            <w:r>
              <w:rPr>
                <w:rFonts w:ascii="Times New Roman"/>
                <w:w w:val="99"/>
                <w:sz w:val="21"/>
              </w:rPr>
              <w:t>4</w:t>
            </w:r>
          </w:p>
        </w:tc>
        <w:tc>
          <w:tcPr>
            <w:tcW w:w="1081" w:type="dxa"/>
            <w:tcBorders>
              <w:top w:val="nil"/>
            </w:tcBorders>
          </w:tcPr>
          <w:p w14:paraId="447EE933">
            <w:pPr>
              <w:pStyle w:val="14"/>
              <w:spacing w:line="215" w:lineRule="exact"/>
              <w:ind w:left="124" w:right="122"/>
              <w:jc w:val="center"/>
              <w:rPr>
                <w:rFonts w:ascii="Times New Roman"/>
                <w:sz w:val="21"/>
              </w:rPr>
            </w:pPr>
            <w:r>
              <w:rPr>
                <w:rFonts w:ascii="Times New Roman"/>
                <w:sz w:val="21"/>
              </w:rPr>
              <w:t>34</w:t>
            </w:r>
          </w:p>
        </w:tc>
        <w:tc>
          <w:tcPr>
            <w:tcW w:w="1002" w:type="dxa"/>
            <w:tcBorders>
              <w:top w:val="nil"/>
            </w:tcBorders>
          </w:tcPr>
          <w:p w14:paraId="3F85881D">
            <w:pPr>
              <w:pStyle w:val="14"/>
              <w:spacing w:line="215" w:lineRule="exact"/>
              <w:ind w:left="137" w:right="135"/>
              <w:jc w:val="center"/>
              <w:rPr>
                <w:rFonts w:ascii="Times New Roman"/>
                <w:sz w:val="21"/>
              </w:rPr>
            </w:pPr>
            <w:r>
              <w:rPr>
                <w:rFonts w:ascii="Times New Roman"/>
                <w:sz w:val="21"/>
              </w:rPr>
              <w:t>89</w:t>
            </w:r>
          </w:p>
        </w:tc>
        <w:tc>
          <w:tcPr>
            <w:tcW w:w="633" w:type="dxa"/>
            <w:tcBorders>
              <w:top w:val="nil"/>
            </w:tcBorders>
          </w:tcPr>
          <w:p w14:paraId="3D88C49F">
            <w:pPr>
              <w:pStyle w:val="14"/>
              <w:spacing w:line="215" w:lineRule="exact"/>
              <w:ind w:left="4"/>
              <w:jc w:val="center"/>
              <w:rPr>
                <w:rFonts w:ascii="Times New Roman"/>
                <w:sz w:val="21"/>
              </w:rPr>
            </w:pPr>
            <w:r>
              <w:rPr>
                <w:rFonts w:ascii="Times New Roman"/>
                <w:w w:val="99"/>
                <w:sz w:val="21"/>
              </w:rPr>
              <w:t>0</w:t>
            </w:r>
          </w:p>
        </w:tc>
        <w:tc>
          <w:tcPr>
            <w:tcW w:w="493" w:type="dxa"/>
            <w:vMerge w:val="continue"/>
            <w:tcBorders>
              <w:top w:val="nil"/>
            </w:tcBorders>
          </w:tcPr>
          <w:p w14:paraId="3DFE744F">
            <w:pPr>
              <w:rPr>
                <w:sz w:val="2"/>
                <w:szCs w:val="2"/>
              </w:rPr>
            </w:pPr>
          </w:p>
        </w:tc>
        <w:tc>
          <w:tcPr>
            <w:tcW w:w="493" w:type="dxa"/>
            <w:vMerge w:val="continue"/>
            <w:tcBorders>
              <w:top w:val="nil"/>
            </w:tcBorders>
          </w:tcPr>
          <w:p w14:paraId="1F8C1266">
            <w:pPr>
              <w:rPr>
                <w:sz w:val="2"/>
                <w:szCs w:val="2"/>
              </w:rPr>
            </w:pPr>
          </w:p>
        </w:tc>
        <w:tc>
          <w:tcPr>
            <w:tcW w:w="525" w:type="dxa"/>
            <w:vMerge w:val="continue"/>
            <w:tcBorders>
              <w:top w:val="nil"/>
            </w:tcBorders>
          </w:tcPr>
          <w:p w14:paraId="02039B8E">
            <w:pPr>
              <w:rPr>
                <w:sz w:val="2"/>
                <w:szCs w:val="2"/>
              </w:rPr>
            </w:pPr>
          </w:p>
        </w:tc>
        <w:tc>
          <w:tcPr>
            <w:tcW w:w="633" w:type="dxa"/>
            <w:vMerge w:val="continue"/>
            <w:tcBorders>
              <w:top w:val="nil"/>
            </w:tcBorders>
          </w:tcPr>
          <w:p w14:paraId="07A102E9">
            <w:pPr>
              <w:rPr>
                <w:sz w:val="2"/>
                <w:szCs w:val="2"/>
              </w:rPr>
            </w:pPr>
          </w:p>
        </w:tc>
        <w:tc>
          <w:tcPr>
            <w:tcW w:w="725" w:type="dxa"/>
            <w:vMerge w:val="continue"/>
            <w:tcBorders>
              <w:top w:val="nil"/>
            </w:tcBorders>
          </w:tcPr>
          <w:p w14:paraId="3E34E30A">
            <w:pPr>
              <w:rPr>
                <w:sz w:val="2"/>
                <w:szCs w:val="2"/>
              </w:rPr>
            </w:pPr>
          </w:p>
        </w:tc>
        <w:tc>
          <w:tcPr>
            <w:tcW w:w="725" w:type="dxa"/>
            <w:vMerge w:val="continue"/>
            <w:tcBorders>
              <w:top w:val="nil"/>
            </w:tcBorders>
          </w:tcPr>
          <w:p w14:paraId="43B3161F">
            <w:pPr>
              <w:rPr>
                <w:sz w:val="2"/>
                <w:szCs w:val="2"/>
              </w:rPr>
            </w:pPr>
          </w:p>
        </w:tc>
        <w:tc>
          <w:tcPr>
            <w:tcW w:w="725" w:type="dxa"/>
            <w:tcBorders>
              <w:top w:val="nil"/>
            </w:tcBorders>
          </w:tcPr>
          <w:p w14:paraId="50760C4F">
            <w:pPr>
              <w:pStyle w:val="14"/>
              <w:spacing w:line="215" w:lineRule="exact"/>
              <w:ind w:left="2"/>
              <w:jc w:val="center"/>
              <w:rPr>
                <w:rFonts w:ascii="Times New Roman"/>
                <w:sz w:val="21"/>
              </w:rPr>
            </w:pPr>
            <w:r>
              <w:rPr>
                <w:rFonts w:ascii="Times New Roman"/>
                <w:w w:val="99"/>
                <w:sz w:val="21"/>
              </w:rPr>
              <w:t>4</w:t>
            </w:r>
          </w:p>
        </w:tc>
        <w:tc>
          <w:tcPr>
            <w:tcW w:w="726" w:type="dxa"/>
            <w:tcBorders>
              <w:top w:val="nil"/>
            </w:tcBorders>
          </w:tcPr>
          <w:p w14:paraId="7C8EA118">
            <w:pPr>
              <w:pStyle w:val="14"/>
              <w:spacing w:line="215" w:lineRule="exact"/>
              <w:jc w:val="center"/>
              <w:rPr>
                <w:rFonts w:ascii="Times New Roman"/>
                <w:sz w:val="21"/>
              </w:rPr>
            </w:pPr>
            <w:r>
              <w:rPr>
                <w:rFonts w:ascii="Times New Roman"/>
                <w:w w:val="99"/>
                <w:sz w:val="21"/>
              </w:rPr>
              <w:t>0</w:t>
            </w:r>
          </w:p>
        </w:tc>
      </w:tr>
    </w:tbl>
    <w:p w14:paraId="5B06E5D7">
      <w:pPr>
        <w:spacing w:after="0" w:line="215" w:lineRule="exact"/>
        <w:jc w:val="center"/>
        <w:rPr>
          <w:rFonts w:ascii="Times New Roman"/>
          <w:sz w:val="21"/>
        </w:rPr>
        <w:sectPr>
          <w:pgSz w:w="11910" w:h="16840"/>
          <w:pgMar w:top="1360" w:right="1460" w:bottom="1400" w:left="1520" w:header="878" w:footer="1204" w:gutter="0"/>
          <w:cols w:space="720" w:num="1"/>
        </w:sectPr>
      </w:pPr>
    </w:p>
    <w:p w14:paraId="09B34560">
      <w:pPr>
        <w:spacing w:before="67"/>
        <w:ind w:left="262" w:right="324" w:firstLine="0"/>
        <w:jc w:val="center"/>
        <w:rPr>
          <w:b/>
          <w:sz w:val="21"/>
        </w:rPr>
      </w:pPr>
      <w:r>
        <w:rPr>
          <w:b/>
          <w:sz w:val="21"/>
        </w:rPr>
        <w:t xml:space="preserve">表 </w:t>
      </w:r>
      <w:r>
        <w:rPr>
          <w:rFonts w:ascii="Times New Roman" w:eastAsia="Times New Roman"/>
          <w:b/>
          <w:sz w:val="21"/>
        </w:rPr>
        <w:t xml:space="preserve">2.5-4 </w:t>
      </w:r>
      <w:r>
        <w:rPr>
          <w:b/>
          <w:sz w:val="21"/>
        </w:rPr>
        <w:t>主要废气污染源参数一览表（矩形面源）</w:t>
      </w:r>
    </w:p>
    <w:p w14:paraId="20DF8674">
      <w:pPr>
        <w:pStyle w:val="7"/>
        <w:spacing w:before="7" w:after="1"/>
        <w:rPr>
          <w:b/>
          <w:sz w:val="9"/>
        </w:rPr>
      </w:pPr>
    </w:p>
    <w:tbl>
      <w:tblPr>
        <w:tblStyle w:val="10"/>
        <w:tblW w:w="0" w:type="auto"/>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1198"/>
        <w:gridCol w:w="1110"/>
        <w:gridCol w:w="955"/>
        <w:gridCol w:w="856"/>
        <w:gridCol w:w="856"/>
        <w:gridCol w:w="956"/>
        <w:gridCol w:w="919"/>
        <w:gridCol w:w="919"/>
      </w:tblGrid>
      <w:tr w14:paraId="3FAC8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53" w:type="dxa"/>
            <w:vMerge w:val="restart"/>
          </w:tcPr>
          <w:p w14:paraId="33552CA8">
            <w:pPr>
              <w:pStyle w:val="14"/>
              <w:rPr>
                <w:b/>
                <w:sz w:val="20"/>
              </w:rPr>
            </w:pPr>
          </w:p>
          <w:p w14:paraId="34649443">
            <w:pPr>
              <w:pStyle w:val="14"/>
              <w:spacing w:before="138" w:line="242" w:lineRule="auto"/>
              <w:ind w:left="165" w:right="160"/>
              <w:jc w:val="both"/>
              <w:rPr>
                <w:b/>
                <w:sz w:val="21"/>
              </w:rPr>
            </w:pPr>
            <w:r>
              <w:rPr>
                <w:b/>
                <w:sz w:val="21"/>
              </w:rPr>
              <w:t>污染源名称</w:t>
            </w:r>
          </w:p>
        </w:tc>
        <w:tc>
          <w:tcPr>
            <w:tcW w:w="2308" w:type="dxa"/>
            <w:gridSpan w:val="2"/>
          </w:tcPr>
          <w:p w14:paraId="0E7EB6A8">
            <w:pPr>
              <w:pStyle w:val="14"/>
              <w:spacing w:before="6"/>
              <w:rPr>
                <w:b/>
                <w:sz w:val="20"/>
              </w:rPr>
            </w:pPr>
          </w:p>
          <w:p w14:paraId="1F37E58D">
            <w:pPr>
              <w:pStyle w:val="14"/>
              <w:ind w:left="810" w:right="806"/>
              <w:jc w:val="center"/>
              <w:rPr>
                <w:rFonts w:ascii="Times New Roman" w:hAnsi="Times New Roman" w:eastAsia="Times New Roman"/>
                <w:b/>
                <w:sz w:val="21"/>
              </w:rPr>
            </w:pPr>
            <w:r>
              <w:rPr>
                <w:b/>
                <w:sz w:val="21"/>
              </w:rPr>
              <w:t>坐标</w:t>
            </w:r>
            <w:r>
              <w:rPr>
                <w:rFonts w:ascii="Times New Roman" w:hAnsi="Times New Roman" w:eastAsia="Times New Roman"/>
                <w:b/>
                <w:sz w:val="21"/>
              </w:rPr>
              <w:t>(°)</w:t>
            </w:r>
          </w:p>
        </w:tc>
        <w:tc>
          <w:tcPr>
            <w:tcW w:w="955" w:type="dxa"/>
            <w:vMerge w:val="restart"/>
          </w:tcPr>
          <w:p w14:paraId="7E587F0B">
            <w:pPr>
              <w:pStyle w:val="14"/>
              <w:rPr>
                <w:b/>
                <w:sz w:val="22"/>
              </w:rPr>
            </w:pPr>
          </w:p>
          <w:p w14:paraId="67F515E8">
            <w:pPr>
              <w:pStyle w:val="14"/>
              <w:spacing w:before="6"/>
              <w:rPr>
                <w:b/>
                <w:sz w:val="19"/>
              </w:rPr>
            </w:pPr>
          </w:p>
          <w:p w14:paraId="0E3B62F4">
            <w:pPr>
              <w:pStyle w:val="14"/>
              <w:spacing w:line="242" w:lineRule="auto"/>
              <w:ind w:left="214" w:right="156" w:hanging="56"/>
              <w:rPr>
                <w:rFonts w:ascii="Times New Roman" w:eastAsia="Times New Roman"/>
                <w:b/>
                <w:sz w:val="21"/>
              </w:rPr>
            </w:pPr>
            <w:r>
              <w:rPr>
                <w:b/>
                <w:sz w:val="21"/>
              </w:rPr>
              <w:t>海拔高度</w:t>
            </w:r>
            <w:r>
              <w:rPr>
                <w:rFonts w:ascii="Times New Roman" w:eastAsia="Times New Roman"/>
                <w:b/>
                <w:sz w:val="21"/>
              </w:rPr>
              <w:t>(m)</w:t>
            </w:r>
          </w:p>
        </w:tc>
        <w:tc>
          <w:tcPr>
            <w:tcW w:w="2668" w:type="dxa"/>
            <w:gridSpan w:val="3"/>
          </w:tcPr>
          <w:p w14:paraId="3FE931C6">
            <w:pPr>
              <w:pStyle w:val="14"/>
              <w:spacing w:before="6"/>
              <w:rPr>
                <w:b/>
                <w:sz w:val="20"/>
              </w:rPr>
            </w:pPr>
          </w:p>
          <w:p w14:paraId="0DFA9779">
            <w:pPr>
              <w:pStyle w:val="14"/>
              <w:ind w:left="890" w:right="889"/>
              <w:jc w:val="center"/>
              <w:rPr>
                <w:b/>
                <w:sz w:val="21"/>
              </w:rPr>
            </w:pPr>
            <w:r>
              <w:rPr>
                <w:b/>
                <w:sz w:val="21"/>
              </w:rPr>
              <w:t>矩形面源</w:t>
            </w:r>
          </w:p>
        </w:tc>
        <w:tc>
          <w:tcPr>
            <w:tcW w:w="1838" w:type="dxa"/>
            <w:gridSpan w:val="2"/>
          </w:tcPr>
          <w:p w14:paraId="5A62FFE7">
            <w:pPr>
              <w:pStyle w:val="14"/>
              <w:spacing w:before="143"/>
              <w:ind w:left="158" w:right="158"/>
              <w:jc w:val="center"/>
              <w:rPr>
                <w:b/>
                <w:sz w:val="21"/>
              </w:rPr>
            </w:pPr>
            <w:r>
              <w:rPr>
                <w:b/>
                <w:sz w:val="21"/>
              </w:rPr>
              <w:t>污染物排放速率</w:t>
            </w:r>
          </w:p>
          <w:p w14:paraId="5DD4E4BD">
            <w:pPr>
              <w:pStyle w:val="14"/>
              <w:spacing w:before="4"/>
              <w:ind w:left="158" w:right="156"/>
              <w:jc w:val="center"/>
              <w:rPr>
                <w:rFonts w:ascii="Times New Roman"/>
                <w:b/>
                <w:sz w:val="21"/>
              </w:rPr>
            </w:pPr>
            <w:r>
              <w:rPr>
                <w:rFonts w:ascii="Times New Roman"/>
                <w:b/>
                <w:sz w:val="21"/>
              </w:rPr>
              <w:t>(kg/h)</w:t>
            </w:r>
          </w:p>
        </w:tc>
      </w:tr>
      <w:tr w14:paraId="2A11B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53" w:type="dxa"/>
            <w:vMerge w:val="continue"/>
            <w:tcBorders>
              <w:top w:val="nil"/>
            </w:tcBorders>
          </w:tcPr>
          <w:p w14:paraId="591DF27B">
            <w:pPr>
              <w:rPr>
                <w:sz w:val="2"/>
                <w:szCs w:val="2"/>
              </w:rPr>
            </w:pPr>
          </w:p>
        </w:tc>
        <w:tc>
          <w:tcPr>
            <w:tcW w:w="1198" w:type="dxa"/>
          </w:tcPr>
          <w:p w14:paraId="377FD2A7">
            <w:pPr>
              <w:pStyle w:val="14"/>
              <w:spacing w:before="8"/>
              <w:rPr>
                <w:b/>
                <w:sz w:val="20"/>
              </w:rPr>
            </w:pPr>
          </w:p>
          <w:p w14:paraId="7D3E5136">
            <w:pPr>
              <w:pStyle w:val="14"/>
              <w:ind w:left="74" w:right="74"/>
              <w:jc w:val="center"/>
              <w:rPr>
                <w:b/>
                <w:sz w:val="21"/>
              </w:rPr>
            </w:pPr>
            <w:r>
              <w:rPr>
                <w:b/>
                <w:sz w:val="21"/>
              </w:rPr>
              <w:t>经度</w:t>
            </w:r>
          </w:p>
        </w:tc>
        <w:tc>
          <w:tcPr>
            <w:tcW w:w="1110" w:type="dxa"/>
          </w:tcPr>
          <w:p w14:paraId="5C11057A">
            <w:pPr>
              <w:pStyle w:val="14"/>
              <w:spacing w:before="8"/>
              <w:rPr>
                <w:b/>
                <w:sz w:val="20"/>
              </w:rPr>
            </w:pPr>
          </w:p>
          <w:p w14:paraId="48A12027">
            <w:pPr>
              <w:pStyle w:val="14"/>
              <w:ind w:left="84" w:right="83"/>
              <w:jc w:val="center"/>
              <w:rPr>
                <w:b/>
                <w:sz w:val="21"/>
              </w:rPr>
            </w:pPr>
            <w:r>
              <w:rPr>
                <w:b/>
                <w:sz w:val="21"/>
              </w:rPr>
              <w:t>纬度</w:t>
            </w:r>
          </w:p>
        </w:tc>
        <w:tc>
          <w:tcPr>
            <w:tcW w:w="955" w:type="dxa"/>
            <w:vMerge w:val="continue"/>
            <w:tcBorders>
              <w:top w:val="nil"/>
            </w:tcBorders>
          </w:tcPr>
          <w:p w14:paraId="7F1262A9">
            <w:pPr>
              <w:rPr>
                <w:sz w:val="2"/>
                <w:szCs w:val="2"/>
              </w:rPr>
            </w:pPr>
          </w:p>
        </w:tc>
        <w:tc>
          <w:tcPr>
            <w:tcW w:w="856" w:type="dxa"/>
          </w:tcPr>
          <w:p w14:paraId="00158B38">
            <w:pPr>
              <w:pStyle w:val="14"/>
              <w:spacing w:before="144"/>
              <w:ind w:left="217"/>
              <w:rPr>
                <w:b/>
                <w:sz w:val="21"/>
              </w:rPr>
            </w:pPr>
            <w:r>
              <w:rPr>
                <w:b/>
                <w:sz w:val="21"/>
              </w:rPr>
              <w:t>长度</w:t>
            </w:r>
          </w:p>
          <w:p w14:paraId="6732D4EC">
            <w:pPr>
              <w:pStyle w:val="14"/>
              <w:spacing w:before="2"/>
              <w:ind w:left="270"/>
              <w:rPr>
                <w:rFonts w:ascii="Times New Roman"/>
                <w:b/>
                <w:sz w:val="21"/>
              </w:rPr>
            </w:pPr>
            <w:r>
              <w:rPr>
                <w:rFonts w:ascii="Times New Roman"/>
                <w:b/>
                <w:sz w:val="21"/>
              </w:rPr>
              <w:t>(m)</w:t>
            </w:r>
          </w:p>
        </w:tc>
        <w:tc>
          <w:tcPr>
            <w:tcW w:w="856" w:type="dxa"/>
          </w:tcPr>
          <w:p w14:paraId="51A3CE88">
            <w:pPr>
              <w:pStyle w:val="14"/>
              <w:spacing w:before="144"/>
              <w:ind w:left="215"/>
              <w:rPr>
                <w:b/>
                <w:sz w:val="21"/>
              </w:rPr>
            </w:pPr>
            <w:r>
              <w:rPr>
                <w:b/>
                <w:sz w:val="21"/>
              </w:rPr>
              <w:t>宽度</w:t>
            </w:r>
          </w:p>
          <w:p w14:paraId="186781CE">
            <w:pPr>
              <w:pStyle w:val="14"/>
              <w:spacing w:before="2"/>
              <w:ind w:left="268"/>
              <w:rPr>
                <w:rFonts w:ascii="Times New Roman"/>
                <w:b/>
                <w:sz w:val="21"/>
              </w:rPr>
            </w:pPr>
            <w:r>
              <w:rPr>
                <w:rFonts w:ascii="Times New Roman"/>
                <w:b/>
                <w:sz w:val="21"/>
              </w:rPr>
              <w:t>(m)</w:t>
            </w:r>
          </w:p>
        </w:tc>
        <w:tc>
          <w:tcPr>
            <w:tcW w:w="956" w:type="dxa"/>
          </w:tcPr>
          <w:p w14:paraId="42D2293B">
            <w:pPr>
              <w:pStyle w:val="14"/>
              <w:spacing w:before="127" w:line="244" w:lineRule="auto"/>
              <w:ind w:left="214" w:right="156" w:hanging="53"/>
              <w:rPr>
                <w:rFonts w:ascii="Times New Roman" w:eastAsia="Times New Roman"/>
                <w:b/>
                <w:sz w:val="21"/>
              </w:rPr>
            </w:pPr>
            <w:r>
              <w:rPr>
                <w:b/>
                <w:sz w:val="21"/>
              </w:rPr>
              <w:t>有效高度</w:t>
            </w:r>
            <w:r>
              <w:rPr>
                <w:rFonts w:ascii="Times New Roman" w:eastAsia="Times New Roman"/>
                <w:b/>
                <w:sz w:val="21"/>
              </w:rPr>
              <w:t>(m)</w:t>
            </w:r>
          </w:p>
        </w:tc>
        <w:tc>
          <w:tcPr>
            <w:tcW w:w="919" w:type="dxa"/>
          </w:tcPr>
          <w:p w14:paraId="1B858118">
            <w:pPr>
              <w:pStyle w:val="14"/>
              <w:spacing w:before="5"/>
              <w:rPr>
                <w:b/>
                <w:sz w:val="21"/>
              </w:rPr>
            </w:pPr>
          </w:p>
          <w:p w14:paraId="272EBC32">
            <w:pPr>
              <w:pStyle w:val="14"/>
              <w:spacing w:before="1"/>
              <w:ind w:left="149" w:right="146"/>
              <w:jc w:val="center"/>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vertAlign w:val="baseline"/>
              </w:rPr>
              <w:t>S</w:t>
            </w:r>
          </w:p>
        </w:tc>
        <w:tc>
          <w:tcPr>
            <w:tcW w:w="919" w:type="dxa"/>
          </w:tcPr>
          <w:p w14:paraId="7210F0CA">
            <w:pPr>
              <w:pStyle w:val="14"/>
              <w:spacing w:before="5"/>
              <w:rPr>
                <w:b/>
                <w:sz w:val="21"/>
              </w:rPr>
            </w:pPr>
          </w:p>
          <w:p w14:paraId="559D3833">
            <w:pPr>
              <w:pStyle w:val="14"/>
              <w:spacing w:before="1"/>
              <w:ind w:left="149" w:right="143"/>
              <w:jc w:val="center"/>
              <w:rPr>
                <w:rFonts w:ascii="Times New Roman"/>
                <w:b/>
                <w:sz w:val="21"/>
              </w:rPr>
            </w:pPr>
            <w:r>
              <w:rPr>
                <w:rFonts w:ascii="Times New Roman"/>
                <w:b/>
                <w:position w:val="2"/>
                <w:sz w:val="21"/>
              </w:rPr>
              <w:t>NH</w:t>
            </w:r>
            <w:r>
              <w:rPr>
                <w:rFonts w:ascii="Times New Roman"/>
                <w:b/>
                <w:position w:val="2"/>
                <w:sz w:val="21"/>
                <w:vertAlign w:val="subscript"/>
              </w:rPr>
              <w:t>3</w:t>
            </w:r>
          </w:p>
        </w:tc>
      </w:tr>
      <w:tr w14:paraId="5EEE9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53" w:type="dxa"/>
          </w:tcPr>
          <w:p w14:paraId="1CAEE65E">
            <w:pPr>
              <w:pStyle w:val="14"/>
              <w:spacing w:before="1" w:line="242" w:lineRule="auto"/>
              <w:ind w:left="165" w:right="162"/>
              <w:jc w:val="center"/>
              <w:rPr>
                <w:sz w:val="21"/>
              </w:rPr>
            </w:pPr>
            <w:r>
              <w:rPr>
                <w:w w:val="95"/>
                <w:sz w:val="21"/>
              </w:rPr>
              <w:t>厂界无组</w:t>
            </w:r>
          </w:p>
          <w:p w14:paraId="77A30208">
            <w:pPr>
              <w:pStyle w:val="14"/>
              <w:spacing w:line="252" w:lineRule="exact"/>
              <w:ind w:left="3"/>
              <w:jc w:val="center"/>
              <w:rPr>
                <w:sz w:val="21"/>
              </w:rPr>
            </w:pPr>
            <w:r>
              <w:rPr>
                <w:w w:val="99"/>
                <w:sz w:val="21"/>
              </w:rPr>
              <w:t>织</w:t>
            </w:r>
          </w:p>
        </w:tc>
        <w:tc>
          <w:tcPr>
            <w:tcW w:w="1198" w:type="dxa"/>
          </w:tcPr>
          <w:p w14:paraId="79400AF6">
            <w:pPr>
              <w:pStyle w:val="14"/>
              <w:spacing w:before="4"/>
              <w:rPr>
                <w:b/>
                <w:sz w:val="22"/>
              </w:rPr>
            </w:pPr>
          </w:p>
          <w:p w14:paraId="68D34E76">
            <w:pPr>
              <w:pStyle w:val="14"/>
              <w:spacing w:before="1"/>
              <w:ind w:left="80" w:right="74"/>
              <w:jc w:val="center"/>
              <w:rPr>
                <w:rFonts w:ascii="Times New Roman"/>
                <w:sz w:val="21"/>
              </w:rPr>
            </w:pPr>
            <w:r>
              <w:rPr>
                <w:rFonts w:ascii="Times New Roman"/>
                <w:sz w:val="21"/>
              </w:rPr>
              <w:t>113.112141</w:t>
            </w:r>
          </w:p>
        </w:tc>
        <w:tc>
          <w:tcPr>
            <w:tcW w:w="1110" w:type="dxa"/>
          </w:tcPr>
          <w:p w14:paraId="5168ABD6">
            <w:pPr>
              <w:pStyle w:val="14"/>
              <w:spacing w:before="4"/>
              <w:rPr>
                <w:b/>
                <w:sz w:val="22"/>
              </w:rPr>
            </w:pPr>
          </w:p>
          <w:p w14:paraId="52EE37F1">
            <w:pPr>
              <w:pStyle w:val="14"/>
              <w:spacing w:before="1"/>
              <w:ind w:left="88" w:right="83"/>
              <w:jc w:val="center"/>
              <w:rPr>
                <w:rFonts w:ascii="Times New Roman"/>
                <w:sz w:val="21"/>
              </w:rPr>
            </w:pPr>
            <w:r>
              <w:rPr>
                <w:rFonts w:ascii="Times New Roman"/>
                <w:sz w:val="21"/>
              </w:rPr>
              <w:t>29.123896</w:t>
            </w:r>
          </w:p>
        </w:tc>
        <w:tc>
          <w:tcPr>
            <w:tcW w:w="955" w:type="dxa"/>
          </w:tcPr>
          <w:p w14:paraId="047615B2">
            <w:pPr>
              <w:pStyle w:val="14"/>
              <w:spacing w:before="4"/>
              <w:rPr>
                <w:b/>
                <w:sz w:val="22"/>
              </w:rPr>
            </w:pPr>
          </w:p>
          <w:p w14:paraId="0ABA595B">
            <w:pPr>
              <w:pStyle w:val="14"/>
              <w:spacing w:before="1"/>
              <w:ind w:left="241"/>
              <w:rPr>
                <w:rFonts w:ascii="Times New Roman"/>
                <w:sz w:val="21"/>
              </w:rPr>
            </w:pPr>
            <w:r>
              <w:rPr>
                <w:rFonts w:ascii="Times New Roman"/>
                <w:sz w:val="21"/>
              </w:rPr>
              <w:t>66.00</w:t>
            </w:r>
          </w:p>
        </w:tc>
        <w:tc>
          <w:tcPr>
            <w:tcW w:w="856" w:type="dxa"/>
          </w:tcPr>
          <w:p w14:paraId="5E428461">
            <w:pPr>
              <w:pStyle w:val="14"/>
              <w:spacing w:before="4"/>
              <w:rPr>
                <w:b/>
                <w:sz w:val="22"/>
              </w:rPr>
            </w:pPr>
          </w:p>
          <w:p w14:paraId="0541E881">
            <w:pPr>
              <w:pStyle w:val="14"/>
              <w:spacing w:before="1"/>
              <w:ind w:left="138"/>
              <w:rPr>
                <w:rFonts w:ascii="Times New Roman"/>
                <w:sz w:val="21"/>
              </w:rPr>
            </w:pPr>
            <w:r>
              <w:rPr>
                <w:rFonts w:ascii="Times New Roman"/>
                <w:sz w:val="21"/>
              </w:rPr>
              <w:t>106.18</w:t>
            </w:r>
          </w:p>
        </w:tc>
        <w:tc>
          <w:tcPr>
            <w:tcW w:w="856" w:type="dxa"/>
          </w:tcPr>
          <w:p w14:paraId="00798349">
            <w:pPr>
              <w:pStyle w:val="14"/>
              <w:spacing w:before="4"/>
              <w:rPr>
                <w:b/>
                <w:sz w:val="22"/>
              </w:rPr>
            </w:pPr>
          </w:p>
          <w:p w14:paraId="6D55EE33">
            <w:pPr>
              <w:pStyle w:val="14"/>
              <w:spacing w:before="1"/>
              <w:ind w:left="139"/>
              <w:rPr>
                <w:rFonts w:ascii="Times New Roman"/>
                <w:sz w:val="21"/>
              </w:rPr>
            </w:pPr>
            <w:r>
              <w:rPr>
                <w:rFonts w:ascii="Times New Roman"/>
                <w:sz w:val="21"/>
              </w:rPr>
              <w:t>167.26</w:t>
            </w:r>
          </w:p>
        </w:tc>
        <w:tc>
          <w:tcPr>
            <w:tcW w:w="956" w:type="dxa"/>
          </w:tcPr>
          <w:p w14:paraId="72C2E665">
            <w:pPr>
              <w:pStyle w:val="14"/>
              <w:spacing w:before="4"/>
              <w:rPr>
                <w:b/>
                <w:sz w:val="22"/>
              </w:rPr>
            </w:pPr>
          </w:p>
          <w:p w14:paraId="4E516CED">
            <w:pPr>
              <w:pStyle w:val="14"/>
              <w:spacing w:before="1"/>
              <w:ind w:left="240"/>
              <w:rPr>
                <w:rFonts w:ascii="Times New Roman"/>
                <w:sz w:val="21"/>
              </w:rPr>
            </w:pPr>
            <w:r>
              <w:rPr>
                <w:rFonts w:ascii="Times New Roman"/>
                <w:sz w:val="21"/>
              </w:rPr>
              <w:t>10.00</w:t>
            </w:r>
          </w:p>
        </w:tc>
        <w:tc>
          <w:tcPr>
            <w:tcW w:w="919" w:type="dxa"/>
          </w:tcPr>
          <w:p w14:paraId="706B1B76">
            <w:pPr>
              <w:pStyle w:val="14"/>
              <w:spacing w:before="4"/>
              <w:rPr>
                <w:b/>
                <w:sz w:val="22"/>
              </w:rPr>
            </w:pPr>
          </w:p>
          <w:p w14:paraId="056496FC">
            <w:pPr>
              <w:pStyle w:val="14"/>
              <w:spacing w:before="1"/>
              <w:ind w:left="149" w:right="146"/>
              <w:jc w:val="center"/>
              <w:rPr>
                <w:rFonts w:ascii="Times New Roman"/>
                <w:sz w:val="21"/>
              </w:rPr>
            </w:pPr>
            <w:r>
              <w:rPr>
                <w:rFonts w:ascii="Times New Roman"/>
                <w:sz w:val="21"/>
              </w:rPr>
              <w:t>0.0013</w:t>
            </w:r>
          </w:p>
        </w:tc>
        <w:tc>
          <w:tcPr>
            <w:tcW w:w="919" w:type="dxa"/>
          </w:tcPr>
          <w:p w14:paraId="32B4A3D4">
            <w:pPr>
              <w:pStyle w:val="14"/>
              <w:spacing w:before="4"/>
              <w:rPr>
                <w:b/>
                <w:sz w:val="22"/>
              </w:rPr>
            </w:pPr>
          </w:p>
          <w:p w14:paraId="6D30C1C7">
            <w:pPr>
              <w:pStyle w:val="14"/>
              <w:spacing w:before="1"/>
              <w:ind w:left="149" w:right="145"/>
              <w:jc w:val="center"/>
              <w:rPr>
                <w:rFonts w:ascii="Times New Roman"/>
                <w:sz w:val="21"/>
              </w:rPr>
            </w:pPr>
            <w:r>
              <w:rPr>
                <w:rFonts w:ascii="Times New Roman"/>
                <w:sz w:val="21"/>
              </w:rPr>
              <w:t>0.0184</w:t>
            </w:r>
          </w:p>
        </w:tc>
      </w:tr>
    </w:tbl>
    <w:p w14:paraId="34B6BF09">
      <w:pPr>
        <w:pStyle w:val="7"/>
        <w:spacing w:before="2"/>
        <w:ind w:left="760"/>
      </w:pPr>
      <w:r>
        <w:t>（</w:t>
      </w:r>
      <w:r>
        <w:rPr>
          <w:rFonts w:ascii="Times New Roman" w:eastAsia="Times New Roman"/>
        </w:rPr>
        <w:t>3</w:t>
      </w:r>
      <w:r>
        <w:t>）项目参数</w:t>
      </w:r>
    </w:p>
    <w:p w14:paraId="5647E791">
      <w:pPr>
        <w:pStyle w:val="7"/>
        <w:spacing w:before="160"/>
        <w:ind w:left="760"/>
      </w:pPr>
      <w:r>
        <w:t>估算模式所用参数见下表。</w:t>
      </w:r>
    </w:p>
    <w:p w14:paraId="074B9801">
      <w:pPr>
        <w:pStyle w:val="7"/>
      </w:pPr>
    </w:p>
    <w:p w14:paraId="1879D77F">
      <w:pPr>
        <w:pStyle w:val="7"/>
        <w:spacing w:before="2"/>
        <w:rPr>
          <w:sz w:val="19"/>
        </w:rPr>
      </w:pPr>
    </w:p>
    <w:p w14:paraId="223FC87E">
      <w:pPr>
        <w:spacing w:before="0"/>
        <w:ind w:left="262" w:right="324" w:firstLine="0"/>
        <w:jc w:val="center"/>
        <w:rPr>
          <w:b/>
          <w:sz w:val="21"/>
        </w:rPr>
      </w:pPr>
      <w:r>
        <w:rPr>
          <w:b/>
          <w:spacing w:val="-26"/>
          <w:sz w:val="21"/>
        </w:rPr>
        <w:t xml:space="preserve">表 </w:t>
      </w:r>
      <w:r>
        <w:rPr>
          <w:rFonts w:ascii="Times New Roman" w:eastAsia="Times New Roman"/>
          <w:b/>
          <w:sz w:val="21"/>
        </w:rPr>
        <w:t>2.5-5</w:t>
      </w:r>
      <w:r>
        <w:rPr>
          <w:rFonts w:ascii="Times New Roman" w:eastAsia="Times New Roman"/>
          <w:b/>
          <w:spacing w:val="50"/>
          <w:sz w:val="21"/>
        </w:rPr>
        <w:t xml:space="preserve"> </w:t>
      </w:r>
      <w:r>
        <w:rPr>
          <w:b/>
          <w:sz w:val="21"/>
        </w:rPr>
        <w:t>估算模型参数表</w:t>
      </w:r>
    </w:p>
    <w:p w14:paraId="3EBE73D1">
      <w:pPr>
        <w:pStyle w:val="7"/>
        <w:spacing w:before="7" w:after="1"/>
        <w:rPr>
          <w:b/>
          <w:sz w:val="9"/>
        </w:rPr>
      </w:pPr>
    </w:p>
    <w:tbl>
      <w:tblPr>
        <w:tblStyle w:val="10"/>
        <w:tblW w:w="0" w:type="auto"/>
        <w:tblInd w:w="2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6"/>
        <w:gridCol w:w="3765"/>
        <w:gridCol w:w="1251"/>
      </w:tblGrid>
      <w:tr w14:paraId="2EE48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71" w:type="dxa"/>
            <w:gridSpan w:val="2"/>
          </w:tcPr>
          <w:p w14:paraId="6E31A0D3">
            <w:pPr>
              <w:pStyle w:val="14"/>
              <w:spacing w:before="90"/>
              <w:ind w:left="2983" w:right="2976"/>
              <w:jc w:val="center"/>
              <w:rPr>
                <w:b/>
                <w:sz w:val="21"/>
              </w:rPr>
            </w:pPr>
            <w:r>
              <w:rPr>
                <w:b/>
                <w:sz w:val="21"/>
              </w:rPr>
              <w:t>参数</w:t>
            </w:r>
          </w:p>
        </w:tc>
        <w:tc>
          <w:tcPr>
            <w:tcW w:w="1251" w:type="dxa"/>
          </w:tcPr>
          <w:p w14:paraId="6965550A">
            <w:pPr>
              <w:pStyle w:val="14"/>
              <w:spacing w:before="90"/>
              <w:ind w:left="383" w:right="378"/>
              <w:jc w:val="center"/>
              <w:rPr>
                <w:b/>
                <w:sz w:val="21"/>
              </w:rPr>
            </w:pPr>
            <w:r>
              <w:rPr>
                <w:b/>
                <w:sz w:val="21"/>
              </w:rPr>
              <w:t>取值</w:t>
            </w:r>
          </w:p>
        </w:tc>
      </w:tr>
      <w:tr w14:paraId="402D3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06" w:type="dxa"/>
            <w:vMerge w:val="restart"/>
          </w:tcPr>
          <w:p w14:paraId="3C494CE7">
            <w:pPr>
              <w:pStyle w:val="14"/>
              <w:spacing w:before="1"/>
              <w:rPr>
                <w:b/>
                <w:sz w:val="25"/>
              </w:rPr>
            </w:pPr>
          </w:p>
          <w:p w14:paraId="24583795">
            <w:pPr>
              <w:pStyle w:val="14"/>
              <w:spacing w:before="1"/>
              <w:ind w:left="1093"/>
              <w:rPr>
                <w:sz w:val="21"/>
              </w:rPr>
            </w:pPr>
            <w:r>
              <w:rPr>
                <w:sz w:val="21"/>
              </w:rPr>
              <w:t>城市</w:t>
            </w:r>
            <w:r>
              <w:rPr>
                <w:rFonts w:ascii="Times New Roman" w:eastAsia="Times New Roman"/>
                <w:sz w:val="21"/>
              </w:rPr>
              <w:t>/</w:t>
            </w:r>
            <w:r>
              <w:rPr>
                <w:sz w:val="21"/>
              </w:rPr>
              <w:t>农村选项</w:t>
            </w:r>
          </w:p>
        </w:tc>
        <w:tc>
          <w:tcPr>
            <w:tcW w:w="3765" w:type="dxa"/>
          </w:tcPr>
          <w:p w14:paraId="2375C43F">
            <w:pPr>
              <w:pStyle w:val="14"/>
              <w:spacing w:before="91"/>
              <w:ind w:left="948" w:right="943"/>
              <w:jc w:val="center"/>
              <w:rPr>
                <w:sz w:val="21"/>
              </w:rPr>
            </w:pPr>
            <w:r>
              <w:rPr>
                <w:sz w:val="21"/>
              </w:rPr>
              <w:t>城市</w:t>
            </w:r>
            <w:r>
              <w:rPr>
                <w:rFonts w:ascii="Times New Roman" w:eastAsia="Times New Roman"/>
                <w:sz w:val="21"/>
              </w:rPr>
              <w:t>/</w:t>
            </w:r>
            <w:r>
              <w:rPr>
                <w:sz w:val="21"/>
              </w:rPr>
              <w:t>农村</w:t>
            </w:r>
          </w:p>
        </w:tc>
        <w:tc>
          <w:tcPr>
            <w:tcW w:w="1251" w:type="dxa"/>
          </w:tcPr>
          <w:p w14:paraId="25BA2DCC">
            <w:pPr>
              <w:pStyle w:val="14"/>
              <w:spacing w:before="91"/>
              <w:ind w:left="385" w:right="377"/>
              <w:jc w:val="center"/>
              <w:rPr>
                <w:sz w:val="21"/>
              </w:rPr>
            </w:pPr>
            <w:r>
              <w:rPr>
                <w:sz w:val="21"/>
              </w:rPr>
              <w:t>农村</w:t>
            </w:r>
          </w:p>
        </w:tc>
      </w:tr>
      <w:tr w14:paraId="6F728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06" w:type="dxa"/>
            <w:vMerge w:val="continue"/>
            <w:tcBorders>
              <w:top w:val="nil"/>
            </w:tcBorders>
          </w:tcPr>
          <w:p w14:paraId="23AF837D">
            <w:pPr>
              <w:rPr>
                <w:sz w:val="2"/>
                <w:szCs w:val="2"/>
              </w:rPr>
            </w:pPr>
          </w:p>
        </w:tc>
        <w:tc>
          <w:tcPr>
            <w:tcW w:w="3765" w:type="dxa"/>
          </w:tcPr>
          <w:p w14:paraId="342AE949">
            <w:pPr>
              <w:pStyle w:val="14"/>
              <w:spacing w:before="91"/>
              <w:ind w:left="951" w:right="943"/>
              <w:jc w:val="center"/>
              <w:rPr>
                <w:rFonts w:ascii="Times New Roman" w:eastAsia="Times New Roman"/>
                <w:sz w:val="21"/>
              </w:rPr>
            </w:pPr>
            <w:r>
              <w:rPr>
                <w:sz w:val="21"/>
              </w:rPr>
              <w:t>人口数</w:t>
            </w:r>
            <w:r>
              <w:rPr>
                <w:rFonts w:ascii="Times New Roman" w:eastAsia="Times New Roman"/>
                <w:sz w:val="21"/>
              </w:rPr>
              <w:t>(</w:t>
            </w:r>
            <w:r>
              <w:rPr>
                <w:sz w:val="21"/>
              </w:rPr>
              <w:t>城市人口数</w:t>
            </w:r>
            <w:r>
              <w:rPr>
                <w:rFonts w:ascii="Times New Roman" w:eastAsia="Times New Roman"/>
                <w:sz w:val="21"/>
              </w:rPr>
              <w:t>)</w:t>
            </w:r>
          </w:p>
        </w:tc>
        <w:tc>
          <w:tcPr>
            <w:tcW w:w="1251" w:type="dxa"/>
          </w:tcPr>
          <w:p w14:paraId="50E2383E">
            <w:pPr>
              <w:pStyle w:val="14"/>
              <w:spacing w:before="105"/>
              <w:ind w:left="8"/>
              <w:jc w:val="center"/>
              <w:rPr>
                <w:rFonts w:ascii="Times New Roman"/>
                <w:sz w:val="21"/>
              </w:rPr>
            </w:pPr>
            <w:r>
              <w:rPr>
                <w:rFonts w:ascii="Times New Roman"/>
                <w:w w:val="99"/>
                <w:sz w:val="21"/>
              </w:rPr>
              <w:t>/</w:t>
            </w:r>
          </w:p>
        </w:tc>
      </w:tr>
      <w:tr w14:paraId="49E6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71" w:type="dxa"/>
            <w:gridSpan w:val="2"/>
          </w:tcPr>
          <w:p w14:paraId="28FAB251">
            <w:pPr>
              <w:pStyle w:val="14"/>
              <w:spacing w:before="90"/>
              <w:ind w:left="2983" w:right="2978"/>
              <w:jc w:val="center"/>
              <w:rPr>
                <w:sz w:val="21"/>
              </w:rPr>
            </w:pPr>
            <w:r>
              <w:rPr>
                <w:sz w:val="21"/>
              </w:rPr>
              <w:t>最高环境温度</w:t>
            </w:r>
          </w:p>
        </w:tc>
        <w:tc>
          <w:tcPr>
            <w:tcW w:w="1251" w:type="dxa"/>
          </w:tcPr>
          <w:p w14:paraId="1054A224">
            <w:pPr>
              <w:pStyle w:val="14"/>
              <w:spacing w:before="106"/>
              <w:ind w:left="385" w:right="378"/>
              <w:jc w:val="center"/>
              <w:rPr>
                <w:rFonts w:ascii="Times New Roman"/>
                <w:sz w:val="21"/>
              </w:rPr>
            </w:pPr>
            <w:r>
              <w:rPr>
                <w:rFonts w:ascii="Times New Roman"/>
                <w:sz w:val="21"/>
              </w:rPr>
              <w:t>39.3</w:t>
            </w:r>
          </w:p>
        </w:tc>
      </w:tr>
      <w:tr w14:paraId="1A1C3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271" w:type="dxa"/>
            <w:gridSpan w:val="2"/>
          </w:tcPr>
          <w:p w14:paraId="3E69DEC2">
            <w:pPr>
              <w:pStyle w:val="14"/>
              <w:spacing w:before="91"/>
              <w:ind w:left="2983" w:right="2978"/>
              <w:jc w:val="center"/>
              <w:rPr>
                <w:sz w:val="21"/>
              </w:rPr>
            </w:pPr>
            <w:r>
              <w:rPr>
                <w:sz w:val="21"/>
              </w:rPr>
              <w:t>最低环境温度</w:t>
            </w:r>
          </w:p>
        </w:tc>
        <w:tc>
          <w:tcPr>
            <w:tcW w:w="1251" w:type="dxa"/>
          </w:tcPr>
          <w:p w14:paraId="251DA4FD">
            <w:pPr>
              <w:pStyle w:val="14"/>
              <w:spacing w:before="105"/>
              <w:ind w:left="385" w:right="378"/>
              <w:jc w:val="center"/>
              <w:rPr>
                <w:rFonts w:ascii="Times New Roman"/>
                <w:sz w:val="21"/>
              </w:rPr>
            </w:pPr>
            <w:r>
              <w:rPr>
                <w:rFonts w:ascii="Times New Roman"/>
                <w:sz w:val="21"/>
              </w:rPr>
              <w:t>-11.8</w:t>
            </w:r>
          </w:p>
        </w:tc>
      </w:tr>
      <w:tr w14:paraId="42F0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71" w:type="dxa"/>
            <w:gridSpan w:val="2"/>
          </w:tcPr>
          <w:p w14:paraId="38149084">
            <w:pPr>
              <w:pStyle w:val="14"/>
              <w:spacing w:before="91"/>
              <w:ind w:left="2983" w:right="2978"/>
              <w:jc w:val="center"/>
              <w:rPr>
                <w:sz w:val="21"/>
              </w:rPr>
            </w:pPr>
            <w:r>
              <w:rPr>
                <w:sz w:val="21"/>
              </w:rPr>
              <w:t>土地利用类型</w:t>
            </w:r>
          </w:p>
        </w:tc>
        <w:tc>
          <w:tcPr>
            <w:tcW w:w="1251" w:type="dxa"/>
          </w:tcPr>
          <w:p w14:paraId="67203010">
            <w:pPr>
              <w:pStyle w:val="14"/>
              <w:spacing w:before="91"/>
              <w:ind w:left="385" w:right="377"/>
              <w:jc w:val="center"/>
              <w:rPr>
                <w:sz w:val="21"/>
              </w:rPr>
            </w:pPr>
            <w:r>
              <w:rPr>
                <w:sz w:val="21"/>
              </w:rPr>
              <w:t>农田</w:t>
            </w:r>
          </w:p>
        </w:tc>
      </w:tr>
      <w:tr w14:paraId="561E4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71" w:type="dxa"/>
            <w:gridSpan w:val="2"/>
          </w:tcPr>
          <w:p w14:paraId="32436464">
            <w:pPr>
              <w:pStyle w:val="14"/>
              <w:spacing w:before="90"/>
              <w:ind w:left="2983" w:right="2978"/>
              <w:jc w:val="center"/>
              <w:rPr>
                <w:sz w:val="21"/>
              </w:rPr>
            </w:pPr>
            <w:r>
              <w:rPr>
                <w:sz w:val="21"/>
              </w:rPr>
              <w:t>区域湿度条件</w:t>
            </w:r>
          </w:p>
        </w:tc>
        <w:tc>
          <w:tcPr>
            <w:tcW w:w="1251" w:type="dxa"/>
          </w:tcPr>
          <w:p w14:paraId="1F8DD0FD">
            <w:pPr>
              <w:pStyle w:val="14"/>
              <w:spacing w:before="90"/>
              <w:ind w:left="385" w:right="377"/>
              <w:jc w:val="center"/>
              <w:rPr>
                <w:sz w:val="21"/>
              </w:rPr>
            </w:pPr>
            <w:r>
              <w:rPr>
                <w:sz w:val="21"/>
              </w:rPr>
              <w:t>潮湿</w:t>
            </w:r>
          </w:p>
        </w:tc>
      </w:tr>
      <w:tr w14:paraId="5517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06" w:type="dxa"/>
            <w:vMerge w:val="restart"/>
          </w:tcPr>
          <w:p w14:paraId="1A5BC815">
            <w:pPr>
              <w:pStyle w:val="14"/>
              <w:spacing w:before="1"/>
              <w:rPr>
                <w:b/>
                <w:sz w:val="25"/>
              </w:rPr>
            </w:pPr>
          </w:p>
          <w:p w14:paraId="42CCFB69">
            <w:pPr>
              <w:pStyle w:val="14"/>
              <w:spacing w:before="1"/>
              <w:ind w:left="1122"/>
              <w:rPr>
                <w:sz w:val="21"/>
              </w:rPr>
            </w:pPr>
            <w:r>
              <w:rPr>
                <w:sz w:val="21"/>
              </w:rPr>
              <w:t>是否考虑地形</w:t>
            </w:r>
          </w:p>
        </w:tc>
        <w:tc>
          <w:tcPr>
            <w:tcW w:w="3765" w:type="dxa"/>
          </w:tcPr>
          <w:p w14:paraId="40678B7B">
            <w:pPr>
              <w:pStyle w:val="14"/>
              <w:spacing w:before="92"/>
              <w:ind w:left="948" w:right="943"/>
              <w:jc w:val="center"/>
              <w:rPr>
                <w:sz w:val="21"/>
              </w:rPr>
            </w:pPr>
            <w:r>
              <w:rPr>
                <w:sz w:val="21"/>
              </w:rPr>
              <w:t>考虑地形</w:t>
            </w:r>
          </w:p>
        </w:tc>
        <w:tc>
          <w:tcPr>
            <w:tcW w:w="1251" w:type="dxa"/>
          </w:tcPr>
          <w:p w14:paraId="7D38AFE0">
            <w:pPr>
              <w:pStyle w:val="14"/>
              <w:spacing w:before="92"/>
              <w:ind w:left="5"/>
              <w:jc w:val="center"/>
              <w:rPr>
                <w:sz w:val="21"/>
              </w:rPr>
            </w:pPr>
            <w:r>
              <w:rPr>
                <w:w w:val="99"/>
                <w:sz w:val="21"/>
              </w:rPr>
              <w:t>是</w:t>
            </w:r>
          </w:p>
        </w:tc>
      </w:tr>
      <w:tr w14:paraId="6F0AD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06" w:type="dxa"/>
            <w:vMerge w:val="continue"/>
            <w:tcBorders>
              <w:top w:val="nil"/>
            </w:tcBorders>
          </w:tcPr>
          <w:p w14:paraId="113FCE91">
            <w:pPr>
              <w:rPr>
                <w:sz w:val="2"/>
                <w:szCs w:val="2"/>
              </w:rPr>
            </w:pPr>
          </w:p>
        </w:tc>
        <w:tc>
          <w:tcPr>
            <w:tcW w:w="3765" w:type="dxa"/>
          </w:tcPr>
          <w:p w14:paraId="79C70436">
            <w:pPr>
              <w:pStyle w:val="14"/>
              <w:spacing w:before="91"/>
              <w:ind w:left="951" w:right="943"/>
              <w:jc w:val="center"/>
              <w:rPr>
                <w:rFonts w:ascii="Times New Roman" w:eastAsia="Times New Roman"/>
                <w:sz w:val="21"/>
              </w:rPr>
            </w:pPr>
            <w:r>
              <w:rPr>
                <w:sz w:val="21"/>
              </w:rPr>
              <w:t>地形数据分辨率</w:t>
            </w:r>
            <w:r>
              <w:rPr>
                <w:rFonts w:ascii="Times New Roman" w:eastAsia="Times New Roman"/>
                <w:sz w:val="21"/>
              </w:rPr>
              <w:t>(m)</w:t>
            </w:r>
          </w:p>
        </w:tc>
        <w:tc>
          <w:tcPr>
            <w:tcW w:w="1251" w:type="dxa"/>
          </w:tcPr>
          <w:p w14:paraId="4E249527">
            <w:pPr>
              <w:pStyle w:val="14"/>
              <w:spacing w:before="105"/>
              <w:ind w:left="385" w:right="378"/>
              <w:jc w:val="center"/>
              <w:rPr>
                <w:rFonts w:ascii="Times New Roman"/>
                <w:sz w:val="21"/>
              </w:rPr>
            </w:pPr>
            <w:r>
              <w:rPr>
                <w:rFonts w:ascii="Times New Roman"/>
                <w:sz w:val="21"/>
              </w:rPr>
              <w:t>90</w:t>
            </w:r>
          </w:p>
        </w:tc>
      </w:tr>
      <w:tr w14:paraId="2456C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506" w:type="dxa"/>
            <w:vMerge w:val="restart"/>
          </w:tcPr>
          <w:p w14:paraId="34374003">
            <w:pPr>
              <w:pStyle w:val="14"/>
              <w:rPr>
                <w:b/>
                <w:sz w:val="20"/>
              </w:rPr>
            </w:pPr>
          </w:p>
          <w:p w14:paraId="6DE167C5">
            <w:pPr>
              <w:pStyle w:val="14"/>
              <w:spacing w:before="4"/>
              <w:rPr>
                <w:b/>
                <w:sz w:val="23"/>
              </w:rPr>
            </w:pPr>
          </w:p>
          <w:p w14:paraId="015D8893">
            <w:pPr>
              <w:pStyle w:val="14"/>
              <w:spacing w:before="1"/>
              <w:ind w:left="911"/>
              <w:rPr>
                <w:sz w:val="21"/>
              </w:rPr>
            </w:pPr>
            <w:r>
              <w:rPr>
                <w:sz w:val="21"/>
              </w:rPr>
              <w:t>是否考虑岸线熏烟</w:t>
            </w:r>
          </w:p>
        </w:tc>
        <w:tc>
          <w:tcPr>
            <w:tcW w:w="3765" w:type="dxa"/>
          </w:tcPr>
          <w:p w14:paraId="477D165A">
            <w:pPr>
              <w:pStyle w:val="14"/>
              <w:spacing w:before="90"/>
              <w:ind w:left="951" w:right="943"/>
              <w:jc w:val="center"/>
              <w:rPr>
                <w:sz w:val="21"/>
              </w:rPr>
            </w:pPr>
            <w:r>
              <w:rPr>
                <w:sz w:val="21"/>
              </w:rPr>
              <w:t>考虑岸线熏烟</w:t>
            </w:r>
          </w:p>
        </w:tc>
        <w:tc>
          <w:tcPr>
            <w:tcW w:w="1251" w:type="dxa"/>
          </w:tcPr>
          <w:p w14:paraId="0936B165">
            <w:pPr>
              <w:pStyle w:val="14"/>
              <w:spacing w:before="90"/>
              <w:ind w:left="5"/>
              <w:jc w:val="center"/>
              <w:rPr>
                <w:sz w:val="21"/>
              </w:rPr>
            </w:pPr>
            <w:r>
              <w:rPr>
                <w:w w:val="99"/>
                <w:sz w:val="21"/>
              </w:rPr>
              <w:t>否</w:t>
            </w:r>
          </w:p>
        </w:tc>
      </w:tr>
      <w:tr w14:paraId="1D47B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06" w:type="dxa"/>
            <w:vMerge w:val="continue"/>
            <w:tcBorders>
              <w:top w:val="nil"/>
            </w:tcBorders>
          </w:tcPr>
          <w:p w14:paraId="6F8DA548">
            <w:pPr>
              <w:rPr>
                <w:sz w:val="2"/>
                <w:szCs w:val="2"/>
              </w:rPr>
            </w:pPr>
          </w:p>
        </w:tc>
        <w:tc>
          <w:tcPr>
            <w:tcW w:w="3765" w:type="dxa"/>
          </w:tcPr>
          <w:p w14:paraId="57DEACA1">
            <w:pPr>
              <w:pStyle w:val="14"/>
              <w:spacing w:before="92"/>
              <w:ind w:left="950" w:right="943"/>
              <w:jc w:val="center"/>
              <w:rPr>
                <w:rFonts w:ascii="Times New Roman" w:eastAsia="Times New Roman"/>
                <w:sz w:val="21"/>
              </w:rPr>
            </w:pPr>
            <w:r>
              <w:rPr>
                <w:sz w:val="21"/>
              </w:rPr>
              <w:t>岸线距离</w:t>
            </w:r>
            <w:r>
              <w:rPr>
                <w:rFonts w:ascii="Times New Roman" w:eastAsia="Times New Roman"/>
                <w:sz w:val="21"/>
              </w:rPr>
              <w:t>/m</w:t>
            </w:r>
          </w:p>
        </w:tc>
        <w:tc>
          <w:tcPr>
            <w:tcW w:w="1251" w:type="dxa"/>
          </w:tcPr>
          <w:p w14:paraId="51150691">
            <w:pPr>
              <w:pStyle w:val="14"/>
              <w:spacing w:before="105"/>
              <w:ind w:left="8"/>
              <w:jc w:val="center"/>
              <w:rPr>
                <w:rFonts w:ascii="Times New Roman"/>
                <w:sz w:val="21"/>
              </w:rPr>
            </w:pPr>
            <w:r>
              <w:rPr>
                <w:rFonts w:ascii="Times New Roman"/>
                <w:w w:val="99"/>
                <w:sz w:val="21"/>
              </w:rPr>
              <w:t>/</w:t>
            </w:r>
          </w:p>
        </w:tc>
      </w:tr>
      <w:tr w14:paraId="7D90B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506" w:type="dxa"/>
            <w:vMerge w:val="continue"/>
            <w:tcBorders>
              <w:top w:val="nil"/>
            </w:tcBorders>
          </w:tcPr>
          <w:p w14:paraId="2434B215">
            <w:pPr>
              <w:rPr>
                <w:sz w:val="2"/>
                <w:szCs w:val="2"/>
              </w:rPr>
            </w:pPr>
          </w:p>
        </w:tc>
        <w:tc>
          <w:tcPr>
            <w:tcW w:w="3765" w:type="dxa"/>
          </w:tcPr>
          <w:p w14:paraId="0DA97A17">
            <w:pPr>
              <w:pStyle w:val="14"/>
              <w:spacing w:before="91"/>
              <w:ind w:left="950" w:right="943"/>
              <w:jc w:val="center"/>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1251" w:type="dxa"/>
          </w:tcPr>
          <w:p w14:paraId="2A78BAAB">
            <w:pPr>
              <w:pStyle w:val="14"/>
              <w:spacing w:before="105"/>
              <w:ind w:left="8"/>
              <w:jc w:val="center"/>
              <w:rPr>
                <w:rFonts w:ascii="Times New Roman"/>
                <w:sz w:val="21"/>
              </w:rPr>
            </w:pPr>
            <w:r>
              <w:rPr>
                <w:rFonts w:ascii="Times New Roman"/>
                <w:w w:val="99"/>
                <w:sz w:val="21"/>
              </w:rPr>
              <w:t>/</w:t>
            </w:r>
          </w:p>
        </w:tc>
      </w:tr>
    </w:tbl>
    <w:p w14:paraId="754DAAB0">
      <w:pPr>
        <w:pStyle w:val="7"/>
        <w:spacing w:before="2"/>
        <w:ind w:left="760"/>
      </w:pPr>
      <w:r>
        <w:t>（</w:t>
      </w:r>
      <w:r>
        <w:rPr>
          <w:rFonts w:ascii="Times New Roman" w:eastAsia="Times New Roman"/>
        </w:rPr>
        <w:t>4</w:t>
      </w:r>
      <w:r>
        <w:t>）评价工作等级确定</w:t>
      </w:r>
    </w:p>
    <w:p w14:paraId="77B59BCC">
      <w:pPr>
        <w:pStyle w:val="7"/>
        <w:spacing w:before="159"/>
        <w:ind w:left="760"/>
        <w:rPr>
          <w:rFonts w:ascii="Times New Roman" w:eastAsia="Times New Roman"/>
        </w:rPr>
      </w:pPr>
      <w:r>
        <w:t xml:space="preserve">本项目污染源采用 </w:t>
      </w:r>
      <w:r>
        <w:rPr>
          <w:rFonts w:ascii="Times New Roman" w:eastAsia="Times New Roman"/>
        </w:rPr>
        <w:t xml:space="preserve">AERSCREEN </w:t>
      </w:r>
      <w:r>
        <w:t xml:space="preserve">估算模式，各类污染物的 </w:t>
      </w:r>
      <w:r>
        <w:rPr>
          <w:rFonts w:ascii="Times New Roman" w:eastAsia="Times New Roman"/>
        </w:rPr>
        <w:t xml:space="preserve">Pmax </w:t>
      </w:r>
      <w:r>
        <w:t xml:space="preserve">和 </w:t>
      </w:r>
      <w:r>
        <w:rPr>
          <w:rFonts w:ascii="Times New Roman" w:eastAsia="Times New Roman"/>
        </w:rPr>
        <w:t>D10%</w:t>
      </w:r>
    </w:p>
    <w:p w14:paraId="4678B6FA">
      <w:pPr>
        <w:pStyle w:val="7"/>
        <w:spacing w:before="160"/>
        <w:ind w:left="280"/>
      </w:pPr>
      <w:r>
        <w:t>预测结果如下：</w:t>
      </w:r>
    </w:p>
    <w:p w14:paraId="3BE443F3">
      <w:pPr>
        <w:pStyle w:val="7"/>
        <w:spacing w:before="10"/>
        <w:rPr>
          <w:sz w:val="21"/>
        </w:rPr>
      </w:pPr>
    </w:p>
    <w:p w14:paraId="6338636D">
      <w:pPr>
        <w:spacing w:before="0"/>
        <w:ind w:left="262" w:right="321" w:firstLine="0"/>
        <w:jc w:val="center"/>
        <w:rPr>
          <w:b/>
          <w:sz w:val="21"/>
        </w:rPr>
      </w:pPr>
      <w:r>
        <w:rPr>
          <w:b/>
          <w:spacing w:val="-28"/>
          <w:sz w:val="21"/>
        </w:rPr>
        <w:t xml:space="preserve">表 </w:t>
      </w:r>
      <w:r>
        <w:rPr>
          <w:rFonts w:ascii="Times New Roman" w:eastAsia="Times New Roman"/>
          <w:b/>
          <w:sz w:val="21"/>
        </w:rPr>
        <w:t>2.5-6</w:t>
      </w:r>
      <w:r>
        <w:rPr>
          <w:rFonts w:ascii="Times New Roman" w:eastAsia="Times New Roman"/>
          <w:b/>
          <w:spacing w:val="50"/>
          <w:sz w:val="21"/>
        </w:rPr>
        <w:t xml:space="preserve"> </w:t>
      </w:r>
      <w:r>
        <w:rPr>
          <w:rFonts w:ascii="Times New Roman" w:eastAsia="Times New Roman"/>
          <w:b/>
          <w:sz w:val="21"/>
        </w:rPr>
        <w:t xml:space="preserve">Pmax </w:t>
      </w:r>
      <w:r>
        <w:rPr>
          <w:b/>
          <w:spacing w:val="-26"/>
          <w:sz w:val="21"/>
        </w:rPr>
        <w:t xml:space="preserve">和 </w:t>
      </w:r>
      <w:r>
        <w:rPr>
          <w:rFonts w:ascii="Times New Roman" w:eastAsia="Times New Roman"/>
          <w:b/>
          <w:sz w:val="21"/>
        </w:rPr>
        <w:t>D10%</w:t>
      </w:r>
      <w:r>
        <w:rPr>
          <w:b/>
          <w:sz w:val="21"/>
        </w:rPr>
        <w:t>预测和计算结果汇总表</w:t>
      </w:r>
    </w:p>
    <w:p w14:paraId="39FFA88A">
      <w:pPr>
        <w:pStyle w:val="7"/>
        <w:spacing w:before="6"/>
        <w:rPr>
          <w:b/>
          <w:sz w:val="9"/>
        </w:rPr>
      </w:pPr>
    </w:p>
    <w:tbl>
      <w:tblPr>
        <w:tblStyle w:val="10"/>
        <w:tblW w:w="0" w:type="auto"/>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3"/>
        <w:gridCol w:w="1176"/>
        <w:gridCol w:w="1890"/>
        <w:gridCol w:w="1514"/>
        <w:gridCol w:w="1125"/>
        <w:gridCol w:w="1174"/>
      </w:tblGrid>
      <w:tr w14:paraId="48412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643" w:type="dxa"/>
          </w:tcPr>
          <w:p w14:paraId="12A3411D">
            <w:pPr>
              <w:pStyle w:val="14"/>
              <w:spacing w:before="92"/>
              <w:ind w:left="271" w:right="272"/>
              <w:jc w:val="center"/>
              <w:rPr>
                <w:b/>
                <w:sz w:val="21"/>
              </w:rPr>
            </w:pPr>
            <w:r>
              <w:rPr>
                <w:b/>
                <w:sz w:val="21"/>
              </w:rPr>
              <w:t>污染源名称</w:t>
            </w:r>
          </w:p>
        </w:tc>
        <w:tc>
          <w:tcPr>
            <w:tcW w:w="1176" w:type="dxa"/>
          </w:tcPr>
          <w:p w14:paraId="18ADCC10">
            <w:pPr>
              <w:pStyle w:val="14"/>
              <w:spacing w:before="92"/>
              <w:ind w:left="145" w:right="141"/>
              <w:jc w:val="center"/>
              <w:rPr>
                <w:b/>
                <w:sz w:val="21"/>
              </w:rPr>
            </w:pPr>
            <w:r>
              <w:rPr>
                <w:b/>
                <w:sz w:val="21"/>
              </w:rPr>
              <w:t>评价因子</w:t>
            </w:r>
          </w:p>
        </w:tc>
        <w:tc>
          <w:tcPr>
            <w:tcW w:w="1890" w:type="dxa"/>
          </w:tcPr>
          <w:p w14:paraId="3896B456">
            <w:pPr>
              <w:pStyle w:val="14"/>
              <w:spacing w:before="92"/>
              <w:ind w:left="172" w:right="169"/>
              <w:jc w:val="center"/>
              <w:rPr>
                <w:rFonts w:ascii="Times New Roman" w:hAnsi="Times New Roman" w:eastAsia="Times New Roman"/>
                <w:b/>
                <w:sz w:val="21"/>
              </w:rPr>
            </w:pPr>
            <w:r>
              <w:rPr>
                <w:b/>
                <w:sz w:val="21"/>
              </w:rPr>
              <w:t>评价标准</w:t>
            </w:r>
            <w:r>
              <w:rPr>
                <w:rFonts w:ascii="Times New Roman" w:hAnsi="Times New Roman" w:eastAsia="Times New Roman"/>
                <w:b/>
                <w:sz w:val="21"/>
              </w:rPr>
              <w:t>(μg/m³)</w:t>
            </w:r>
          </w:p>
        </w:tc>
        <w:tc>
          <w:tcPr>
            <w:tcW w:w="1514" w:type="dxa"/>
          </w:tcPr>
          <w:p w14:paraId="6E151BE3">
            <w:pPr>
              <w:pStyle w:val="14"/>
              <w:spacing w:before="106"/>
              <w:ind w:left="137" w:right="135"/>
              <w:jc w:val="center"/>
              <w:rPr>
                <w:rFonts w:ascii="Times New Roman" w:hAnsi="Times New Roman"/>
                <w:b/>
                <w:sz w:val="21"/>
              </w:rPr>
            </w:pPr>
            <w:r>
              <w:rPr>
                <w:rFonts w:ascii="Times New Roman" w:hAnsi="Times New Roman"/>
                <w:b/>
                <w:sz w:val="21"/>
              </w:rPr>
              <w:t>Cmax(μg/m³)</w:t>
            </w:r>
          </w:p>
        </w:tc>
        <w:tc>
          <w:tcPr>
            <w:tcW w:w="1125" w:type="dxa"/>
          </w:tcPr>
          <w:p w14:paraId="1FA97E47">
            <w:pPr>
              <w:pStyle w:val="14"/>
              <w:spacing w:before="106"/>
              <w:ind w:left="109" w:right="106"/>
              <w:jc w:val="center"/>
              <w:rPr>
                <w:rFonts w:ascii="Times New Roman"/>
                <w:b/>
                <w:sz w:val="21"/>
              </w:rPr>
            </w:pPr>
            <w:r>
              <w:rPr>
                <w:rFonts w:ascii="Times New Roman"/>
                <w:b/>
                <w:sz w:val="21"/>
              </w:rPr>
              <w:t>Pmax(%)</w:t>
            </w:r>
          </w:p>
        </w:tc>
        <w:tc>
          <w:tcPr>
            <w:tcW w:w="1174" w:type="dxa"/>
          </w:tcPr>
          <w:p w14:paraId="37CA9109">
            <w:pPr>
              <w:pStyle w:val="14"/>
              <w:spacing w:before="106"/>
              <w:ind w:left="122" w:right="119"/>
              <w:jc w:val="center"/>
              <w:rPr>
                <w:rFonts w:ascii="Times New Roman"/>
                <w:b/>
                <w:sz w:val="21"/>
              </w:rPr>
            </w:pPr>
            <w:r>
              <w:rPr>
                <w:rFonts w:ascii="Times New Roman"/>
                <w:b/>
                <w:sz w:val="21"/>
              </w:rPr>
              <w:t>D10%(m)</w:t>
            </w:r>
          </w:p>
        </w:tc>
      </w:tr>
      <w:tr w14:paraId="05E6A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43" w:type="dxa"/>
          </w:tcPr>
          <w:p w14:paraId="4E81CB85">
            <w:pPr>
              <w:pStyle w:val="14"/>
              <w:spacing w:before="105"/>
              <w:ind w:left="271" w:right="269"/>
              <w:jc w:val="center"/>
              <w:rPr>
                <w:rFonts w:ascii="Times New Roman"/>
                <w:sz w:val="21"/>
              </w:rPr>
            </w:pPr>
            <w:r>
              <w:rPr>
                <w:rFonts w:ascii="Times New Roman"/>
                <w:sz w:val="21"/>
              </w:rPr>
              <w:t>DA001</w:t>
            </w:r>
          </w:p>
        </w:tc>
        <w:tc>
          <w:tcPr>
            <w:tcW w:w="1176" w:type="dxa"/>
          </w:tcPr>
          <w:p w14:paraId="4D906413">
            <w:pPr>
              <w:pStyle w:val="14"/>
              <w:spacing w:before="102"/>
              <w:ind w:left="145" w:right="140"/>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890" w:type="dxa"/>
          </w:tcPr>
          <w:p w14:paraId="4B2CDCFF">
            <w:pPr>
              <w:pStyle w:val="14"/>
              <w:spacing w:before="105"/>
              <w:ind w:left="172" w:right="166"/>
              <w:jc w:val="center"/>
              <w:rPr>
                <w:rFonts w:ascii="Times New Roman"/>
                <w:sz w:val="21"/>
              </w:rPr>
            </w:pPr>
            <w:r>
              <w:rPr>
                <w:rFonts w:ascii="Times New Roman"/>
                <w:sz w:val="21"/>
              </w:rPr>
              <w:t>10.0</w:t>
            </w:r>
          </w:p>
        </w:tc>
        <w:tc>
          <w:tcPr>
            <w:tcW w:w="1514" w:type="dxa"/>
          </w:tcPr>
          <w:p w14:paraId="25AFBEDF">
            <w:pPr>
              <w:pStyle w:val="14"/>
              <w:spacing w:before="105"/>
              <w:ind w:left="137" w:right="129"/>
              <w:jc w:val="center"/>
              <w:rPr>
                <w:rFonts w:ascii="Times New Roman"/>
                <w:sz w:val="21"/>
              </w:rPr>
            </w:pPr>
            <w:r>
              <w:rPr>
                <w:rFonts w:ascii="Times New Roman"/>
                <w:sz w:val="21"/>
              </w:rPr>
              <w:t>0.1011</w:t>
            </w:r>
          </w:p>
        </w:tc>
        <w:tc>
          <w:tcPr>
            <w:tcW w:w="1125" w:type="dxa"/>
          </w:tcPr>
          <w:p w14:paraId="04EC4BA0">
            <w:pPr>
              <w:pStyle w:val="14"/>
              <w:spacing w:before="105"/>
              <w:ind w:left="109" w:right="105"/>
              <w:jc w:val="center"/>
              <w:rPr>
                <w:rFonts w:ascii="Times New Roman"/>
                <w:sz w:val="21"/>
              </w:rPr>
            </w:pPr>
            <w:r>
              <w:rPr>
                <w:rFonts w:ascii="Times New Roman"/>
                <w:sz w:val="21"/>
              </w:rPr>
              <w:t>1.0109</w:t>
            </w:r>
          </w:p>
        </w:tc>
        <w:tc>
          <w:tcPr>
            <w:tcW w:w="1174" w:type="dxa"/>
          </w:tcPr>
          <w:p w14:paraId="407F332C">
            <w:pPr>
              <w:pStyle w:val="14"/>
              <w:spacing w:before="105"/>
              <w:ind w:left="4"/>
              <w:jc w:val="center"/>
              <w:rPr>
                <w:rFonts w:ascii="Times New Roman"/>
                <w:sz w:val="21"/>
              </w:rPr>
            </w:pPr>
            <w:r>
              <w:rPr>
                <w:rFonts w:ascii="Times New Roman"/>
                <w:w w:val="99"/>
                <w:sz w:val="21"/>
              </w:rPr>
              <w:t>/</w:t>
            </w:r>
          </w:p>
        </w:tc>
      </w:tr>
      <w:tr w14:paraId="7A4EE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43" w:type="dxa"/>
          </w:tcPr>
          <w:p w14:paraId="7AA84930">
            <w:pPr>
              <w:pStyle w:val="14"/>
              <w:spacing w:before="105"/>
              <w:ind w:left="271" w:right="269"/>
              <w:jc w:val="center"/>
              <w:rPr>
                <w:rFonts w:ascii="Times New Roman"/>
                <w:sz w:val="21"/>
              </w:rPr>
            </w:pPr>
            <w:r>
              <w:rPr>
                <w:rFonts w:ascii="Times New Roman"/>
                <w:sz w:val="21"/>
              </w:rPr>
              <w:t>DA001</w:t>
            </w:r>
          </w:p>
        </w:tc>
        <w:tc>
          <w:tcPr>
            <w:tcW w:w="1176" w:type="dxa"/>
          </w:tcPr>
          <w:p w14:paraId="6357E000">
            <w:pPr>
              <w:pStyle w:val="14"/>
              <w:spacing w:before="104"/>
              <w:ind w:left="144" w:right="141"/>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890" w:type="dxa"/>
          </w:tcPr>
          <w:p w14:paraId="259F552D">
            <w:pPr>
              <w:pStyle w:val="14"/>
              <w:spacing w:before="105"/>
              <w:ind w:left="172" w:right="168"/>
              <w:jc w:val="center"/>
              <w:rPr>
                <w:rFonts w:ascii="Times New Roman"/>
                <w:sz w:val="21"/>
              </w:rPr>
            </w:pPr>
            <w:r>
              <w:rPr>
                <w:rFonts w:ascii="Times New Roman"/>
                <w:sz w:val="21"/>
              </w:rPr>
              <w:t>200.0</w:t>
            </w:r>
          </w:p>
        </w:tc>
        <w:tc>
          <w:tcPr>
            <w:tcW w:w="1514" w:type="dxa"/>
          </w:tcPr>
          <w:p w14:paraId="629D8946">
            <w:pPr>
              <w:pStyle w:val="14"/>
              <w:spacing w:before="105"/>
              <w:ind w:left="137" w:right="134"/>
              <w:jc w:val="center"/>
              <w:rPr>
                <w:rFonts w:ascii="Times New Roman"/>
                <w:sz w:val="21"/>
              </w:rPr>
            </w:pPr>
            <w:r>
              <w:rPr>
                <w:rFonts w:ascii="Times New Roman"/>
                <w:sz w:val="21"/>
              </w:rPr>
              <w:t>1.1304</w:t>
            </w:r>
          </w:p>
        </w:tc>
        <w:tc>
          <w:tcPr>
            <w:tcW w:w="1125" w:type="dxa"/>
          </w:tcPr>
          <w:p w14:paraId="133DD833">
            <w:pPr>
              <w:pStyle w:val="14"/>
              <w:spacing w:before="105"/>
              <w:ind w:left="109" w:right="105"/>
              <w:jc w:val="center"/>
              <w:rPr>
                <w:rFonts w:ascii="Times New Roman"/>
                <w:sz w:val="21"/>
              </w:rPr>
            </w:pPr>
            <w:r>
              <w:rPr>
                <w:rFonts w:ascii="Times New Roman"/>
                <w:sz w:val="21"/>
              </w:rPr>
              <w:t>0.5652</w:t>
            </w:r>
          </w:p>
        </w:tc>
        <w:tc>
          <w:tcPr>
            <w:tcW w:w="1174" w:type="dxa"/>
          </w:tcPr>
          <w:p w14:paraId="212D26FE">
            <w:pPr>
              <w:pStyle w:val="14"/>
              <w:spacing w:before="105"/>
              <w:ind w:left="4"/>
              <w:jc w:val="center"/>
              <w:rPr>
                <w:rFonts w:ascii="Times New Roman"/>
                <w:sz w:val="21"/>
              </w:rPr>
            </w:pPr>
            <w:r>
              <w:rPr>
                <w:rFonts w:ascii="Times New Roman"/>
                <w:w w:val="99"/>
                <w:sz w:val="21"/>
              </w:rPr>
              <w:t>/</w:t>
            </w:r>
          </w:p>
        </w:tc>
      </w:tr>
      <w:tr w14:paraId="69A09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643" w:type="dxa"/>
          </w:tcPr>
          <w:p w14:paraId="43F345B3">
            <w:pPr>
              <w:pStyle w:val="14"/>
              <w:spacing w:before="106"/>
              <w:ind w:left="271" w:right="269"/>
              <w:jc w:val="center"/>
              <w:rPr>
                <w:rFonts w:ascii="Times New Roman"/>
                <w:sz w:val="21"/>
              </w:rPr>
            </w:pPr>
            <w:r>
              <w:rPr>
                <w:rFonts w:ascii="Times New Roman"/>
                <w:sz w:val="21"/>
              </w:rPr>
              <w:t>DA002</w:t>
            </w:r>
          </w:p>
        </w:tc>
        <w:tc>
          <w:tcPr>
            <w:tcW w:w="1176" w:type="dxa"/>
          </w:tcPr>
          <w:p w14:paraId="37D158D7">
            <w:pPr>
              <w:pStyle w:val="14"/>
              <w:spacing w:before="103"/>
              <w:ind w:left="145" w:right="140"/>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890" w:type="dxa"/>
          </w:tcPr>
          <w:p w14:paraId="73890643">
            <w:pPr>
              <w:pStyle w:val="14"/>
              <w:spacing w:before="106"/>
              <w:ind w:left="172" w:right="166"/>
              <w:jc w:val="center"/>
              <w:rPr>
                <w:rFonts w:ascii="Times New Roman"/>
                <w:sz w:val="21"/>
              </w:rPr>
            </w:pPr>
            <w:r>
              <w:rPr>
                <w:rFonts w:ascii="Times New Roman"/>
                <w:sz w:val="21"/>
              </w:rPr>
              <w:t>10.0</w:t>
            </w:r>
          </w:p>
        </w:tc>
        <w:tc>
          <w:tcPr>
            <w:tcW w:w="1514" w:type="dxa"/>
          </w:tcPr>
          <w:p w14:paraId="4799698D">
            <w:pPr>
              <w:pStyle w:val="14"/>
              <w:spacing w:before="106"/>
              <w:ind w:left="137" w:right="134"/>
              <w:jc w:val="center"/>
              <w:rPr>
                <w:rFonts w:ascii="Times New Roman"/>
                <w:sz w:val="21"/>
              </w:rPr>
            </w:pPr>
            <w:r>
              <w:rPr>
                <w:rFonts w:ascii="Times New Roman"/>
                <w:sz w:val="21"/>
              </w:rPr>
              <w:t>0.0276</w:t>
            </w:r>
          </w:p>
        </w:tc>
        <w:tc>
          <w:tcPr>
            <w:tcW w:w="1125" w:type="dxa"/>
          </w:tcPr>
          <w:p w14:paraId="2A06AEBB">
            <w:pPr>
              <w:pStyle w:val="14"/>
              <w:spacing w:before="106"/>
              <w:ind w:left="109" w:right="105"/>
              <w:jc w:val="center"/>
              <w:rPr>
                <w:rFonts w:ascii="Times New Roman"/>
                <w:sz w:val="21"/>
              </w:rPr>
            </w:pPr>
            <w:r>
              <w:rPr>
                <w:rFonts w:ascii="Times New Roman"/>
                <w:sz w:val="21"/>
              </w:rPr>
              <w:t>0.2757</w:t>
            </w:r>
          </w:p>
        </w:tc>
        <w:tc>
          <w:tcPr>
            <w:tcW w:w="1174" w:type="dxa"/>
          </w:tcPr>
          <w:p w14:paraId="033BC701">
            <w:pPr>
              <w:pStyle w:val="14"/>
              <w:spacing w:before="106"/>
              <w:ind w:left="4"/>
              <w:jc w:val="center"/>
              <w:rPr>
                <w:rFonts w:ascii="Times New Roman"/>
                <w:sz w:val="21"/>
              </w:rPr>
            </w:pPr>
            <w:r>
              <w:rPr>
                <w:rFonts w:ascii="Times New Roman"/>
                <w:w w:val="99"/>
                <w:sz w:val="21"/>
              </w:rPr>
              <w:t>/</w:t>
            </w:r>
          </w:p>
        </w:tc>
      </w:tr>
    </w:tbl>
    <w:p w14:paraId="686EB688">
      <w:pPr>
        <w:spacing w:after="0"/>
        <w:jc w:val="center"/>
        <w:rPr>
          <w:rFonts w:ascii="Times New Roman"/>
          <w:sz w:val="21"/>
        </w:rPr>
        <w:sectPr>
          <w:pgSz w:w="11910" w:h="16840"/>
          <w:pgMar w:top="1360" w:right="1460" w:bottom="1400" w:left="1520" w:header="878" w:footer="1204" w:gutter="0"/>
          <w:cols w:space="720" w:num="1"/>
        </w:sectPr>
      </w:pPr>
    </w:p>
    <w:p w14:paraId="6568BFC6">
      <w:pPr>
        <w:pStyle w:val="7"/>
        <w:spacing w:before="3"/>
        <w:rPr>
          <w:b/>
          <w:sz w:val="5"/>
        </w:rPr>
      </w:pPr>
    </w:p>
    <w:tbl>
      <w:tblPr>
        <w:tblStyle w:val="10"/>
        <w:tblW w:w="0" w:type="auto"/>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3"/>
        <w:gridCol w:w="1176"/>
        <w:gridCol w:w="1890"/>
        <w:gridCol w:w="1514"/>
        <w:gridCol w:w="1125"/>
        <w:gridCol w:w="1174"/>
      </w:tblGrid>
      <w:tr w14:paraId="000DF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43" w:type="dxa"/>
          </w:tcPr>
          <w:p w14:paraId="15BA54FC">
            <w:pPr>
              <w:pStyle w:val="14"/>
              <w:spacing w:before="105"/>
              <w:ind w:left="271" w:right="269"/>
              <w:jc w:val="center"/>
              <w:rPr>
                <w:rFonts w:ascii="Times New Roman"/>
                <w:sz w:val="21"/>
              </w:rPr>
            </w:pPr>
            <w:r>
              <w:rPr>
                <w:rFonts w:ascii="Times New Roman"/>
                <w:sz w:val="21"/>
              </w:rPr>
              <w:t>DA002</w:t>
            </w:r>
          </w:p>
        </w:tc>
        <w:tc>
          <w:tcPr>
            <w:tcW w:w="1176" w:type="dxa"/>
          </w:tcPr>
          <w:p w14:paraId="5046F764">
            <w:pPr>
              <w:pStyle w:val="14"/>
              <w:spacing w:before="104"/>
              <w:ind w:left="401"/>
              <w:rPr>
                <w:rFonts w:ascii="Times New Roman"/>
                <w:sz w:val="21"/>
              </w:rPr>
            </w:pPr>
            <w:r>
              <w:rPr>
                <w:rFonts w:ascii="Times New Roman"/>
                <w:position w:val="2"/>
                <w:sz w:val="21"/>
              </w:rPr>
              <w:t>NH</w:t>
            </w:r>
            <w:r>
              <w:rPr>
                <w:rFonts w:ascii="Times New Roman"/>
                <w:position w:val="2"/>
                <w:sz w:val="21"/>
                <w:vertAlign w:val="subscript"/>
              </w:rPr>
              <w:t>3</w:t>
            </w:r>
          </w:p>
        </w:tc>
        <w:tc>
          <w:tcPr>
            <w:tcW w:w="1890" w:type="dxa"/>
          </w:tcPr>
          <w:p w14:paraId="09609696">
            <w:pPr>
              <w:pStyle w:val="14"/>
              <w:spacing w:before="105"/>
              <w:ind w:left="172" w:right="168"/>
              <w:jc w:val="center"/>
              <w:rPr>
                <w:rFonts w:ascii="Times New Roman"/>
                <w:sz w:val="21"/>
              </w:rPr>
            </w:pPr>
            <w:r>
              <w:rPr>
                <w:rFonts w:ascii="Times New Roman"/>
                <w:sz w:val="21"/>
              </w:rPr>
              <w:t>200.0</w:t>
            </w:r>
          </w:p>
        </w:tc>
        <w:tc>
          <w:tcPr>
            <w:tcW w:w="1514" w:type="dxa"/>
          </w:tcPr>
          <w:p w14:paraId="216FAE6D">
            <w:pPr>
              <w:pStyle w:val="14"/>
              <w:spacing w:before="105"/>
              <w:ind w:left="137" w:right="134"/>
              <w:jc w:val="center"/>
              <w:rPr>
                <w:rFonts w:ascii="Times New Roman"/>
                <w:sz w:val="21"/>
              </w:rPr>
            </w:pPr>
            <w:r>
              <w:rPr>
                <w:rFonts w:ascii="Times New Roman"/>
                <w:sz w:val="21"/>
              </w:rPr>
              <w:t>0.8178</w:t>
            </w:r>
          </w:p>
        </w:tc>
        <w:tc>
          <w:tcPr>
            <w:tcW w:w="1125" w:type="dxa"/>
          </w:tcPr>
          <w:p w14:paraId="31FB3110">
            <w:pPr>
              <w:pStyle w:val="14"/>
              <w:spacing w:before="105"/>
              <w:ind w:right="267"/>
              <w:jc w:val="right"/>
              <w:rPr>
                <w:rFonts w:ascii="Times New Roman"/>
                <w:sz w:val="21"/>
              </w:rPr>
            </w:pPr>
            <w:r>
              <w:rPr>
                <w:rFonts w:ascii="Times New Roman"/>
                <w:w w:val="95"/>
                <w:sz w:val="21"/>
              </w:rPr>
              <w:t>0.4089</w:t>
            </w:r>
          </w:p>
        </w:tc>
        <w:tc>
          <w:tcPr>
            <w:tcW w:w="1174" w:type="dxa"/>
          </w:tcPr>
          <w:p w14:paraId="02A9E5BA">
            <w:pPr>
              <w:pStyle w:val="14"/>
              <w:spacing w:before="105"/>
              <w:ind w:left="4"/>
              <w:jc w:val="center"/>
              <w:rPr>
                <w:rFonts w:ascii="Times New Roman"/>
                <w:sz w:val="21"/>
              </w:rPr>
            </w:pPr>
            <w:r>
              <w:rPr>
                <w:rFonts w:ascii="Times New Roman"/>
                <w:w w:val="99"/>
                <w:sz w:val="21"/>
              </w:rPr>
              <w:t>/</w:t>
            </w:r>
          </w:p>
        </w:tc>
      </w:tr>
      <w:tr w14:paraId="32111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643" w:type="dxa"/>
          </w:tcPr>
          <w:p w14:paraId="1BB455FD">
            <w:pPr>
              <w:pStyle w:val="14"/>
              <w:spacing w:before="106"/>
              <w:ind w:left="271" w:right="269"/>
              <w:jc w:val="center"/>
              <w:rPr>
                <w:rFonts w:ascii="Times New Roman"/>
                <w:sz w:val="21"/>
              </w:rPr>
            </w:pPr>
            <w:r>
              <w:rPr>
                <w:rFonts w:ascii="Times New Roman"/>
                <w:sz w:val="21"/>
              </w:rPr>
              <w:t>DA003</w:t>
            </w:r>
          </w:p>
        </w:tc>
        <w:tc>
          <w:tcPr>
            <w:tcW w:w="1176" w:type="dxa"/>
          </w:tcPr>
          <w:p w14:paraId="4027A7CA">
            <w:pPr>
              <w:pStyle w:val="14"/>
              <w:spacing w:before="103"/>
              <w:ind w:left="420"/>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890" w:type="dxa"/>
          </w:tcPr>
          <w:p w14:paraId="1AB6E198">
            <w:pPr>
              <w:pStyle w:val="14"/>
              <w:spacing w:before="106"/>
              <w:ind w:left="172" w:right="166"/>
              <w:jc w:val="center"/>
              <w:rPr>
                <w:rFonts w:ascii="Times New Roman"/>
                <w:sz w:val="21"/>
              </w:rPr>
            </w:pPr>
            <w:r>
              <w:rPr>
                <w:rFonts w:ascii="Times New Roman"/>
                <w:sz w:val="21"/>
              </w:rPr>
              <w:t>10.0</w:t>
            </w:r>
          </w:p>
        </w:tc>
        <w:tc>
          <w:tcPr>
            <w:tcW w:w="1514" w:type="dxa"/>
          </w:tcPr>
          <w:p w14:paraId="138BFC97">
            <w:pPr>
              <w:pStyle w:val="14"/>
              <w:spacing w:before="106"/>
              <w:ind w:left="137" w:right="134"/>
              <w:jc w:val="center"/>
              <w:rPr>
                <w:rFonts w:ascii="Times New Roman"/>
                <w:sz w:val="21"/>
              </w:rPr>
            </w:pPr>
            <w:r>
              <w:rPr>
                <w:rFonts w:ascii="Times New Roman"/>
                <w:sz w:val="21"/>
              </w:rPr>
              <w:t>0.0004</w:t>
            </w:r>
          </w:p>
        </w:tc>
        <w:tc>
          <w:tcPr>
            <w:tcW w:w="1125" w:type="dxa"/>
          </w:tcPr>
          <w:p w14:paraId="5679B556">
            <w:pPr>
              <w:pStyle w:val="14"/>
              <w:spacing w:before="106"/>
              <w:ind w:right="267"/>
              <w:jc w:val="right"/>
              <w:rPr>
                <w:rFonts w:ascii="Times New Roman"/>
                <w:sz w:val="21"/>
              </w:rPr>
            </w:pPr>
            <w:r>
              <w:rPr>
                <w:rFonts w:ascii="Times New Roman"/>
                <w:w w:val="95"/>
                <w:sz w:val="21"/>
              </w:rPr>
              <w:t>0.0044</w:t>
            </w:r>
          </w:p>
        </w:tc>
        <w:tc>
          <w:tcPr>
            <w:tcW w:w="1174" w:type="dxa"/>
          </w:tcPr>
          <w:p w14:paraId="33770C2F">
            <w:pPr>
              <w:pStyle w:val="14"/>
              <w:spacing w:before="106"/>
              <w:ind w:left="4"/>
              <w:jc w:val="center"/>
              <w:rPr>
                <w:rFonts w:ascii="Times New Roman"/>
                <w:sz w:val="21"/>
              </w:rPr>
            </w:pPr>
            <w:r>
              <w:rPr>
                <w:rFonts w:ascii="Times New Roman"/>
                <w:w w:val="99"/>
                <w:sz w:val="21"/>
              </w:rPr>
              <w:t>/</w:t>
            </w:r>
          </w:p>
        </w:tc>
      </w:tr>
      <w:tr w14:paraId="09FE7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43" w:type="dxa"/>
          </w:tcPr>
          <w:p w14:paraId="3D4570DE">
            <w:pPr>
              <w:pStyle w:val="14"/>
              <w:spacing w:before="106"/>
              <w:ind w:left="271" w:right="269"/>
              <w:jc w:val="center"/>
              <w:rPr>
                <w:rFonts w:ascii="Times New Roman"/>
                <w:sz w:val="21"/>
              </w:rPr>
            </w:pPr>
            <w:r>
              <w:rPr>
                <w:rFonts w:ascii="Times New Roman"/>
                <w:sz w:val="21"/>
              </w:rPr>
              <w:t>DA003</w:t>
            </w:r>
          </w:p>
        </w:tc>
        <w:tc>
          <w:tcPr>
            <w:tcW w:w="1176" w:type="dxa"/>
          </w:tcPr>
          <w:p w14:paraId="5C554D10">
            <w:pPr>
              <w:pStyle w:val="14"/>
              <w:spacing w:before="103"/>
              <w:ind w:left="401"/>
              <w:rPr>
                <w:rFonts w:ascii="Times New Roman"/>
                <w:sz w:val="21"/>
              </w:rPr>
            </w:pPr>
            <w:r>
              <w:rPr>
                <w:rFonts w:ascii="Times New Roman"/>
                <w:position w:val="2"/>
                <w:sz w:val="21"/>
              </w:rPr>
              <w:t>NH</w:t>
            </w:r>
            <w:r>
              <w:rPr>
                <w:rFonts w:ascii="Times New Roman"/>
                <w:position w:val="2"/>
                <w:sz w:val="21"/>
                <w:vertAlign w:val="subscript"/>
              </w:rPr>
              <w:t>3</w:t>
            </w:r>
          </w:p>
        </w:tc>
        <w:tc>
          <w:tcPr>
            <w:tcW w:w="1890" w:type="dxa"/>
          </w:tcPr>
          <w:p w14:paraId="539279B5">
            <w:pPr>
              <w:pStyle w:val="14"/>
              <w:spacing w:before="106"/>
              <w:ind w:left="172" w:right="168"/>
              <w:jc w:val="center"/>
              <w:rPr>
                <w:rFonts w:ascii="Times New Roman"/>
                <w:sz w:val="21"/>
              </w:rPr>
            </w:pPr>
            <w:r>
              <w:rPr>
                <w:rFonts w:ascii="Times New Roman"/>
                <w:sz w:val="21"/>
              </w:rPr>
              <w:t>200.0</w:t>
            </w:r>
          </w:p>
        </w:tc>
        <w:tc>
          <w:tcPr>
            <w:tcW w:w="1514" w:type="dxa"/>
          </w:tcPr>
          <w:p w14:paraId="3F69C735">
            <w:pPr>
              <w:pStyle w:val="14"/>
              <w:spacing w:before="106"/>
              <w:ind w:left="137" w:right="134"/>
              <w:jc w:val="center"/>
              <w:rPr>
                <w:rFonts w:ascii="Times New Roman"/>
                <w:sz w:val="21"/>
              </w:rPr>
            </w:pPr>
            <w:r>
              <w:rPr>
                <w:rFonts w:ascii="Times New Roman"/>
                <w:sz w:val="21"/>
              </w:rPr>
              <w:t>0.1471</w:t>
            </w:r>
          </w:p>
        </w:tc>
        <w:tc>
          <w:tcPr>
            <w:tcW w:w="1125" w:type="dxa"/>
          </w:tcPr>
          <w:p w14:paraId="2E5F92F4">
            <w:pPr>
              <w:pStyle w:val="14"/>
              <w:spacing w:before="106"/>
              <w:ind w:right="267"/>
              <w:jc w:val="right"/>
              <w:rPr>
                <w:rFonts w:ascii="Times New Roman"/>
                <w:sz w:val="21"/>
              </w:rPr>
            </w:pPr>
            <w:r>
              <w:rPr>
                <w:rFonts w:ascii="Times New Roman"/>
                <w:w w:val="95"/>
                <w:sz w:val="21"/>
              </w:rPr>
              <w:t>0.0735</w:t>
            </w:r>
          </w:p>
        </w:tc>
        <w:tc>
          <w:tcPr>
            <w:tcW w:w="1174" w:type="dxa"/>
          </w:tcPr>
          <w:p w14:paraId="1202C970">
            <w:pPr>
              <w:pStyle w:val="14"/>
              <w:spacing w:before="106"/>
              <w:ind w:left="4"/>
              <w:jc w:val="center"/>
              <w:rPr>
                <w:rFonts w:ascii="Times New Roman"/>
                <w:sz w:val="21"/>
              </w:rPr>
            </w:pPr>
            <w:r>
              <w:rPr>
                <w:rFonts w:ascii="Times New Roman"/>
                <w:w w:val="99"/>
                <w:sz w:val="21"/>
              </w:rPr>
              <w:t>/</w:t>
            </w:r>
          </w:p>
        </w:tc>
      </w:tr>
      <w:tr w14:paraId="19DF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643" w:type="dxa"/>
          </w:tcPr>
          <w:p w14:paraId="74DD974D">
            <w:pPr>
              <w:pStyle w:val="14"/>
              <w:spacing w:before="105"/>
              <w:ind w:left="271" w:right="269"/>
              <w:jc w:val="center"/>
              <w:rPr>
                <w:rFonts w:ascii="Times New Roman"/>
                <w:sz w:val="21"/>
              </w:rPr>
            </w:pPr>
            <w:r>
              <w:rPr>
                <w:rFonts w:ascii="Times New Roman"/>
                <w:sz w:val="21"/>
              </w:rPr>
              <w:t>DA004</w:t>
            </w:r>
          </w:p>
        </w:tc>
        <w:tc>
          <w:tcPr>
            <w:tcW w:w="1176" w:type="dxa"/>
          </w:tcPr>
          <w:p w14:paraId="6D69455A">
            <w:pPr>
              <w:pStyle w:val="14"/>
              <w:spacing w:before="105"/>
              <w:ind w:left="384"/>
              <w:rPr>
                <w:rFonts w:ascii="Times New Roman"/>
                <w:sz w:val="21"/>
              </w:rPr>
            </w:pPr>
            <w:r>
              <w:rPr>
                <w:rFonts w:ascii="Times New Roman"/>
                <w:sz w:val="21"/>
              </w:rPr>
              <w:t>NOx</w:t>
            </w:r>
          </w:p>
        </w:tc>
        <w:tc>
          <w:tcPr>
            <w:tcW w:w="1890" w:type="dxa"/>
          </w:tcPr>
          <w:p w14:paraId="7059113E">
            <w:pPr>
              <w:pStyle w:val="14"/>
              <w:spacing w:before="105"/>
              <w:ind w:left="172" w:right="168"/>
              <w:jc w:val="center"/>
              <w:rPr>
                <w:rFonts w:ascii="Times New Roman"/>
                <w:sz w:val="21"/>
              </w:rPr>
            </w:pPr>
            <w:r>
              <w:rPr>
                <w:rFonts w:ascii="Times New Roman"/>
                <w:sz w:val="21"/>
              </w:rPr>
              <w:t>250.0</w:t>
            </w:r>
          </w:p>
        </w:tc>
        <w:tc>
          <w:tcPr>
            <w:tcW w:w="1514" w:type="dxa"/>
          </w:tcPr>
          <w:p w14:paraId="5C476494">
            <w:pPr>
              <w:pStyle w:val="14"/>
              <w:spacing w:before="105"/>
              <w:ind w:left="137" w:right="134"/>
              <w:jc w:val="center"/>
              <w:rPr>
                <w:rFonts w:ascii="Times New Roman"/>
                <w:sz w:val="21"/>
              </w:rPr>
            </w:pPr>
            <w:r>
              <w:rPr>
                <w:rFonts w:ascii="Times New Roman"/>
                <w:sz w:val="21"/>
              </w:rPr>
              <w:t>3.9981</w:t>
            </w:r>
          </w:p>
        </w:tc>
        <w:tc>
          <w:tcPr>
            <w:tcW w:w="1125" w:type="dxa"/>
          </w:tcPr>
          <w:p w14:paraId="32C01DEA">
            <w:pPr>
              <w:pStyle w:val="14"/>
              <w:spacing w:before="105"/>
              <w:ind w:right="267"/>
              <w:jc w:val="right"/>
              <w:rPr>
                <w:rFonts w:ascii="Times New Roman"/>
                <w:sz w:val="21"/>
              </w:rPr>
            </w:pPr>
            <w:r>
              <w:rPr>
                <w:rFonts w:ascii="Times New Roman"/>
                <w:w w:val="95"/>
                <w:sz w:val="21"/>
              </w:rPr>
              <w:t>1.5992</w:t>
            </w:r>
          </w:p>
        </w:tc>
        <w:tc>
          <w:tcPr>
            <w:tcW w:w="1174" w:type="dxa"/>
          </w:tcPr>
          <w:p w14:paraId="3EA16100">
            <w:pPr>
              <w:pStyle w:val="14"/>
              <w:spacing w:before="105"/>
              <w:ind w:left="4"/>
              <w:jc w:val="center"/>
              <w:rPr>
                <w:rFonts w:ascii="Times New Roman"/>
                <w:sz w:val="21"/>
              </w:rPr>
            </w:pPr>
            <w:r>
              <w:rPr>
                <w:rFonts w:ascii="Times New Roman"/>
                <w:w w:val="99"/>
                <w:sz w:val="21"/>
              </w:rPr>
              <w:t>/</w:t>
            </w:r>
          </w:p>
        </w:tc>
      </w:tr>
      <w:tr w14:paraId="33091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43" w:type="dxa"/>
          </w:tcPr>
          <w:p w14:paraId="73157FA2">
            <w:pPr>
              <w:pStyle w:val="14"/>
              <w:spacing w:before="105"/>
              <w:ind w:left="271" w:right="269"/>
              <w:jc w:val="center"/>
              <w:rPr>
                <w:rFonts w:ascii="Times New Roman"/>
                <w:sz w:val="21"/>
              </w:rPr>
            </w:pPr>
            <w:r>
              <w:rPr>
                <w:rFonts w:ascii="Times New Roman"/>
                <w:sz w:val="21"/>
              </w:rPr>
              <w:t>DA004</w:t>
            </w:r>
          </w:p>
        </w:tc>
        <w:tc>
          <w:tcPr>
            <w:tcW w:w="1176" w:type="dxa"/>
          </w:tcPr>
          <w:p w14:paraId="78807EF2">
            <w:pPr>
              <w:pStyle w:val="14"/>
              <w:spacing w:before="104"/>
              <w:ind w:left="420"/>
              <w:rPr>
                <w:rFonts w:ascii="Times New Roman"/>
                <w:sz w:val="21"/>
              </w:rPr>
            </w:pPr>
            <w:r>
              <w:rPr>
                <w:rFonts w:ascii="Times New Roman"/>
                <w:position w:val="2"/>
                <w:sz w:val="21"/>
              </w:rPr>
              <w:t>SO</w:t>
            </w:r>
            <w:r>
              <w:rPr>
                <w:rFonts w:ascii="Times New Roman"/>
                <w:position w:val="2"/>
                <w:sz w:val="21"/>
                <w:vertAlign w:val="subscript"/>
              </w:rPr>
              <w:t>2</w:t>
            </w:r>
          </w:p>
        </w:tc>
        <w:tc>
          <w:tcPr>
            <w:tcW w:w="1890" w:type="dxa"/>
          </w:tcPr>
          <w:p w14:paraId="091B916B">
            <w:pPr>
              <w:pStyle w:val="14"/>
              <w:spacing w:before="105"/>
              <w:ind w:left="172" w:right="168"/>
              <w:jc w:val="center"/>
              <w:rPr>
                <w:rFonts w:ascii="Times New Roman"/>
                <w:sz w:val="21"/>
              </w:rPr>
            </w:pPr>
            <w:r>
              <w:rPr>
                <w:rFonts w:ascii="Times New Roman"/>
                <w:sz w:val="21"/>
              </w:rPr>
              <w:t>500.0</w:t>
            </w:r>
          </w:p>
        </w:tc>
        <w:tc>
          <w:tcPr>
            <w:tcW w:w="1514" w:type="dxa"/>
          </w:tcPr>
          <w:p w14:paraId="048FB850">
            <w:pPr>
              <w:pStyle w:val="14"/>
              <w:spacing w:before="105"/>
              <w:ind w:left="137" w:right="134"/>
              <w:jc w:val="center"/>
              <w:rPr>
                <w:rFonts w:ascii="Times New Roman"/>
                <w:sz w:val="21"/>
              </w:rPr>
            </w:pPr>
            <w:r>
              <w:rPr>
                <w:rFonts w:ascii="Times New Roman"/>
                <w:sz w:val="21"/>
              </w:rPr>
              <w:t>3.3127</w:t>
            </w:r>
          </w:p>
        </w:tc>
        <w:tc>
          <w:tcPr>
            <w:tcW w:w="1125" w:type="dxa"/>
          </w:tcPr>
          <w:p w14:paraId="4F465C0F">
            <w:pPr>
              <w:pStyle w:val="14"/>
              <w:spacing w:before="105"/>
              <w:ind w:right="267"/>
              <w:jc w:val="right"/>
              <w:rPr>
                <w:rFonts w:ascii="Times New Roman"/>
                <w:sz w:val="21"/>
              </w:rPr>
            </w:pPr>
            <w:r>
              <w:rPr>
                <w:rFonts w:ascii="Times New Roman"/>
                <w:w w:val="95"/>
                <w:sz w:val="21"/>
              </w:rPr>
              <w:t>0.6625</w:t>
            </w:r>
          </w:p>
        </w:tc>
        <w:tc>
          <w:tcPr>
            <w:tcW w:w="1174" w:type="dxa"/>
          </w:tcPr>
          <w:p w14:paraId="1514A664">
            <w:pPr>
              <w:pStyle w:val="14"/>
              <w:spacing w:before="105"/>
              <w:ind w:left="4"/>
              <w:jc w:val="center"/>
              <w:rPr>
                <w:rFonts w:ascii="Times New Roman"/>
                <w:sz w:val="21"/>
              </w:rPr>
            </w:pPr>
            <w:r>
              <w:rPr>
                <w:rFonts w:ascii="Times New Roman"/>
                <w:w w:val="99"/>
                <w:sz w:val="21"/>
              </w:rPr>
              <w:t>/</w:t>
            </w:r>
          </w:p>
        </w:tc>
      </w:tr>
      <w:tr w14:paraId="5E264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43" w:type="dxa"/>
          </w:tcPr>
          <w:p w14:paraId="1B0CA8D2">
            <w:pPr>
              <w:pStyle w:val="14"/>
              <w:spacing w:before="90"/>
              <w:ind w:left="271" w:right="270"/>
              <w:jc w:val="center"/>
              <w:rPr>
                <w:sz w:val="21"/>
              </w:rPr>
            </w:pPr>
            <w:r>
              <w:rPr>
                <w:sz w:val="21"/>
              </w:rPr>
              <w:t>厂界无组织</w:t>
            </w:r>
          </w:p>
        </w:tc>
        <w:tc>
          <w:tcPr>
            <w:tcW w:w="1176" w:type="dxa"/>
          </w:tcPr>
          <w:p w14:paraId="0F2FB33C">
            <w:pPr>
              <w:pStyle w:val="14"/>
              <w:spacing w:before="103"/>
              <w:ind w:left="401"/>
              <w:rPr>
                <w:rFonts w:ascii="Times New Roman"/>
                <w:sz w:val="21"/>
              </w:rPr>
            </w:pPr>
            <w:r>
              <w:rPr>
                <w:rFonts w:ascii="Times New Roman"/>
                <w:position w:val="2"/>
                <w:sz w:val="21"/>
              </w:rPr>
              <w:t>NH</w:t>
            </w:r>
            <w:r>
              <w:rPr>
                <w:rFonts w:ascii="Times New Roman"/>
                <w:position w:val="2"/>
                <w:sz w:val="21"/>
                <w:vertAlign w:val="subscript"/>
              </w:rPr>
              <w:t>3</w:t>
            </w:r>
          </w:p>
        </w:tc>
        <w:tc>
          <w:tcPr>
            <w:tcW w:w="1890" w:type="dxa"/>
          </w:tcPr>
          <w:p w14:paraId="3D0301A6">
            <w:pPr>
              <w:pStyle w:val="14"/>
              <w:spacing w:before="106"/>
              <w:ind w:left="172" w:right="168"/>
              <w:jc w:val="center"/>
              <w:rPr>
                <w:rFonts w:ascii="Times New Roman"/>
                <w:sz w:val="21"/>
              </w:rPr>
            </w:pPr>
            <w:r>
              <w:rPr>
                <w:rFonts w:ascii="Times New Roman"/>
                <w:sz w:val="21"/>
              </w:rPr>
              <w:t>200.0</w:t>
            </w:r>
          </w:p>
        </w:tc>
        <w:tc>
          <w:tcPr>
            <w:tcW w:w="1514" w:type="dxa"/>
          </w:tcPr>
          <w:p w14:paraId="18D01DF4">
            <w:pPr>
              <w:pStyle w:val="14"/>
              <w:spacing w:before="106"/>
              <w:ind w:left="137" w:right="134"/>
              <w:jc w:val="center"/>
              <w:rPr>
                <w:rFonts w:ascii="Times New Roman"/>
                <w:sz w:val="21"/>
              </w:rPr>
            </w:pPr>
            <w:r>
              <w:rPr>
                <w:rFonts w:ascii="Times New Roman"/>
                <w:sz w:val="21"/>
              </w:rPr>
              <w:t>5.3929</w:t>
            </w:r>
          </w:p>
        </w:tc>
        <w:tc>
          <w:tcPr>
            <w:tcW w:w="1125" w:type="dxa"/>
          </w:tcPr>
          <w:p w14:paraId="18392415">
            <w:pPr>
              <w:pStyle w:val="14"/>
              <w:spacing w:before="106"/>
              <w:ind w:right="267"/>
              <w:jc w:val="right"/>
              <w:rPr>
                <w:rFonts w:ascii="Times New Roman"/>
                <w:sz w:val="21"/>
              </w:rPr>
            </w:pPr>
            <w:r>
              <w:rPr>
                <w:rFonts w:ascii="Times New Roman"/>
                <w:w w:val="95"/>
                <w:sz w:val="21"/>
              </w:rPr>
              <w:t>2.6965</w:t>
            </w:r>
          </w:p>
        </w:tc>
        <w:tc>
          <w:tcPr>
            <w:tcW w:w="1174" w:type="dxa"/>
          </w:tcPr>
          <w:p w14:paraId="7AA7CE0D">
            <w:pPr>
              <w:pStyle w:val="14"/>
              <w:spacing w:before="106"/>
              <w:ind w:left="4"/>
              <w:jc w:val="center"/>
              <w:rPr>
                <w:rFonts w:ascii="Times New Roman"/>
                <w:sz w:val="21"/>
              </w:rPr>
            </w:pPr>
            <w:r>
              <w:rPr>
                <w:rFonts w:ascii="Times New Roman"/>
                <w:w w:val="99"/>
                <w:sz w:val="21"/>
              </w:rPr>
              <w:t>/</w:t>
            </w:r>
          </w:p>
        </w:tc>
      </w:tr>
      <w:tr w14:paraId="22116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643" w:type="dxa"/>
          </w:tcPr>
          <w:p w14:paraId="1D81D11A">
            <w:pPr>
              <w:pStyle w:val="14"/>
              <w:spacing w:before="92"/>
              <w:ind w:left="271" w:right="270"/>
              <w:jc w:val="center"/>
              <w:rPr>
                <w:sz w:val="21"/>
              </w:rPr>
            </w:pPr>
            <w:r>
              <w:rPr>
                <w:sz w:val="21"/>
              </w:rPr>
              <w:t>厂界无组织</w:t>
            </w:r>
          </w:p>
        </w:tc>
        <w:tc>
          <w:tcPr>
            <w:tcW w:w="1176" w:type="dxa"/>
          </w:tcPr>
          <w:p w14:paraId="5744D5FC">
            <w:pPr>
              <w:pStyle w:val="14"/>
              <w:spacing w:before="103"/>
              <w:ind w:left="420"/>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890" w:type="dxa"/>
          </w:tcPr>
          <w:p w14:paraId="70258D53">
            <w:pPr>
              <w:pStyle w:val="14"/>
              <w:spacing w:before="106"/>
              <w:ind w:left="172" w:right="166"/>
              <w:jc w:val="center"/>
              <w:rPr>
                <w:rFonts w:ascii="Times New Roman"/>
                <w:sz w:val="21"/>
              </w:rPr>
            </w:pPr>
            <w:r>
              <w:rPr>
                <w:rFonts w:ascii="Times New Roman"/>
                <w:sz w:val="21"/>
              </w:rPr>
              <w:t>10.0</w:t>
            </w:r>
          </w:p>
        </w:tc>
        <w:tc>
          <w:tcPr>
            <w:tcW w:w="1514" w:type="dxa"/>
          </w:tcPr>
          <w:p w14:paraId="333610D1">
            <w:pPr>
              <w:pStyle w:val="14"/>
              <w:spacing w:before="106"/>
              <w:ind w:left="137" w:right="134"/>
              <w:jc w:val="center"/>
              <w:rPr>
                <w:rFonts w:ascii="Times New Roman"/>
                <w:sz w:val="21"/>
              </w:rPr>
            </w:pPr>
            <w:r>
              <w:rPr>
                <w:rFonts w:ascii="Times New Roman"/>
                <w:sz w:val="21"/>
              </w:rPr>
              <w:t>0.3693</w:t>
            </w:r>
          </w:p>
        </w:tc>
        <w:tc>
          <w:tcPr>
            <w:tcW w:w="1125" w:type="dxa"/>
          </w:tcPr>
          <w:p w14:paraId="0EBFB5FD">
            <w:pPr>
              <w:pStyle w:val="14"/>
              <w:spacing w:before="106"/>
              <w:ind w:right="267"/>
              <w:jc w:val="right"/>
              <w:rPr>
                <w:rFonts w:ascii="Times New Roman"/>
                <w:sz w:val="21"/>
              </w:rPr>
            </w:pPr>
            <w:r>
              <w:rPr>
                <w:rFonts w:ascii="Times New Roman"/>
                <w:w w:val="95"/>
                <w:sz w:val="21"/>
              </w:rPr>
              <w:t>3.6930</w:t>
            </w:r>
          </w:p>
        </w:tc>
        <w:tc>
          <w:tcPr>
            <w:tcW w:w="1174" w:type="dxa"/>
          </w:tcPr>
          <w:p w14:paraId="12BCCD68">
            <w:pPr>
              <w:pStyle w:val="14"/>
              <w:spacing w:before="106"/>
              <w:ind w:left="4"/>
              <w:jc w:val="center"/>
              <w:rPr>
                <w:rFonts w:ascii="Times New Roman"/>
                <w:sz w:val="21"/>
              </w:rPr>
            </w:pPr>
            <w:r>
              <w:rPr>
                <w:rFonts w:ascii="Times New Roman"/>
                <w:w w:val="99"/>
                <w:sz w:val="21"/>
              </w:rPr>
              <w:t>/</w:t>
            </w:r>
          </w:p>
        </w:tc>
      </w:tr>
    </w:tbl>
    <w:p w14:paraId="0A2A0BB6">
      <w:pPr>
        <w:pStyle w:val="7"/>
        <w:spacing w:line="310" w:lineRule="exact"/>
        <w:ind w:left="760"/>
      </w:pPr>
      <w:r>
        <w:rPr>
          <w:position w:val="2"/>
        </w:rPr>
        <w:t xml:space="preserve">本项目 </w:t>
      </w:r>
      <w:r>
        <w:rPr>
          <w:rFonts w:ascii="Times New Roman" w:eastAsia="Times New Roman"/>
          <w:position w:val="2"/>
        </w:rPr>
        <w:t xml:space="preserve">Pmax </w:t>
      </w:r>
      <w:r>
        <w:rPr>
          <w:position w:val="2"/>
        </w:rPr>
        <w:t xml:space="preserve">最大值出现为厂界无组织排放的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 xml:space="preserve">SPmax </w:t>
      </w:r>
      <w:r>
        <w:rPr>
          <w:position w:val="2"/>
          <w:vertAlign w:val="baseline"/>
        </w:rPr>
        <w:t xml:space="preserve">值为 </w:t>
      </w:r>
      <w:r>
        <w:rPr>
          <w:rFonts w:ascii="Times New Roman" w:eastAsia="Times New Roman"/>
          <w:position w:val="2"/>
          <w:vertAlign w:val="baseline"/>
        </w:rPr>
        <w:t xml:space="preserve">3.693% </w:t>
      </w:r>
      <w:r>
        <w:rPr>
          <w:position w:val="2"/>
          <w:vertAlign w:val="baseline"/>
        </w:rPr>
        <w:t>，</w:t>
      </w:r>
    </w:p>
    <w:p w14:paraId="5DAA6811">
      <w:pPr>
        <w:pStyle w:val="7"/>
        <w:spacing w:before="157"/>
        <w:ind w:left="280"/>
        <w:rPr>
          <w:rFonts w:ascii="Times New Roman" w:hAnsi="Times New Roman" w:eastAsia="Times New Roman"/>
        </w:rPr>
      </w:pPr>
      <w:r>
        <w:rPr>
          <w:rFonts w:ascii="Times New Roman" w:hAnsi="Times New Roman" w:eastAsia="Times New Roman"/>
        </w:rPr>
        <w:t xml:space="preserve">Cmax </w:t>
      </w:r>
      <w:r>
        <w:rPr>
          <w:spacing w:val="-19"/>
        </w:rPr>
        <w:t xml:space="preserve">为 </w:t>
      </w:r>
      <w:r>
        <w:rPr>
          <w:rFonts w:ascii="Times New Roman" w:hAnsi="Times New Roman" w:eastAsia="Times New Roman"/>
        </w:rPr>
        <w:t xml:space="preserve">0.3693 </w:t>
      </w:r>
      <w:r>
        <w:t>μ</w:t>
      </w:r>
      <w:r>
        <w:rPr>
          <w:spacing w:val="-99"/>
        </w:rPr>
        <w:t xml:space="preserve"> </w:t>
      </w:r>
      <w:r>
        <w:rPr>
          <w:rFonts w:ascii="Times New Roman" w:hAnsi="Times New Roman" w:eastAsia="Times New Roman"/>
        </w:rPr>
        <w:t xml:space="preserve">g/m </w:t>
      </w:r>
      <w:r>
        <w:t>³</w:t>
      </w:r>
      <w:r>
        <w:rPr>
          <w:spacing w:val="-4"/>
        </w:rPr>
        <w:t xml:space="preserve"> ， 根据《环境影响评价技术导则 大气环境》</w:t>
      </w:r>
      <w:r>
        <w:t>（</w:t>
      </w:r>
      <w:r>
        <w:rPr>
          <w:spacing w:val="-99"/>
        </w:rPr>
        <w:t xml:space="preserve"> </w:t>
      </w:r>
      <w:r>
        <w:rPr>
          <w:rFonts w:ascii="Times New Roman" w:hAnsi="Times New Roman" w:eastAsia="Times New Roman"/>
        </w:rPr>
        <w:t>HJ2.2-</w:t>
      </w:r>
    </w:p>
    <w:p w14:paraId="34ABD0C3">
      <w:pPr>
        <w:pStyle w:val="7"/>
        <w:spacing w:before="160" w:line="364" w:lineRule="auto"/>
        <w:ind w:left="280" w:right="337"/>
        <w:jc w:val="both"/>
      </w:pPr>
      <w:r>
        <w:rPr>
          <w:rFonts w:ascii="Times New Roman" w:eastAsia="Times New Roman"/>
        </w:rPr>
        <w:t>2018</w:t>
      </w:r>
      <w:r>
        <w:t>）分级判据，确定本项目大气环境影响评价工作等级为二级。根据《环境</w:t>
      </w:r>
      <w:r>
        <w:rPr>
          <w:spacing w:val="-13"/>
        </w:rPr>
        <w:t>影响评价技术导则 大气环境》</w:t>
      </w:r>
      <w:r>
        <w:t>（</w:t>
      </w:r>
      <w:r>
        <w:rPr>
          <w:rFonts w:ascii="Times New Roman" w:eastAsia="Times New Roman"/>
        </w:rPr>
        <w:t>HJ2.2-2018</w:t>
      </w:r>
      <w:r>
        <w:t>）规定，二级评价项目不进行进一步预测与评价，只对污染物排放量进行核算。</w:t>
      </w:r>
    </w:p>
    <w:p w14:paraId="0F5C1F17">
      <w:pPr>
        <w:pStyle w:val="6"/>
        <w:numPr>
          <w:ilvl w:val="3"/>
          <w:numId w:val="11"/>
        </w:numPr>
        <w:tabs>
          <w:tab w:val="left" w:pos="1471"/>
        </w:tabs>
        <w:spacing w:before="0" w:after="0" w:line="307" w:lineRule="exact"/>
        <w:ind w:left="1470" w:right="0" w:hanging="710"/>
        <w:jc w:val="left"/>
        <w:rPr>
          <w:rFonts w:ascii="Times New Roman" w:eastAsia="Times New Roman"/>
        </w:rPr>
      </w:pPr>
      <w:r>
        <w:t>声环境影响评价等级</w:t>
      </w:r>
    </w:p>
    <w:p w14:paraId="54AB7ED5">
      <w:pPr>
        <w:pStyle w:val="7"/>
        <w:spacing w:before="158" w:line="364" w:lineRule="auto"/>
        <w:ind w:left="280" w:right="377" w:firstLine="480"/>
      </w:pPr>
      <w:r>
        <w:rPr>
          <w:spacing w:val="-2"/>
        </w:rPr>
        <w:t xml:space="preserve">项目施工期结束后影响消失，运行期声源为固定声源，投产运行年 </w:t>
      </w:r>
      <w:r>
        <w:rPr>
          <w:rFonts w:ascii="Times New Roman" w:eastAsia="Times New Roman"/>
        </w:rPr>
        <w:t>2025</w:t>
      </w:r>
      <w:r>
        <w:rPr>
          <w:rFonts w:ascii="Times New Roman" w:eastAsia="Times New Roman"/>
          <w:spacing w:val="-12"/>
        </w:rPr>
        <w:t xml:space="preserve"> </w:t>
      </w:r>
      <w:r>
        <w:t>年作为评价水平年。本项目位于岳阳县荣家湾镇城东村，以集市贸易为主要功 能，或者居住、工业混杂，需要维护住宅安静的区域，所处的声环境功能区属</w:t>
      </w:r>
      <w:r>
        <w:rPr>
          <w:spacing w:val="-31"/>
        </w:rPr>
        <w:t xml:space="preserve">于 </w:t>
      </w:r>
      <w:r>
        <w:rPr>
          <w:rFonts w:ascii="Times New Roman" w:eastAsia="Times New Roman"/>
        </w:rPr>
        <w:t>GB</w:t>
      </w:r>
      <w:r>
        <w:rPr>
          <w:rFonts w:ascii="Times New Roman" w:eastAsia="Times New Roman"/>
          <w:spacing w:val="-1"/>
        </w:rPr>
        <w:t xml:space="preserve"> </w:t>
      </w:r>
      <w:r>
        <w:rPr>
          <w:rFonts w:ascii="Times New Roman" w:eastAsia="Times New Roman"/>
        </w:rPr>
        <w:t>3096</w:t>
      </w:r>
      <w:r>
        <w:rPr>
          <w:rFonts w:ascii="Times New Roman" w:eastAsia="Times New Roman"/>
          <w:spacing w:val="-13"/>
        </w:rPr>
        <w:t xml:space="preserve"> </w:t>
      </w:r>
      <w:r>
        <w:rPr>
          <w:spacing w:val="-16"/>
        </w:rPr>
        <w:t xml:space="preserve">规定的 </w:t>
      </w:r>
      <w:r>
        <w:rPr>
          <w:rFonts w:ascii="Times New Roman" w:eastAsia="Times New Roman"/>
        </w:rPr>
        <w:t>2</w:t>
      </w:r>
      <w:r>
        <w:rPr>
          <w:rFonts w:ascii="Times New Roman" w:eastAsia="Times New Roman"/>
          <w:spacing w:val="-13"/>
        </w:rPr>
        <w:t xml:space="preserve"> </w:t>
      </w:r>
      <w:r>
        <w:t>类地区，因此项目的声环境影响评价等级为二级，一般性分析，具体分析见下表。</w:t>
      </w:r>
    </w:p>
    <w:p w14:paraId="2BBD689D">
      <w:pPr>
        <w:spacing w:before="117"/>
        <w:ind w:left="2660" w:right="0" w:firstLine="0"/>
        <w:jc w:val="left"/>
        <w:rPr>
          <w:b/>
          <w:sz w:val="21"/>
        </w:rPr>
      </w:pPr>
      <w:r>
        <w:rPr>
          <w:b/>
          <w:sz w:val="21"/>
        </w:rPr>
        <w:t xml:space="preserve">表 </w:t>
      </w:r>
      <w:r>
        <w:rPr>
          <w:rFonts w:ascii="Times New Roman" w:eastAsia="Times New Roman"/>
          <w:b/>
          <w:sz w:val="21"/>
        </w:rPr>
        <w:t xml:space="preserve">2.5-7 </w:t>
      </w:r>
      <w:r>
        <w:rPr>
          <w:b/>
          <w:sz w:val="21"/>
        </w:rPr>
        <w:t>声环境影响评价工作判别情况</w:t>
      </w:r>
    </w:p>
    <w:p w14:paraId="01369F5F">
      <w:pPr>
        <w:pStyle w:val="7"/>
        <w:spacing w:before="7" w:after="1"/>
        <w:rPr>
          <w:b/>
          <w:sz w:val="9"/>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7"/>
        <w:gridCol w:w="5763"/>
        <w:gridCol w:w="1392"/>
      </w:tblGrid>
      <w:tr w14:paraId="671BC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67" w:type="dxa"/>
          </w:tcPr>
          <w:p w14:paraId="38511967">
            <w:pPr>
              <w:pStyle w:val="14"/>
              <w:spacing w:before="90"/>
              <w:ind w:left="400" w:right="392"/>
              <w:jc w:val="center"/>
              <w:rPr>
                <w:b/>
                <w:sz w:val="21"/>
              </w:rPr>
            </w:pPr>
            <w:r>
              <w:rPr>
                <w:b/>
                <w:sz w:val="21"/>
              </w:rPr>
              <w:t>序号</w:t>
            </w:r>
          </w:p>
        </w:tc>
        <w:tc>
          <w:tcPr>
            <w:tcW w:w="5763" w:type="dxa"/>
          </w:tcPr>
          <w:p w14:paraId="019ACEFF">
            <w:pPr>
              <w:pStyle w:val="14"/>
              <w:spacing w:before="90"/>
              <w:ind w:left="1179" w:right="1171"/>
              <w:jc w:val="center"/>
              <w:rPr>
                <w:b/>
                <w:sz w:val="21"/>
              </w:rPr>
            </w:pPr>
            <w:r>
              <w:rPr>
                <w:b/>
                <w:sz w:val="21"/>
              </w:rPr>
              <w:t>等级划分依据</w:t>
            </w:r>
          </w:p>
        </w:tc>
        <w:tc>
          <w:tcPr>
            <w:tcW w:w="1392" w:type="dxa"/>
          </w:tcPr>
          <w:p w14:paraId="73640998">
            <w:pPr>
              <w:pStyle w:val="14"/>
              <w:spacing w:before="90"/>
              <w:ind w:left="146" w:right="141"/>
              <w:jc w:val="center"/>
              <w:rPr>
                <w:b/>
                <w:sz w:val="21"/>
              </w:rPr>
            </w:pPr>
            <w:r>
              <w:rPr>
                <w:b/>
                <w:sz w:val="21"/>
              </w:rPr>
              <w:t>本项目指标</w:t>
            </w:r>
          </w:p>
        </w:tc>
      </w:tr>
      <w:tr w14:paraId="2608A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67" w:type="dxa"/>
          </w:tcPr>
          <w:p w14:paraId="2193BDCB">
            <w:pPr>
              <w:pStyle w:val="14"/>
              <w:spacing w:before="106"/>
              <w:ind w:left="9"/>
              <w:jc w:val="center"/>
              <w:rPr>
                <w:rFonts w:ascii="Times New Roman"/>
                <w:sz w:val="21"/>
              </w:rPr>
            </w:pPr>
            <w:r>
              <w:rPr>
                <w:rFonts w:ascii="Times New Roman"/>
                <w:w w:val="99"/>
                <w:sz w:val="21"/>
              </w:rPr>
              <w:t>1</w:t>
            </w:r>
          </w:p>
        </w:tc>
        <w:tc>
          <w:tcPr>
            <w:tcW w:w="5763" w:type="dxa"/>
          </w:tcPr>
          <w:p w14:paraId="4F7D2494">
            <w:pPr>
              <w:pStyle w:val="14"/>
              <w:spacing w:before="89"/>
              <w:ind w:left="1179" w:right="1173"/>
              <w:jc w:val="center"/>
              <w:rPr>
                <w:sz w:val="21"/>
              </w:rPr>
            </w:pPr>
            <w:r>
              <w:rPr>
                <w:sz w:val="21"/>
              </w:rPr>
              <w:t>建设项目所在区的声环境功能区类别</w:t>
            </w:r>
          </w:p>
        </w:tc>
        <w:tc>
          <w:tcPr>
            <w:tcW w:w="1392" w:type="dxa"/>
          </w:tcPr>
          <w:p w14:paraId="3EDCBC80">
            <w:pPr>
              <w:pStyle w:val="14"/>
              <w:spacing w:before="89"/>
              <w:ind w:left="146" w:right="141"/>
              <w:jc w:val="center"/>
              <w:rPr>
                <w:sz w:val="21"/>
              </w:rPr>
            </w:pPr>
            <w:r>
              <w:rPr>
                <w:rFonts w:ascii="Times New Roman" w:eastAsia="Times New Roman"/>
                <w:sz w:val="21"/>
              </w:rPr>
              <w:t xml:space="preserve">2 </w:t>
            </w:r>
            <w:r>
              <w:rPr>
                <w:sz w:val="21"/>
              </w:rPr>
              <w:t>类功能区</w:t>
            </w:r>
          </w:p>
        </w:tc>
      </w:tr>
      <w:tr w14:paraId="01123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7130" w:type="dxa"/>
            <w:gridSpan w:val="2"/>
          </w:tcPr>
          <w:p w14:paraId="42B969F8">
            <w:pPr>
              <w:pStyle w:val="14"/>
              <w:spacing w:line="242" w:lineRule="auto"/>
              <w:ind w:left="126" w:right="116"/>
              <w:jc w:val="center"/>
              <w:rPr>
                <w:sz w:val="21"/>
              </w:rPr>
            </w:pPr>
            <w:r>
              <w:rPr>
                <w:spacing w:val="-4"/>
                <w:sz w:val="21"/>
              </w:rPr>
              <w:t xml:space="preserve">建设项目所处的声环境功能区为 </w:t>
            </w:r>
            <w:r>
              <w:rPr>
                <w:rFonts w:ascii="Times New Roman" w:eastAsia="Times New Roman"/>
                <w:sz w:val="21"/>
              </w:rPr>
              <w:t xml:space="preserve">GB3096 </w:t>
            </w:r>
            <w:r>
              <w:rPr>
                <w:spacing w:val="-15"/>
                <w:sz w:val="21"/>
              </w:rPr>
              <w:t xml:space="preserve">规定的 </w:t>
            </w:r>
            <w:r>
              <w:rPr>
                <w:rFonts w:ascii="Times New Roman" w:eastAsia="Times New Roman"/>
                <w:sz w:val="21"/>
              </w:rPr>
              <w:t xml:space="preserve">1 </w:t>
            </w:r>
            <w:r>
              <w:rPr>
                <w:sz w:val="21"/>
              </w:rPr>
              <w:t>类、</w:t>
            </w:r>
            <w:r>
              <w:rPr>
                <w:rFonts w:ascii="Times New Roman" w:eastAsia="Times New Roman"/>
                <w:sz w:val="21"/>
              </w:rPr>
              <w:t xml:space="preserve">2 </w:t>
            </w:r>
            <w:r>
              <w:rPr>
                <w:sz w:val="21"/>
              </w:rPr>
              <w:t>类地区，或建设项</w:t>
            </w:r>
            <w:r>
              <w:rPr>
                <w:spacing w:val="-3"/>
                <w:sz w:val="21"/>
              </w:rPr>
              <w:t xml:space="preserve">目建设前后评价范围内敏感目标噪声级增高量达 </w:t>
            </w:r>
            <w:r>
              <w:rPr>
                <w:rFonts w:ascii="Times New Roman" w:eastAsia="Times New Roman"/>
                <w:sz w:val="21"/>
              </w:rPr>
              <w:t>3dB(A)</w:t>
            </w:r>
            <w:r>
              <w:rPr>
                <w:sz w:val="21"/>
              </w:rPr>
              <w:t>～</w:t>
            </w:r>
            <w:r>
              <w:rPr>
                <w:rFonts w:ascii="Times New Roman" w:eastAsia="Times New Roman"/>
                <w:sz w:val="21"/>
              </w:rPr>
              <w:t>5dB(A)</w:t>
            </w:r>
            <w:r>
              <w:rPr>
                <w:sz w:val="21"/>
              </w:rPr>
              <w:t>〔含</w:t>
            </w:r>
          </w:p>
          <w:p w14:paraId="24B01351">
            <w:pPr>
              <w:pStyle w:val="14"/>
              <w:spacing w:before="1" w:line="252" w:lineRule="exact"/>
              <w:ind w:left="121" w:right="116"/>
              <w:jc w:val="center"/>
              <w:rPr>
                <w:sz w:val="21"/>
              </w:rPr>
            </w:pPr>
            <w:r>
              <w:rPr>
                <w:rFonts w:ascii="Times New Roman" w:eastAsia="Times New Roman"/>
                <w:sz w:val="21"/>
              </w:rPr>
              <w:t>5dB(A)</w:t>
            </w:r>
            <w:r>
              <w:rPr>
                <w:sz w:val="21"/>
              </w:rPr>
              <w:t>〕，或受噪声影响人口数量增加较多时</w:t>
            </w:r>
          </w:p>
        </w:tc>
        <w:tc>
          <w:tcPr>
            <w:tcW w:w="1392" w:type="dxa"/>
          </w:tcPr>
          <w:p w14:paraId="250FD4B3">
            <w:pPr>
              <w:pStyle w:val="14"/>
              <w:spacing w:before="2"/>
              <w:rPr>
                <w:b/>
                <w:sz w:val="21"/>
              </w:rPr>
            </w:pPr>
          </w:p>
          <w:p w14:paraId="07813B8C">
            <w:pPr>
              <w:pStyle w:val="14"/>
              <w:ind w:left="146" w:right="138"/>
              <w:jc w:val="center"/>
              <w:rPr>
                <w:sz w:val="21"/>
              </w:rPr>
            </w:pPr>
            <w:r>
              <w:rPr>
                <w:sz w:val="21"/>
              </w:rPr>
              <w:t>二级评价</w:t>
            </w:r>
          </w:p>
        </w:tc>
      </w:tr>
    </w:tbl>
    <w:p w14:paraId="0ADBD439">
      <w:pPr>
        <w:pStyle w:val="6"/>
        <w:numPr>
          <w:ilvl w:val="3"/>
          <w:numId w:val="11"/>
        </w:numPr>
        <w:tabs>
          <w:tab w:val="left" w:pos="1471"/>
        </w:tabs>
        <w:spacing w:before="2" w:after="0" w:line="240" w:lineRule="auto"/>
        <w:ind w:left="1470" w:right="0" w:hanging="710"/>
        <w:jc w:val="left"/>
        <w:rPr>
          <w:rFonts w:ascii="Times New Roman" w:eastAsia="Times New Roman"/>
        </w:rPr>
      </w:pPr>
      <w:r>
        <w:t>地表水环境影响评价等级</w:t>
      </w:r>
    </w:p>
    <w:p w14:paraId="02A2B60E">
      <w:pPr>
        <w:pStyle w:val="7"/>
        <w:spacing w:before="158" w:line="364" w:lineRule="auto"/>
        <w:ind w:left="280" w:right="340" w:firstLine="480"/>
      </w:pPr>
      <w:r>
        <w:t>根据《环境影响评价技术导则</w:t>
      </w:r>
      <w:r>
        <w:rPr>
          <w:rFonts w:ascii="Times New Roman" w:eastAsia="Times New Roman"/>
        </w:rPr>
        <w:t>-</w:t>
      </w:r>
      <w:r>
        <w:t>地表水环境》（</w:t>
      </w:r>
      <w:r>
        <w:rPr>
          <w:rFonts w:ascii="Times New Roman" w:eastAsia="Times New Roman"/>
        </w:rPr>
        <w:t>HJ2.3-2018</w:t>
      </w:r>
      <w:r>
        <w:t>）中的评价级别划分方法进行确定，其判据详见下表。</w:t>
      </w:r>
    </w:p>
    <w:p w14:paraId="173E5A6B">
      <w:pPr>
        <w:spacing w:before="0" w:after="4" w:line="267" w:lineRule="exact"/>
        <w:ind w:left="262" w:right="324" w:firstLine="0"/>
        <w:jc w:val="center"/>
        <w:rPr>
          <w:b/>
          <w:sz w:val="21"/>
        </w:rPr>
      </w:pPr>
      <w:r>
        <w:rPr>
          <w:b/>
          <w:spacing w:val="-28"/>
          <w:sz w:val="21"/>
        </w:rPr>
        <w:t xml:space="preserve">表 </w:t>
      </w:r>
      <w:r>
        <w:rPr>
          <w:rFonts w:ascii="Times New Roman" w:eastAsia="Times New Roman"/>
          <w:b/>
          <w:sz w:val="21"/>
        </w:rPr>
        <w:t>2.5-8</w:t>
      </w:r>
      <w:r>
        <w:rPr>
          <w:rFonts w:ascii="Times New Roman" w:eastAsia="Times New Roman"/>
          <w:b/>
          <w:spacing w:val="50"/>
          <w:sz w:val="21"/>
        </w:rPr>
        <w:t xml:space="preserve"> </w:t>
      </w:r>
      <w:r>
        <w:rPr>
          <w:b/>
          <w:sz w:val="21"/>
        </w:rPr>
        <w:t>水污染物影响型建设项目评价等级确定</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1212"/>
        <w:gridCol w:w="6098"/>
      </w:tblGrid>
      <w:tr w14:paraId="38A6B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12" w:type="dxa"/>
            <w:vMerge w:val="restart"/>
          </w:tcPr>
          <w:p w14:paraId="2A817460">
            <w:pPr>
              <w:pStyle w:val="14"/>
              <w:spacing w:before="1"/>
              <w:rPr>
                <w:b/>
                <w:sz w:val="25"/>
              </w:rPr>
            </w:pPr>
          </w:p>
          <w:p w14:paraId="771F62E3">
            <w:pPr>
              <w:pStyle w:val="14"/>
              <w:ind w:left="184"/>
              <w:rPr>
                <w:b/>
                <w:sz w:val="21"/>
              </w:rPr>
            </w:pPr>
            <w:r>
              <w:rPr>
                <w:b/>
                <w:sz w:val="21"/>
              </w:rPr>
              <w:t>评价等级</w:t>
            </w:r>
          </w:p>
        </w:tc>
        <w:tc>
          <w:tcPr>
            <w:tcW w:w="7310" w:type="dxa"/>
            <w:gridSpan w:val="2"/>
          </w:tcPr>
          <w:p w14:paraId="1A41A425">
            <w:pPr>
              <w:pStyle w:val="14"/>
              <w:spacing w:before="89"/>
              <w:ind w:left="3211" w:right="3204"/>
              <w:jc w:val="center"/>
              <w:rPr>
                <w:b/>
                <w:sz w:val="21"/>
              </w:rPr>
            </w:pPr>
            <w:r>
              <w:rPr>
                <w:b/>
                <w:sz w:val="21"/>
              </w:rPr>
              <w:t>判定依据</w:t>
            </w:r>
          </w:p>
        </w:tc>
      </w:tr>
      <w:tr w14:paraId="740D0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12" w:type="dxa"/>
            <w:vMerge w:val="continue"/>
            <w:tcBorders>
              <w:top w:val="nil"/>
            </w:tcBorders>
          </w:tcPr>
          <w:p w14:paraId="0892AEB9">
            <w:pPr>
              <w:rPr>
                <w:sz w:val="2"/>
                <w:szCs w:val="2"/>
              </w:rPr>
            </w:pPr>
          </w:p>
        </w:tc>
        <w:tc>
          <w:tcPr>
            <w:tcW w:w="1212" w:type="dxa"/>
          </w:tcPr>
          <w:p w14:paraId="1D49BDC9">
            <w:pPr>
              <w:pStyle w:val="14"/>
              <w:spacing w:before="90"/>
              <w:ind w:right="177"/>
              <w:jc w:val="right"/>
              <w:rPr>
                <w:sz w:val="21"/>
              </w:rPr>
            </w:pPr>
            <w:r>
              <w:rPr>
                <w:w w:val="95"/>
                <w:sz w:val="21"/>
              </w:rPr>
              <w:t>排放方式</w:t>
            </w:r>
          </w:p>
        </w:tc>
        <w:tc>
          <w:tcPr>
            <w:tcW w:w="6098" w:type="dxa"/>
          </w:tcPr>
          <w:p w14:paraId="681D8418">
            <w:pPr>
              <w:pStyle w:val="14"/>
              <w:spacing w:before="90"/>
              <w:ind w:left="515" w:right="508"/>
              <w:jc w:val="center"/>
              <w:rPr>
                <w:sz w:val="21"/>
              </w:rPr>
            </w:pPr>
            <w:r>
              <w:rPr>
                <w:spacing w:val="-1"/>
                <w:w w:val="99"/>
                <w:sz w:val="21"/>
              </w:rPr>
              <w:t>废水排放量</w:t>
            </w:r>
            <w:r>
              <w:rPr>
                <w:spacing w:val="-53"/>
                <w:sz w:val="21"/>
              </w:rPr>
              <w:t xml:space="preserve"> </w:t>
            </w:r>
            <w:r>
              <w:rPr>
                <w:rFonts w:ascii="Times New Roman" w:eastAsia="Times New Roman"/>
                <w:w w:val="99"/>
                <w:sz w:val="21"/>
              </w:rPr>
              <w:t>Q</w:t>
            </w:r>
            <w:r>
              <w:rPr>
                <w:rFonts w:ascii="Times New Roman" w:eastAsia="Times New Roman"/>
                <w:spacing w:val="-1"/>
                <w:w w:val="99"/>
                <w:sz w:val="21"/>
              </w:rPr>
              <w:t>/</w:t>
            </w:r>
            <w:r>
              <w:rPr>
                <w:spacing w:val="1"/>
                <w:w w:val="99"/>
                <w:sz w:val="21"/>
              </w:rPr>
              <w:t>（</w:t>
            </w:r>
            <w:r>
              <w:rPr>
                <w:rFonts w:ascii="Times New Roman" w:eastAsia="Times New Roman"/>
                <w:w w:val="99"/>
                <w:sz w:val="21"/>
              </w:rPr>
              <w:t>m</w:t>
            </w:r>
            <w:r>
              <w:rPr>
                <w:rFonts w:ascii="Times New Roman" w:eastAsia="Times New Roman"/>
                <w:spacing w:val="-2"/>
                <w:w w:val="105"/>
                <w:position w:val="7"/>
                <w:sz w:val="13"/>
              </w:rPr>
              <w:t>3</w:t>
            </w:r>
            <w:r>
              <w:rPr>
                <w:rFonts w:ascii="Times New Roman" w:eastAsia="Times New Roman"/>
                <w:spacing w:val="-1"/>
                <w:w w:val="99"/>
                <w:sz w:val="21"/>
              </w:rPr>
              <w:t>/</w:t>
            </w:r>
            <w:r>
              <w:rPr>
                <w:rFonts w:ascii="Times New Roman" w:eastAsia="Times New Roman"/>
                <w:spacing w:val="2"/>
                <w:w w:val="99"/>
                <w:sz w:val="21"/>
              </w:rPr>
              <w:t>d</w:t>
            </w:r>
            <w:r>
              <w:rPr>
                <w:spacing w:val="-106"/>
                <w:w w:val="99"/>
                <w:sz w:val="21"/>
              </w:rPr>
              <w:t>）</w:t>
            </w:r>
            <w:r>
              <w:rPr>
                <w:spacing w:val="-1"/>
                <w:w w:val="99"/>
                <w:sz w:val="21"/>
              </w:rPr>
              <w:t>；水污染物当量数</w:t>
            </w:r>
            <w:r>
              <w:rPr>
                <w:spacing w:val="-50"/>
                <w:sz w:val="21"/>
              </w:rPr>
              <w:t xml:space="preserve"> </w:t>
            </w:r>
            <w:r>
              <w:rPr>
                <w:rFonts w:ascii="Times New Roman" w:eastAsia="Times New Roman"/>
                <w:spacing w:val="-1"/>
                <w:w w:val="99"/>
                <w:sz w:val="21"/>
              </w:rPr>
              <w:t>W</w:t>
            </w:r>
            <w:r>
              <w:rPr>
                <w:rFonts w:ascii="Times New Roman" w:eastAsia="Times New Roman"/>
                <w:spacing w:val="0"/>
                <w:w w:val="99"/>
                <w:sz w:val="21"/>
              </w:rPr>
              <w:t>/</w:t>
            </w:r>
            <w:r>
              <w:rPr>
                <w:spacing w:val="-1"/>
                <w:w w:val="99"/>
                <w:sz w:val="21"/>
              </w:rPr>
              <w:t>（量纲一</w:t>
            </w:r>
            <w:r>
              <w:rPr>
                <w:w w:val="99"/>
                <w:sz w:val="21"/>
              </w:rPr>
              <w:t>）</w:t>
            </w:r>
          </w:p>
        </w:tc>
      </w:tr>
      <w:tr w14:paraId="50585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212" w:type="dxa"/>
          </w:tcPr>
          <w:p w14:paraId="184D4991">
            <w:pPr>
              <w:pStyle w:val="14"/>
              <w:spacing w:before="90"/>
              <w:ind w:left="395"/>
              <w:rPr>
                <w:sz w:val="21"/>
              </w:rPr>
            </w:pPr>
            <w:r>
              <w:rPr>
                <w:sz w:val="21"/>
              </w:rPr>
              <w:t>一级</w:t>
            </w:r>
          </w:p>
        </w:tc>
        <w:tc>
          <w:tcPr>
            <w:tcW w:w="1212" w:type="dxa"/>
          </w:tcPr>
          <w:p w14:paraId="2C3E78E7">
            <w:pPr>
              <w:pStyle w:val="14"/>
              <w:spacing w:before="90"/>
              <w:ind w:right="177"/>
              <w:jc w:val="right"/>
              <w:rPr>
                <w:sz w:val="21"/>
              </w:rPr>
            </w:pPr>
            <w:r>
              <w:rPr>
                <w:w w:val="95"/>
                <w:sz w:val="21"/>
              </w:rPr>
              <w:t>直接排放</w:t>
            </w:r>
          </w:p>
        </w:tc>
        <w:tc>
          <w:tcPr>
            <w:tcW w:w="6098" w:type="dxa"/>
          </w:tcPr>
          <w:p w14:paraId="648AF318">
            <w:pPr>
              <w:pStyle w:val="14"/>
              <w:spacing w:before="90"/>
              <w:ind w:left="514" w:right="508"/>
              <w:jc w:val="center"/>
              <w:rPr>
                <w:rFonts w:ascii="Times New Roman" w:hAnsi="Times New Roman" w:eastAsia="Times New Roman"/>
                <w:sz w:val="21"/>
              </w:rPr>
            </w:pPr>
            <w:r>
              <w:rPr>
                <w:rFonts w:ascii="Times New Roman" w:hAnsi="Times New Roman" w:eastAsia="Times New Roman"/>
                <w:sz w:val="21"/>
              </w:rPr>
              <w:t xml:space="preserve">Q≥20000 </w:t>
            </w:r>
            <w:r>
              <w:rPr>
                <w:sz w:val="21"/>
              </w:rPr>
              <w:t xml:space="preserve">或 </w:t>
            </w:r>
            <w:r>
              <w:rPr>
                <w:rFonts w:ascii="Times New Roman" w:hAnsi="Times New Roman" w:eastAsia="Times New Roman"/>
                <w:sz w:val="21"/>
              </w:rPr>
              <w:t>W≥600000</w:t>
            </w:r>
          </w:p>
        </w:tc>
      </w:tr>
    </w:tbl>
    <w:p w14:paraId="66331BC4">
      <w:pPr>
        <w:spacing w:after="0"/>
        <w:jc w:val="center"/>
        <w:rPr>
          <w:rFonts w:ascii="Times New Roman" w:hAnsi="Times New Roman" w:eastAsia="Times New Roman"/>
          <w:sz w:val="21"/>
        </w:rPr>
        <w:sectPr>
          <w:pgSz w:w="11910" w:h="16840"/>
          <w:pgMar w:top="1360" w:right="1460" w:bottom="1400" w:left="1520" w:header="878" w:footer="1204" w:gutter="0"/>
          <w:cols w:space="720" w:num="1"/>
        </w:sectPr>
      </w:pPr>
    </w:p>
    <w:p w14:paraId="393AC333">
      <w:pPr>
        <w:pStyle w:val="7"/>
        <w:spacing w:before="3"/>
        <w:rPr>
          <w:b/>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1212"/>
        <w:gridCol w:w="6098"/>
      </w:tblGrid>
      <w:tr w14:paraId="1DDC3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12" w:type="dxa"/>
          </w:tcPr>
          <w:p w14:paraId="0DC6AE73">
            <w:pPr>
              <w:pStyle w:val="14"/>
              <w:spacing w:before="91"/>
              <w:ind w:left="114" w:right="107"/>
              <w:jc w:val="center"/>
              <w:rPr>
                <w:sz w:val="21"/>
              </w:rPr>
            </w:pPr>
            <w:r>
              <w:rPr>
                <w:sz w:val="21"/>
              </w:rPr>
              <w:t>二级</w:t>
            </w:r>
          </w:p>
        </w:tc>
        <w:tc>
          <w:tcPr>
            <w:tcW w:w="1212" w:type="dxa"/>
          </w:tcPr>
          <w:p w14:paraId="27DDFEF7">
            <w:pPr>
              <w:pStyle w:val="14"/>
              <w:spacing w:before="91"/>
              <w:ind w:right="177"/>
              <w:jc w:val="right"/>
              <w:rPr>
                <w:sz w:val="21"/>
              </w:rPr>
            </w:pPr>
            <w:r>
              <w:rPr>
                <w:w w:val="95"/>
                <w:sz w:val="21"/>
              </w:rPr>
              <w:t>直接排放</w:t>
            </w:r>
          </w:p>
        </w:tc>
        <w:tc>
          <w:tcPr>
            <w:tcW w:w="6098" w:type="dxa"/>
          </w:tcPr>
          <w:p w14:paraId="61275D84">
            <w:pPr>
              <w:pStyle w:val="14"/>
              <w:spacing w:before="91"/>
              <w:ind w:left="515" w:right="508"/>
              <w:jc w:val="center"/>
              <w:rPr>
                <w:sz w:val="21"/>
              </w:rPr>
            </w:pPr>
            <w:r>
              <w:rPr>
                <w:sz w:val="21"/>
              </w:rPr>
              <w:t>其他</w:t>
            </w:r>
          </w:p>
        </w:tc>
      </w:tr>
      <w:tr w14:paraId="3BF6F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12" w:type="dxa"/>
          </w:tcPr>
          <w:p w14:paraId="280BDEFC">
            <w:pPr>
              <w:pStyle w:val="14"/>
              <w:spacing w:before="90"/>
              <w:ind w:left="113" w:right="107"/>
              <w:jc w:val="center"/>
              <w:rPr>
                <w:rFonts w:ascii="Times New Roman" w:eastAsia="Times New Roman"/>
                <w:sz w:val="21"/>
              </w:rPr>
            </w:pPr>
            <w:r>
              <w:rPr>
                <w:sz w:val="21"/>
              </w:rPr>
              <w:t xml:space="preserve">三级 </w:t>
            </w:r>
            <w:r>
              <w:rPr>
                <w:rFonts w:ascii="Times New Roman" w:eastAsia="Times New Roman"/>
                <w:sz w:val="21"/>
              </w:rPr>
              <w:t>A</w:t>
            </w:r>
          </w:p>
        </w:tc>
        <w:tc>
          <w:tcPr>
            <w:tcW w:w="1212" w:type="dxa"/>
          </w:tcPr>
          <w:p w14:paraId="4A8E4C1B">
            <w:pPr>
              <w:pStyle w:val="14"/>
              <w:spacing w:before="90"/>
              <w:ind w:right="177"/>
              <w:jc w:val="right"/>
              <w:rPr>
                <w:sz w:val="21"/>
              </w:rPr>
            </w:pPr>
            <w:r>
              <w:rPr>
                <w:w w:val="95"/>
                <w:sz w:val="21"/>
              </w:rPr>
              <w:t>直接排放</w:t>
            </w:r>
          </w:p>
        </w:tc>
        <w:tc>
          <w:tcPr>
            <w:tcW w:w="6098" w:type="dxa"/>
          </w:tcPr>
          <w:p w14:paraId="1D566FCC">
            <w:pPr>
              <w:pStyle w:val="14"/>
              <w:spacing w:before="90"/>
              <w:ind w:left="515" w:right="507"/>
              <w:jc w:val="center"/>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 xml:space="preserve">200 </w:t>
            </w:r>
            <w:r>
              <w:rPr>
                <w:sz w:val="21"/>
              </w:rPr>
              <w:t xml:space="preserve">且 </w:t>
            </w:r>
            <w:r>
              <w:rPr>
                <w:rFonts w:ascii="Times New Roman" w:eastAsia="Times New Roman"/>
                <w:sz w:val="21"/>
              </w:rPr>
              <w:t>W</w:t>
            </w:r>
            <w:r>
              <w:rPr>
                <w:sz w:val="21"/>
              </w:rPr>
              <w:t>＜</w:t>
            </w:r>
            <w:r>
              <w:rPr>
                <w:rFonts w:ascii="Times New Roman" w:eastAsia="Times New Roman"/>
                <w:sz w:val="21"/>
              </w:rPr>
              <w:t>6000</w:t>
            </w:r>
          </w:p>
        </w:tc>
      </w:tr>
      <w:tr w14:paraId="4BEB2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12" w:type="dxa"/>
          </w:tcPr>
          <w:p w14:paraId="0867E836">
            <w:pPr>
              <w:pStyle w:val="14"/>
              <w:spacing w:before="91"/>
              <w:ind w:left="114" w:right="107"/>
              <w:jc w:val="center"/>
              <w:rPr>
                <w:rFonts w:ascii="Times New Roman" w:eastAsia="Times New Roman"/>
                <w:sz w:val="21"/>
              </w:rPr>
            </w:pPr>
            <w:r>
              <w:rPr>
                <w:sz w:val="21"/>
              </w:rPr>
              <w:t xml:space="preserve">三级 </w:t>
            </w:r>
            <w:r>
              <w:rPr>
                <w:rFonts w:ascii="Times New Roman" w:eastAsia="Times New Roman"/>
                <w:sz w:val="21"/>
              </w:rPr>
              <w:t>B</w:t>
            </w:r>
          </w:p>
        </w:tc>
        <w:tc>
          <w:tcPr>
            <w:tcW w:w="1212" w:type="dxa"/>
          </w:tcPr>
          <w:p w14:paraId="4000D4E7">
            <w:pPr>
              <w:pStyle w:val="14"/>
              <w:spacing w:before="91"/>
              <w:ind w:right="177"/>
              <w:jc w:val="right"/>
              <w:rPr>
                <w:sz w:val="21"/>
              </w:rPr>
            </w:pPr>
            <w:r>
              <w:rPr>
                <w:w w:val="95"/>
                <w:sz w:val="21"/>
              </w:rPr>
              <w:t>间接排放</w:t>
            </w:r>
          </w:p>
        </w:tc>
        <w:tc>
          <w:tcPr>
            <w:tcW w:w="6098" w:type="dxa"/>
          </w:tcPr>
          <w:p w14:paraId="165DBBEF">
            <w:pPr>
              <w:pStyle w:val="14"/>
              <w:spacing w:before="105"/>
              <w:ind w:left="515" w:right="508"/>
              <w:jc w:val="center"/>
              <w:rPr>
                <w:rFonts w:ascii="Times New Roman" w:hAnsi="Times New Roman"/>
                <w:sz w:val="21"/>
              </w:rPr>
            </w:pPr>
            <w:r>
              <w:rPr>
                <w:rFonts w:ascii="Times New Roman" w:hAnsi="Times New Roman"/>
                <w:sz w:val="21"/>
              </w:rPr>
              <w:t>——</w:t>
            </w:r>
          </w:p>
        </w:tc>
      </w:tr>
    </w:tbl>
    <w:p w14:paraId="31DE5F87">
      <w:pPr>
        <w:pStyle w:val="7"/>
        <w:spacing w:before="3" w:line="362" w:lineRule="auto"/>
        <w:ind w:left="280" w:right="337" w:firstLine="480"/>
        <w:jc w:val="both"/>
      </w:pPr>
      <w:r>
        <w:t>本项目位于岳阳县荣家湾镇城东村，项目营运期外排废水在厂区污水处理站预处理后，经污水管网衔接至荣新西路市政污水管网送至岳阳县污水处理厂，属于间接排放。</w:t>
      </w:r>
    </w:p>
    <w:p w14:paraId="27527CF7">
      <w:pPr>
        <w:pStyle w:val="7"/>
        <w:spacing w:before="6" w:line="364" w:lineRule="auto"/>
        <w:ind w:left="280" w:right="337" w:firstLine="480"/>
        <w:jc w:val="both"/>
      </w:pPr>
      <w:r>
        <w:t>根据《环境影响评价技术导则</w:t>
      </w:r>
      <w:r>
        <w:rPr>
          <w:rFonts w:ascii="Times New Roman" w:hAnsi="Times New Roman" w:eastAsia="Times New Roman"/>
        </w:rPr>
        <w:t>—</w:t>
      </w:r>
      <w:r>
        <w:t>地表水环境》（</w:t>
      </w:r>
      <w:r>
        <w:rPr>
          <w:rFonts w:ascii="Times New Roman" w:hAnsi="Times New Roman" w:eastAsia="Times New Roman"/>
        </w:rPr>
        <w:t>HJ2.3-2018</w:t>
      </w:r>
      <w:r>
        <w:t xml:space="preserve">）水污染物影响型建设项目评价等级判定依据可知，本建设项目废水为间接外排，按三级 </w:t>
      </w:r>
      <w:r>
        <w:rPr>
          <w:rFonts w:ascii="Times New Roman" w:hAnsi="Times New Roman" w:eastAsia="Times New Roman"/>
        </w:rPr>
        <w:t xml:space="preserve">B </w:t>
      </w:r>
      <w:r>
        <w:t>评价。</w:t>
      </w:r>
    </w:p>
    <w:p w14:paraId="0DD3DDB8">
      <w:pPr>
        <w:pStyle w:val="7"/>
        <w:spacing w:line="364" w:lineRule="auto"/>
        <w:ind w:left="280" w:right="337" w:firstLine="480"/>
        <w:jc w:val="both"/>
      </w:pPr>
      <w:r>
        <w:t>地表水环境评价范围：本项目水环境风险事件主要是废水事故排放，受影响的范围是岳阳县污水处理厂，因此，需要对水污染控制和水环境影响减缓措施有效性评价，并对废水依托岳阳县污水处理厂处理的环境可行性进行分析。</w:t>
      </w:r>
    </w:p>
    <w:p w14:paraId="1E3D7A72">
      <w:pPr>
        <w:pStyle w:val="13"/>
        <w:numPr>
          <w:ilvl w:val="3"/>
          <w:numId w:val="11"/>
        </w:numPr>
        <w:tabs>
          <w:tab w:val="left" w:pos="1468"/>
        </w:tabs>
        <w:spacing w:before="0" w:after="0" w:line="304" w:lineRule="exact"/>
        <w:ind w:left="1468" w:right="0" w:hanging="708"/>
        <w:jc w:val="left"/>
        <w:rPr>
          <w:rFonts w:ascii="Times New Roman" w:eastAsia="Times New Roman"/>
          <w:sz w:val="24"/>
        </w:rPr>
      </w:pPr>
      <w:r>
        <w:rPr>
          <w:sz w:val="24"/>
        </w:rPr>
        <w:t>地下水环境影响评价等级</w:t>
      </w:r>
    </w:p>
    <w:p w14:paraId="27122A47">
      <w:pPr>
        <w:pStyle w:val="7"/>
        <w:spacing w:before="160" w:line="364" w:lineRule="auto"/>
        <w:ind w:left="280" w:right="337" w:firstLine="480"/>
        <w:jc w:val="both"/>
      </w:pPr>
      <w:r>
        <w:t>根据《环境影响评价技术导则地下水环境》（</w:t>
      </w:r>
      <w:r>
        <w:rPr>
          <w:rFonts w:ascii="Times New Roman" w:eastAsia="Times New Roman"/>
        </w:rPr>
        <w:t>HJ610-2016</w:t>
      </w:r>
      <w:r>
        <w:t>），建设项目地下水环境评价工作等级的划分应依据建设项目行业分类和地下水环境敏感程度分级进行判定。</w:t>
      </w:r>
    </w:p>
    <w:p w14:paraId="6465446A">
      <w:pPr>
        <w:pStyle w:val="7"/>
        <w:spacing w:line="364" w:lineRule="auto"/>
        <w:ind w:left="280" w:right="337" w:firstLine="480"/>
        <w:jc w:val="both"/>
      </w:pPr>
      <w:r>
        <w:t>按《环境影响评价技术导则地下水环境》</w:t>
      </w:r>
      <w:r>
        <w:rPr>
          <w:rFonts w:ascii="Times New Roman" w:hAnsi="Times New Roman" w:eastAsia="Times New Roman"/>
        </w:rPr>
        <w:t xml:space="preserve">(HJ610-2016) </w:t>
      </w:r>
      <w:r>
        <w:t xml:space="preserve">附录 </w:t>
      </w:r>
      <w:r>
        <w:rPr>
          <w:rFonts w:ascii="Times New Roman" w:hAnsi="Times New Roman" w:eastAsia="Times New Roman"/>
        </w:rPr>
        <w:t xml:space="preserve">A </w:t>
      </w:r>
      <w:r>
        <w:t>进行划分， 项目对应类别为“轻工</w:t>
      </w:r>
      <w:r>
        <w:rPr>
          <w:rFonts w:ascii="Times New Roman" w:hAnsi="Times New Roman" w:eastAsia="Times New Roman"/>
        </w:rPr>
        <w:t>—98</w:t>
      </w:r>
      <w:r>
        <w:t>、屠宰</w:t>
      </w:r>
      <w:r>
        <w:rPr>
          <w:rFonts w:ascii="Times New Roman" w:hAnsi="Times New Roman" w:eastAsia="Times New Roman"/>
        </w:rPr>
        <w:t>—</w:t>
      </w:r>
      <w:r>
        <w:t xml:space="preserve">年屠宰 </w:t>
      </w:r>
      <w:r>
        <w:rPr>
          <w:rFonts w:ascii="Times New Roman" w:hAnsi="Times New Roman" w:eastAsia="Times New Roman"/>
        </w:rPr>
        <w:t xml:space="preserve">10 </w:t>
      </w:r>
      <w:r>
        <w:t xml:space="preserve">万头畜类（或 </w:t>
      </w:r>
      <w:r>
        <w:rPr>
          <w:rFonts w:ascii="Times New Roman" w:hAnsi="Times New Roman" w:eastAsia="Times New Roman"/>
        </w:rPr>
        <w:t xml:space="preserve">100 </w:t>
      </w:r>
      <w:r>
        <w:t xml:space="preserve">万只禽类）及以上”类别，地下水环境影响评价项目类别为 </w:t>
      </w:r>
      <w:r>
        <w:rPr>
          <w:rFonts w:ascii="Times New Roman" w:hAnsi="Times New Roman" w:eastAsia="Times New Roman"/>
          <w:sz w:val="21"/>
        </w:rPr>
        <w:t xml:space="preserve">III </w:t>
      </w:r>
      <w:r>
        <w:t>类建设项目。</w:t>
      </w:r>
    </w:p>
    <w:p w14:paraId="21A8CB7D">
      <w:pPr>
        <w:pStyle w:val="7"/>
        <w:spacing w:line="364" w:lineRule="auto"/>
        <w:ind w:left="280" w:right="337" w:firstLine="480"/>
        <w:jc w:val="both"/>
      </w:pPr>
      <w:r>
        <w:t>根据现场调查，建设项目场地范围内不涉及集中式饮用水水源地、保护区，不在地下水水源地的补给径流区，也不涉及其他与地下水相关的环境敏感区，本项目周边目前居民均使用自来水作为饮用水源，因此本项目场地地下水环境为</w:t>
      </w:r>
      <w:r>
        <w:rPr>
          <w:rFonts w:ascii="Times New Roman" w:hAnsi="Times New Roman" w:eastAsia="Times New Roman"/>
        </w:rPr>
        <w:t>“</w:t>
      </w:r>
      <w:r>
        <w:t>不敏感</w:t>
      </w:r>
      <w:r>
        <w:rPr>
          <w:rFonts w:ascii="Times New Roman" w:hAnsi="Times New Roman" w:eastAsia="Times New Roman"/>
        </w:rPr>
        <w:t>”</w:t>
      </w:r>
      <w:r>
        <w:t>区域。</w:t>
      </w:r>
    </w:p>
    <w:p w14:paraId="18D8A575">
      <w:pPr>
        <w:spacing w:before="0" w:after="3" w:line="263" w:lineRule="exact"/>
        <w:ind w:left="2869" w:right="0" w:firstLine="0"/>
        <w:jc w:val="left"/>
        <w:rPr>
          <w:b/>
          <w:sz w:val="21"/>
        </w:rPr>
      </w:pPr>
      <w:r>
        <w:rPr>
          <w:b/>
          <w:spacing w:val="-26"/>
          <w:sz w:val="21"/>
        </w:rPr>
        <w:t xml:space="preserve">表 </w:t>
      </w:r>
      <w:r>
        <w:rPr>
          <w:rFonts w:ascii="Times New Roman" w:eastAsia="Times New Roman"/>
          <w:b/>
          <w:sz w:val="21"/>
        </w:rPr>
        <w:t>2.5-9</w:t>
      </w:r>
      <w:r>
        <w:rPr>
          <w:rFonts w:ascii="Times New Roman" w:eastAsia="Times New Roman"/>
          <w:b/>
          <w:spacing w:val="50"/>
          <w:sz w:val="21"/>
        </w:rPr>
        <w:t xml:space="preserve"> </w:t>
      </w:r>
      <w:r>
        <w:rPr>
          <w:b/>
          <w:sz w:val="21"/>
        </w:rPr>
        <w:t>地下水环境敏感程度分级</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7383"/>
      </w:tblGrid>
      <w:tr w14:paraId="7E1D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9" w:type="dxa"/>
          </w:tcPr>
          <w:p w14:paraId="5A8560AE">
            <w:pPr>
              <w:pStyle w:val="14"/>
              <w:spacing w:before="90"/>
              <w:ind w:left="127" w:right="117"/>
              <w:jc w:val="center"/>
              <w:rPr>
                <w:b/>
                <w:sz w:val="21"/>
              </w:rPr>
            </w:pPr>
            <w:r>
              <w:rPr>
                <w:b/>
                <w:sz w:val="21"/>
              </w:rPr>
              <w:t>敏感程度</w:t>
            </w:r>
          </w:p>
        </w:tc>
        <w:tc>
          <w:tcPr>
            <w:tcW w:w="7383" w:type="dxa"/>
          </w:tcPr>
          <w:p w14:paraId="46363979">
            <w:pPr>
              <w:pStyle w:val="14"/>
              <w:spacing w:before="90"/>
              <w:ind w:left="118" w:right="112"/>
              <w:jc w:val="center"/>
              <w:rPr>
                <w:b/>
                <w:sz w:val="21"/>
              </w:rPr>
            </w:pPr>
            <w:r>
              <w:rPr>
                <w:b/>
                <w:sz w:val="21"/>
              </w:rPr>
              <w:t>地下水环境敏感特征</w:t>
            </w:r>
          </w:p>
        </w:tc>
      </w:tr>
      <w:tr w14:paraId="7D1D8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139" w:type="dxa"/>
          </w:tcPr>
          <w:p w14:paraId="07A3D54E">
            <w:pPr>
              <w:pStyle w:val="14"/>
              <w:spacing w:before="2"/>
              <w:rPr>
                <w:b/>
                <w:sz w:val="21"/>
              </w:rPr>
            </w:pPr>
          </w:p>
          <w:p w14:paraId="494AF810">
            <w:pPr>
              <w:pStyle w:val="14"/>
              <w:ind w:left="125" w:right="117"/>
              <w:jc w:val="center"/>
              <w:rPr>
                <w:sz w:val="21"/>
              </w:rPr>
            </w:pPr>
            <w:r>
              <w:rPr>
                <w:sz w:val="21"/>
              </w:rPr>
              <w:t>敏感</w:t>
            </w:r>
          </w:p>
        </w:tc>
        <w:tc>
          <w:tcPr>
            <w:tcW w:w="7383" w:type="dxa"/>
          </w:tcPr>
          <w:p w14:paraId="7C5D399C">
            <w:pPr>
              <w:pStyle w:val="14"/>
              <w:spacing w:line="242" w:lineRule="auto"/>
              <w:ind w:left="120" w:right="112"/>
              <w:jc w:val="center"/>
              <w:rPr>
                <w:sz w:val="21"/>
              </w:rPr>
            </w:pPr>
            <w:r>
              <w:rPr>
                <w:w w:val="95"/>
                <w:sz w:val="21"/>
              </w:rPr>
              <w:t>集中式饮用水水源（包括已建成的在用、备用、应急水源，在建和规划的饮用  水水源）准保护区；除集中式饮用水水源以外的国家或地方政府设定的于地下</w:t>
            </w:r>
          </w:p>
          <w:p w14:paraId="6E4DCA9D">
            <w:pPr>
              <w:pStyle w:val="14"/>
              <w:spacing w:before="1" w:line="252" w:lineRule="exact"/>
              <w:ind w:left="120" w:right="112"/>
              <w:jc w:val="center"/>
              <w:rPr>
                <w:sz w:val="21"/>
              </w:rPr>
            </w:pPr>
            <w:r>
              <w:rPr>
                <w:sz w:val="21"/>
              </w:rPr>
              <w:t>水环境相关的其他保护区，如热水、矿泉水、温泉等特殊地下水资源保护区</w:t>
            </w:r>
          </w:p>
        </w:tc>
      </w:tr>
      <w:tr w14:paraId="5D263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1139" w:type="dxa"/>
          </w:tcPr>
          <w:p w14:paraId="7F736BB4">
            <w:pPr>
              <w:pStyle w:val="14"/>
              <w:rPr>
                <w:b/>
                <w:sz w:val="20"/>
              </w:rPr>
            </w:pPr>
          </w:p>
          <w:p w14:paraId="7F5D205E">
            <w:pPr>
              <w:pStyle w:val="14"/>
              <w:spacing w:before="5"/>
              <w:rPr>
                <w:b/>
                <w:sz w:val="22"/>
              </w:rPr>
            </w:pPr>
          </w:p>
          <w:p w14:paraId="75394630">
            <w:pPr>
              <w:pStyle w:val="14"/>
              <w:ind w:left="125" w:right="117"/>
              <w:jc w:val="center"/>
              <w:rPr>
                <w:sz w:val="21"/>
              </w:rPr>
            </w:pPr>
            <w:r>
              <w:rPr>
                <w:sz w:val="21"/>
              </w:rPr>
              <w:t>较敏感</w:t>
            </w:r>
          </w:p>
        </w:tc>
        <w:tc>
          <w:tcPr>
            <w:tcW w:w="7383" w:type="dxa"/>
          </w:tcPr>
          <w:p w14:paraId="51B338F6">
            <w:pPr>
              <w:pStyle w:val="14"/>
              <w:spacing w:line="242" w:lineRule="auto"/>
              <w:ind w:left="120" w:right="112"/>
              <w:jc w:val="center"/>
              <w:rPr>
                <w:sz w:val="21"/>
              </w:rPr>
            </w:pPr>
            <w:r>
              <w:rPr>
                <w:w w:val="95"/>
                <w:sz w:val="21"/>
              </w:rPr>
              <w:t xml:space="preserve">集中式饮用水水源（包括已建成的在用、备用、应急水源，在建和规划的饮用  </w:t>
            </w:r>
            <w:r>
              <w:rPr>
                <w:sz w:val="21"/>
              </w:rPr>
              <w:t xml:space="preserve">水水源）准保护区以外的补给径流区；未划定准保护区的集中水式饮用水水 </w:t>
            </w:r>
            <w:r>
              <w:rPr>
                <w:w w:val="95"/>
                <w:sz w:val="21"/>
              </w:rPr>
              <w:t>源，其保护区以外的补给径流区；分散式饮用水水源地；特殊地下水资源（如</w:t>
            </w:r>
          </w:p>
          <w:p w14:paraId="4430FC71">
            <w:pPr>
              <w:pStyle w:val="14"/>
              <w:spacing w:before="1" w:line="270" w:lineRule="atLeast"/>
              <w:ind w:left="120" w:right="112"/>
              <w:jc w:val="center"/>
              <w:rPr>
                <w:sz w:val="21"/>
              </w:rPr>
            </w:pPr>
            <w:r>
              <w:rPr>
                <w:w w:val="95"/>
                <w:sz w:val="21"/>
              </w:rPr>
              <w:t xml:space="preserve">矿泉水、温泉等）保护区以外的分布区等其他未列入上述敏感分级的环境敏感  </w:t>
            </w:r>
            <w:r>
              <w:rPr>
                <w:spacing w:val="-43"/>
                <w:sz w:val="21"/>
              </w:rPr>
              <w:t xml:space="preserve">区 </w:t>
            </w:r>
            <w:r>
              <w:rPr>
                <w:rFonts w:ascii="Times New Roman" w:eastAsia="Times New Roman"/>
                <w:position w:val="7"/>
                <w:sz w:val="13"/>
              </w:rPr>
              <w:t xml:space="preserve">a </w:t>
            </w:r>
            <w:r>
              <w:rPr>
                <w:sz w:val="21"/>
              </w:rPr>
              <w:t>。</w:t>
            </w:r>
          </w:p>
        </w:tc>
      </w:tr>
    </w:tbl>
    <w:p w14:paraId="5A87D8EC">
      <w:pPr>
        <w:spacing w:after="0" w:line="270" w:lineRule="atLeast"/>
        <w:jc w:val="center"/>
        <w:rPr>
          <w:sz w:val="21"/>
        </w:rPr>
        <w:sectPr>
          <w:pgSz w:w="11910" w:h="16840"/>
          <w:pgMar w:top="1360" w:right="1460" w:bottom="1400" w:left="1520" w:header="878" w:footer="1204" w:gutter="0"/>
          <w:cols w:space="720" w:num="1"/>
        </w:sectPr>
      </w:pPr>
    </w:p>
    <w:p w14:paraId="580E037A">
      <w:pPr>
        <w:pStyle w:val="7"/>
        <w:spacing w:before="3"/>
        <w:rPr>
          <w:b/>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7383"/>
      </w:tblGrid>
      <w:tr w14:paraId="2EBA9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9" w:type="dxa"/>
            <w:shd w:val="clear" w:color="auto" w:fill="D9D9D9"/>
          </w:tcPr>
          <w:p w14:paraId="4E142C1A">
            <w:pPr>
              <w:pStyle w:val="14"/>
              <w:spacing w:before="91"/>
              <w:ind w:left="254"/>
              <w:rPr>
                <w:sz w:val="21"/>
              </w:rPr>
            </w:pPr>
            <w:r>
              <w:rPr>
                <w:sz w:val="21"/>
              </w:rPr>
              <w:t>不敏感</w:t>
            </w:r>
          </w:p>
        </w:tc>
        <w:tc>
          <w:tcPr>
            <w:tcW w:w="7383" w:type="dxa"/>
            <w:shd w:val="clear" w:color="auto" w:fill="D9D9D9"/>
          </w:tcPr>
          <w:p w14:paraId="65411B2F">
            <w:pPr>
              <w:pStyle w:val="14"/>
              <w:spacing w:before="91"/>
              <w:ind w:left="118" w:right="112"/>
              <w:jc w:val="center"/>
              <w:rPr>
                <w:sz w:val="21"/>
              </w:rPr>
            </w:pPr>
            <w:r>
              <w:rPr>
                <w:sz w:val="21"/>
              </w:rPr>
              <w:t>上述地区之外的其它地区</w:t>
            </w:r>
          </w:p>
        </w:tc>
      </w:tr>
      <w:tr w14:paraId="265AD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522" w:type="dxa"/>
            <w:gridSpan w:val="2"/>
          </w:tcPr>
          <w:p w14:paraId="7D13E13C">
            <w:pPr>
              <w:pStyle w:val="14"/>
              <w:spacing w:before="1"/>
              <w:ind w:left="107"/>
              <w:rPr>
                <w:sz w:val="21"/>
              </w:rPr>
            </w:pPr>
            <w:r>
              <w:rPr>
                <w:sz w:val="21"/>
              </w:rPr>
              <w:t>注：</w:t>
            </w:r>
            <w:r>
              <w:rPr>
                <w:rFonts w:ascii="Times New Roman" w:hAnsi="Times New Roman" w:eastAsia="Times New Roman"/>
                <w:sz w:val="21"/>
              </w:rPr>
              <w:t>a</w:t>
            </w:r>
            <w:r>
              <w:rPr>
                <w:sz w:val="21"/>
              </w:rPr>
              <w:t>“环境敏感区”是指《建设项目环境影响评价分类管理名录》中所界定的涉及地下水</w:t>
            </w:r>
          </w:p>
          <w:p w14:paraId="7420B28F">
            <w:pPr>
              <w:pStyle w:val="14"/>
              <w:spacing w:before="2" w:line="253" w:lineRule="exact"/>
              <w:ind w:left="107"/>
              <w:rPr>
                <w:sz w:val="21"/>
              </w:rPr>
            </w:pPr>
            <w:r>
              <w:rPr>
                <w:sz w:val="21"/>
              </w:rPr>
              <w:t>的环境敏感区。</w:t>
            </w:r>
          </w:p>
        </w:tc>
      </w:tr>
    </w:tbl>
    <w:p w14:paraId="5D29EEC3">
      <w:pPr>
        <w:pStyle w:val="7"/>
        <w:spacing w:before="2" w:line="362" w:lineRule="auto"/>
        <w:ind w:left="280" w:right="337" w:firstLine="480"/>
      </w:pPr>
      <w:r>
        <w:t>根据《环境影响评价技术导则 地下水环境》（</w:t>
      </w:r>
      <w:r>
        <w:rPr>
          <w:rFonts w:ascii="Times New Roman" w:eastAsia="Times New Roman"/>
        </w:rPr>
        <w:t>HJ610-2016</w:t>
      </w:r>
      <w:r>
        <w:t>），建设项目地下水环境影响评价工作等级划分见下表。</w:t>
      </w:r>
    </w:p>
    <w:p w14:paraId="0201000E">
      <w:pPr>
        <w:spacing w:before="4" w:after="3"/>
        <w:ind w:left="3028" w:right="0" w:firstLine="0"/>
        <w:jc w:val="left"/>
        <w:rPr>
          <w:b/>
          <w:sz w:val="21"/>
        </w:rPr>
      </w:pPr>
      <w:r>
        <w:pict>
          <v:line id="_x0000_s1184" o:spid="_x0000_s1184" o:spt="20" style="position:absolute;left:0pt;margin-left:84.8pt;margin-top:14.15pt;height:27.45pt;width:135.1pt;mso-position-horizontal-relative:page;z-index:-251650048;mso-width-relative:page;mso-height-relative:page;" stroked="t" coordsize="21600,21600">
            <v:path arrowok="t"/>
            <v:fill focussize="0,0"/>
            <v:stroke weight="0.5pt" color="#000000"/>
            <v:imagedata o:title=""/>
            <o:lock v:ext="edit"/>
          </v:line>
        </w:pict>
      </w:r>
      <w:r>
        <w:rPr>
          <w:b/>
          <w:spacing w:val="-26"/>
          <w:sz w:val="21"/>
        </w:rPr>
        <w:t xml:space="preserve">表 </w:t>
      </w:r>
      <w:r>
        <w:rPr>
          <w:rFonts w:ascii="Times New Roman" w:eastAsia="Times New Roman"/>
          <w:b/>
          <w:sz w:val="21"/>
        </w:rPr>
        <w:t>2.5-10</w:t>
      </w:r>
      <w:r>
        <w:rPr>
          <w:rFonts w:ascii="Times New Roman" w:eastAsia="Times New Roman"/>
          <w:b/>
          <w:spacing w:val="50"/>
          <w:sz w:val="21"/>
        </w:rPr>
        <w:t xml:space="preserve"> </w:t>
      </w:r>
      <w:r>
        <w:rPr>
          <w:b/>
          <w:sz w:val="21"/>
        </w:rPr>
        <w:t>地下水评价工作等级</w:t>
      </w:r>
    </w:p>
    <w:tbl>
      <w:tblPr>
        <w:tblStyle w:val="10"/>
        <w:tblW w:w="0" w:type="auto"/>
        <w:tblInd w:w="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7"/>
        <w:gridCol w:w="1937"/>
        <w:gridCol w:w="1937"/>
        <w:gridCol w:w="1938"/>
      </w:tblGrid>
      <w:tr w14:paraId="7ED72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707" w:type="dxa"/>
          </w:tcPr>
          <w:p w14:paraId="1E5C3EFE">
            <w:pPr>
              <w:pStyle w:val="14"/>
              <w:spacing w:line="268" w:lineRule="exact"/>
              <w:ind w:left="1755"/>
              <w:rPr>
                <w:b/>
                <w:sz w:val="21"/>
              </w:rPr>
            </w:pPr>
            <w:r>
              <w:rPr>
                <w:b/>
                <w:sz w:val="21"/>
              </w:rPr>
              <w:t>项目类别</w:t>
            </w:r>
          </w:p>
          <w:p w14:paraId="40D844DE">
            <w:pPr>
              <w:pStyle w:val="14"/>
              <w:spacing w:before="4" w:line="251" w:lineRule="exact"/>
              <w:ind w:left="106"/>
              <w:rPr>
                <w:b/>
                <w:sz w:val="21"/>
              </w:rPr>
            </w:pPr>
            <w:r>
              <w:rPr>
                <w:b/>
                <w:sz w:val="21"/>
              </w:rPr>
              <w:t>环境敏感程度</w:t>
            </w:r>
          </w:p>
        </w:tc>
        <w:tc>
          <w:tcPr>
            <w:tcW w:w="1937" w:type="dxa"/>
          </w:tcPr>
          <w:p w14:paraId="77D275D0">
            <w:pPr>
              <w:pStyle w:val="14"/>
              <w:spacing w:before="136"/>
              <w:ind w:left="525" w:right="518"/>
              <w:jc w:val="center"/>
              <w:rPr>
                <w:b/>
                <w:sz w:val="21"/>
              </w:rPr>
            </w:pPr>
            <w:r>
              <w:rPr>
                <w:b/>
                <w:sz w:val="21"/>
              </w:rPr>
              <w:t>Ⅰ类项目</w:t>
            </w:r>
          </w:p>
        </w:tc>
        <w:tc>
          <w:tcPr>
            <w:tcW w:w="1937" w:type="dxa"/>
          </w:tcPr>
          <w:p w14:paraId="669F0C15">
            <w:pPr>
              <w:pStyle w:val="14"/>
              <w:spacing w:before="136"/>
              <w:ind w:left="525" w:right="518"/>
              <w:jc w:val="center"/>
              <w:rPr>
                <w:b/>
                <w:sz w:val="21"/>
              </w:rPr>
            </w:pPr>
            <w:r>
              <w:rPr>
                <w:b/>
                <w:sz w:val="21"/>
              </w:rPr>
              <w:t>Ⅱ类项目</w:t>
            </w:r>
          </w:p>
        </w:tc>
        <w:tc>
          <w:tcPr>
            <w:tcW w:w="1938" w:type="dxa"/>
          </w:tcPr>
          <w:p w14:paraId="7B2FABC1">
            <w:pPr>
              <w:pStyle w:val="14"/>
              <w:spacing w:before="136"/>
              <w:ind w:left="525" w:right="519"/>
              <w:jc w:val="center"/>
              <w:rPr>
                <w:b/>
                <w:sz w:val="21"/>
              </w:rPr>
            </w:pPr>
            <w:r>
              <w:rPr>
                <w:b/>
                <w:sz w:val="21"/>
              </w:rPr>
              <w:t>Ⅲ类项目</w:t>
            </w:r>
          </w:p>
        </w:tc>
      </w:tr>
      <w:tr w14:paraId="15AF0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07" w:type="dxa"/>
          </w:tcPr>
          <w:p w14:paraId="371493A7">
            <w:pPr>
              <w:pStyle w:val="14"/>
              <w:spacing w:before="90"/>
              <w:ind w:left="1017" w:right="1010"/>
              <w:jc w:val="center"/>
              <w:rPr>
                <w:sz w:val="21"/>
              </w:rPr>
            </w:pPr>
            <w:r>
              <w:rPr>
                <w:sz w:val="21"/>
              </w:rPr>
              <w:t>敏感</w:t>
            </w:r>
          </w:p>
        </w:tc>
        <w:tc>
          <w:tcPr>
            <w:tcW w:w="1937" w:type="dxa"/>
          </w:tcPr>
          <w:p w14:paraId="336FB4A4">
            <w:pPr>
              <w:pStyle w:val="14"/>
              <w:spacing w:before="90"/>
              <w:ind w:left="7"/>
              <w:jc w:val="center"/>
              <w:rPr>
                <w:sz w:val="21"/>
              </w:rPr>
            </w:pPr>
            <w:r>
              <w:rPr>
                <w:w w:val="99"/>
                <w:sz w:val="21"/>
              </w:rPr>
              <w:t>一</w:t>
            </w:r>
          </w:p>
        </w:tc>
        <w:tc>
          <w:tcPr>
            <w:tcW w:w="1937" w:type="dxa"/>
          </w:tcPr>
          <w:p w14:paraId="4A11A263">
            <w:pPr>
              <w:pStyle w:val="14"/>
              <w:spacing w:before="90"/>
              <w:ind w:left="7"/>
              <w:jc w:val="center"/>
              <w:rPr>
                <w:sz w:val="21"/>
              </w:rPr>
            </w:pPr>
            <w:r>
              <w:rPr>
                <w:w w:val="99"/>
                <w:sz w:val="21"/>
              </w:rPr>
              <w:t>一</w:t>
            </w:r>
          </w:p>
        </w:tc>
        <w:tc>
          <w:tcPr>
            <w:tcW w:w="1938" w:type="dxa"/>
          </w:tcPr>
          <w:p w14:paraId="563DBAAF">
            <w:pPr>
              <w:pStyle w:val="14"/>
              <w:spacing w:before="90"/>
              <w:ind w:left="6"/>
              <w:jc w:val="center"/>
              <w:rPr>
                <w:sz w:val="21"/>
              </w:rPr>
            </w:pPr>
            <w:r>
              <w:rPr>
                <w:w w:val="99"/>
                <w:sz w:val="21"/>
              </w:rPr>
              <w:t>二</w:t>
            </w:r>
          </w:p>
        </w:tc>
      </w:tr>
      <w:tr w14:paraId="17DA6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07" w:type="dxa"/>
          </w:tcPr>
          <w:p w14:paraId="2FA1F7EE">
            <w:pPr>
              <w:pStyle w:val="14"/>
              <w:spacing w:before="92"/>
              <w:ind w:left="1017" w:right="1010"/>
              <w:jc w:val="center"/>
              <w:rPr>
                <w:sz w:val="21"/>
              </w:rPr>
            </w:pPr>
            <w:r>
              <w:rPr>
                <w:sz w:val="21"/>
              </w:rPr>
              <w:t>较敏感</w:t>
            </w:r>
          </w:p>
        </w:tc>
        <w:tc>
          <w:tcPr>
            <w:tcW w:w="1937" w:type="dxa"/>
          </w:tcPr>
          <w:p w14:paraId="13C436C4">
            <w:pPr>
              <w:pStyle w:val="14"/>
              <w:spacing w:before="92"/>
              <w:ind w:left="7"/>
              <w:jc w:val="center"/>
              <w:rPr>
                <w:sz w:val="21"/>
              </w:rPr>
            </w:pPr>
            <w:r>
              <w:rPr>
                <w:w w:val="99"/>
                <w:sz w:val="21"/>
              </w:rPr>
              <w:t>一</w:t>
            </w:r>
          </w:p>
        </w:tc>
        <w:tc>
          <w:tcPr>
            <w:tcW w:w="1937" w:type="dxa"/>
          </w:tcPr>
          <w:p w14:paraId="35391FBB">
            <w:pPr>
              <w:pStyle w:val="14"/>
              <w:spacing w:before="92"/>
              <w:ind w:left="7"/>
              <w:jc w:val="center"/>
              <w:rPr>
                <w:sz w:val="21"/>
              </w:rPr>
            </w:pPr>
            <w:r>
              <w:rPr>
                <w:w w:val="99"/>
                <w:sz w:val="21"/>
              </w:rPr>
              <w:t>二</w:t>
            </w:r>
          </w:p>
        </w:tc>
        <w:tc>
          <w:tcPr>
            <w:tcW w:w="1938" w:type="dxa"/>
          </w:tcPr>
          <w:p w14:paraId="0AA2A83F">
            <w:pPr>
              <w:pStyle w:val="14"/>
              <w:spacing w:before="92"/>
              <w:ind w:left="6"/>
              <w:jc w:val="center"/>
              <w:rPr>
                <w:sz w:val="21"/>
              </w:rPr>
            </w:pPr>
            <w:r>
              <w:rPr>
                <w:w w:val="99"/>
                <w:sz w:val="21"/>
              </w:rPr>
              <w:t>三</w:t>
            </w:r>
          </w:p>
        </w:tc>
      </w:tr>
      <w:tr w14:paraId="4FC09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07" w:type="dxa"/>
          </w:tcPr>
          <w:p w14:paraId="3775BCCD">
            <w:pPr>
              <w:pStyle w:val="14"/>
              <w:spacing w:before="91"/>
              <w:ind w:left="1017" w:right="1010"/>
              <w:jc w:val="center"/>
              <w:rPr>
                <w:sz w:val="21"/>
              </w:rPr>
            </w:pPr>
            <w:r>
              <w:rPr>
                <w:sz w:val="21"/>
              </w:rPr>
              <w:t>不敏感</w:t>
            </w:r>
          </w:p>
        </w:tc>
        <w:tc>
          <w:tcPr>
            <w:tcW w:w="1937" w:type="dxa"/>
          </w:tcPr>
          <w:p w14:paraId="38A45B9C">
            <w:pPr>
              <w:pStyle w:val="14"/>
              <w:spacing w:before="91"/>
              <w:ind w:left="7"/>
              <w:jc w:val="center"/>
              <w:rPr>
                <w:sz w:val="21"/>
              </w:rPr>
            </w:pPr>
            <w:r>
              <w:rPr>
                <w:w w:val="99"/>
                <w:sz w:val="21"/>
              </w:rPr>
              <w:t>二</w:t>
            </w:r>
          </w:p>
        </w:tc>
        <w:tc>
          <w:tcPr>
            <w:tcW w:w="1937" w:type="dxa"/>
          </w:tcPr>
          <w:p w14:paraId="4A68EF7B">
            <w:pPr>
              <w:pStyle w:val="14"/>
              <w:spacing w:before="91"/>
              <w:ind w:left="7"/>
              <w:jc w:val="center"/>
              <w:rPr>
                <w:sz w:val="21"/>
              </w:rPr>
            </w:pPr>
            <w:r>
              <w:rPr>
                <w:w w:val="99"/>
                <w:sz w:val="21"/>
              </w:rPr>
              <w:t>三</w:t>
            </w:r>
          </w:p>
        </w:tc>
        <w:tc>
          <w:tcPr>
            <w:tcW w:w="1938" w:type="dxa"/>
            <w:shd w:val="clear" w:color="auto" w:fill="D9D9D9"/>
          </w:tcPr>
          <w:p w14:paraId="0CCD9AB1">
            <w:pPr>
              <w:pStyle w:val="14"/>
              <w:spacing w:before="91"/>
              <w:ind w:left="6"/>
              <w:jc w:val="center"/>
              <w:rPr>
                <w:sz w:val="21"/>
              </w:rPr>
            </w:pPr>
            <w:r>
              <w:rPr>
                <w:w w:val="99"/>
                <w:sz w:val="21"/>
              </w:rPr>
              <w:t>三</w:t>
            </w:r>
          </w:p>
        </w:tc>
      </w:tr>
    </w:tbl>
    <w:p w14:paraId="39484AC5">
      <w:pPr>
        <w:pStyle w:val="7"/>
        <w:spacing w:before="3" w:line="364" w:lineRule="auto"/>
        <w:ind w:left="280" w:right="337" w:firstLine="480"/>
        <w:jc w:val="both"/>
      </w:pPr>
      <w:r>
        <w:t>本项目为Ⅲ类项目，本项目周边的居民均饮用城镇自来水厂的供水，不再饮用地下水，所在地地下水属于“不敏感”，经与上表对照，确定本项目地下水环境影响评价等级为三级。</w:t>
      </w:r>
    </w:p>
    <w:p w14:paraId="7E9079BE">
      <w:pPr>
        <w:pStyle w:val="6"/>
        <w:numPr>
          <w:ilvl w:val="3"/>
          <w:numId w:val="11"/>
        </w:numPr>
        <w:tabs>
          <w:tab w:val="left" w:pos="1471"/>
        </w:tabs>
        <w:spacing w:before="0" w:after="0" w:line="305" w:lineRule="exact"/>
        <w:ind w:left="1470" w:right="0" w:hanging="710"/>
        <w:jc w:val="left"/>
        <w:rPr>
          <w:rFonts w:ascii="Times New Roman" w:eastAsia="Times New Roman"/>
        </w:rPr>
      </w:pPr>
      <w:r>
        <w:t>土壤环境影响评价等级</w:t>
      </w:r>
    </w:p>
    <w:p w14:paraId="19190C59">
      <w:pPr>
        <w:pStyle w:val="7"/>
        <w:spacing w:before="160" w:line="362" w:lineRule="auto"/>
        <w:ind w:left="280" w:right="337" w:firstLine="480"/>
      </w:pPr>
      <w:r>
        <w:t>对照《环境影响评价技术导则土壤环境</w:t>
      </w:r>
      <w:r>
        <w:rPr>
          <w:rFonts w:ascii="Times New Roman" w:hAnsi="Times New Roman" w:eastAsia="Times New Roman"/>
        </w:rPr>
        <w:t>(</w:t>
      </w:r>
      <w:r>
        <w:t>试行</w:t>
      </w:r>
      <w:r>
        <w:rPr>
          <w:rFonts w:ascii="Times New Roman" w:hAnsi="Times New Roman" w:eastAsia="Times New Roman"/>
        </w:rPr>
        <w:t>)</w:t>
      </w:r>
      <w:r>
        <w:t>》</w:t>
      </w:r>
      <w:r>
        <w:rPr>
          <w:rFonts w:ascii="Times New Roman" w:hAnsi="Times New Roman" w:eastAsia="Times New Roman"/>
        </w:rPr>
        <w:t>(HJ964-2018)</w:t>
      </w:r>
      <w:r>
        <w:t xml:space="preserve">附录 </w:t>
      </w:r>
      <w:r>
        <w:rPr>
          <w:rFonts w:ascii="Times New Roman" w:hAnsi="Times New Roman" w:eastAsia="Times New Roman"/>
        </w:rPr>
        <w:t>A</w:t>
      </w:r>
      <w:r>
        <w:t xml:space="preserve">，项目对应类别为“农林牧渔业—其他”，属于 </w:t>
      </w:r>
      <w:r>
        <w:rPr>
          <w:rFonts w:ascii="Times New Roman" w:hAnsi="Times New Roman" w:eastAsia="Times New Roman"/>
        </w:rPr>
        <w:t xml:space="preserve">IV </w:t>
      </w:r>
      <w:r>
        <w:t xml:space="preserve">类建设项目。根据 </w:t>
      </w:r>
      <w:r>
        <w:rPr>
          <w:rFonts w:ascii="Times New Roman" w:hAnsi="Times New Roman" w:eastAsia="Times New Roman"/>
        </w:rPr>
        <w:t xml:space="preserve">HJ964-2018 </w:t>
      </w:r>
      <w:r>
        <w:t>第</w:t>
      </w:r>
    </w:p>
    <w:p w14:paraId="4E1D03B5">
      <w:pPr>
        <w:pStyle w:val="7"/>
        <w:spacing w:before="5" w:line="362" w:lineRule="auto"/>
        <w:ind w:left="280" w:right="340"/>
      </w:pPr>
      <w:r>
        <w:rPr>
          <w:rFonts w:ascii="Times New Roman" w:hAnsi="Times New Roman" w:eastAsia="Times New Roman"/>
        </w:rPr>
        <w:t xml:space="preserve">4.2.2 </w:t>
      </w:r>
      <w:r>
        <w:t>条</w:t>
      </w:r>
      <w:r>
        <w:rPr>
          <w:rFonts w:ascii="Times New Roman" w:hAnsi="Times New Roman" w:eastAsia="Times New Roman"/>
        </w:rPr>
        <w:t xml:space="preserve">“IV </w:t>
      </w:r>
      <w:r>
        <w:t>类建设项目可不开展土壤环境影响评价</w:t>
      </w:r>
      <w:r>
        <w:rPr>
          <w:rFonts w:ascii="Times New Roman" w:hAnsi="Times New Roman" w:eastAsia="Times New Roman"/>
        </w:rPr>
        <w:t>”</w:t>
      </w:r>
      <w:r>
        <w:t>，本次评价对土壤环境影响不作分析。</w:t>
      </w:r>
    </w:p>
    <w:p w14:paraId="3E94195E">
      <w:pPr>
        <w:pStyle w:val="6"/>
        <w:numPr>
          <w:ilvl w:val="3"/>
          <w:numId w:val="12"/>
        </w:numPr>
        <w:tabs>
          <w:tab w:val="left" w:pos="1471"/>
        </w:tabs>
        <w:spacing w:before="5" w:after="0" w:line="240" w:lineRule="auto"/>
        <w:ind w:left="1470" w:right="0" w:hanging="710"/>
        <w:jc w:val="left"/>
      </w:pPr>
      <w:r>
        <w:t>生态环境影响评价等级</w:t>
      </w:r>
    </w:p>
    <w:p w14:paraId="1A502F2F">
      <w:pPr>
        <w:pStyle w:val="7"/>
        <w:spacing w:before="158" w:line="364" w:lineRule="auto"/>
        <w:ind w:left="280" w:right="337" w:firstLine="480"/>
      </w:pPr>
      <w:r>
        <w:t>根据《环境影响评价技术导则 生态影响》（</w:t>
      </w:r>
      <w:r>
        <w:rPr>
          <w:rFonts w:ascii="Times New Roman" w:eastAsia="Times New Roman"/>
        </w:rPr>
        <w:t>HJ19-2022</w:t>
      </w:r>
      <w:r>
        <w:t>）中环境生态影响评价工作等级划分基本原则：</w:t>
      </w:r>
    </w:p>
    <w:p w14:paraId="194BB2BF">
      <w:pPr>
        <w:pStyle w:val="7"/>
        <w:spacing w:before="2" w:line="362" w:lineRule="auto"/>
        <w:ind w:left="280" w:right="337" w:firstLine="480"/>
      </w:pPr>
      <w:r>
        <w:rPr>
          <w:rFonts w:ascii="Times New Roman" w:eastAsia="Times New Roman"/>
        </w:rPr>
        <w:t>a)</w:t>
      </w:r>
      <w:r>
        <w:t>涉及国家公园、自然保护区、世界自然遗产、重要生境时，评价等级为一级；</w:t>
      </w:r>
    </w:p>
    <w:p w14:paraId="6E5A4389">
      <w:pPr>
        <w:pStyle w:val="7"/>
        <w:spacing w:before="2"/>
        <w:ind w:left="760"/>
      </w:pPr>
      <w:r>
        <w:rPr>
          <w:rFonts w:ascii="Times New Roman" w:eastAsia="Times New Roman"/>
        </w:rPr>
        <w:t>b)</w:t>
      </w:r>
      <w:r>
        <w:t>涉及自然公园时，评价等级为二级；</w:t>
      </w:r>
    </w:p>
    <w:p w14:paraId="651DC9FF">
      <w:pPr>
        <w:pStyle w:val="7"/>
        <w:spacing w:before="161"/>
        <w:ind w:left="760"/>
      </w:pPr>
      <w:r>
        <w:rPr>
          <w:rFonts w:ascii="Times New Roman" w:eastAsia="Times New Roman"/>
        </w:rPr>
        <w:t>c)</w:t>
      </w:r>
      <w:r>
        <w:t>涉及生态保护红线时，评价等级不低于二级；</w:t>
      </w:r>
    </w:p>
    <w:p w14:paraId="66C280A5">
      <w:pPr>
        <w:pStyle w:val="7"/>
        <w:spacing w:before="160" w:line="362" w:lineRule="auto"/>
        <w:ind w:left="280" w:right="340" w:firstLine="480"/>
      </w:pPr>
      <w:r>
        <w:rPr>
          <w:rFonts w:ascii="Times New Roman" w:eastAsia="Times New Roman"/>
        </w:rPr>
        <w:t>d)</w:t>
      </w:r>
      <w:r>
        <w:t xml:space="preserve">根据 </w:t>
      </w:r>
      <w:r>
        <w:rPr>
          <w:rFonts w:ascii="Times New Roman" w:eastAsia="Times New Roman"/>
        </w:rPr>
        <w:t xml:space="preserve">HJ2.3 </w:t>
      </w:r>
      <w:r>
        <w:t>判断属于水文要素影响型且地表水评价等级不低于二级的建设项目，生态影响评价等级不低于二级；</w:t>
      </w:r>
    </w:p>
    <w:p w14:paraId="36FBA69C">
      <w:pPr>
        <w:pStyle w:val="7"/>
        <w:spacing w:before="5" w:line="362" w:lineRule="auto"/>
        <w:ind w:left="280" w:right="337" w:firstLine="480"/>
      </w:pPr>
      <w:r>
        <w:rPr>
          <w:rFonts w:ascii="Times New Roman" w:eastAsia="Times New Roman"/>
        </w:rPr>
        <w:t>e)</w:t>
      </w:r>
      <w:r>
        <w:t xml:space="preserve">根据 </w:t>
      </w:r>
      <w:r>
        <w:rPr>
          <w:rFonts w:ascii="Times New Roman" w:eastAsia="Times New Roman"/>
        </w:rPr>
        <w:t>HJ 610</w:t>
      </w:r>
      <w:r>
        <w:t>、</w:t>
      </w:r>
      <w:r>
        <w:rPr>
          <w:rFonts w:ascii="Times New Roman" w:eastAsia="Times New Roman"/>
        </w:rPr>
        <w:t xml:space="preserve">HJ 964 </w:t>
      </w:r>
      <w:r>
        <w:t>判断地下水水位或土壤影响范围内分布有天然林、公益林、湿地等生态保护目标的建设项目，生态影响评价等级不低于二级；</w:t>
      </w:r>
    </w:p>
    <w:p w14:paraId="02FD66FD">
      <w:pPr>
        <w:pStyle w:val="7"/>
        <w:spacing w:before="5" w:line="362" w:lineRule="auto"/>
        <w:ind w:left="280" w:right="337" w:firstLine="480"/>
      </w:pPr>
      <w:r>
        <w:rPr>
          <w:rFonts w:ascii="Times New Roman" w:eastAsia="Times New Roman"/>
        </w:rPr>
        <w:t xml:space="preserve">f) </w:t>
      </w:r>
      <w:r>
        <w:t xml:space="preserve">当工程占地规模大于 </w:t>
      </w:r>
      <w:r>
        <w:rPr>
          <w:rFonts w:ascii="Times New Roman" w:eastAsia="Times New Roman"/>
        </w:rPr>
        <w:t>20 km</w:t>
      </w:r>
      <w:r>
        <w:rPr>
          <w:rFonts w:ascii="Times New Roman" w:eastAsia="Times New Roman"/>
          <w:position w:val="8"/>
          <w:sz w:val="15"/>
        </w:rPr>
        <w:t xml:space="preserve">2 </w:t>
      </w:r>
      <w:r>
        <w:t>时（包括永久和临时占用陆域和水域），评价等级不低于二级；改扩建项目的占地范围以新增占地（包括陆域和水域）确</w:t>
      </w:r>
    </w:p>
    <w:p w14:paraId="23BE40D5">
      <w:pPr>
        <w:spacing w:after="0" w:line="362" w:lineRule="auto"/>
        <w:sectPr>
          <w:pgSz w:w="11910" w:h="16840"/>
          <w:pgMar w:top="1360" w:right="1460" w:bottom="1400" w:left="1520" w:header="878" w:footer="1204" w:gutter="0"/>
          <w:cols w:space="720" w:num="1"/>
        </w:sectPr>
      </w:pPr>
    </w:p>
    <w:p w14:paraId="6D3012B2">
      <w:pPr>
        <w:pStyle w:val="7"/>
        <w:spacing w:before="68"/>
        <w:ind w:left="280"/>
      </w:pPr>
      <w:r>
        <w:t>定；</w:t>
      </w:r>
    </w:p>
    <w:p w14:paraId="56CD5ADC">
      <w:pPr>
        <w:pStyle w:val="7"/>
        <w:spacing w:before="160"/>
        <w:ind w:left="760"/>
      </w:pPr>
      <w:r>
        <w:rPr>
          <w:rFonts w:ascii="Times New Roman" w:eastAsia="Times New Roman"/>
        </w:rPr>
        <w:t>g)</w:t>
      </w:r>
      <w:r>
        <w:t xml:space="preserve">除本条 </w:t>
      </w:r>
      <w:r>
        <w:rPr>
          <w:rFonts w:ascii="Times New Roman" w:eastAsia="Times New Roman"/>
        </w:rPr>
        <w:t>a)</w:t>
      </w:r>
      <w:r>
        <w:t>、</w:t>
      </w:r>
      <w:r>
        <w:rPr>
          <w:rFonts w:ascii="Times New Roman" w:eastAsia="Times New Roman"/>
        </w:rPr>
        <w:t>b</w:t>
      </w:r>
      <w:r>
        <w:t>）、</w:t>
      </w:r>
      <w:r>
        <w:rPr>
          <w:rFonts w:ascii="Times New Roman" w:eastAsia="Times New Roman"/>
        </w:rPr>
        <w:t>c</w:t>
      </w:r>
      <w:r>
        <w:t>）、</w:t>
      </w:r>
      <w:r>
        <w:rPr>
          <w:rFonts w:ascii="Times New Roman" w:eastAsia="Times New Roman"/>
        </w:rPr>
        <w:t>d</w:t>
      </w:r>
      <w:r>
        <w:t>）、</w:t>
      </w:r>
      <w:r>
        <w:rPr>
          <w:rFonts w:ascii="Times New Roman" w:eastAsia="Times New Roman"/>
        </w:rPr>
        <w:t>e)</w:t>
      </w:r>
      <w:r>
        <w:t>、</w:t>
      </w:r>
      <w:r>
        <w:rPr>
          <w:rFonts w:ascii="Times New Roman" w:eastAsia="Times New Roman"/>
        </w:rPr>
        <w:t>f)</w:t>
      </w:r>
      <w:r>
        <w:t>以外的情况，评价等级为三级；</w:t>
      </w:r>
    </w:p>
    <w:p w14:paraId="39DA50F1">
      <w:pPr>
        <w:pStyle w:val="7"/>
        <w:spacing w:before="159" w:line="364" w:lineRule="auto"/>
        <w:ind w:left="280" w:right="337" w:firstLine="480"/>
        <w:jc w:val="both"/>
      </w:pPr>
      <w:r>
        <w:t xml:space="preserve">本项目占地面积 </w:t>
      </w:r>
      <w:r>
        <w:rPr>
          <w:rFonts w:ascii="Times New Roman" w:eastAsia="Times New Roman"/>
        </w:rPr>
        <w:t>26933.3m</w:t>
      </w:r>
      <w:r>
        <w:rPr>
          <w:rFonts w:ascii="Times New Roman" w:eastAsia="Times New Roman"/>
          <w:position w:val="8"/>
          <w:sz w:val="15"/>
        </w:rPr>
        <w:t>2</w:t>
      </w:r>
      <w:r>
        <w:t xml:space="preserve">（约 </w:t>
      </w:r>
      <w:r>
        <w:rPr>
          <w:rFonts w:ascii="Times New Roman" w:eastAsia="Times New Roman"/>
        </w:rPr>
        <w:t xml:space="preserve">40.4 </w:t>
      </w:r>
      <w:r>
        <w:t>亩），生态扰动主要发生在厂界内， 根据资料调查和现场初步调查，受影响范围内尚未发现特殊敏感地区及珍稀濒危物质，属于一般区域，由此判定本项目环境生态影响评价工作等级为三级。</w:t>
      </w:r>
    </w:p>
    <w:p w14:paraId="36FF7BE5">
      <w:pPr>
        <w:pStyle w:val="6"/>
        <w:numPr>
          <w:ilvl w:val="3"/>
          <w:numId w:val="12"/>
        </w:numPr>
        <w:tabs>
          <w:tab w:val="left" w:pos="1471"/>
        </w:tabs>
        <w:spacing w:before="0" w:after="0" w:line="307" w:lineRule="exact"/>
        <w:ind w:left="1470" w:right="0" w:hanging="710"/>
        <w:jc w:val="left"/>
      </w:pPr>
      <w:r>
        <w:t>环境风险评价等级</w:t>
      </w:r>
    </w:p>
    <w:p w14:paraId="16CEEABE">
      <w:pPr>
        <w:pStyle w:val="7"/>
        <w:spacing w:before="158" w:line="364" w:lineRule="auto"/>
        <w:ind w:left="280" w:right="337" w:firstLine="480"/>
        <w:jc w:val="both"/>
      </w:pPr>
      <w:r>
        <w:t>根据《建设项目环境风险评价技术导则》（</w:t>
      </w:r>
      <w:r>
        <w:rPr>
          <w:rFonts w:ascii="Times New Roman" w:hAnsi="Times New Roman" w:eastAsia="Times New Roman"/>
        </w:rPr>
        <w:t>HJ169-2018</w:t>
      </w:r>
      <w:r>
        <w:t>）评价工作等级划分中明确，“基于风险调查，分析建设项目物质及工艺系统危险性和环境敏感性，进行风险浅势的判断，确定本项目风险评价等级。物质危险性识别，包括主要原辅材料、燃料、中间产品、副产品、最终产品、污染物、火灾和爆炸伴生</w:t>
      </w:r>
      <w:r>
        <w:rPr>
          <w:rFonts w:ascii="Times New Roman" w:hAnsi="Times New Roman" w:eastAsia="Times New Roman"/>
        </w:rPr>
        <w:t>/</w:t>
      </w:r>
      <w:r>
        <w:t>次生物等，计算所涉及的每种危险物质在厂界内的最大存在总量与其在附录</w:t>
      </w:r>
    </w:p>
    <w:p w14:paraId="6364C818">
      <w:pPr>
        <w:pStyle w:val="7"/>
        <w:spacing w:line="306" w:lineRule="exact"/>
        <w:ind w:left="280"/>
      </w:pPr>
      <w:r>
        <w:rPr>
          <w:rFonts w:ascii="Times New Roman" w:hAnsi="Times New Roman" w:eastAsia="Times New Roman"/>
        </w:rPr>
        <w:t xml:space="preserve">B </w:t>
      </w:r>
      <w:r>
        <w:t xml:space="preserve">中对应临界量的比值 </w:t>
      </w:r>
      <w:r>
        <w:rPr>
          <w:rFonts w:ascii="Times New Roman" w:hAnsi="Times New Roman" w:eastAsia="Times New Roman"/>
        </w:rPr>
        <w:t>Q</w:t>
      </w:r>
      <w:r>
        <w:t xml:space="preserve">。当 </w:t>
      </w:r>
      <w:r>
        <w:rPr>
          <w:rFonts w:ascii="Times New Roman" w:hAnsi="Times New Roman" w:eastAsia="Times New Roman"/>
        </w:rPr>
        <w:t>Q</w:t>
      </w:r>
      <w:r>
        <w:t>＜</w:t>
      </w:r>
      <w:r>
        <w:rPr>
          <w:rFonts w:ascii="Times New Roman" w:hAnsi="Times New Roman" w:eastAsia="Times New Roman"/>
        </w:rPr>
        <w:t xml:space="preserve">1 </w:t>
      </w:r>
      <w:r>
        <w:t>时，该项目环境风险潜势为Ⅰ。”</w:t>
      </w:r>
    </w:p>
    <w:p w14:paraId="3A841AA5">
      <w:pPr>
        <w:pStyle w:val="7"/>
        <w:spacing w:before="160" w:line="362" w:lineRule="auto"/>
        <w:ind w:left="280" w:right="337" w:firstLine="480"/>
        <w:jc w:val="both"/>
      </w:pPr>
      <w:r>
        <w:t>本项目风险物质为废水处理站和消毒站的消毒剂，其风险物质暂存量与临界量比值（</w:t>
      </w:r>
      <w:r>
        <w:rPr>
          <w:rFonts w:ascii="Times New Roman" w:eastAsia="Times New Roman"/>
        </w:rPr>
        <w:t>Q</w:t>
      </w:r>
      <w:r>
        <w:t xml:space="preserve">）见表 </w:t>
      </w:r>
      <w:r>
        <w:rPr>
          <w:rFonts w:ascii="Times New Roman" w:eastAsia="Times New Roman"/>
        </w:rPr>
        <w:t>2.2-11</w:t>
      </w:r>
      <w:r>
        <w:t xml:space="preserve">，建设项目环境风险分析见表 </w:t>
      </w:r>
      <w:r>
        <w:rPr>
          <w:rFonts w:ascii="Times New Roman" w:eastAsia="Times New Roman"/>
        </w:rPr>
        <w:t>2.2-12</w:t>
      </w:r>
      <w:r>
        <w:t>。</w:t>
      </w:r>
    </w:p>
    <w:p w14:paraId="57872861">
      <w:pPr>
        <w:spacing w:before="4" w:after="3"/>
        <w:ind w:left="2612" w:right="0" w:firstLine="0"/>
        <w:jc w:val="left"/>
        <w:rPr>
          <w:b/>
          <w:sz w:val="21"/>
        </w:rPr>
      </w:pPr>
      <w:r>
        <w:rPr>
          <w:b/>
          <w:sz w:val="21"/>
        </w:rPr>
        <w:t xml:space="preserve">表 </w:t>
      </w:r>
      <w:r>
        <w:rPr>
          <w:rFonts w:ascii="Times New Roman" w:eastAsia="Times New Roman"/>
          <w:b/>
          <w:sz w:val="21"/>
        </w:rPr>
        <w:t xml:space="preserve">2.5-11 </w:t>
      </w:r>
      <w:r>
        <w:rPr>
          <w:b/>
          <w:sz w:val="21"/>
        </w:rPr>
        <w:t>风险物质数量与临界量比值表</w:t>
      </w:r>
    </w:p>
    <w:tbl>
      <w:tblPr>
        <w:tblStyle w:val="10"/>
        <w:tblW w:w="0" w:type="auto"/>
        <w:tblInd w:w="2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4"/>
        <w:gridCol w:w="2978"/>
        <w:gridCol w:w="2175"/>
        <w:gridCol w:w="1526"/>
      </w:tblGrid>
      <w:tr w14:paraId="0836E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634" w:type="dxa"/>
          </w:tcPr>
          <w:p w14:paraId="6F944DCD">
            <w:pPr>
              <w:pStyle w:val="14"/>
              <w:spacing w:before="119"/>
              <w:ind w:left="374" w:right="366"/>
              <w:jc w:val="center"/>
              <w:rPr>
                <w:b/>
                <w:sz w:val="21"/>
              </w:rPr>
            </w:pPr>
            <w:r>
              <w:rPr>
                <w:b/>
                <w:sz w:val="21"/>
              </w:rPr>
              <w:t>物质名称</w:t>
            </w:r>
          </w:p>
        </w:tc>
        <w:tc>
          <w:tcPr>
            <w:tcW w:w="2978" w:type="dxa"/>
          </w:tcPr>
          <w:p w14:paraId="64CFAAAC">
            <w:pPr>
              <w:pStyle w:val="14"/>
              <w:spacing w:before="119"/>
              <w:ind w:left="693" w:right="689"/>
              <w:jc w:val="center"/>
              <w:rPr>
                <w:b/>
                <w:sz w:val="21"/>
              </w:rPr>
            </w:pPr>
            <w:r>
              <w:rPr>
                <w:b/>
                <w:sz w:val="21"/>
              </w:rPr>
              <w:t>最大储存量（</w:t>
            </w:r>
            <w:r>
              <w:rPr>
                <w:rFonts w:ascii="Times New Roman" w:eastAsia="Times New Roman"/>
                <w:b/>
                <w:sz w:val="21"/>
              </w:rPr>
              <w:t>t</w:t>
            </w:r>
            <w:r>
              <w:rPr>
                <w:b/>
                <w:sz w:val="21"/>
              </w:rPr>
              <w:t>）</w:t>
            </w:r>
          </w:p>
        </w:tc>
        <w:tc>
          <w:tcPr>
            <w:tcW w:w="2175" w:type="dxa"/>
          </w:tcPr>
          <w:p w14:paraId="1BD4583D">
            <w:pPr>
              <w:pStyle w:val="14"/>
              <w:spacing w:before="119"/>
              <w:ind w:left="503" w:right="497"/>
              <w:jc w:val="center"/>
              <w:rPr>
                <w:b/>
                <w:sz w:val="21"/>
              </w:rPr>
            </w:pPr>
            <w:r>
              <w:rPr>
                <w:b/>
                <w:sz w:val="21"/>
              </w:rPr>
              <w:t>临界量（</w:t>
            </w:r>
            <w:r>
              <w:rPr>
                <w:rFonts w:ascii="Times New Roman" w:eastAsia="Times New Roman"/>
                <w:b/>
                <w:sz w:val="21"/>
              </w:rPr>
              <w:t>t</w:t>
            </w:r>
            <w:r>
              <w:rPr>
                <w:b/>
                <w:sz w:val="21"/>
              </w:rPr>
              <w:t>）</w:t>
            </w:r>
          </w:p>
        </w:tc>
        <w:tc>
          <w:tcPr>
            <w:tcW w:w="1526" w:type="dxa"/>
          </w:tcPr>
          <w:p w14:paraId="4778607E">
            <w:pPr>
              <w:pStyle w:val="14"/>
              <w:spacing w:before="119"/>
              <w:ind w:left="527" w:right="521"/>
              <w:jc w:val="center"/>
              <w:rPr>
                <w:b/>
                <w:sz w:val="21"/>
              </w:rPr>
            </w:pPr>
            <w:r>
              <w:rPr>
                <w:rFonts w:ascii="Times New Roman" w:eastAsia="Times New Roman"/>
                <w:b/>
                <w:sz w:val="21"/>
              </w:rPr>
              <w:t xml:space="preserve">Q </w:t>
            </w:r>
            <w:r>
              <w:rPr>
                <w:b/>
                <w:sz w:val="21"/>
              </w:rPr>
              <w:t>值</w:t>
            </w:r>
          </w:p>
        </w:tc>
      </w:tr>
      <w:tr w14:paraId="0E3AB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634" w:type="dxa"/>
          </w:tcPr>
          <w:p w14:paraId="5FF4E57A">
            <w:pPr>
              <w:pStyle w:val="14"/>
              <w:spacing w:before="120"/>
              <w:ind w:left="374" w:right="366"/>
              <w:jc w:val="center"/>
              <w:rPr>
                <w:sz w:val="21"/>
              </w:rPr>
            </w:pPr>
            <w:r>
              <w:rPr>
                <w:sz w:val="21"/>
              </w:rPr>
              <w:t>次氯酸钠</w:t>
            </w:r>
          </w:p>
        </w:tc>
        <w:tc>
          <w:tcPr>
            <w:tcW w:w="2978" w:type="dxa"/>
          </w:tcPr>
          <w:p w14:paraId="5BD83828">
            <w:pPr>
              <w:pStyle w:val="14"/>
              <w:spacing w:before="134"/>
              <w:ind w:left="693" w:right="683"/>
              <w:jc w:val="center"/>
              <w:rPr>
                <w:rFonts w:ascii="Times New Roman"/>
                <w:sz w:val="21"/>
              </w:rPr>
            </w:pPr>
            <w:r>
              <w:rPr>
                <w:rFonts w:ascii="Times New Roman"/>
                <w:sz w:val="21"/>
              </w:rPr>
              <w:t>1.7</w:t>
            </w:r>
          </w:p>
        </w:tc>
        <w:tc>
          <w:tcPr>
            <w:tcW w:w="2175" w:type="dxa"/>
          </w:tcPr>
          <w:p w14:paraId="50FE3AD0">
            <w:pPr>
              <w:pStyle w:val="14"/>
              <w:spacing w:before="134"/>
              <w:ind w:left="7"/>
              <w:jc w:val="center"/>
              <w:rPr>
                <w:rFonts w:ascii="Times New Roman"/>
                <w:sz w:val="21"/>
              </w:rPr>
            </w:pPr>
            <w:r>
              <w:rPr>
                <w:rFonts w:ascii="Times New Roman"/>
                <w:w w:val="99"/>
                <w:sz w:val="21"/>
              </w:rPr>
              <w:t>5</w:t>
            </w:r>
          </w:p>
        </w:tc>
        <w:tc>
          <w:tcPr>
            <w:tcW w:w="1526" w:type="dxa"/>
          </w:tcPr>
          <w:p w14:paraId="5126EF84">
            <w:pPr>
              <w:pStyle w:val="14"/>
              <w:spacing w:before="134"/>
              <w:ind w:left="527" w:right="520"/>
              <w:jc w:val="center"/>
              <w:rPr>
                <w:rFonts w:ascii="Times New Roman"/>
                <w:sz w:val="21"/>
              </w:rPr>
            </w:pPr>
            <w:r>
              <w:rPr>
                <w:rFonts w:ascii="Times New Roman"/>
                <w:sz w:val="21"/>
              </w:rPr>
              <w:t>0.34</w:t>
            </w:r>
          </w:p>
        </w:tc>
      </w:tr>
      <w:tr w14:paraId="5BA6F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634" w:type="dxa"/>
          </w:tcPr>
          <w:p w14:paraId="22918DA3">
            <w:pPr>
              <w:pStyle w:val="14"/>
              <w:spacing w:before="121"/>
              <w:ind w:left="374" w:right="366"/>
              <w:jc w:val="center"/>
              <w:rPr>
                <w:sz w:val="21"/>
              </w:rPr>
            </w:pPr>
            <w:r>
              <w:rPr>
                <w:sz w:val="21"/>
              </w:rPr>
              <w:t>过氧乙酸</w:t>
            </w:r>
          </w:p>
        </w:tc>
        <w:tc>
          <w:tcPr>
            <w:tcW w:w="2978" w:type="dxa"/>
          </w:tcPr>
          <w:p w14:paraId="1CC18CE8">
            <w:pPr>
              <w:pStyle w:val="14"/>
              <w:spacing w:before="135"/>
              <w:ind w:left="693" w:right="683"/>
              <w:jc w:val="center"/>
              <w:rPr>
                <w:rFonts w:ascii="Times New Roman"/>
                <w:sz w:val="21"/>
              </w:rPr>
            </w:pPr>
            <w:r>
              <w:rPr>
                <w:rFonts w:ascii="Times New Roman"/>
                <w:sz w:val="21"/>
              </w:rPr>
              <w:t>0.1</w:t>
            </w:r>
          </w:p>
        </w:tc>
        <w:tc>
          <w:tcPr>
            <w:tcW w:w="2175" w:type="dxa"/>
          </w:tcPr>
          <w:p w14:paraId="737D94E3">
            <w:pPr>
              <w:pStyle w:val="14"/>
              <w:spacing w:before="135"/>
              <w:ind w:left="7"/>
              <w:jc w:val="center"/>
              <w:rPr>
                <w:rFonts w:ascii="Times New Roman"/>
                <w:sz w:val="21"/>
              </w:rPr>
            </w:pPr>
            <w:r>
              <w:rPr>
                <w:rFonts w:ascii="Times New Roman"/>
                <w:w w:val="99"/>
                <w:sz w:val="21"/>
              </w:rPr>
              <w:t>5</w:t>
            </w:r>
          </w:p>
        </w:tc>
        <w:tc>
          <w:tcPr>
            <w:tcW w:w="1526" w:type="dxa"/>
          </w:tcPr>
          <w:p w14:paraId="363203A1">
            <w:pPr>
              <w:pStyle w:val="14"/>
              <w:spacing w:before="135"/>
              <w:ind w:left="527" w:right="520"/>
              <w:jc w:val="center"/>
              <w:rPr>
                <w:rFonts w:ascii="Times New Roman"/>
                <w:sz w:val="21"/>
              </w:rPr>
            </w:pPr>
            <w:r>
              <w:rPr>
                <w:rFonts w:ascii="Times New Roman"/>
                <w:sz w:val="21"/>
              </w:rPr>
              <w:t>0.02</w:t>
            </w:r>
          </w:p>
        </w:tc>
      </w:tr>
      <w:tr w14:paraId="1487D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6787" w:type="dxa"/>
            <w:gridSpan w:val="3"/>
          </w:tcPr>
          <w:p w14:paraId="19A9EDDA">
            <w:pPr>
              <w:pStyle w:val="14"/>
              <w:spacing w:before="119"/>
              <w:ind w:left="3162" w:right="3154"/>
              <w:jc w:val="center"/>
              <w:rPr>
                <w:sz w:val="21"/>
              </w:rPr>
            </w:pPr>
            <w:r>
              <w:rPr>
                <w:sz w:val="21"/>
              </w:rPr>
              <w:t>合计</w:t>
            </w:r>
          </w:p>
        </w:tc>
        <w:tc>
          <w:tcPr>
            <w:tcW w:w="1526" w:type="dxa"/>
          </w:tcPr>
          <w:p w14:paraId="6550AB9F">
            <w:pPr>
              <w:pStyle w:val="14"/>
              <w:spacing w:before="133"/>
              <w:ind w:left="527" w:right="520"/>
              <w:jc w:val="center"/>
              <w:rPr>
                <w:rFonts w:ascii="Times New Roman"/>
                <w:sz w:val="21"/>
              </w:rPr>
            </w:pPr>
            <w:r>
              <w:rPr>
                <w:rFonts w:ascii="Times New Roman"/>
                <w:sz w:val="21"/>
              </w:rPr>
              <w:t>0.36</w:t>
            </w:r>
          </w:p>
        </w:tc>
      </w:tr>
    </w:tbl>
    <w:p w14:paraId="72D8BE55">
      <w:pPr>
        <w:pStyle w:val="7"/>
        <w:spacing w:before="2"/>
        <w:ind w:left="760"/>
      </w:pPr>
      <w:r>
        <w:rPr>
          <w:spacing w:val="-20"/>
        </w:rPr>
        <w:t xml:space="preserve">当 </w:t>
      </w:r>
      <w:r>
        <w:rPr>
          <w:rFonts w:ascii="Times New Roman" w:hAnsi="Times New Roman" w:eastAsia="Times New Roman"/>
        </w:rPr>
        <w:t xml:space="preserve">Q≥1 </w:t>
      </w:r>
      <w:r>
        <w:rPr>
          <w:spacing w:val="-2"/>
        </w:rPr>
        <w:t xml:space="preserve">时，将 </w:t>
      </w:r>
      <w:r>
        <w:rPr>
          <w:rFonts w:ascii="Times New Roman" w:hAnsi="Times New Roman" w:eastAsia="Times New Roman"/>
        </w:rPr>
        <w:t xml:space="preserve">Q </w:t>
      </w:r>
      <w:r>
        <w:rPr>
          <w:spacing w:val="15"/>
        </w:rPr>
        <w:t>值划分为：</w:t>
      </w:r>
      <w:r>
        <w:rPr>
          <w:spacing w:val="8"/>
        </w:rPr>
        <w:t>（</w:t>
      </w:r>
      <w:r>
        <w:rPr>
          <w:spacing w:val="-99"/>
        </w:rPr>
        <w:t xml:space="preserve"> </w:t>
      </w:r>
      <w:r>
        <w:rPr>
          <w:rFonts w:ascii="Times New Roman" w:hAnsi="Times New Roman" w:eastAsia="Times New Roman"/>
          <w:spacing w:val="10"/>
        </w:rPr>
        <w:t>1</w:t>
      </w:r>
      <w:r>
        <w:rPr>
          <w:spacing w:val="10"/>
        </w:rPr>
        <w:t>）</w:t>
      </w:r>
      <w:r>
        <w:rPr>
          <w:rFonts w:ascii="Times New Roman" w:hAnsi="Times New Roman" w:eastAsia="Times New Roman"/>
          <w:spacing w:val="10"/>
        </w:rPr>
        <w:t>1≤Q</w:t>
      </w:r>
      <w:r>
        <w:rPr>
          <w:spacing w:val="10"/>
        </w:rPr>
        <w:t>＜</w:t>
      </w:r>
      <w:r>
        <w:rPr>
          <w:rFonts w:ascii="Times New Roman" w:hAnsi="Times New Roman" w:eastAsia="Times New Roman"/>
          <w:spacing w:val="10"/>
        </w:rPr>
        <w:t>10</w:t>
      </w:r>
      <w:r>
        <w:rPr>
          <w:spacing w:val="10"/>
        </w:rPr>
        <w:t>；（</w:t>
      </w:r>
      <w:r>
        <w:rPr>
          <w:rFonts w:ascii="Times New Roman" w:hAnsi="Times New Roman" w:eastAsia="Times New Roman"/>
          <w:spacing w:val="10"/>
        </w:rPr>
        <w:t>2</w:t>
      </w:r>
      <w:r>
        <w:rPr>
          <w:spacing w:val="10"/>
        </w:rPr>
        <w:t>）</w:t>
      </w:r>
      <w:r>
        <w:rPr>
          <w:rFonts w:ascii="Times New Roman" w:hAnsi="Times New Roman" w:eastAsia="Times New Roman"/>
          <w:spacing w:val="10"/>
        </w:rPr>
        <w:t>10≤Q</w:t>
      </w:r>
      <w:r>
        <w:rPr>
          <w:spacing w:val="10"/>
        </w:rPr>
        <w:t>＜</w:t>
      </w:r>
      <w:r>
        <w:rPr>
          <w:rFonts w:ascii="Times New Roman" w:hAnsi="Times New Roman" w:eastAsia="Times New Roman"/>
          <w:spacing w:val="10"/>
        </w:rPr>
        <w:t>100</w:t>
      </w:r>
      <w:r>
        <w:rPr>
          <w:spacing w:val="10"/>
        </w:rPr>
        <w:t>；（</w:t>
      </w:r>
      <w:r>
        <w:rPr>
          <w:rFonts w:ascii="Times New Roman" w:hAnsi="Times New Roman" w:eastAsia="Times New Roman"/>
          <w:spacing w:val="10"/>
        </w:rPr>
        <w:t>3</w:t>
      </w:r>
      <w:r>
        <w:rPr>
          <w:spacing w:val="10"/>
        </w:rPr>
        <w:t>）</w:t>
      </w:r>
    </w:p>
    <w:p w14:paraId="20AE2794">
      <w:pPr>
        <w:pStyle w:val="7"/>
        <w:spacing w:before="158" w:line="364" w:lineRule="auto"/>
        <w:ind w:left="280" w:right="337"/>
      </w:pPr>
      <w:r>
        <w:rPr>
          <w:rFonts w:ascii="Times New Roman" w:hAnsi="Times New Roman" w:eastAsia="Times New Roman"/>
        </w:rPr>
        <w:t>Q≥100</w:t>
      </w:r>
      <w:r>
        <w:t>。对照本项目生产过程所涉及到各类危险物质的最大数量（生产场所使用量和储存量之和）和临界量比值计算：</w:t>
      </w:r>
      <w:r>
        <w:rPr>
          <w:rFonts w:ascii="Times New Roman" w:hAnsi="Times New Roman" w:eastAsia="Times New Roman"/>
        </w:rPr>
        <w:t>Q=0.025</w:t>
      </w:r>
      <w:r>
        <w:t>。</w:t>
      </w:r>
    </w:p>
    <w:p w14:paraId="5512315E">
      <w:pPr>
        <w:pStyle w:val="7"/>
        <w:spacing w:line="306" w:lineRule="exact"/>
        <w:ind w:left="760"/>
      </w:pPr>
      <w:r>
        <w:t xml:space="preserve">因为 </w:t>
      </w:r>
      <w:r>
        <w:rPr>
          <w:rFonts w:ascii="Times New Roman" w:hAnsi="Times New Roman" w:eastAsia="Times New Roman"/>
        </w:rPr>
        <w:t>Q</w:t>
      </w:r>
      <w:r>
        <w:t>＜</w:t>
      </w:r>
      <w:r>
        <w:rPr>
          <w:rFonts w:ascii="Times New Roman" w:hAnsi="Times New Roman" w:eastAsia="Times New Roman"/>
        </w:rPr>
        <w:t xml:space="preserve">1 </w:t>
      </w:r>
      <w:r>
        <w:t>时，所以该项目环境风险潜势为Ⅰ。</w:t>
      </w:r>
    </w:p>
    <w:p w14:paraId="5DC5D6FF">
      <w:pPr>
        <w:spacing w:before="159" w:after="4"/>
        <w:ind w:left="262" w:right="324" w:firstLine="0"/>
        <w:jc w:val="center"/>
        <w:rPr>
          <w:b/>
          <w:sz w:val="21"/>
        </w:rPr>
      </w:pPr>
      <w:r>
        <w:rPr>
          <w:b/>
          <w:sz w:val="21"/>
        </w:rPr>
        <w:t xml:space="preserve">表 </w:t>
      </w:r>
      <w:r>
        <w:rPr>
          <w:rFonts w:ascii="Times New Roman" w:eastAsia="Times New Roman"/>
          <w:b/>
          <w:sz w:val="21"/>
        </w:rPr>
        <w:t xml:space="preserve">2.5-12 </w:t>
      </w:r>
      <w:r>
        <w:rPr>
          <w:b/>
          <w:sz w:val="21"/>
        </w:rPr>
        <w:t>评价工作等级划分</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4"/>
        <w:gridCol w:w="1785"/>
        <w:gridCol w:w="878"/>
        <w:gridCol w:w="878"/>
        <w:gridCol w:w="2207"/>
      </w:tblGrid>
      <w:tr w14:paraId="452F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74" w:type="dxa"/>
          </w:tcPr>
          <w:p w14:paraId="678D0F90">
            <w:pPr>
              <w:pStyle w:val="14"/>
              <w:spacing w:before="90"/>
              <w:ind w:left="732" w:right="727"/>
              <w:jc w:val="center"/>
              <w:rPr>
                <w:b/>
                <w:sz w:val="21"/>
              </w:rPr>
            </w:pPr>
            <w:r>
              <w:rPr>
                <w:b/>
                <w:sz w:val="21"/>
              </w:rPr>
              <w:t>环境风险潜势</w:t>
            </w:r>
          </w:p>
        </w:tc>
        <w:tc>
          <w:tcPr>
            <w:tcW w:w="1785" w:type="dxa"/>
          </w:tcPr>
          <w:p w14:paraId="64F7C2CE">
            <w:pPr>
              <w:pStyle w:val="14"/>
              <w:spacing w:before="90"/>
              <w:ind w:left="520" w:right="511"/>
              <w:jc w:val="center"/>
              <w:rPr>
                <w:rFonts w:ascii="Times New Roman" w:hAnsi="Times New Roman" w:eastAsia="Times New Roman"/>
                <w:sz w:val="13"/>
              </w:rPr>
            </w:pPr>
            <w:r>
              <w:rPr>
                <w:sz w:val="21"/>
              </w:rPr>
              <w:t>Ⅳ、Ⅳ</w:t>
            </w:r>
            <w:r>
              <w:rPr>
                <w:rFonts w:ascii="Times New Roman" w:hAnsi="Times New Roman" w:eastAsia="Times New Roman"/>
                <w:position w:val="7"/>
                <w:sz w:val="13"/>
              </w:rPr>
              <w:t>+</w:t>
            </w:r>
          </w:p>
        </w:tc>
        <w:tc>
          <w:tcPr>
            <w:tcW w:w="878" w:type="dxa"/>
          </w:tcPr>
          <w:p w14:paraId="75E21DE7">
            <w:pPr>
              <w:pStyle w:val="14"/>
              <w:spacing w:before="90"/>
              <w:ind w:left="9"/>
              <w:jc w:val="center"/>
              <w:rPr>
                <w:sz w:val="21"/>
              </w:rPr>
            </w:pPr>
            <w:r>
              <w:rPr>
                <w:w w:val="99"/>
                <w:sz w:val="21"/>
              </w:rPr>
              <w:t>Ⅲ</w:t>
            </w:r>
          </w:p>
        </w:tc>
        <w:tc>
          <w:tcPr>
            <w:tcW w:w="878" w:type="dxa"/>
          </w:tcPr>
          <w:p w14:paraId="7BBB0D97">
            <w:pPr>
              <w:pStyle w:val="14"/>
              <w:spacing w:before="90"/>
              <w:ind w:left="10"/>
              <w:jc w:val="center"/>
              <w:rPr>
                <w:sz w:val="21"/>
              </w:rPr>
            </w:pPr>
            <w:r>
              <w:rPr>
                <w:w w:val="99"/>
                <w:sz w:val="21"/>
              </w:rPr>
              <w:t>Ⅱ</w:t>
            </w:r>
          </w:p>
        </w:tc>
        <w:tc>
          <w:tcPr>
            <w:tcW w:w="2207" w:type="dxa"/>
          </w:tcPr>
          <w:p w14:paraId="4FBF7FF0">
            <w:pPr>
              <w:pStyle w:val="14"/>
              <w:spacing w:before="90"/>
              <w:ind w:left="7"/>
              <w:jc w:val="center"/>
              <w:rPr>
                <w:sz w:val="21"/>
              </w:rPr>
            </w:pPr>
            <w:r>
              <w:rPr>
                <w:w w:val="99"/>
                <w:sz w:val="21"/>
              </w:rPr>
              <w:t>Ⅰ</w:t>
            </w:r>
          </w:p>
        </w:tc>
      </w:tr>
      <w:tr w14:paraId="6EC85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74" w:type="dxa"/>
          </w:tcPr>
          <w:p w14:paraId="73ADFF4C">
            <w:pPr>
              <w:pStyle w:val="14"/>
              <w:spacing w:before="89"/>
              <w:ind w:left="732" w:right="727"/>
              <w:jc w:val="center"/>
              <w:rPr>
                <w:b/>
                <w:sz w:val="21"/>
              </w:rPr>
            </w:pPr>
            <w:r>
              <w:rPr>
                <w:b/>
                <w:sz w:val="21"/>
              </w:rPr>
              <w:t>评价工作等级</w:t>
            </w:r>
          </w:p>
        </w:tc>
        <w:tc>
          <w:tcPr>
            <w:tcW w:w="1785" w:type="dxa"/>
          </w:tcPr>
          <w:p w14:paraId="7950B7E3">
            <w:pPr>
              <w:pStyle w:val="14"/>
              <w:spacing w:before="89"/>
              <w:ind w:left="8"/>
              <w:jc w:val="center"/>
              <w:rPr>
                <w:sz w:val="21"/>
              </w:rPr>
            </w:pPr>
            <w:r>
              <w:rPr>
                <w:w w:val="99"/>
                <w:sz w:val="21"/>
              </w:rPr>
              <w:t>一</w:t>
            </w:r>
          </w:p>
        </w:tc>
        <w:tc>
          <w:tcPr>
            <w:tcW w:w="878" w:type="dxa"/>
          </w:tcPr>
          <w:p w14:paraId="5AA606A7">
            <w:pPr>
              <w:pStyle w:val="14"/>
              <w:spacing w:before="89"/>
              <w:ind w:left="9"/>
              <w:jc w:val="center"/>
              <w:rPr>
                <w:sz w:val="21"/>
              </w:rPr>
            </w:pPr>
            <w:r>
              <w:rPr>
                <w:w w:val="99"/>
                <w:sz w:val="21"/>
              </w:rPr>
              <w:t>二</w:t>
            </w:r>
          </w:p>
        </w:tc>
        <w:tc>
          <w:tcPr>
            <w:tcW w:w="878" w:type="dxa"/>
          </w:tcPr>
          <w:p w14:paraId="60C9F6B2">
            <w:pPr>
              <w:pStyle w:val="14"/>
              <w:spacing w:before="89"/>
              <w:ind w:left="10"/>
              <w:jc w:val="center"/>
              <w:rPr>
                <w:sz w:val="21"/>
              </w:rPr>
            </w:pPr>
            <w:r>
              <w:rPr>
                <w:w w:val="99"/>
                <w:sz w:val="21"/>
              </w:rPr>
              <w:t>三</w:t>
            </w:r>
          </w:p>
        </w:tc>
        <w:tc>
          <w:tcPr>
            <w:tcW w:w="2207" w:type="dxa"/>
            <w:shd w:val="clear" w:color="auto" w:fill="E7E6E6"/>
          </w:tcPr>
          <w:p w14:paraId="2B5021B6">
            <w:pPr>
              <w:pStyle w:val="14"/>
              <w:spacing w:before="89"/>
              <w:ind w:left="451" w:right="444"/>
              <w:jc w:val="center"/>
              <w:rPr>
                <w:rFonts w:ascii="Times New Roman" w:eastAsia="Times New Roman"/>
                <w:sz w:val="13"/>
              </w:rPr>
            </w:pPr>
            <w:r>
              <w:rPr>
                <w:sz w:val="21"/>
              </w:rPr>
              <w:t xml:space="preserve">简单分析 </w:t>
            </w:r>
            <w:r>
              <w:rPr>
                <w:rFonts w:ascii="Times New Roman" w:eastAsia="Times New Roman"/>
                <w:position w:val="7"/>
                <w:sz w:val="13"/>
              </w:rPr>
              <w:t>a</w:t>
            </w:r>
          </w:p>
        </w:tc>
      </w:tr>
      <w:tr w14:paraId="11951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522" w:type="dxa"/>
            <w:gridSpan w:val="5"/>
          </w:tcPr>
          <w:p w14:paraId="20C190C7">
            <w:pPr>
              <w:pStyle w:val="14"/>
              <w:spacing w:line="269" w:lineRule="exact"/>
              <w:ind w:left="107"/>
              <w:rPr>
                <w:sz w:val="21"/>
              </w:rPr>
            </w:pPr>
            <w:r>
              <w:rPr>
                <w:rFonts w:ascii="Times New Roman" w:eastAsia="Times New Roman"/>
                <w:position w:val="7"/>
                <w:sz w:val="13"/>
              </w:rPr>
              <w:t xml:space="preserve">a </w:t>
            </w:r>
            <w:r>
              <w:rPr>
                <w:sz w:val="21"/>
              </w:rPr>
              <w:t>是相对于详细评价工作内容而言，在描述危险物质、环境危害后果、风险防范措施等方面</w:t>
            </w:r>
          </w:p>
          <w:p w14:paraId="11666BB1">
            <w:pPr>
              <w:pStyle w:val="14"/>
              <w:spacing w:before="4" w:line="252" w:lineRule="exact"/>
              <w:ind w:left="107"/>
              <w:rPr>
                <w:sz w:val="21"/>
              </w:rPr>
            </w:pPr>
            <w:r>
              <w:rPr>
                <w:sz w:val="21"/>
              </w:rPr>
              <w:t xml:space="preserve">给出定性的说明。见附录 </w:t>
            </w:r>
            <w:r>
              <w:rPr>
                <w:rFonts w:ascii="Times New Roman" w:eastAsia="Times New Roman"/>
                <w:sz w:val="21"/>
              </w:rPr>
              <w:t>A</w:t>
            </w:r>
            <w:r>
              <w:rPr>
                <w:sz w:val="21"/>
              </w:rPr>
              <w:t>。</w:t>
            </w:r>
          </w:p>
        </w:tc>
      </w:tr>
    </w:tbl>
    <w:p w14:paraId="48965D9A">
      <w:pPr>
        <w:pStyle w:val="7"/>
        <w:spacing w:line="364" w:lineRule="auto"/>
        <w:ind w:left="280" w:right="337" w:firstLine="480"/>
        <w:jc w:val="both"/>
      </w:pPr>
      <w:r>
        <w:t>根据报告书风险章节评价工作等级划分原则，按《建设项目环境风险评价技术导则》（</w:t>
      </w:r>
      <w:r>
        <w:rPr>
          <w:rFonts w:ascii="Times New Roman" w:eastAsia="Times New Roman"/>
        </w:rPr>
        <w:t>HJ169-2018</w:t>
      </w:r>
      <w:r>
        <w:t>）中评价工作等级划分原则，</w:t>
      </w:r>
      <w:r>
        <w:rPr>
          <w:rFonts w:ascii="Times New Roman" w:eastAsia="Times New Roman"/>
        </w:rPr>
        <w:t>Q&lt;1</w:t>
      </w:r>
      <w:r>
        <w:t>，确定项目大风险评价等价为简单分析。</w:t>
      </w:r>
    </w:p>
    <w:p w14:paraId="456740B2">
      <w:pPr>
        <w:spacing w:after="0" w:line="364" w:lineRule="auto"/>
        <w:jc w:val="both"/>
        <w:sectPr>
          <w:pgSz w:w="11910" w:h="16840"/>
          <w:pgMar w:top="1360" w:right="1460" w:bottom="1400" w:left="1520" w:header="878" w:footer="1204" w:gutter="0"/>
          <w:cols w:space="720" w:num="1"/>
        </w:sectPr>
      </w:pPr>
    </w:p>
    <w:p w14:paraId="2852F95B">
      <w:pPr>
        <w:pStyle w:val="6"/>
        <w:numPr>
          <w:ilvl w:val="2"/>
          <w:numId w:val="12"/>
        </w:numPr>
        <w:tabs>
          <w:tab w:val="left" w:pos="811"/>
        </w:tabs>
        <w:spacing w:before="68" w:after="0" w:line="240" w:lineRule="auto"/>
        <w:ind w:left="810" w:right="0" w:hanging="530"/>
        <w:jc w:val="left"/>
        <w:rPr>
          <w:rFonts w:ascii="Times New Roman" w:eastAsia="Times New Roman"/>
        </w:rPr>
      </w:pPr>
      <w:bookmarkStart w:id="74" w:name="2.5.2评价范围"/>
      <w:bookmarkEnd w:id="74"/>
      <w:bookmarkStart w:id="75" w:name="2.5.2评价范围"/>
      <w:bookmarkEnd w:id="75"/>
      <w:r>
        <w:t>评价范围</w:t>
      </w:r>
    </w:p>
    <w:p w14:paraId="2B481E13">
      <w:pPr>
        <w:pStyle w:val="7"/>
        <w:spacing w:before="160" w:line="362" w:lineRule="auto"/>
        <w:ind w:left="280" w:right="337" w:firstLine="480"/>
      </w:pPr>
      <w:r>
        <w:t>根据建设项目污染物排放特点及当地气象条件、自然环境状况，结合各导则的要求，确定各环境要素评价范围见下表。</w:t>
      </w:r>
    </w:p>
    <w:p w14:paraId="303C3FB3">
      <w:pPr>
        <w:spacing w:before="4" w:after="3"/>
        <w:ind w:left="262" w:right="324" w:firstLine="0"/>
        <w:jc w:val="center"/>
        <w:rPr>
          <w:b/>
          <w:sz w:val="21"/>
        </w:rPr>
      </w:pPr>
      <w:r>
        <w:rPr>
          <w:b/>
          <w:spacing w:val="-26"/>
          <w:sz w:val="21"/>
        </w:rPr>
        <w:t xml:space="preserve">表 </w:t>
      </w:r>
      <w:r>
        <w:rPr>
          <w:rFonts w:ascii="Times New Roman" w:eastAsia="Times New Roman"/>
          <w:b/>
          <w:sz w:val="21"/>
        </w:rPr>
        <w:t>2.5-13</w:t>
      </w:r>
      <w:r>
        <w:rPr>
          <w:rFonts w:ascii="Times New Roman" w:eastAsia="Times New Roman"/>
          <w:b/>
          <w:spacing w:val="50"/>
          <w:sz w:val="21"/>
        </w:rPr>
        <w:t xml:space="preserve"> </w:t>
      </w:r>
      <w:r>
        <w:rPr>
          <w:b/>
          <w:sz w:val="21"/>
        </w:rPr>
        <w:t>评价范围一览表</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7"/>
        <w:gridCol w:w="1635"/>
        <w:gridCol w:w="5515"/>
      </w:tblGrid>
      <w:tr w14:paraId="51EF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102" w:type="dxa"/>
            <w:gridSpan w:val="2"/>
          </w:tcPr>
          <w:p w14:paraId="0E6DB9C6">
            <w:pPr>
              <w:pStyle w:val="14"/>
              <w:spacing w:before="90"/>
              <w:ind w:left="1107" w:right="1101"/>
              <w:jc w:val="center"/>
              <w:rPr>
                <w:b/>
                <w:sz w:val="21"/>
              </w:rPr>
            </w:pPr>
            <w:r>
              <w:rPr>
                <w:b/>
                <w:sz w:val="21"/>
              </w:rPr>
              <w:t>评价内容</w:t>
            </w:r>
          </w:p>
        </w:tc>
        <w:tc>
          <w:tcPr>
            <w:tcW w:w="5515" w:type="dxa"/>
          </w:tcPr>
          <w:p w14:paraId="7F591049">
            <w:pPr>
              <w:pStyle w:val="14"/>
              <w:spacing w:before="90"/>
              <w:ind w:left="94" w:right="85"/>
              <w:jc w:val="center"/>
              <w:rPr>
                <w:b/>
                <w:sz w:val="21"/>
              </w:rPr>
            </w:pPr>
            <w:r>
              <w:rPr>
                <w:b/>
                <w:sz w:val="21"/>
              </w:rPr>
              <w:t>评价范围</w:t>
            </w:r>
          </w:p>
        </w:tc>
      </w:tr>
      <w:tr w14:paraId="6748D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7" w:type="dxa"/>
            <w:vMerge w:val="restart"/>
          </w:tcPr>
          <w:p w14:paraId="7E7AD908">
            <w:pPr>
              <w:pStyle w:val="14"/>
              <w:spacing w:before="2"/>
              <w:rPr>
                <w:b/>
                <w:sz w:val="25"/>
              </w:rPr>
            </w:pPr>
          </w:p>
          <w:p w14:paraId="657CC334">
            <w:pPr>
              <w:pStyle w:val="14"/>
              <w:ind w:left="311"/>
              <w:rPr>
                <w:sz w:val="21"/>
              </w:rPr>
            </w:pPr>
            <w:r>
              <w:rPr>
                <w:sz w:val="21"/>
              </w:rPr>
              <w:t>大气环境</w:t>
            </w:r>
          </w:p>
        </w:tc>
        <w:tc>
          <w:tcPr>
            <w:tcW w:w="1635" w:type="dxa"/>
          </w:tcPr>
          <w:p w14:paraId="7723A53A">
            <w:pPr>
              <w:pStyle w:val="14"/>
              <w:spacing w:before="89"/>
              <w:ind w:left="270" w:right="263"/>
              <w:jc w:val="center"/>
              <w:rPr>
                <w:sz w:val="21"/>
              </w:rPr>
            </w:pPr>
            <w:r>
              <w:rPr>
                <w:sz w:val="21"/>
              </w:rPr>
              <w:t>现状评价</w:t>
            </w:r>
          </w:p>
        </w:tc>
        <w:tc>
          <w:tcPr>
            <w:tcW w:w="5515" w:type="dxa"/>
            <w:vMerge w:val="restart"/>
          </w:tcPr>
          <w:p w14:paraId="0CD62442">
            <w:pPr>
              <w:pStyle w:val="14"/>
              <w:spacing w:before="2"/>
              <w:rPr>
                <w:b/>
                <w:sz w:val="25"/>
              </w:rPr>
            </w:pPr>
          </w:p>
          <w:p w14:paraId="7E48F01C">
            <w:pPr>
              <w:pStyle w:val="14"/>
              <w:ind w:left="548"/>
              <w:rPr>
                <w:rFonts w:ascii="Times New Roman" w:eastAsia="Times New Roman"/>
                <w:sz w:val="21"/>
              </w:rPr>
            </w:pPr>
            <w:r>
              <w:rPr>
                <w:sz w:val="21"/>
              </w:rPr>
              <w:t xml:space="preserve">二级评价项目大气环境影响评价范围边长取 </w:t>
            </w:r>
            <w:r>
              <w:rPr>
                <w:rFonts w:ascii="Times New Roman" w:eastAsia="Times New Roman"/>
                <w:sz w:val="21"/>
              </w:rPr>
              <w:t>5km</w:t>
            </w:r>
          </w:p>
        </w:tc>
      </w:tr>
      <w:tr w14:paraId="333A8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67" w:type="dxa"/>
            <w:vMerge w:val="continue"/>
            <w:tcBorders>
              <w:top w:val="nil"/>
            </w:tcBorders>
          </w:tcPr>
          <w:p w14:paraId="074DE1D9">
            <w:pPr>
              <w:rPr>
                <w:sz w:val="2"/>
                <w:szCs w:val="2"/>
              </w:rPr>
            </w:pPr>
          </w:p>
        </w:tc>
        <w:tc>
          <w:tcPr>
            <w:tcW w:w="1635" w:type="dxa"/>
          </w:tcPr>
          <w:p w14:paraId="737C2C3C">
            <w:pPr>
              <w:pStyle w:val="14"/>
              <w:spacing w:before="89"/>
              <w:ind w:left="270" w:right="263"/>
              <w:jc w:val="center"/>
              <w:rPr>
                <w:sz w:val="21"/>
              </w:rPr>
            </w:pPr>
            <w:r>
              <w:rPr>
                <w:sz w:val="21"/>
              </w:rPr>
              <w:t>影响分析</w:t>
            </w:r>
          </w:p>
        </w:tc>
        <w:tc>
          <w:tcPr>
            <w:tcW w:w="5515" w:type="dxa"/>
            <w:vMerge w:val="continue"/>
            <w:tcBorders>
              <w:top w:val="nil"/>
            </w:tcBorders>
          </w:tcPr>
          <w:p w14:paraId="381D37C5">
            <w:pPr>
              <w:rPr>
                <w:sz w:val="2"/>
                <w:szCs w:val="2"/>
              </w:rPr>
            </w:pPr>
          </w:p>
        </w:tc>
      </w:tr>
      <w:tr w14:paraId="55A8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7" w:type="dxa"/>
            <w:vMerge w:val="restart"/>
          </w:tcPr>
          <w:p w14:paraId="50215339">
            <w:pPr>
              <w:pStyle w:val="14"/>
              <w:rPr>
                <w:b/>
                <w:sz w:val="25"/>
              </w:rPr>
            </w:pPr>
          </w:p>
          <w:p w14:paraId="22808561">
            <w:pPr>
              <w:pStyle w:val="14"/>
              <w:ind w:left="208"/>
              <w:rPr>
                <w:sz w:val="21"/>
              </w:rPr>
            </w:pPr>
            <w:r>
              <w:rPr>
                <w:sz w:val="21"/>
              </w:rPr>
              <w:t>地表水环境</w:t>
            </w:r>
          </w:p>
        </w:tc>
        <w:tc>
          <w:tcPr>
            <w:tcW w:w="1635" w:type="dxa"/>
          </w:tcPr>
          <w:p w14:paraId="085E0585">
            <w:pPr>
              <w:pStyle w:val="14"/>
              <w:spacing w:before="90"/>
              <w:ind w:left="270" w:right="263"/>
              <w:jc w:val="center"/>
              <w:rPr>
                <w:sz w:val="21"/>
              </w:rPr>
            </w:pPr>
            <w:r>
              <w:rPr>
                <w:sz w:val="21"/>
              </w:rPr>
              <w:t>现状评价</w:t>
            </w:r>
          </w:p>
        </w:tc>
        <w:tc>
          <w:tcPr>
            <w:tcW w:w="5515" w:type="dxa"/>
            <w:vMerge w:val="restart"/>
          </w:tcPr>
          <w:p w14:paraId="3D662622">
            <w:pPr>
              <w:pStyle w:val="14"/>
              <w:spacing w:before="50" w:line="242" w:lineRule="auto"/>
              <w:ind w:left="130" w:right="123" w:hanging="1"/>
              <w:jc w:val="center"/>
              <w:rPr>
                <w:sz w:val="21"/>
              </w:rPr>
            </w:pPr>
            <w:r>
              <w:rPr>
                <w:w w:val="95"/>
                <w:sz w:val="21"/>
              </w:rPr>
              <w:t xml:space="preserve">本项目为间接排放，污水经过处理达到行业标准和污水处 理厂的进水水质标准后排入岳阳县污水处理厂处理，分析 </w:t>
            </w:r>
            <w:r>
              <w:rPr>
                <w:sz w:val="21"/>
              </w:rPr>
              <w:t>其可依托性</w:t>
            </w:r>
          </w:p>
        </w:tc>
      </w:tr>
      <w:tr w14:paraId="7C44A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67" w:type="dxa"/>
            <w:vMerge w:val="continue"/>
            <w:tcBorders>
              <w:top w:val="nil"/>
            </w:tcBorders>
          </w:tcPr>
          <w:p w14:paraId="495EEAF6">
            <w:pPr>
              <w:rPr>
                <w:sz w:val="2"/>
                <w:szCs w:val="2"/>
              </w:rPr>
            </w:pPr>
          </w:p>
        </w:tc>
        <w:tc>
          <w:tcPr>
            <w:tcW w:w="1635" w:type="dxa"/>
          </w:tcPr>
          <w:p w14:paraId="2F198D69">
            <w:pPr>
              <w:pStyle w:val="14"/>
              <w:spacing w:before="90"/>
              <w:ind w:left="270" w:right="263"/>
              <w:jc w:val="center"/>
              <w:rPr>
                <w:sz w:val="21"/>
              </w:rPr>
            </w:pPr>
            <w:r>
              <w:rPr>
                <w:sz w:val="21"/>
              </w:rPr>
              <w:t>影响分析</w:t>
            </w:r>
          </w:p>
        </w:tc>
        <w:tc>
          <w:tcPr>
            <w:tcW w:w="5515" w:type="dxa"/>
            <w:vMerge w:val="continue"/>
            <w:tcBorders>
              <w:top w:val="nil"/>
            </w:tcBorders>
          </w:tcPr>
          <w:p w14:paraId="7BAA0C1C">
            <w:pPr>
              <w:rPr>
                <w:sz w:val="2"/>
                <w:szCs w:val="2"/>
              </w:rPr>
            </w:pPr>
          </w:p>
        </w:tc>
      </w:tr>
      <w:tr w14:paraId="5D9FC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67" w:type="dxa"/>
            <w:vMerge w:val="restart"/>
          </w:tcPr>
          <w:p w14:paraId="3EA73DBB">
            <w:pPr>
              <w:pStyle w:val="14"/>
              <w:spacing w:before="1"/>
              <w:rPr>
                <w:b/>
                <w:sz w:val="25"/>
              </w:rPr>
            </w:pPr>
          </w:p>
          <w:p w14:paraId="34CCE0A4">
            <w:pPr>
              <w:pStyle w:val="14"/>
              <w:ind w:left="417"/>
              <w:rPr>
                <w:sz w:val="21"/>
              </w:rPr>
            </w:pPr>
            <w:r>
              <w:rPr>
                <w:sz w:val="21"/>
              </w:rPr>
              <w:t>声环境</w:t>
            </w:r>
          </w:p>
        </w:tc>
        <w:tc>
          <w:tcPr>
            <w:tcW w:w="1635" w:type="dxa"/>
          </w:tcPr>
          <w:p w14:paraId="053BADA8">
            <w:pPr>
              <w:pStyle w:val="14"/>
              <w:spacing w:before="89"/>
              <w:ind w:left="270" w:right="263"/>
              <w:jc w:val="center"/>
              <w:rPr>
                <w:sz w:val="21"/>
              </w:rPr>
            </w:pPr>
            <w:r>
              <w:rPr>
                <w:sz w:val="21"/>
              </w:rPr>
              <w:t>现状评价</w:t>
            </w:r>
          </w:p>
        </w:tc>
        <w:tc>
          <w:tcPr>
            <w:tcW w:w="5515" w:type="dxa"/>
          </w:tcPr>
          <w:p w14:paraId="596DC1DC">
            <w:pPr>
              <w:pStyle w:val="14"/>
              <w:spacing w:before="89"/>
              <w:ind w:left="92" w:right="87"/>
              <w:jc w:val="center"/>
              <w:rPr>
                <w:sz w:val="21"/>
              </w:rPr>
            </w:pPr>
            <w:r>
              <w:rPr>
                <w:sz w:val="21"/>
              </w:rPr>
              <w:t>厂界噪声</w:t>
            </w:r>
          </w:p>
        </w:tc>
      </w:tr>
      <w:tr w14:paraId="69248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67" w:type="dxa"/>
            <w:vMerge w:val="continue"/>
            <w:tcBorders>
              <w:top w:val="nil"/>
            </w:tcBorders>
          </w:tcPr>
          <w:p w14:paraId="27AAD8F1">
            <w:pPr>
              <w:rPr>
                <w:sz w:val="2"/>
                <w:szCs w:val="2"/>
              </w:rPr>
            </w:pPr>
          </w:p>
        </w:tc>
        <w:tc>
          <w:tcPr>
            <w:tcW w:w="1635" w:type="dxa"/>
          </w:tcPr>
          <w:p w14:paraId="408E5BDC">
            <w:pPr>
              <w:pStyle w:val="14"/>
              <w:spacing w:before="90"/>
              <w:ind w:left="270" w:right="263"/>
              <w:jc w:val="center"/>
              <w:rPr>
                <w:sz w:val="21"/>
              </w:rPr>
            </w:pPr>
            <w:r>
              <w:rPr>
                <w:sz w:val="21"/>
              </w:rPr>
              <w:t>影响分析</w:t>
            </w:r>
          </w:p>
        </w:tc>
        <w:tc>
          <w:tcPr>
            <w:tcW w:w="5515" w:type="dxa"/>
          </w:tcPr>
          <w:p w14:paraId="25162D68">
            <w:pPr>
              <w:pStyle w:val="14"/>
              <w:spacing w:before="90"/>
              <w:ind w:left="94" w:right="85"/>
              <w:jc w:val="center"/>
              <w:rPr>
                <w:rFonts w:ascii="Times New Roman" w:eastAsia="Times New Roman"/>
                <w:sz w:val="21"/>
              </w:rPr>
            </w:pPr>
            <w:r>
              <w:rPr>
                <w:sz w:val="21"/>
              </w:rPr>
              <w:t xml:space="preserve">项目厂界外 </w:t>
            </w:r>
            <w:r>
              <w:rPr>
                <w:rFonts w:ascii="Times New Roman" w:eastAsia="Times New Roman"/>
                <w:sz w:val="21"/>
              </w:rPr>
              <w:t>200m</w:t>
            </w:r>
          </w:p>
        </w:tc>
      </w:tr>
      <w:tr w14:paraId="3DD2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7" w:type="dxa"/>
            <w:vMerge w:val="restart"/>
          </w:tcPr>
          <w:p w14:paraId="1D03B264">
            <w:pPr>
              <w:pStyle w:val="14"/>
              <w:spacing w:before="2"/>
              <w:rPr>
                <w:b/>
                <w:sz w:val="25"/>
              </w:rPr>
            </w:pPr>
          </w:p>
          <w:p w14:paraId="11370DE5">
            <w:pPr>
              <w:pStyle w:val="14"/>
              <w:ind w:left="208"/>
              <w:rPr>
                <w:sz w:val="21"/>
              </w:rPr>
            </w:pPr>
            <w:r>
              <w:rPr>
                <w:sz w:val="21"/>
              </w:rPr>
              <w:t>地下水环境</w:t>
            </w:r>
          </w:p>
        </w:tc>
        <w:tc>
          <w:tcPr>
            <w:tcW w:w="1635" w:type="dxa"/>
          </w:tcPr>
          <w:p w14:paraId="27204D6C">
            <w:pPr>
              <w:pStyle w:val="14"/>
              <w:spacing w:before="90"/>
              <w:ind w:left="270" w:right="263"/>
              <w:jc w:val="center"/>
              <w:rPr>
                <w:sz w:val="21"/>
              </w:rPr>
            </w:pPr>
            <w:r>
              <w:rPr>
                <w:sz w:val="21"/>
              </w:rPr>
              <w:t>现状评价</w:t>
            </w:r>
          </w:p>
        </w:tc>
        <w:tc>
          <w:tcPr>
            <w:tcW w:w="5515" w:type="dxa"/>
            <w:vMerge w:val="restart"/>
          </w:tcPr>
          <w:p w14:paraId="7BA79FAC">
            <w:pPr>
              <w:pStyle w:val="14"/>
              <w:spacing w:before="49"/>
              <w:ind w:left="200"/>
              <w:rPr>
                <w:sz w:val="21"/>
              </w:rPr>
            </w:pPr>
            <w:r>
              <w:rPr>
                <w:sz w:val="21"/>
              </w:rPr>
              <w:t xml:space="preserve">根据 </w:t>
            </w:r>
            <w:r>
              <w:rPr>
                <w:rFonts w:ascii="Times New Roman" w:hAnsi="Times New Roman" w:eastAsia="Times New Roman"/>
                <w:sz w:val="21"/>
              </w:rPr>
              <w:t xml:space="preserve">HJ610-2016 </w:t>
            </w:r>
            <w:r>
              <w:rPr>
                <w:sz w:val="21"/>
              </w:rPr>
              <w:t xml:space="preserve">表 </w:t>
            </w:r>
            <w:r>
              <w:rPr>
                <w:rFonts w:ascii="Times New Roman" w:hAnsi="Times New Roman" w:eastAsia="Times New Roman"/>
                <w:sz w:val="21"/>
              </w:rPr>
              <w:t xml:space="preserve">3 </w:t>
            </w:r>
            <w:r>
              <w:rPr>
                <w:sz w:val="21"/>
              </w:rPr>
              <w:t>查表法，三级评价调查评价范围≤</w:t>
            </w:r>
          </w:p>
          <w:p w14:paraId="55911AB8">
            <w:pPr>
              <w:pStyle w:val="14"/>
              <w:spacing w:before="4" w:line="242" w:lineRule="auto"/>
              <w:ind w:left="908" w:right="111" w:hanging="788"/>
              <w:rPr>
                <w:sz w:val="21"/>
              </w:rPr>
            </w:pPr>
            <w:r>
              <w:rPr>
                <w:rFonts w:ascii="Times New Roman" w:eastAsia="Times New Roman"/>
                <w:sz w:val="21"/>
              </w:rPr>
              <w:t>6km</w:t>
            </w:r>
            <w:r>
              <w:rPr>
                <w:rFonts w:ascii="Times New Roman" w:eastAsia="Times New Roman"/>
                <w:position w:val="7"/>
                <w:sz w:val="13"/>
              </w:rPr>
              <w:t>2</w:t>
            </w:r>
            <w:r>
              <w:rPr>
                <w:sz w:val="21"/>
              </w:rPr>
              <w:t xml:space="preserve">，结合本项目所在地地下水文，最终确定本项目地下水评价范围为场地范围内约为 </w:t>
            </w:r>
            <w:r>
              <w:rPr>
                <w:rFonts w:ascii="Times New Roman" w:eastAsia="Times New Roman"/>
                <w:sz w:val="21"/>
              </w:rPr>
              <w:t>0.03km</w:t>
            </w:r>
            <w:r>
              <w:rPr>
                <w:rFonts w:ascii="Times New Roman" w:eastAsia="Times New Roman"/>
                <w:position w:val="7"/>
                <w:sz w:val="13"/>
              </w:rPr>
              <w:t>2</w:t>
            </w:r>
            <w:r>
              <w:rPr>
                <w:sz w:val="21"/>
              </w:rPr>
              <w:t>。</w:t>
            </w:r>
          </w:p>
        </w:tc>
      </w:tr>
      <w:tr w14:paraId="693E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7" w:type="dxa"/>
            <w:vMerge w:val="continue"/>
            <w:tcBorders>
              <w:top w:val="nil"/>
            </w:tcBorders>
          </w:tcPr>
          <w:p w14:paraId="7E8A9E35">
            <w:pPr>
              <w:rPr>
                <w:sz w:val="2"/>
                <w:szCs w:val="2"/>
              </w:rPr>
            </w:pPr>
          </w:p>
        </w:tc>
        <w:tc>
          <w:tcPr>
            <w:tcW w:w="1635" w:type="dxa"/>
          </w:tcPr>
          <w:p w14:paraId="3275A58E">
            <w:pPr>
              <w:pStyle w:val="14"/>
              <w:spacing w:before="89"/>
              <w:ind w:left="270" w:right="263"/>
              <w:jc w:val="center"/>
              <w:rPr>
                <w:sz w:val="21"/>
              </w:rPr>
            </w:pPr>
            <w:r>
              <w:rPr>
                <w:sz w:val="21"/>
              </w:rPr>
              <w:t>影响分析</w:t>
            </w:r>
          </w:p>
        </w:tc>
        <w:tc>
          <w:tcPr>
            <w:tcW w:w="5515" w:type="dxa"/>
            <w:vMerge w:val="continue"/>
            <w:tcBorders>
              <w:top w:val="nil"/>
            </w:tcBorders>
          </w:tcPr>
          <w:p w14:paraId="36DA1782">
            <w:pPr>
              <w:rPr>
                <w:sz w:val="2"/>
                <w:szCs w:val="2"/>
              </w:rPr>
            </w:pPr>
          </w:p>
        </w:tc>
      </w:tr>
      <w:tr w14:paraId="51727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7" w:type="dxa"/>
            <w:vMerge w:val="restart"/>
          </w:tcPr>
          <w:p w14:paraId="230F6298">
            <w:pPr>
              <w:pStyle w:val="14"/>
              <w:rPr>
                <w:b/>
                <w:sz w:val="25"/>
              </w:rPr>
            </w:pPr>
          </w:p>
          <w:p w14:paraId="2A728A93">
            <w:pPr>
              <w:pStyle w:val="14"/>
              <w:ind w:left="311"/>
              <w:rPr>
                <w:sz w:val="21"/>
              </w:rPr>
            </w:pPr>
            <w:r>
              <w:rPr>
                <w:sz w:val="21"/>
              </w:rPr>
              <w:t>土壤环境</w:t>
            </w:r>
          </w:p>
        </w:tc>
        <w:tc>
          <w:tcPr>
            <w:tcW w:w="1635" w:type="dxa"/>
          </w:tcPr>
          <w:p w14:paraId="7F74E2E3">
            <w:pPr>
              <w:pStyle w:val="14"/>
              <w:spacing w:before="90"/>
              <w:ind w:left="270" w:right="263"/>
              <w:jc w:val="center"/>
              <w:rPr>
                <w:sz w:val="21"/>
              </w:rPr>
            </w:pPr>
            <w:r>
              <w:rPr>
                <w:sz w:val="21"/>
              </w:rPr>
              <w:t>现状评价</w:t>
            </w:r>
          </w:p>
        </w:tc>
        <w:tc>
          <w:tcPr>
            <w:tcW w:w="5515" w:type="dxa"/>
            <w:vMerge w:val="restart"/>
          </w:tcPr>
          <w:p w14:paraId="6513B064">
            <w:pPr>
              <w:pStyle w:val="14"/>
              <w:rPr>
                <w:b/>
                <w:sz w:val="25"/>
              </w:rPr>
            </w:pPr>
          </w:p>
          <w:p w14:paraId="7C70FB9D">
            <w:pPr>
              <w:pStyle w:val="14"/>
              <w:ind w:left="92" w:right="87"/>
              <w:jc w:val="center"/>
              <w:rPr>
                <w:sz w:val="21"/>
              </w:rPr>
            </w:pPr>
            <w:r>
              <w:rPr>
                <w:sz w:val="21"/>
              </w:rPr>
              <w:t>无需评价</w:t>
            </w:r>
          </w:p>
        </w:tc>
      </w:tr>
      <w:tr w14:paraId="222C0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67" w:type="dxa"/>
            <w:vMerge w:val="continue"/>
            <w:tcBorders>
              <w:top w:val="nil"/>
            </w:tcBorders>
          </w:tcPr>
          <w:p w14:paraId="187C0391">
            <w:pPr>
              <w:rPr>
                <w:sz w:val="2"/>
                <w:szCs w:val="2"/>
              </w:rPr>
            </w:pPr>
          </w:p>
        </w:tc>
        <w:tc>
          <w:tcPr>
            <w:tcW w:w="1635" w:type="dxa"/>
          </w:tcPr>
          <w:p w14:paraId="112805BA">
            <w:pPr>
              <w:pStyle w:val="14"/>
              <w:spacing w:before="90"/>
              <w:ind w:left="270" w:right="263"/>
              <w:jc w:val="center"/>
              <w:rPr>
                <w:sz w:val="21"/>
              </w:rPr>
            </w:pPr>
            <w:r>
              <w:rPr>
                <w:sz w:val="21"/>
              </w:rPr>
              <w:t>影响分析</w:t>
            </w:r>
          </w:p>
        </w:tc>
        <w:tc>
          <w:tcPr>
            <w:tcW w:w="5515" w:type="dxa"/>
            <w:vMerge w:val="continue"/>
            <w:tcBorders>
              <w:top w:val="nil"/>
            </w:tcBorders>
          </w:tcPr>
          <w:p w14:paraId="3EC20295">
            <w:pPr>
              <w:rPr>
                <w:sz w:val="2"/>
                <w:szCs w:val="2"/>
              </w:rPr>
            </w:pPr>
          </w:p>
        </w:tc>
      </w:tr>
      <w:tr w14:paraId="6D7E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467" w:type="dxa"/>
          </w:tcPr>
          <w:p w14:paraId="72E3D48B">
            <w:pPr>
              <w:pStyle w:val="14"/>
              <w:spacing w:before="2"/>
              <w:rPr>
                <w:b/>
                <w:sz w:val="21"/>
              </w:rPr>
            </w:pPr>
          </w:p>
          <w:p w14:paraId="644F57E1">
            <w:pPr>
              <w:pStyle w:val="14"/>
              <w:ind w:left="311"/>
              <w:rPr>
                <w:sz w:val="21"/>
              </w:rPr>
            </w:pPr>
            <w:r>
              <w:rPr>
                <w:sz w:val="21"/>
              </w:rPr>
              <w:t>风险评价</w:t>
            </w:r>
          </w:p>
        </w:tc>
        <w:tc>
          <w:tcPr>
            <w:tcW w:w="1635" w:type="dxa"/>
          </w:tcPr>
          <w:p w14:paraId="7D3D1D1F">
            <w:pPr>
              <w:pStyle w:val="14"/>
              <w:spacing w:before="3"/>
              <w:rPr>
                <w:b/>
                <w:sz w:val="22"/>
              </w:rPr>
            </w:pPr>
          </w:p>
          <w:p w14:paraId="0BDA39AA">
            <w:pPr>
              <w:pStyle w:val="14"/>
              <w:ind w:left="10"/>
              <w:jc w:val="center"/>
              <w:rPr>
                <w:rFonts w:ascii="Times New Roman"/>
                <w:sz w:val="21"/>
              </w:rPr>
            </w:pPr>
            <w:r>
              <w:rPr>
                <w:rFonts w:ascii="Times New Roman"/>
                <w:w w:val="99"/>
                <w:sz w:val="21"/>
              </w:rPr>
              <w:t>/</w:t>
            </w:r>
          </w:p>
        </w:tc>
        <w:tc>
          <w:tcPr>
            <w:tcW w:w="5515" w:type="dxa"/>
          </w:tcPr>
          <w:p w14:paraId="5A236C61">
            <w:pPr>
              <w:pStyle w:val="14"/>
              <w:spacing w:line="242" w:lineRule="auto"/>
              <w:ind w:left="94" w:right="87"/>
              <w:jc w:val="center"/>
              <w:rPr>
                <w:sz w:val="21"/>
              </w:rPr>
            </w:pPr>
            <w:r>
              <w:rPr>
                <w:sz w:val="21"/>
              </w:rPr>
              <w:t xml:space="preserve">大气环境风险评价范围定为涵盖本项目范围边长 </w:t>
            </w:r>
            <w:r>
              <w:rPr>
                <w:rFonts w:ascii="Times New Roman" w:eastAsia="Times New Roman"/>
                <w:sz w:val="21"/>
              </w:rPr>
              <w:t>5km</w:t>
            </w:r>
            <w:r>
              <w:rPr>
                <w:sz w:val="21"/>
              </w:rPr>
              <w:t>；地</w:t>
            </w:r>
            <w:r>
              <w:rPr>
                <w:w w:val="95"/>
                <w:sz w:val="21"/>
              </w:rPr>
              <w:t>表水环境风险评价范围同地表水评价范围；地下水环境风</w:t>
            </w:r>
          </w:p>
          <w:p w14:paraId="1368FFAD">
            <w:pPr>
              <w:pStyle w:val="14"/>
              <w:spacing w:before="1" w:line="252" w:lineRule="exact"/>
              <w:ind w:left="92" w:right="87"/>
              <w:jc w:val="center"/>
              <w:rPr>
                <w:sz w:val="21"/>
              </w:rPr>
            </w:pPr>
            <w:r>
              <w:rPr>
                <w:sz w:val="21"/>
              </w:rPr>
              <w:t>险评价范围同地下水评价范围</w:t>
            </w:r>
          </w:p>
        </w:tc>
      </w:tr>
      <w:tr w14:paraId="71A99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67" w:type="dxa"/>
          </w:tcPr>
          <w:p w14:paraId="1E50EB69">
            <w:pPr>
              <w:pStyle w:val="14"/>
              <w:spacing w:before="135"/>
              <w:ind w:left="311"/>
              <w:rPr>
                <w:sz w:val="21"/>
              </w:rPr>
            </w:pPr>
            <w:r>
              <w:rPr>
                <w:sz w:val="21"/>
              </w:rPr>
              <w:t>生态环境</w:t>
            </w:r>
          </w:p>
        </w:tc>
        <w:tc>
          <w:tcPr>
            <w:tcW w:w="1635" w:type="dxa"/>
          </w:tcPr>
          <w:p w14:paraId="12BE30BF">
            <w:pPr>
              <w:pStyle w:val="14"/>
              <w:spacing w:before="152"/>
              <w:ind w:left="10"/>
              <w:jc w:val="center"/>
              <w:rPr>
                <w:rFonts w:ascii="Times New Roman"/>
                <w:sz w:val="21"/>
              </w:rPr>
            </w:pPr>
            <w:r>
              <w:rPr>
                <w:rFonts w:ascii="Times New Roman"/>
                <w:w w:val="99"/>
                <w:sz w:val="21"/>
              </w:rPr>
              <w:t>/</w:t>
            </w:r>
          </w:p>
        </w:tc>
        <w:tc>
          <w:tcPr>
            <w:tcW w:w="5515" w:type="dxa"/>
          </w:tcPr>
          <w:p w14:paraId="58C009AB">
            <w:pPr>
              <w:pStyle w:val="14"/>
              <w:spacing w:before="1"/>
              <w:ind w:left="92" w:right="87"/>
              <w:jc w:val="center"/>
              <w:rPr>
                <w:sz w:val="21"/>
              </w:rPr>
            </w:pPr>
            <w:r>
              <w:rPr>
                <w:sz w:val="21"/>
              </w:rPr>
              <w:t>污染影响类建设项目评价范围应涵盖直接占用区域以及污</w:t>
            </w:r>
          </w:p>
          <w:p w14:paraId="74E0C405">
            <w:pPr>
              <w:pStyle w:val="14"/>
              <w:spacing w:before="2" w:line="253" w:lineRule="exact"/>
              <w:ind w:left="91" w:right="87"/>
              <w:jc w:val="center"/>
              <w:rPr>
                <w:rFonts w:ascii="Times New Roman" w:eastAsia="Times New Roman"/>
                <w:sz w:val="21"/>
              </w:rPr>
            </w:pPr>
            <w:r>
              <w:rPr>
                <w:sz w:val="21"/>
              </w:rPr>
              <w:t xml:space="preserve">染物排放产生的间接生态影响区域，边长取 </w:t>
            </w:r>
            <w:r>
              <w:rPr>
                <w:rFonts w:ascii="Times New Roman" w:eastAsia="Times New Roman"/>
                <w:sz w:val="21"/>
              </w:rPr>
              <w:t>5km</w:t>
            </w:r>
          </w:p>
        </w:tc>
      </w:tr>
    </w:tbl>
    <w:p w14:paraId="537E92AA">
      <w:pPr>
        <w:pStyle w:val="3"/>
        <w:numPr>
          <w:ilvl w:val="1"/>
          <w:numId w:val="12"/>
        </w:numPr>
        <w:tabs>
          <w:tab w:val="left" w:pos="688"/>
        </w:tabs>
        <w:spacing w:before="2" w:after="0" w:line="240" w:lineRule="auto"/>
        <w:ind w:left="688" w:right="0" w:hanging="408"/>
        <w:jc w:val="left"/>
        <w:rPr>
          <w:rFonts w:ascii="Times New Roman" w:eastAsia="Times New Roman"/>
        </w:rPr>
      </w:pPr>
      <w:bookmarkStart w:id="76" w:name="2.6环境保护目标"/>
      <w:bookmarkEnd w:id="76"/>
      <w:bookmarkStart w:id="77" w:name="_bookmark12"/>
      <w:bookmarkEnd w:id="77"/>
      <w:bookmarkStart w:id="78" w:name="_bookmark12"/>
      <w:bookmarkEnd w:id="78"/>
      <w:r>
        <w:t>环境保护目标</w:t>
      </w:r>
    </w:p>
    <w:p w14:paraId="17AFD4E8">
      <w:pPr>
        <w:pStyle w:val="7"/>
        <w:spacing w:before="186"/>
        <w:ind w:left="760"/>
      </w:pPr>
      <w:r>
        <w:t>根据项目评价范围，主要环境保护目标见下表。</w:t>
      </w:r>
    </w:p>
    <w:p w14:paraId="09C2FA83">
      <w:pPr>
        <w:spacing w:after="0"/>
        <w:sectPr>
          <w:footerReference r:id="rId19" w:type="default"/>
          <w:pgSz w:w="11910" w:h="16840"/>
          <w:pgMar w:top="1360" w:right="1460" w:bottom="1400" w:left="1520" w:header="878" w:footer="1204" w:gutter="0"/>
          <w:pgNumType w:start="40"/>
          <w:cols w:space="720" w:num="1"/>
        </w:sectPr>
      </w:pPr>
    </w:p>
    <w:p w14:paraId="24DEA3DD">
      <w:pPr>
        <w:pStyle w:val="7"/>
        <w:rPr>
          <w:sz w:val="20"/>
        </w:rPr>
      </w:pPr>
    </w:p>
    <w:p w14:paraId="55436E11">
      <w:pPr>
        <w:pStyle w:val="7"/>
        <w:spacing w:before="8"/>
        <w:rPr>
          <w:sz w:val="17"/>
        </w:rPr>
      </w:pPr>
    </w:p>
    <w:p w14:paraId="0BE515C3">
      <w:pPr>
        <w:spacing w:before="0" w:after="2"/>
        <w:ind w:left="262" w:right="324" w:firstLine="0"/>
        <w:jc w:val="center"/>
        <w:rPr>
          <w:b/>
          <w:sz w:val="21"/>
        </w:rPr>
      </w:pPr>
      <w:r>
        <w:rPr>
          <w:b/>
          <w:spacing w:val="-26"/>
          <w:sz w:val="21"/>
        </w:rPr>
        <w:t xml:space="preserve">表 </w:t>
      </w:r>
      <w:r>
        <w:rPr>
          <w:rFonts w:ascii="Times New Roman" w:eastAsia="Times New Roman"/>
          <w:b/>
          <w:sz w:val="21"/>
        </w:rPr>
        <w:t>2.6</w:t>
      </w:r>
      <w:r>
        <w:rPr>
          <w:rFonts w:ascii="Times New Roman" w:eastAsia="Times New Roman"/>
          <w:b/>
          <w:spacing w:val="-9"/>
          <w:sz w:val="21"/>
        </w:rPr>
        <w:t xml:space="preserve">- </w:t>
      </w:r>
      <w:r>
        <w:rPr>
          <w:rFonts w:ascii="Times New Roman" w:eastAsia="Times New Roman"/>
          <w:b/>
          <w:sz w:val="21"/>
        </w:rPr>
        <w:t>1</w:t>
      </w:r>
      <w:r>
        <w:rPr>
          <w:rFonts w:ascii="Times New Roman" w:eastAsia="Times New Roman"/>
          <w:b/>
          <w:spacing w:val="50"/>
          <w:sz w:val="21"/>
        </w:rPr>
        <w:t xml:space="preserve"> </w:t>
      </w:r>
      <w:r>
        <w:rPr>
          <w:b/>
          <w:sz w:val="21"/>
        </w:rPr>
        <w:t>项目主要环境空气保护目标一览表</w:t>
      </w:r>
    </w:p>
    <w:tbl>
      <w:tblPr>
        <w:tblStyle w:val="10"/>
        <w:tblW w:w="0" w:type="auto"/>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535"/>
        <w:gridCol w:w="794"/>
        <w:gridCol w:w="621"/>
        <w:gridCol w:w="621"/>
        <w:gridCol w:w="536"/>
        <w:gridCol w:w="717"/>
        <w:gridCol w:w="797"/>
        <w:gridCol w:w="1580"/>
        <w:gridCol w:w="1580"/>
      </w:tblGrid>
      <w:tr w14:paraId="3B1B1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5" w:type="dxa"/>
            <w:vMerge w:val="restart"/>
          </w:tcPr>
          <w:p w14:paraId="62A9B5DC">
            <w:pPr>
              <w:pStyle w:val="14"/>
              <w:spacing w:before="7"/>
              <w:rPr>
                <w:b/>
                <w:sz w:val="14"/>
              </w:rPr>
            </w:pPr>
          </w:p>
          <w:p w14:paraId="6995EB57">
            <w:pPr>
              <w:pStyle w:val="14"/>
              <w:spacing w:before="1" w:line="242" w:lineRule="auto"/>
              <w:ind w:left="55" w:right="47"/>
              <w:rPr>
                <w:b/>
                <w:sz w:val="21"/>
              </w:rPr>
            </w:pPr>
            <w:r>
              <w:rPr>
                <w:b/>
                <w:sz w:val="21"/>
              </w:rPr>
              <w:t>环境要素</w:t>
            </w:r>
          </w:p>
        </w:tc>
        <w:tc>
          <w:tcPr>
            <w:tcW w:w="535" w:type="dxa"/>
            <w:vMerge w:val="restart"/>
          </w:tcPr>
          <w:p w14:paraId="5D725652">
            <w:pPr>
              <w:pStyle w:val="14"/>
              <w:spacing w:before="3"/>
              <w:rPr>
                <w:b/>
                <w:sz w:val="25"/>
              </w:rPr>
            </w:pPr>
          </w:p>
          <w:p w14:paraId="3D0781C8">
            <w:pPr>
              <w:pStyle w:val="14"/>
              <w:ind w:left="55"/>
              <w:rPr>
                <w:b/>
                <w:sz w:val="21"/>
              </w:rPr>
            </w:pPr>
            <w:r>
              <w:rPr>
                <w:b/>
                <w:sz w:val="21"/>
              </w:rPr>
              <w:t>序号</w:t>
            </w:r>
          </w:p>
        </w:tc>
        <w:tc>
          <w:tcPr>
            <w:tcW w:w="794" w:type="dxa"/>
            <w:vMerge w:val="restart"/>
          </w:tcPr>
          <w:p w14:paraId="28DFD12D">
            <w:pPr>
              <w:pStyle w:val="14"/>
              <w:spacing w:before="3"/>
              <w:rPr>
                <w:b/>
                <w:sz w:val="25"/>
              </w:rPr>
            </w:pPr>
          </w:p>
          <w:p w14:paraId="35430D57">
            <w:pPr>
              <w:pStyle w:val="14"/>
              <w:ind w:left="185"/>
              <w:rPr>
                <w:b/>
                <w:sz w:val="21"/>
              </w:rPr>
            </w:pPr>
            <w:r>
              <w:rPr>
                <w:b/>
                <w:sz w:val="21"/>
              </w:rPr>
              <w:t>名称</w:t>
            </w:r>
          </w:p>
        </w:tc>
        <w:tc>
          <w:tcPr>
            <w:tcW w:w="1242" w:type="dxa"/>
            <w:gridSpan w:val="2"/>
          </w:tcPr>
          <w:p w14:paraId="3A74D7F4">
            <w:pPr>
              <w:pStyle w:val="14"/>
              <w:spacing w:before="91"/>
              <w:ind w:left="293"/>
              <w:rPr>
                <w:rFonts w:ascii="Times New Roman" w:eastAsia="Times New Roman"/>
                <w:b/>
                <w:sz w:val="21"/>
              </w:rPr>
            </w:pPr>
            <w:r>
              <w:rPr>
                <w:b/>
                <w:sz w:val="21"/>
              </w:rPr>
              <w:t>坐标</w:t>
            </w:r>
            <w:r>
              <w:rPr>
                <w:rFonts w:ascii="Times New Roman" w:eastAsia="Times New Roman"/>
                <w:b/>
                <w:sz w:val="21"/>
              </w:rPr>
              <w:t>/m</w:t>
            </w:r>
          </w:p>
        </w:tc>
        <w:tc>
          <w:tcPr>
            <w:tcW w:w="536" w:type="dxa"/>
            <w:vMerge w:val="restart"/>
          </w:tcPr>
          <w:p w14:paraId="6BC739EA">
            <w:pPr>
              <w:pStyle w:val="14"/>
              <w:spacing w:before="7"/>
              <w:rPr>
                <w:b/>
                <w:sz w:val="14"/>
              </w:rPr>
            </w:pPr>
          </w:p>
          <w:p w14:paraId="371A3A6B">
            <w:pPr>
              <w:pStyle w:val="14"/>
              <w:spacing w:before="1" w:line="242" w:lineRule="auto"/>
              <w:ind w:left="57" w:right="46"/>
              <w:rPr>
                <w:b/>
                <w:sz w:val="21"/>
              </w:rPr>
            </w:pPr>
            <w:r>
              <w:rPr>
                <w:b/>
                <w:sz w:val="21"/>
              </w:rPr>
              <w:t>保护对象</w:t>
            </w:r>
          </w:p>
        </w:tc>
        <w:tc>
          <w:tcPr>
            <w:tcW w:w="717" w:type="dxa"/>
            <w:vMerge w:val="restart"/>
          </w:tcPr>
          <w:p w14:paraId="069A1486">
            <w:pPr>
              <w:pStyle w:val="14"/>
              <w:spacing w:before="7"/>
              <w:rPr>
                <w:b/>
                <w:sz w:val="14"/>
              </w:rPr>
            </w:pPr>
          </w:p>
          <w:p w14:paraId="4CA37CC1">
            <w:pPr>
              <w:pStyle w:val="14"/>
              <w:spacing w:before="1" w:line="242" w:lineRule="auto"/>
              <w:ind w:left="147" w:right="137"/>
              <w:rPr>
                <w:b/>
                <w:sz w:val="21"/>
              </w:rPr>
            </w:pPr>
            <w:r>
              <w:rPr>
                <w:b/>
                <w:sz w:val="21"/>
              </w:rPr>
              <w:t>保护内容</w:t>
            </w:r>
          </w:p>
        </w:tc>
        <w:tc>
          <w:tcPr>
            <w:tcW w:w="797" w:type="dxa"/>
            <w:vMerge w:val="restart"/>
          </w:tcPr>
          <w:p w14:paraId="530F902F">
            <w:pPr>
              <w:pStyle w:val="14"/>
              <w:spacing w:before="7"/>
              <w:rPr>
                <w:b/>
                <w:sz w:val="14"/>
              </w:rPr>
            </w:pPr>
          </w:p>
          <w:p w14:paraId="6AEC7EC4">
            <w:pPr>
              <w:pStyle w:val="14"/>
              <w:spacing w:before="1" w:line="242" w:lineRule="auto"/>
              <w:ind w:left="80" w:right="72" w:firstLine="105"/>
              <w:rPr>
                <w:b/>
                <w:sz w:val="21"/>
              </w:rPr>
            </w:pPr>
            <w:r>
              <w:rPr>
                <w:b/>
                <w:sz w:val="21"/>
              </w:rPr>
              <w:t>环境功能区</w:t>
            </w:r>
          </w:p>
        </w:tc>
        <w:tc>
          <w:tcPr>
            <w:tcW w:w="1580" w:type="dxa"/>
            <w:vMerge w:val="restart"/>
          </w:tcPr>
          <w:p w14:paraId="7A678083">
            <w:pPr>
              <w:pStyle w:val="14"/>
              <w:spacing w:before="3"/>
              <w:rPr>
                <w:b/>
                <w:sz w:val="25"/>
              </w:rPr>
            </w:pPr>
          </w:p>
          <w:p w14:paraId="509A735B">
            <w:pPr>
              <w:pStyle w:val="14"/>
              <w:ind w:left="157"/>
              <w:rPr>
                <w:b/>
                <w:sz w:val="21"/>
              </w:rPr>
            </w:pPr>
            <w:r>
              <w:rPr>
                <w:b/>
                <w:sz w:val="21"/>
              </w:rPr>
              <w:t>相对厂址方位</w:t>
            </w:r>
          </w:p>
        </w:tc>
        <w:tc>
          <w:tcPr>
            <w:tcW w:w="1580" w:type="dxa"/>
            <w:vMerge w:val="restart"/>
          </w:tcPr>
          <w:p w14:paraId="47F78CDE">
            <w:pPr>
              <w:pStyle w:val="14"/>
              <w:spacing w:before="3"/>
              <w:rPr>
                <w:b/>
                <w:sz w:val="25"/>
              </w:rPr>
            </w:pPr>
          </w:p>
          <w:p w14:paraId="42D8C0F6">
            <w:pPr>
              <w:pStyle w:val="14"/>
              <w:ind w:left="156"/>
              <w:rPr>
                <w:b/>
                <w:sz w:val="21"/>
              </w:rPr>
            </w:pPr>
            <w:r>
              <w:rPr>
                <w:b/>
                <w:sz w:val="21"/>
              </w:rPr>
              <w:t>相对最近距离</w:t>
            </w:r>
          </w:p>
        </w:tc>
      </w:tr>
      <w:tr w14:paraId="74CFE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64D8FA2C">
            <w:pPr>
              <w:rPr>
                <w:sz w:val="2"/>
                <w:szCs w:val="2"/>
              </w:rPr>
            </w:pPr>
          </w:p>
        </w:tc>
        <w:tc>
          <w:tcPr>
            <w:tcW w:w="535" w:type="dxa"/>
            <w:vMerge w:val="continue"/>
            <w:tcBorders>
              <w:top w:val="nil"/>
            </w:tcBorders>
          </w:tcPr>
          <w:p w14:paraId="62366C69">
            <w:pPr>
              <w:rPr>
                <w:sz w:val="2"/>
                <w:szCs w:val="2"/>
              </w:rPr>
            </w:pPr>
          </w:p>
        </w:tc>
        <w:tc>
          <w:tcPr>
            <w:tcW w:w="794" w:type="dxa"/>
            <w:vMerge w:val="continue"/>
            <w:tcBorders>
              <w:top w:val="nil"/>
            </w:tcBorders>
          </w:tcPr>
          <w:p w14:paraId="24C85D7F">
            <w:pPr>
              <w:rPr>
                <w:sz w:val="2"/>
                <w:szCs w:val="2"/>
              </w:rPr>
            </w:pPr>
          </w:p>
        </w:tc>
        <w:tc>
          <w:tcPr>
            <w:tcW w:w="621" w:type="dxa"/>
          </w:tcPr>
          <w:p w14:paraId="0A82B376">
            <w:pPr>
              <w:pStyle w:val="14"/>
              <w:spacing w:before="106"/>
              <w:ind w:left="7"/>
              <w:jc w:val="center"/>
              <w:rPr>
                <w:rFonts w:ascii="Times New Roman"/>
                <w:b/>
                <w:sz w:val="21"/>
              </w:rPr>
            </w:pPr>
            <w:r>
              <w:rPr>
                <w:rFonts w:ascii="Times New Roman"/>
                <w:b/>
                <w:w w:val="99"/>
                <w:sz w:val="21"/>
              </w:rPr>
              <w:t>X</w:t>
            </w:r>
          </w:p>
        </w:tc>
        <w:tc>
          <w:tcPr>
            <w:tcW w:w="621" w:type="dxa"/>
          </w:tcPr>
          <w:p w14:paraId="4B7909C4">
            <w:pPr>
              <w:pStyle w:val="14"/>
              <w:spacing w:before="106"/>
              <w:ind w:left="8"/>
              <w:jc w:val="center"/>
              <w:rPr>
                <w:rFonts w:ascii="Times New Roman"/>
                <w:b/>
                <w:sz w:val="21"/>
              </w:rPr>
            </w:pPr>
            <w:r>
              <w:rPr>
                <w:rFonts w:ascii="Times New Roman"/>
                <w:b/>
                <w:w w:val="99"/>
                <w:sz w:val="21"/>
              </w:rPr>
              <w:t>Y</w:t>
            </w:r>
          </w:p>
        </w:tc>
        <w:tc>
          <w:tcPr>
            <w:tcW w:w="536" w:type="dxa"/>
            <w:vMerge w:val="continue"/>
            <w:tcBorders>
              <w:top w:val="nil"/>
            </w:tcBorders>
          </w:tcPr>
          <w:p w14:paraId="4A283AA6">
            <w:pPr>
              <w:rPr>
                <w:sz w:val="2"/>
                <w:szCs w:val="2"/>
              </w:rPr>
            </w:pPr>
          </w:p>
        </w:tc>
        <w:tc>
          <w:tcPr>
            <w:tcW w:w="717" w:type="dxa"/>
            <w:vMerge w:val="continue"/>
            <w:tcBorders>
              <w:top w:val="nil"/>
            </w:tcBorders>
          </w:tcPr>
          <w:p w14:paraId="621ABA35">
            <w:pPr>
              <w:rPr>
                <w:sz w:val="2"/>
                <w:szCs w:val="2"/>
              </w:rPr>
            </w:pPr>
          </w:p>
        </w:tc>
        <w:tc>
          <w:tcPr>
            <w:tcW w:w="797" w:type="dxa"/>
            <w:vMerge w:val="continue"/>
            <w:tcBorders>
              <w:top w:val="nil"/>
            </w:tcBorders>
          </w:tcPr>
          <w:p w14:paraId="28F898F9">
            <w:pPr>
              <w:rPr>
                <w:sz w:val="2"/>
                <w:szCs w:val="2"/>
              </w:rPr>
            </w:pPr>
          </w:p>
        </w:tc>
        <w:tc>
          <w:tcPr>
            <w:tcW w:w="1580" w:type="dxa"/>
            <w:vMerge w:val="continue"/>
            <w:tcBorders>
              <w:top w:val="nil"/>
            </w:tcBorders>
          </w:tcPr>
          <w:p w14:paraId="428E2B51">
            <w:pPr>
              <w:rPr>
                <w:sz w:val="2"/>
                <w:szCs w:val="2"/>
              </w:rPr>
            </w:pPr>
          </w:p>
        </w:tc>
        <w:tc>
          <w:tcPr>
            <w:tcW w:w="1580" w:type="dxa"/>
            <w:vMerge w:val="continue"/>
            <w:tcBorders>
              <w:top w:val="nil"/>
            </w:tcBorders>
          </w:tcPr>
          <w:p w14:paraId="0F07DD66">
            <w:pPr>
              <w:rPr>
                <w:sz w:val="2"/>
                <w:szCs w:val="2"/>
              </w:rPr>
            </w:pPr>
          </w:p>
        </w:tc>
      </w:tr>
      <w:tr w14:paraId="30451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5" w:type="dxa"/>
            <w:vMerge w:val="restart"/>
          </w:tcPr>
          <w:p w14:paraId="59D9D07F">
            <w:pPr>
              <w:pStyle w:val="14"/>
              <w:rPr>
                <w:b/>
                <w:sz w:val="20"/>
              </w:rPr>
            </w:pPr>
          </w:p>
          <w:p w14:paraId="4C5BDD38">
            <w:pPr>
              <w:pStyle w:val="14"/>
              <w:rPr>
                <w:b/>
                <w:sz w:val="20"/>
              </w:rPr>
            </w:pPr>
          </w:p>
          <w:p w14:paraId="278E1AAA">
            <w:pPr>
              <w:pStyle w:val="14"/>
              <w:rPr>
                <w:b/>
                <w:sz w:val="20"/>
              </w:rPr>
            </w:pPr>
          </w:p>
          <w:p w14:paraId="648080C6">
            <w:pPr>
              <w:pStyle w:val="14"/>
              <w:rPr>
                <w:b/>
                <w:sz w:val="20"/>
              </w:rPr>
            </w:pPr>
          </w:p>
          <w:p w14:paraId="47779F58">
            <w:pPr>
              <w:pStyle w:val="14"/>
              <w:rPr>
                <w:b/>
                <w:sz w:val="20"/>
              </w:rPr>
            </w:pPr>
          </w:p>
          <w:p w14:paraId="46FD1100">
            <w:pPr>
              <w:pStyle w:val="14"/>
              <w:rPr>
                <w:b/>
                <w:sz w:val="20"/>
              </w:rPr>
            </w:pPr>
          </w:p>
          <w:p w14:paraId="105B6586">
            <w:pPr>
              <w:pStyle w:val="14"/>
              <w:rPr>
                <w:b/>
                <w:sz w:val="20"/>
              </w:rPr>
            </w:pPr>
          </w:p>
          <w:p w14:paraId="7E013A44">
            <w:pPr>
              <w:pStyle w:val="14"/>
              <w:rPr>
                <w:b/>
                <w:sz w:val="20"/>
              </w:rPr>
            </w:pPr>
          </w:p>
          <w:p w14:paraId="28CF2B9B">
            <w:pPr>
              <w:pStyle w:val="14"/>
              <w:rPr>
                <w:b/>
                <w:sz w:val="20"/>
              </w:rPr>
            </w:pPr>
          </w:p>
          <w:p w14:paraId="1F13CD62">
            <w:pPr>
              <w:pStyle w:val="14"/>
              <w:spacing w:before="7"/>
              <w:rPr>
                <w:b/>
                <w:sz w:val="15"/>
              </w:rPr>
            </w:pPr>
          </w:p>
          <w:p w14:paraId="73434A0F">
            <w:pPr>
              <w:pStyle w:val="14"/>
              <w:spacing w:before="1" w:line="244" w:lineRule="auto"/>
              <w:ind w:left="57" w:right="47"/>
              <w:rPr>
                <w:sz w:val="21"/>
              </w:rPr>
            </w:pPr>
            <w:r>
              <w:rPr>
                <w:w w:val="95"/>
                <w:sz w:val="21"/>
              </w:rPr>
              <w:t>大气环境</w:t>
            </w:r>
          </w:p>
        </w:tc>
        <w:tc>
          <w:tcPr>
            <w:tcW w:w="535" w:type="dxa"/>
          </w:tcPr>
          <w:p w14:paraId="38EAC99D">
            <w:pPr>
              <w:pStyle w:val="14"/>
              <w:spacing w:before="106"/>
              <w:ind w:left="213"/>
              <w:rPr>
                <w:rFonts w:ascii="Times New Roman"/>
                <w:sz w:val="21"/>
              </w:rPr>
            </w:pPr>
            <w:r>
              <w:rPr>
                <w:rFonts w:ascii="Times New Roman"/>
                <w:w w:val="99"/>
                <w:sz w:val="21"/>
              </w:rPr>
              <w:t>1</w:t>
            </w:r>
          </w:p>
        </w:tc>
        <w:tc>
          <w:tcPr>
            <w:tcW w:w="794" w:type="dxa"/>
          </w:tcPr>
          <w:p w14:paraId="0BFACC57">
            <w:pPr>
              <w:pStyle w:val="14"/>
              <w:spacing w:before="92"/>
              <w:ind w:left="61" w:right="53"/>
              <w:jc w:val="center"/>
              <w:rPr>
                <w:sz w:val="21"/>
              </w:rPr>
            </w:pPr>
            <w:r>
              <w:rPr>
                <w:sz w:val="21"/>
              </w:rPr>
              <w:t>岳阳县</w:t>
            </w:r>
          </w:p>
        </w:tc>
        <w:tc>
          <w:tcPr>
            <w:tcW w:w="621" w:type="dxa"/>
          </w:tcPr>
          <w:p w14:paraId="6A6E36C4">
            <w:pPr>
              <w:pStyle w:val="14"/>
              <w:spacing w:before="106"/>
              <w:ind w:left="8"/>
              <w:jc w:val="center"/>
              <w:rPr>
                <w:rFonts w:ascii="Times New Roman"/>
                <w:sz w:val="21"/>
              </w:rPr>
            </w:pPr>
            <w:r>
              <w:rPr>
                <w:rFonts w:ascii="Times New Roman"/>
                <w:w w:val="99"/>
                <w:sz w:val="21"/>
              </w:rPr>
              <w:t>0</w:t>
            </w:r>
          </w:p>
        </w:tc>
        <w:tc>
          <w:tcPr>
            <w:tcW w:w="621" w:type="dxa"/>
          </w:tcPr>
          <w:p w14:paraId="45D51583">
            <w:pPr>
              <w:pStyle w:val="14"/>
              <w:spacing w:before="106"/>
              <w:ind w:left="44" w:right="35"/>
              <w:jc w:val="center"/>
              <w:rPr>
                <w:rFonts w:ascii="Times New Roman"/>
                <w:sz w:val="21"/>
              </w:rPr>
            </w:pPr>
            <w:r>
              <w:rPr>
                <w:rFonts w:ascii="Times New Roman"/>
                <w:sz w:val="21"/>
              </w:rPr>
              <w:t>2500</w:t>
            </w:r>
          </w:p>
        </w:tc>
        <w:tc>
          <w:tcPr>
            <w:tcW w:w="536" w:type="dxa"/>
          </w:tcPr>
          <w:p w14:paraId="19822BCD">
            <w:pPr>
              <w:pStyle w:val="14"/>
              <w:spacing w:before="92"/>
              <w:ind w:left="36" w:right="30"/>
              <w:jc w:val="center"/>
              <w:rPr>
                <w:sz w:val="21"/>
              </w:rPr>
            </w:pPr>
            <w:r>
              <w:rPr>
                <w:sz w:val="21"/>
              </w:rPr>
              <w:t>居民</w:t>
            </w:r>
          </w:p>
        </w:tc>
        <w:tc>
          <w:tcPr>
            <w:tcW w:w="717" w:type="dxa"/>
          </w:tcPr>
          <w:p w14:paraId="25BF692A">
            <w:pPr>
              <w:pStyle w:val="14"/>
              <w:spacing w:before="92"/>
              <w:ind w:right="65"/>
              <w:jc w:val="right"/>
              <w:rPr>
                <w:sz w:val="21"/>
              </w:rPr>
            </w:pPr>
            <w:r>
              <w:rPr>
                <w:rFonts w:ascii="Times New Roman" w:eastAsia="Times New Roman"/>
                <w:sz w:val="21"/>
              </w:rPr>
              <w:t xml:space="preserve">5 </w:t>
            </w:r>
            <w:r>
              <w:rPr>
                <w:sz w:val="21"/>
              </w:rPr>
              <w:t>万人</w:t>
            </w:r>
          </w:p>
        </w:tc>
        <w:tc>
          <w:tcPr>
            <w:tcW w:w="797" w:type="dxa"/>
          </w:tcPr>
          <w:p w14:paraId="7166922F">
            <w:pPr>
              <w:pStyle w:val="14"/>
              <w:spacing w:before="92"/>
              <w:ind w:left="166" w:right="160"/>
              <w:jc w:val="center"/>
              <w:rPr>
                <w:sz w:val="21"/>
              </w:rPr>
            </w:pPr>
            <w:r>
              <w:rPr>
                <w:sz w:val="21"/>
              </w:rPr>
              <w:t>Ⅱ类</w:t>
            </w:r>
          </w:p>
        </w:tc>
        <w:tc>
          <w:tcPr>
            <w:tcW w:w="1580" w:type="dxa"/>
          </w:tcPr>
          <w:p w14:paraId="7EDE72DF">
            <w:pPr>
              <w:pStyle w:val="14"/>
              <w:spacing w:before="92"/>
              <w:ind w:left="450" w:right="443"/>
              <w:jc w:val="center"/>
              <w:rPr>
                <w:sz w:val="21"/>
              </w:rPr>
            </w:pPr>
            <w:r>
              <w:rPr>
                <w:sz w:val="21"/>
              </w:rPr>
              <w:t>北侧</w:t>
            </w:r>
          </w:p>
        </w:tc>
        <w:tc>
          <w:tcPr>
            <w:tcW w:w="1580" w:type="dxa"/>
          </w:tcPr>
          <w:p w14:paraId="31FBB948">
            <w:pPr>
              <w:pStyle w:val="14"/>
              <w:spacing w:before="106"/>
              <w:ind w:left="450" w:right="443"/>
              <w:jc w:val="center"/>
              <w:rPr>
                <w:rFonts w:ascii="Times New Roman"/>
                <w:sz w:val="21"/>
              </w:rPr>
            </w:pPr>
            <w:r>
              <w:rPr>
                <w:rFonts w:ascii="Times New Roman"/>
                <w:sz w:val="21"/>
              </w:rPr>
              <w:t>1.2km</w:t>
            </w:r>
          </w:p>
        </w:tc>
      </w:tr>
      <w:tr w14:paraId="679DF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5" w:type="dxa"/>
            <w:vMerge w:val="continue"/>
            <w:tcBorders>
              <w:top w:val="nil"/>
            </w:tcBorders>
          </w:tcPr>
          <w:p w14:paraId="63AF17E2">
            <w:pPr>
              <w:rPr>
                <w:sz w:val="2"/>
                <w:szCs w:val="2"/>
              </w:rPr>
            </w:pPr>
          </w:p>
        </w:tc>
        <w:tc>
          <w:tcPr>
            <w:tcW w:w="535" w:type="dxa"/>
          </w:tcPr>
          <w:p w14:paraId="3C390593">
            <w:pPr>
              <w:pStyle w:val="14"/>
              <w:spacing w:before="105"/>
              <w:ind w:left="213"/>
              <w:rPr>
                <w:rFonts w:ascii="Times New Roman"/>
                <w:sz w:val="21"/>
              </w:rPr>
            </w:pPr>
            <w:r>
              <w:rPr>
                <w:rFonts w:ascii="Times New Roman"/>
                <w:w w:val="99"/>
                <w:sz w:val="21"/>
              </w:rPr>
              <w:t>2</w:t>
            </w:r>
          </w:p>
        </w:tc>
        <w:tc>
          <w:tcPr>
            <w:tcW w:w="794" w:type="dxa"/>
          </w:tcPr>
          <w:p w14:paraId="4AFCC91D">
            <w:pPr>
              <w:pStyle w:val="14"/>
              <w:spacing w:before="91"/>
              <w:ind w:left="61" w:right="53"/>
              <w:jc w:val="center"/>
              <w:rPr>
                <w:sz w:val="21"/>
              </w:rPr>
            </w:pPr>
            <w:r>
              <w:rPr>
                <w:sz w:val="21"/>
              </w:rPr>
              <w:t>月东村</w:t>
            </w:r>
          </w:p>
        </w:tc>
        <w:tc>
          <w:tcPr>
            <w:tcW w:w="621" w:type="dxa"/>
          </w:tcPr>
          <w:p w14:paraId="195A7E1B">
            <w:pPr>
              <w:pStyle w:val="14"/>
              <w:spacing w:before="105"/>
              <w:ind w:left="44" w:right="36"/>
              <w:jc w:val="center"/>
              <w:rPr>
                <w:rFonts w:ascii="Times New Roman"/>
                <w:sz w:val="21"/>
              </w:rPr>
            </w:pPr>
            <w:r>
              <w:rPr>
                <w:rFonts w:ascii="Times New Roman"/>
                <w:sz w:val="21"/>
              </w:rPr>
              <w:t>600</w:t>
            </w:r>
          </w:p>
        </w:tc>
        <w:tc>
          <w:tcPr>
            <w:tcW w:w="621" w:type="dxa"/>
          </w:tcPr>
          <w:p w14:paraId="05B94454">
            <w:pPr>
              <w:pStyle w:val="14"/>
              <w:spacing w:before="105"/>
              <w:ind w:left="43" w:right="36"/>
              <w:jc w:val="center"/>
              <w:rPr>
                <w:rFonts w:ascii="Times New Roman"/>
                <w:sz w:val="21"/>
              </w:rPr>
            </w:pPr>
            <w:r>
              <w:rPr>
                <w:rFonts w:ascii="Times New Roman"/>
                <w:sz w:val="21"/>
              </w:rPr>
              <w:t>-30</w:t>
            </w:r>
          </w:p>
        </w:tc>
        <w:tc>
          <w:tcPr>
            <w:tcW w:w="536" w:type="dxa"/>
          </w:tcPr>
          <w:p w14:paraId="5D1CD199">
            <w:pPr>
              <w:pStyle w:val="14"/>
              <w:spacing w:before="91"/>
              <w:ind w:left="36" w:right="30"/>
              <w:jc w:val="center"/>
              <w:rPr>
                <w:sz w:val="21"/>
              </w:rPr>
            </w:pPr>
            <w:r>
              <w:rPr>
                <w:sz w:val="21"/>
              </w:rPr>
              <w:t>居民</w:t>
            </w:r>
          </w:p>
        </w:tc>
        <w:tc>
          <w:tcPr>
            <w:tcW w:w="717" w:type="dxa"/>
          </w:tcPr>
          <w:p w14:paraId="4F474064">
            <w:pPr>
              <w:pStyle w:val="14"/>
              <w:spacing w:before="91"/>
              <w:ind w:right="118"/>
              <w:jc w:val="right"/>
              <w:rPr>
                <w:sz w:val="21"/>
              </w:rPr>
            </w:pPr>
            <w:r>
              <w:rPr>
                <w:rFonts w:ascii="Times New Roman" w:eastAsia="Times New Roman"/>
                <w:sz w:val="21"/>
              </w:rPr>
              <w:t xml:space="preserve">30 </w:t>
            </w:r>
            <w:r>
              <w:rPr>
                <w:sz w:val="21"/>
              </w:rPr>
              <w:t>户</w:t>
            </w:r>
          </w:p>
        </w:tc>
        <w:tc>
          <w:tcPr>
            <w:tcW w:w="797" w:type="dxa"/>
          </w:tcPr>
          <w:p w14:paraId="5569E86A">
            <w:pPr>
              <w:pStyle w:val="14"/>
              <w:spacing w:before="91"/>
              <w:ind w:left="166" w:right="160"/>
              <w:jc w:val="center"/>
              <w:rPr>
                <w:sz w:val="21"/>
              </w:rPr>
            </w:pPr>
            <w:r>
              <w:rPr>
                <w:sz w:val="21"/>
              </w:rPr>
              <w:t>Ⅱ类</w:t>
            </w:r>
          </w:p>
        </w:tc>
        <w:tc>
          <w:tcPr>
            <w:tcW w:w="1580" w:type="dxa"/>
          </w:tcPr>
          <w:p w14:paraId="16E0CBFD">
            <w:pPr>
              <w:pStyle w:val="14"/>
              <w:spacing w:before="91"/>
              <w:ind w:left="450" w:right="443"/>
              <w:jc w:val="center"/>
              <w:rPr>
                <w:sz w:val="21"/>
              </w:rPr>
            </w:pPr>
            <w:r>
              <w:rPr>
                <w:sz w:val="21"/>
              </w:rPr>
              <w:t>东南侧</w:t>
            </w:r>
          </w:p>
        </w:tc>
        <w:tc>
          <w:tcPr>
            <w:tcW w:w="1580" w:type="dxa"/>
          </w:tcPr>
          <w:p w14:paraId="6FAC28D9">
            <w:pPr>
              <w:pStyle w:val="14"/>
              <w:spacing w:before="105"/>
              <w:ind w:left="450" w:right="440"/>
              <w:jc w:val="center"/>
              <w:rPr>
                <w:rFonts w:ascii="Times New Roman"/>
                <w:sz w:val="21"/>
              </w:rPr>
            </w:pPr>
            <w:r>
              <w:rPr>
                <w:rFonts w:ascii="Times New Roman"/>
                <w:sz w:val="21"/>
              </w:rPr>
              <w:t>20m</w:t>
            </w:r>
          </w:p>
        </w:tc>
      </w:tr>
      <w:tr w14:paraId="62B90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63C368B7">
            <w:pPr>
              <w:rPr>
                <w:sz w:val="2"/>
                <w:szCs w:val="2"/>
              </w:rPr>
            </w:pPr>
          </w:p>
        </w:tc>
        <w:tc>
          <w:tcPr>
            <w:tcW w:w="535" w:type="dxa"/>
          </w:tcPr>
          <w:p w14:paraId="4B99E85E">
            <w:pPr>
              <w:pStyle w:val="14"/>
              <w:spacing w:before="106"/>
              <w:ind w:left="213"/>
              <w:rPr>
                <w:rFonts w:ascii="Times New Roman"/>
                <w:sz w:val="21"/>
              </w:rPr>
            </w:pPr>
            <w:r>
              <w:rPr>
                <w:rFonts w:ascii="Times New Roman"/>
                <w:w w:val="99"/>
                <w:sz w:val="21"/>
              </w:rPr>
              <w:t>3</w:t>
            </w:r>
          </w:p>
        </w:tc>
        <w:tc>
          <w:tcPr>
            <w:tcW w:w="794" w:type="dxa"/>
          </w:tcPr>
          <w:p w14:paraId="474CFDB3">
            <w:pPr>
              <w:pStyle w:val="14"/>
              <w:spacing w:before="90"/>
              <w:ind w:left="61" w:right="53"/>
              <w:jc w:val="center"/>
              <w:rPr>
                <w:sz w:val="21"/>
              </w:rPr>
            </w:pPr>
            <w:r>
              <w:rPr>
                <w:sz w:val="21"/>
              </w:rPr>
              <w:t>邹敏屋</w:t>
            </w:r>
          </w:p>
        </w:tc>
        <w:tc>
          <w:tcPr>
            <w:tcW w:w="621" w:type="dxa"/>
          </w:tcPr>
          <w:p w14:paraId="70912D89">
            <w:pPr>
              <w:pStyle w:val="14"/>
              <w:spacing w:before="106"/>
              <w:ind w:left="44" w:right="36"/>
              <w:jc w:val="center"/>
              <w:rPr>
                <w:rFonts w:ascii="Times New Roman"/>
                <w:sz w:val="21"/>
              </w:rPr>
            </w:pPr>
            <w:r>
              <w:rPr>
                <w:rFonts w:ascii="Times New Roman"/>
                <w:sz w:val="21"/>
              </w:rPr>
              <w:t>1600</w:t>
            </w:r>
          </w:p>
        </w:tc>
        <w:tc>
          <w:tcPr>
            <w:tcW w:w="621" w:type="dxa"/>
          </w:tcPr>
          <w:p w14:paraId="1298D32C">
            <w:pPr>
              <w:pStyle w:val="14"/>
              <w:spacing w:before="106"/>
              <w:ind w:left="43" w:right="36"/>
              <w:jc w:val="center"/>
              <w:rPr>
                <w:rFonts w:ascii="Times New Roman"/>
                <w:sz w:val="21"/>
              </w:rPr>
            </w:pPr>
            <w:r>
              <w:rPr>
                <w:rFonts w:ascii="Times New Roman"/>
                <w:sz w:val="21"/>
              </w:rPr>
              <w:t>-500</w:t>
            </w:r>
          </w:p>
        </w:tc>
        <w:tc>
          <w:tcPr>
            <w:tcW w:w="536" w:type="dxa"/>
          </w:tcPr>
          <w:p w14:paraId="6ACDB0EE">
            <w:pPr>
              <w:pStyle w:val="14"/>
              <w:spacing w:before="90"/>
              <w:ind w:left="36" w:right="30"/>
              <w:jc w:val="center"/>
              <w:rPr>
                <w:sz w:val="21"/>
              </w:rPr>
            </w:pPr>
            <w:r>
              <w:rPr>
                <w:sz w:val="21"/>
              </w:rPr>
              <w:t>居民</w:t>
            </w:r>
          </w:p>
        </w:tc>
        <w:tc>
          <w:tcPr>
            <w:tcW w:w="717" w:type="dxa"/>
          </w:tcPr>
          <w:p w14:paraId="2186F328">
            <w:pPr>
              <w:pStyle w:val="14"/>
              <w:spacing w:before="90"/>
              <w:ind w:right="65"/>
              <w:jc w:val="right"/>
              <w:rPr>
                <w:sz w:val="21"/>
              </w:rPr>
            </w:pPr>
            <w:r>
              <w:rPr>
                <w:rFonts w:ascii="Times New Roman" w:eastAsia="Times New Roman"/>
                <w:sz w:val="21"/>
              </w:rPr>
              <w:t xml:space="preserve">150 </w:t>
            </w:r>
            <w:r>
              <w:rPr>
                <w:sz w:val="21"/>
              </w:rPr>
              <w:t>户</w:t>
            </w:r>
          </w:p>
        </w:tc>
        <w:tc>
          <w:tcPr>
            <w:tcW w:w="797" w:type="dxa"/>
          </w:tcPr>
          <w:p w14:paraId="243202A4">
            <w:pPr>
              <w:pStyle w:val="14"/>
              <w:spacing w:before="90"/>
              <w:ind w:left="166" w:right="160"/>
              <w:jc w:val="center"/>
              <w:rPr>
                <w:sz w:val="21"/>
              </w:rPr>
            </w:pPr>
            <w:r>
              <w:rPr>
                <w:sz w:val="21"/>
              </w:rPr>
              <w:t>Ⅱ类</w:t>
            </w:r>
          </w:p>
        </w:tc>
        <w:tc>
          <w:tcPr>
            <w:tcW w:w="1580" w:type="dxa"/>
          </w:tcPr>
          <w:p w14:paraId="4DA4B5D1">
            <w:pPr>
              <w:pStyle w:val="14"/>
              <w:spacing w:before="90"/>
              <w:ind w:left="450" w:right="443"/>
              <w:jc w:val="center"/>
              <w:rPr>
                <w:sz w:val="21"/>
              </w:rPr>
            </w:pPr>
            <w:r>
              <w:rPr>
                <w:sz w:val="21"/>
              </w:rPr>
              <w:t>东南侧</w:t>
            </w:r>
          </w:p>
        </w:tc>
        <w:tc>
          <w:tcPr>
            <w:tcW w:w="1580" w:type="dxa"/>
          </w:tcPr>
          <w:p w14:paraId="487572BC">
            <w:pPr>
              <w:pStyle w:val="14"/>
              <w:spacing w:before="106"/>
              <w:ind w:left="450" w:right="443"/>
              <w:jc w:val="center"/>
              <w:rPr>
                <w:rFonts w:ascii="Times New Roman"/>
                <w:sz w:val="21"/>
              </w:rPr>
            </w:pPr>
            <w:r>
              <w:rPr>
                <w:rFonts w:ascii="Times New Roman"/>
                <w:sz w:val="21"/>
              </w:rPr>
              <w:t>1.8km</w:t>
            </w:r>
          </w:p>
        </w:tc>
      </w:tr>
      <w:tr w14:paraId="6CCEF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5" w:type="dxa"/>
            <w:vMerge w:val="continue"/>
            <w:tcBorders>
              <w:top w:val="nil"/>
            </w:tcBorders>
          </w:tcPr>
          <w:p w14:paraId="1B950B18">
            <w:pPr>
              <w:rPr>
                <w:sz w:val="2"/>
                <w:szCs w:val="2"/>
              </w:rPr>
            </w:pPr>
          </w:p>
        </w:tc>
        <w:tc>
          <w:tcPr>
            <w:tcW w:w="535" w:type="dxa"/>
          </w:tcPr>
          <w:p w14:paraId="4530EF88">
            <w:pPr>
              <w:pStyle w:val="14"/>
              <w:spacing w:before="106"/>
              <w:ind w:left="213"/>
              <w:rPr>
                <w:rFonts w:ascii="Times New Roman"/>
                <w:sz w:val="21"/>
              </w:rPr>
            </w:pPr>
            <w:r>
              <w:rPr>
                <w:rFonts w:ascii="Times New Roman"/>
                <w:w w:val="99"/>
                <w:sz w:val="21"/>
              </w:rPr>
              <w:t>4</w:t>
            </w:r>
          </w:p>
        </w:tc>
        <w:tc>
          <w:tcPr>
            <w:tcW w:w="794" w:type="dxa"/>
          </w:tcPr>
          <w:p w14:paraId="3FABB3BC">
            <w:pPr>
              <w:pStyle w:val="14"/>
              <w:spacing w:before="92"/>
              <w:ind w:left="61" w:right="53"/>
              <w:jc w:val="center"/>
              <w:rPr>
                <w:sz w:val="21"/>
              </w:rPr>
            </w:pPr>
            <w:r>
              <w:rPr>
                <w:sz w:val="21"/>
              </w:rPr>
              <w:t>跃进村</w:t>
            </w:r>
          </w:p>
        </w:tc>
        <w:tc>
          <w:tcPr>
            <w:tcW w:w="621" w:type="dxa"/>
          </w:tcPr>
          <w:p w14:paraId="23A9BEC6">
            <w:pPr>
              <w:pStyle w:val="14"/>
              <w:spacing w:before="106"/>
              <w:ind w:left="44" w:right="36"/>
              <w:jc w:val="center"/>
              <w:rPr>
                <w:rFonts w:ascii="Times New Roman"/>
                <w:sz w:val="21"/>
              </w:rPr>
            </w:pPr>
            <w:r>
              <w:rPr>
                <w:rFonts w:ascii="Times New Roman"/>
                <w:sz w:val="21"/>
              </w:rPr>
              <w:t>3000</w:t>
            </w:r>
          </w:p>
        </w:tc>
        <w:tc>
          <w:tcPr>
            <w:tcW w:w="621" w:type="dxa"/>
          </w:tcPr>
          <w:p w14:paraId="614D1C3B">
            <w:pPr>
              <w:pStyle w:val="14"/>
              <w:spacing w:before="106"/>
              <w:ind w:left="43" w:right="36"/>
              <w:jc w:val="center"/>
              <w:rPr>
                <w:rFonts w:ascii="Times New Roman"/>
                <w:sz w:val="21"/>
              </w:rPr>
            </w:pPr>
            <w:r>
              <w:rPr>
                <w:rFonts w:ascii="Times New Roman"/>
                <w:sz w:val="21"/>
              </w:rPr>
              <w:t>-700</w:t>
            </w:r>
          </w:p>
        </w:tc>
        <w:tc>
          <w:tcPr>
            <w:tcW w:w="536" w:type="dxa"/>
          </w:tcPr>
          <w:p w14:paraId="05123141">
            <w:pPr>
              <w:pStyle w:val="14"/>
              <w:spacing w:before="92"/>
              <w:ind w:left="36" w:right="30"/>
              <w:jc w:val="center"/>
              <w:rPr>
                <w:sz w:val="21"/>
              </w:rPr>
            </w:pPr>
            <w:r>
              <w:rPr>
                <w:sz w:val="21"/>
              </w:rPr>
              <w:t>居民</w:t>
            </w:r>
          </w:p>
        </w:tc>
        <w:tc>
          <w:tcPr>
            <w:tcW w:w="717" w:type="dxa"/>
          </w:tcPr>
          <w:p w14:paraId="6A9BFDDD">
            <w:pPr>
              <w:pStyle w:val="14"/>
              <w:spacing w:before="92"/>
              <w:ind w:right="118"/>
              <w:jc w:val="right"/>
              <w:rPr>
                <w:sz w:val="21"/>
              </w:rPr>
            </w:pPr>
            <w:r>
              <w:rPr>
                <w:rFonts w:ascii="Times New Roman" w:eastAsia="Times New Roman"/>
                <w:sz w:val="21"/>
              </w:rPr>
              <w:t xml:space="preserve">50 </w:t>
            </w:r>
            <w:r>
              <w:rPr>
                <w:sz w:val="21"/>
              </w:rPr>
              <w:t>户</w:t>
            </w:r>
          </w:p>
        </w:tc>
        <w:tc>
          <w:tcPr>
            <w:tcW w:w="797" w:type="dxa"/>
          </w:tcPr>
          <w:p w14:paraId="50C13F09">
            <w:pPr>
              <w:pStyle w:val="14"/>
              <w:spacing w:before="92"/>
              <w:ind w:left="166" w:right="160"/>
              <w:jc w:val="center"/>
              <w:rPr>
                <w:sz w:val="21"/>
              </w:rPr>
            </w:pPr>
            <w:r>
              <w:rPr>
                <w:sz w:val="21"/>
              </w:rPr>
              <w:t>Ⅱ类</w:t>
            </w:r>
          </w:p>
        </w:tc>
        <w:tc>
          <w:tcPr>
            <w:tcW w:w="1580" w:type="dxa"/>
          </w:tcPr>
          <w:p w14:paraId="35AE4CF9">
            <w:pPr>
              <w:pStyle w:val="14"/>
              <w:spacing w:before="92"/>
              <w:ind w:left="450" w:right="443"/>
              <w:jc w:val="center"/>
              <w:rPr>
                <w:sz w:val="21"/>
              </w:rPr>
            </w:pPr>
            <w:r>
              <w:rPr>
                <w:sz w:val="21"/>
              </w:rPr>
              <w:t>东南侧</w:t>
            </w:r>
          </w:p>
        </w:tc>
        <w:tc>
          <w:tcPr>
            <w:tcW w:w="1580" w:type="dxa"/>
          </w:tcPr>
          <w:p w14:paraId="4C96CF42">
            <w:pPr>
              <w:pStyle w:val="14"/>
              <w:spacing w:before="106"/>
              <w:ind w:left="450" w:right="443"/>
              <w:jc w:val="center"/>
              <w:rPr>
                <w:rFonts w:ascii="Times New Roman"/>
                <w:sz w:val="21"/>
              </w:rPr>
            </w:pPr>
            <w:r>
              <w:rPr>
                <w:rFonts w:ascii="Times New Roman"/>
                <w:sz w:val="21"/>
              </w:rPr>
              <w:t>2.4km</w:t>
            </w:r>
          </w:p>
        </w:tc>
      </w:tr>
      <w:tr w14:paraId="1FD5B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6393FEF4">
            <w:pPr>
              <w:rPr>
                <w:sz w:val="2"/>
                <w:szCs w:val="2"/>
              </w:rPr>
            </w:pPr>
          </w:p>
        </w:tc>
        <w:tc>
          <w:tcPr>
            <w:tcW w:w="535" w:type="dxa"/>
          </w:tcPr>
          <w:p w14:paraId="485AE039">
            <w:pPr>
              <w:pStyle w:val="14"/>
              <w:spacing w:before="105"/>
              <w:ind w:left="213"/>
              <w:rPr>
                <w:rFonts w:ascii="Times New Roman"/>
                <w:sz w:val="21"/>
              </w:rPr>
            </w:pPr>
            <w:r>
              <w:rPr>
                <w:rFonts w:ascii="Times New Roman"/>
                <w:w w:val="99"/>
                <w:sz w:val="21"/>
              </w:rPr>
              <w:t>5</w:t>
            </w:r>
          </w:p>
        </w:tc>
        <w:tc>
          <w:tcPr>
            <w:tcW w:w="794" w:type="dxa"/>
          </w:tcPr>
          <w:p w14:paraId="7D8AB3AD">
            <w:pPr>
              <w:pStyle w:val="14"/>
              <w:spacing w:before="91"/>
              <w:ind w:left="61" w:right="53"/>
              <w:jc w:val="center"/>
              <w:rPr>
                <w:sz w:val="21"/>
              </w:rPr>
            </w:pPr>
            <w:r>
              <w:rPr>
                <w:sz w:val="21"/>
              </w:rPr>
              <w:t>许胜村</w:t>
            </w:r>
          </w:p>
        </w:tc>
        <w:tc>
          <w:tcPr>
            <w:tcW w:w="621" w:type="dxa"/>
          </w:tcPr>
          <w:p w14:paraId="65DA2B7B">
            <w:pPr>
              <w:pStyle w:val="14"/>
              <w:spacing w:before="105"/>
              <w:ind w:left="44" w:right="36"/>
              <w:jc w:val="center"/>
              <w:rPr>
                <w:rFonts w:ascii="Times New Roman"/>
                <w:sz w:val="21"/>
              </w:rPr>
            </w:pPr>
            <w:r>
              <w:rPr>
                <w:rFonts w:ascii="Times New Roman"/>
                <w:sz w:val="21"/>
              </w:rPr>
              <w:t>2000</w:t>
            </w:r>
          </w:p>
        </w:tc>
        <w:tc>
          <w:tcPr>
            <w:tcW w:w="621" w:type="dxa"/>
          </w:tcPr>
          <w:p w14:paraId="4286423F">
            <w:pPr>
              <w:pStyle w:val="14"/>
              <w:spacing w:before="105"/>
              <w:ind w:left="43" w:right="36"/>
              <w:jc w:val="center"/>
              <w:rPr>
                <w:rFonts w:ascii="Times New Roman"/>
                <w:sz w:val="21"/>
              </w:rPr>
            </w:pPr>
            <w:r>
              <w:rPr>
                <w:rFonts w:ascii="Times New Roman"/>
                <w:sz w:val="21"/>
              </w:rPr>
              <w:t>-1700</w:t>
            </w:r>
          </w:p>
        </w:tc>
        <w:tc>
          <w:tcPr>
            <w:tcW w:w="536" w:type="dxa"/>
          </w:tcPr>
          <w:p w14:paraId="2CD175C7">
            <w:pPr>
              <w:pStyle w:val="14"/>
              <w:spacing w:before="91"/>
              <w:ind w:left="36" w:right="30"/>
              <w:jc w:val="center"/>
              <w:rPr>
                <w:sz w:val="21"/>
              </w:rPr>
            </w:pPr>
            <w:r>
              <w:rPr>
                <w:sz w:val="21"/>
              </w:rPr>
              <w:t>居民</w:t>
            </w:r>
          </w:p>
        </w:tc>
        <w:tc>
          <w:tcPr>
            <w:tcW w:w="717" w:type="dxa"/>
          </w:tcPr>
          <w:p w14:paraId="338C0F63">
            <w:pPr>
              <w:pStyle w:val="14"/>
              <w:spacing w:before="91"/>
              <w:ind w:right="65"/>
              <w:jc w:val="right"/>
              <w:rPr>
                <w:sz w:val="21"/>
              </w:rPr>
            </w:pPr>
            <w:r>
              <w:rPr>
                <w:rFonts w:ascii="Times New Roman" w:eastAsia="Times New Roman"/>
                <w:sz w:val="21"/>
              </w:rPr>
              <w:t xml:space="preserve">130 </w:t>
            </w:r>
            <w:r>
              <w:rPr>
                <w:sz w:val="21"/>
              </w:rPr>
              <w:t>户</w:t>
            </w:r>
          </w:p>
        </w:tc>
        <w:tc>
          <w:tcPr>
            <w:tcW w:w="797" w:type="dxa"/>
          </w:tcPr>
          <w:p w14:paraId="7A774663">
            <w:pPr>
              <w:pStyle w:val="14"/>
              <w:spacing w:before="91"/>
              <w:ind w:left="166" w:right="160"/>
              <w:jc w:val="center"/>
              <w:rPr>
                <w:sz w:val="21"/>
              </w:rPr>
            </w:pPr>
            <w:r>
              <w:rPr>
                <w:sz w:val="21"/>
              </w:rPr>
              <w:t>Ⅱ类</w:t>
            </w:r>
          </w:p>
        </w:tc>
        <w:tc>
          <w:tcPr>
            <w:tcW w:w="1580" w:type="dxa"/>
          </w:tcPr>
          <w:p w14:paraId="22FA71EB">
            <w:pPr>
              <w:pStyle w:val="14"/>
              <w:spacing w:before="91"/>
              <w:ind w:left="450" w:right="443"/>
              <w:jc w:val="center"/>
              <w:rPr>
                <w:sz w:val="21"/>
              </w:rPr>
            </w:pPr>
            <w:r>
              <w:rPr>
                <w:sz w:val="21"/>
              </w:rPr>
              <w:t>东南侧</w:t>
            </w:r>
          </w:p>
        </w:tc>
        <w:tc>
          <w:tcPr>
            <w:tcW w:w="1580" w:type="dxa"/>
          </w:tcPr>
          <w:p w14:paraId="3AF51BE1">
            <w:pPr>
              <w:pStyle w:val="14"/>
              <w:spacing w:before="105"/>
              <w:ind w:left="450" w:right="443"/>
              <w:jc w:val="center"/>
              <w:rPr>
                <w:rFonts w:ascii="Times New Roman"/>
                <w:sz w:val="21"/>
              </w:rPr>
            </w:pPr>
            <w:r>
              <w:rPr>
                <w:rFonts w:ascii="Times New Roman"/>
                <w:sz w:val="21"/>
              </w:rPr>
              <w:t>2km</w:t>
            </w:r>
          </w:p>
        </w:tc>
      </w:tr>
      <w:tr w14:paraId="5C860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5" w:type="dxa"/>
            <w:vMerge w:val="continue"/>
            <w:tcBorders>
              <w:top w:val="nil"/>
            </w:tcBorders>
          </w:tcPr>
          <w:p w14:paraId="1BFD8BEA">
            <w:pPr>
              <w:rPr>
                <w:sz w:val="2"/>
                <w:szCs w:val="2"/>
              </w:rPr>
            </w:pPr>
          </w:p>
        </w:tc>
        <w:tc>
          <w:tcPr>
            <w:tcW w:w="535" w:type="dxa"/>
          </w:tcPr>
          <w:p w14:paraId="3D5AC619">
            <w:pPr>
              <w:pStyle w:val="14"/>
              <w:spacing w:before="106"/>
              <w:ind w:left="213"/>
              <w:rPr>
                <w:rFonts w:ascii="Times New Roman"/>
                <w:sz w:val="21"/>
              </w:rPr>
            </w:pPr>
            <w:r>
              <w:rPr>
                <w:rFonts w:ascii="Times New Roman"/>
                <w:w w:val="99"/>
                <w:sz w:val="21"/>
              </w:rPr>
              <w:t>6</w:t>
            </w:r>
          </w:p>
        </w:tc>
        <w:tc>
          <w:tcPr>
            <w:tcW w:w="794" w:type="dxa"/>
          </w:tcPr>
          <w:p w14:paraId="3D02F568">
            <w:pPr>
              <w:pStyle w:val="14"/>
              <w:spacing w:before="90"/>
              <w:ind w:left="61" w:right="53"/>
              <w:jc w:val="center"/>
              <w:rPr>
                <w:sz w:val="21"/>
              </w:rPr>
            </w:pPr>
            <w:r>
              <w:rPr>
                <w:sz w:val="21"/>
              </w:rPr>
              <w:t>群兴村</w:t>
            </w:r>
          </w:p>
        </w:tc>
        <w:tc>
          <w:tcPr>
            <w:tcW w:w="621" w:type="dxa"/>
          </w:tcPr>
          <w:p w14:paraId="05BF28E1">
            <w:pPr>
              <w:pStyle w:val="14"/>
              <w:spacing w:before="106"/>
              <w:ind w:left="44" w:right="36"/>
              <w:jc w:val="center"/>
              <w:rPr>
                <w:rFonts w:ascii="Times New Roman"/>
                <w:sz w:val="21"/>
              </w:rPr>
            </w:pPr>
            <w:r>
              <w:rPr>
                <w:rFonts w:ascii="Times New Roman"/>
                <w:sz w:val="21"/>
              </w:rPr>
              <w:t>1500</w:t>
            </w:r>
          </w:p>
        </w:tc>
        <w:tc>
          <w:tcPr>
            <w:tcW w:w="621" w:type="dxa"/>
          </w:tcPr>
          <w:p w14:paraId="4069E986">
            <w:pPr>
              <w:pStyle w:val="14"/>
              <w:spacing w:before="106"/>
              <w:ind w:left="43" w:right="36"/>
              <w:jc w:val="center"/>
              <w:rPr>
                <w:rFonts w:ascii="Times New Roman"/>
                <w:sz w:val="21"/>
              </w:rPr>
            </w:pPr>
            <w:r>
              <w:rPr>
                <w:rFonts w:ascii="Times New Roman"/>
                <w:sz w:val="21"/>
              </w:rPr>
              <w:t>-2600</w:t>
            </w:r>
          </w:p>
        </w:tc>
        <w:tc>
          <w:tcPr>
            <w:tcW w:w="536" w:type="dxa"/>
          </w:tcPr>
          <w:p w14:paraId="4FE0CA35">
            <w:pPr>
              <w:pStyle w:val="14"/>
              <w:spacing w:before="90"/>
              <w:ind w:left="36" w:right="30"/>
              <w:jc w:val="center"/>
              <w:rPr>
                <w:sz w:val="21"/>
              </w:rPr>
            </w:pPr>
            <w:r>
              <w:rPr>
                <w:sz w:val="21"/>
              </w:rPr>
              <w:t>居民</w:t>
            </w:r>
          </w:p>
        </w:tc>
        <w:tc>
          <w:tcPr>
            <w:tcW w:w="717" w:type="dxa"/>
          </w:tcPr>
          <w:p w14:paraId="6AA9C182">
            <w:pPr>
              <w:pStyle w:val="14"/>
              <w:spacing w:before="90"/>
              <w:ind w:right="118"/>
              <w:jc w:val="right"/>
              <w:rPr>
                <w:sz w:val="21"/>
              </w:rPr>
            </w:pPr>
            <w:r>
              <w:rPr>
                <w:rFonts w:ascii="Times New Roman" w:eastAsia="Times New Roman"/>
                <w:sz w:val="21"/>
              </w:rPr>
              <w:t xml:space="preserve">80 </w:t>
            </w:r>
            <w:r>
              <w:rPr>
                <w:sz w:val="21"/>
              </w:rPr>
              <w:t>户</w:t>
            </w:r>
          </w:p>
        </w:tc>
        <w:tc>
          <w:tcPr>
            <w:tcW w:w="797" w:type="dxa"/>
          </w:tcPr>
          <w:p w14:paraId="1E2F9BA6">
            <w:pPr>
              <w:pStyle w:val="14"/>
              <w:spacing w:before="90"/>
              <w:ind w:left="166" w:right="160"/>
              <w:jc w:val="center"/>
              <w:rPr>
                <w:sz w:val="21"/>
              </w:rPr>
            </w:pPr>
            <w:r>
              <w:rPr>
                <w:sz w:val="21"/>
              </w:rPr>
              <w:t>Ⅱ类</w:t>
            </w:r>
          </w:p>
        </w:tc>
        <w:tc>
          <w:tcPr>
            <w:tcW w:w="1580" w:type="dxa"/>
          </w:tcPr>
          <w:p w14:paraId="66391B7B">
            <w:pPr>
              <w:pStyle w:val="14"/>
              <w:spacing w:before="90"/>
              <w:ind w:left="450" w:right="443"/>
              <w:jc w:val="center"/>
              <w:rPr>
                <w:sz w:val="21"/>
              </w:rPr>
            </w:pPr>
            <w:r>
              <w:rPr>
                <w:sz w:val="21"/>
              </w:rPr>
              <w:t>东南侧</w:t>
            </w:r>
          </w:p>
        </w:tc>
        <w:tc>
          <w:tcPr>
            <w:tcW w:w="1580" w:type="dxa"/>
          </w:tcPr>
          <w:p w14:paraId="216893B5">
            <w:pPr>
              <w:pStyle w:val="14"/>
              <w:spacing w:before="106"/>
              <w:ind w:left="450" w:right="443"/>
              <w:jc w:val="center"/>
              <w:rPr>
                <w:rFonts w:ascii="Times New Roman"/>
                <w:sz w:val="21"/>
              </w:rPr>
            </w:pPr>
            <w:r>
              <w:rPr>
                <w:rFonts w:ascii="Times New Roman"/>
                <w:sz w:val="21"/>
              </w:rPr>
              <w:t>2.45km</w:t>
            </w:r>
          </w:p>
        </w:tc>
      </w:tr>
      <w:tr w14:paraId="7C718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5" w:type="dxa"/>
            <w:vMerge w:val="continue"/>
            <w:tcBorders>
              <w:top w:val="nil"/>
            </w:tcBorders>
          </w:tcPr>
          <w:p w14:paraId="1B21B499">
            <w:pPr>
              <w:rPr>
                <w:sz w:val="2"/>
                <w:szCs w:val="2"/>
              </w:rPr>
            </w:pPr>
          </w:p>
        </w:tc>
        <w:tc>
          <w:tcPr>
            <w:tcW w:w="535" w:type="dxa"/>
          </w:tcPr>
          <w:p w14:paraId="412BA07F">
            <w:pPr>
              <w:pStyle w:val="14"/>
              <w:spacing w:before="106"/>
              <w:ind w:left="213"/>
              <w:rPr>
                <w:rFonts w:ascii="Times New Roman"/>
                <w:sz w:val="21"/>
              </w:rPr>
            </w:pPr>
            <w:r>
              <w:rPr>
                <w:rFonts w:ascii="Times New Roman"/>
                <w:w w:val="99"/>
                <w:sz w:val="21"/>
              </w:rPr>
              <w:t>7</w:t>
            </w:r>
          </w:p>
        </w:tc>
        <w:tc>
          <w:tcPr>
            <w:tcW w:w="794" w:type="dxa"/>
          </w:tcPr>
          <w:p w14:paraId="34A81D2F">
            <w:pPr>
              <w:pStyle w:val="14"/>
              <w:spacing w:before="92"/>
              <w:ind w:left="61" w:right="53"/>
              <w:jc w:val="center"/>
              <w:rPr>
                <w:sz w:val="21"/>
              </w:rPr>
            </w:pPr>
            <w:r>
              <w:rPr>
                <w:sz w:val="21"/>
              </w:rPr>
              <w:t>胡再如</w:t>
            </w:r>
          </w:p>
        </w:tc>
        <w:tc>
          <w:tcPr>
            <w:tcW w:w="621" w:type="dxa"/>
          </w:tcPr>
          <w:p w14:paraId="457950AC">
            <w:pPr>
              <w:pStyle w:val="14"/>
              <w:spacing w:before="106"/>
              <w:ind w:left="8"/>
              <w:jc w:val="center"/>
              <w:rPr>
                <w:rFonts w:ascii="Times New Roman"/>
                <w:sz w:val="21"/>
              </w:rPr>
            </w:pPr>
            <w:r>
              <w:rPr>
                <w:rFonts w:ascii="Times New Roman"/>
                <w:w w:val="99"/>
                <w:sz w:val="21"/>
              </w:rPr>
              <w:t>0</w:t>
            </w:r>
          </w:p>
        </w:tc>
        <w:tc>
          <w:tcPr>
            <w:tcW w:w="621" w:type="dxa"/>
          </w:tcPr>
          <w:p w14:paraId="36258431">
            <w:pPr>
              <w:pStyle w:val="14"/>
              <w:spacing w:before="106"/>
              <w:ind w:left="43" w:right="36"/>
              <w:jc w:val="center"/>
              <w:rPr>
                <w:rFonts w:ascii="Times New Roman"/>
                <w:sz w:val="21"/>
              </w:rPr>
            </w:pPr>
            <w:r>
              <w:rPr>
                <w:rFonts w:ascii="Times New Roman"/>
                <w:sz w:val="21"/>
              </w:rPr>
              <w:t>-2700</w:t>
            </w:r>
          </w:p>
        </w:tc>
        <w:tc>
          <w:tcPr>
            <w:tcW w:w="536" w:type="dxa"/>
          </w:tcPr>
          <w:p w14:paraId="3E531447">
            <w:pPr>
              <w:pStyle w:val="14"/>
              <w:spacing w:before="92"/>
              <w:ind w:left="36" w:right="30"/>
              <w:jc w:val="center"/>
              <w:rPr>
                <w:sz w:val="21"/>
              </w:rPr>
            </w:pPr>
            <w:r>
              <w:rPr>
                <w:sz w:val="21"/>
              </w:rPr>
              <w:t>居民</w:t>
            </w:r>
          </w:p>
        </w:tc>
        <w:tc>
          <w:tcPr>
            <w:tcW w:w="717" w:type="dxa"/>
          </w:tcPr>
          <w:p w14:paraId="4318C10B">
            <w:pPr>
              <w:pStyle w:val="14"/>
              <w:spacing w:before="92"/>
              <w:ind w:right="118"/>
              <w:jc w:val="right"/>
              <w:rPr>
                <w:sz w:val="21"/>
              </w:rPr>
            </w:pPr>
            <w:r>
              <w:rPr>
                <w:rFonts w:ascii="Times New Roman" w:eastAsia="Times New Roman"/>
                <w:sz w:val="21"/>
              </w:rPr>
              <w:t xml:space="preserve">70 </w:t>
            </w:r>
            <w:r>
              <w:rPr>
                <w:sz w:val="21"/>
              </w:rPr>
              <w:t>户</w:t>
            </w:r>
          </w:p>
        </w:tc>
        <w:tc>
          <w:tcPr>
            <w:tcW w:w="797" w:type="dxa"/>
          </w:tcPr>
          <w:p w14:paraId="2D9E02FB">
            <w:pPr>
              <w:pStyle w:val="14"/>
              <w:spacing w:before="92"/>
              <w:ind w:left="166" w:right="160"/>
              <w:jc w:val="center"/>
              <w:rPr>
                <w:sz w:val="21"/>
              </w:rPr>
            </w:pPr>
            <w:r>
              <w:rPr>
                <w:sz w:val="21"/>
              </w:rPr>
              <w:t>Ⅱ类</w:t>
            </w:r>
          </w:p>
        </w:tc>
        <w:tc>
          <w:tcPr>
            <w:tcW w:w="1580" w:type="dxa"/>
          </w:tcPr>
          <w:p w14:paraId="072A79E2">
            <w:pPr>
              <w:pStyle w:val="14"/>
              <w:spacing w:before="92"/>
              <w:ind w:left="450" w:right="443"/>
              <w:jc w:val="center"/>
              <w:rPr>
                <w:sz w:val="21"/>
              </w:rPr>
            </w:pPr>
            <w:r>
              <w:rPr>
                <w:sz w:val="21"/>
              </w:rPr>
              <w:t>南侧</w:t>
            </w:r>
          </w:p>
        </w:tc>
        <w:tc>
          <w:tcPr>
            <w:tcW w:w="1580" w:type="dxa"/>
          </w:tcPr>
          <w:p w14:paraId="2D58C02A">
            <w:pPr>
              <w:pStyle w:val="14"/>
              <w:spacing w:before="106"/>
              <w:ind w:left="450" w:right="443"/>
              <w:jc w:val="center"/>
              <w:rPr>
                <w:rFonts w:ascii="Times New Roman"/>
                <w:sz w:val="21"/>
              </w:rPr>
            </w:pPr>
            <w:r>
              <w:rPr>
                <w:rFonts w:ascii="Times New Roman"/>
                <w:sz w:val="21"/>
              </w:rPr>
              <w:t>2.35km</w:t>
            </w:r>
          </w:p>
        </w:tc>
      </w:tr>
      <w:tr w14:paraId="52C98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4962C555">
            <w:pPr>
              <w:rPr>
                <w:sz w:val="2"/>
                <w:szCs w:val="2"/>
              </w:rPr>
            </w:pPr>
          </w:p>
        </w:tc>
        <w:tc>
          <w:tcPr>
            <w:tcW w:w="535" w:type="dxa"/>
          </w:tcPr>
          <w:p w14:paraId="44E96244">
            <w:pPr>
              <w:pStyle w:val="14"/>
              <w:spacing w:before="105"/>
              <w:ind w:left="213"/>
              <w:rPr>
                <w:rFonts w:ascii="Times New Roman"/>
                <w:sz w:val="21"/>
              </w:rPr>
            </w:pPr>
            <w:r>
              <w:rPr>
                <w:rFonts w:ascii="Times New Roman"/>
                <w:w w:val="99"/>
                <w:sz w:val="21"/>
              </w:rPr>
              <w:t>8</w:t>
            </w:r>
          </w:p>
        </w:tc>
        <w:tc>
          <w:tcPr>
            <w:tcW w:w="794" w:type="dxa"/>
          </w:tcPr>
          <w:p w14:paraId="7C360CBC">
            <w:pPr>
              <w:pStyle w:val="14"/>
              <w:spacing w:before="91"/>
              <w:ind w:left="61" w:right="53"/>
              <w:jc w:val="center"/>
              <w:rPr>
                <w:sz w:val="21"/>
              </w:rPr>
            </w:pPr>
            <w:r>
              <w:rPr>
                <w:sz w:val="21"/>
              </w:rPr>
              <w:t>群力村</w:t>
            </w:r>
          </w:p>
        </w:tc>
        <w:tc>
          <w:tcPr>
            <w:tcW w:w="621" w:type="dxa"/>
          </w:tcPr>
          <w:p w14:paraId="41C64214">
            <w:pPr>
              <w:pStyle w:val="14"/>
              <w:spacing w:before="105"/>
              <w:ind w:left="44" w:right="36"/>
              <w:jc w:val="center"/>
              <w:rPr>
                <w:rFonts w:ascii="Times New Roman"/>
                <w:sz w:val="21"/>
              </w:rPr>
            </w:pPr>
            <w:r>
              <w:rPr>
                <w:rFonts w:ascii="Times New Roman"/>
                <w:sz w:val="21"/>
              </w:rPr>
              <w:t>-300</w:t>
            </w:r>
          </w:p>
        </w:tc>
        <w:tc>
          <w:tcPr>
            <w:tcW w:w="621" w:type="dxa"/>
          </w:tcPr>
          <w:p w14:paraId="16EF5EE9">
            <w:pPr>
              <w:pStyle w:val="14"/>
              <w:spacing w:before="105"/>
              <w:ind w:left="43" w:right="36"/>
              <w:jc w:val="center"/>
              <w:rPr>
                <w:rFonts w:ascii="Times New Roman"/>
                <w:sz w:val="21"/>
              </w:rPr>
            </w:pPr>
            <w:r>
              <w:rPr>
                <w:rFonts w:ascii="Times New Roman"/>
                <w:sz w:val="21"/>
              </w:rPr>
              <w:t>-1000</w:t>
            </w:r>
          </w:p>
        </w:tc>
        <w:tc>
          <w:tcPr>
            <w:tcW w:w="536" w:type="dxa"/>
          </w:tcPr>
          <w:p w14:paraId="13BA597C">
            <w:pPr>
              <w:pStyle w:val="14"/>
              <w:spacing w:before="91"/>
              <w:ind w:left="36" w:right="30"/>
              <w:jc w:val="center"/>
              <w:rPr>
                <w:sz w:val="21"/>
              </w:rPr>
            </w:pPr>
            <w:r>
              <w:rPr>
                <w:sz w:val="21"/>
              </w:rPr>
              <w:t>居民</w:t>
            </w:r>
          </w:p>
        </w:tc>
        <w:tc>
          <w:tcPr>
            <w:tcW w:w="717" w:type="dxa"/>
          </w:tcPr>
          <w:p w14:paraId="0D4370F8">
            <w:pPr>
              <w:pStyle w:val="14"/>
              <w:spacing w:before="91"/>
              <w:ind w:right="65"/>
              <w:jc w:val="right"/>
              <w:rPr>
                <w:sz w:val="21"/>
              </w:rPr>
            </w:pPr>
            <w:r>
              <w:rPr>
                <w:rFonts w:ascii="Times New Roman" w:eastAsia="Times New Roman"/>
                <w:sz w:val="21"/>
              </w:rPr>
              <w:t xml:space="preserve">180 </w:t>
            </w:r>
            <w:r>
              <w:rPr>
                <w:sz w:val="21"/>
              </w:rPr>
              <w:t>户</w:t>
            </w:r>
          </w:p>
        </w:tc>
        <w:tc>
          <w:tcPr>
            <w:tcW w:w="797" w:type="dxa"/>
          </w:tcPr>
          <w:p w14:paraId="651A303B">
            <w:pPr>
              <w:pStyle w:val="14"/>
              <w:spacing w:before="91"/>
              <w:ind w:left="166" w:right="160"/>
              <w:jc w:val="center"/>
              <w:rPr>
                <w:sz w:val="21"/>
              </w:rPr>
            </w:pPr>
            <w:r>
              <w:rPr>
                <w:sz w:val="21"/>
              </w:rPr>
              <w:t>Ⅱ类</w:t>
            </w:r>
          </w:p>
        </w:tc>
        <w:tc>
          <w:tcPr>
            <w:tcW w:w="1580" w:type="dxa"/>
          </w:tcPr>
          <w:p w14:paraId="7789C5A8">
            <w:pPr>
              <w:pStyle w:val="14"/>
              <w:spacing w:before="91"/>
              <w:ind w:left="450" w:right="443"/>
              <w:jc w:val="center"/>
              <w:rPr>
                <w:sz w:val="21"/>
              </w:rPr>
            </w:pPr>
            <w:r>
              <w:rPr>
                <w:sz w:val="21"/>
              </w:rPr>
              <w:t>西南侧</w:t>
            </w:r>
          </w:p>
        </w:tc>
        <w:tc>
          <w:tcPr>
            <w:tcW w:w="1580" w:type="dxa"/>
          </w:tcPr>
          <w:p w14:paraId="0162CE8C">
            <w:pPr>
              <w:pStyle w:val="14"/>
              <w:spacing w:before="105"/>
              <w:ind w:left="450" w:right="443"/>
              <w:jc w:val="center"/>
              <w:rPr>
                <w:rFonts w:ascii="Times New Roman"/>
                <w:sz w:val="21"/>
              </w:rPr>
            </w:pPr>
            <w:r>
              <w:rPr>
                <w:rFonts w:ascii="Times New Roman"/>
                <w:sz w:val="21"/>
              </w:rPr>
              <w:t>1km</w:t>
            </w:r>
          </w:p>
        </w:tc>
      </w:tr>
      <w:tr w14:paraId="55152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5FD60B16">
            <w:pPr>
              <w:rPr>
                <w:sz w:val="2"/>
                <w:szCs w:val="2"/>
              </w:rPr>
            </w:pPr>
          </w:p>
        </w:tc>
        <w:tc>
          <w:tcPr>
            <w:tcW w:w="535" w:type="dxa"/>
          </w:tcPr>
          <w:p w14:paraId="043043C3">
            <w:pPr>
              <w:pStyle w:val="14"/>
              <w:spacing w:before="106"/>
              <w:ind w:left="213"/>
              <w:rPr>
                <w:rFonts w:ascii="Times New Roman"/>
                <w:sz w:val="21"/>
              </w:rPr>
            </w:pPr>
            <w:r>
              <w:rPr>
                <w:rFonts w:ascii="Times New Roman"/>
                <w:w w:val="99"/>
                <w:sz w:val="21"/>
              </w:rPr>
              <w:t>9</w:t>
            </w:r>
          </w:p>
        </w:tc>
        <w:tc>
          <w:tcPr>
            <w:tcW w:w="794" w:type="dxa"/>
          </w:tcPr>
          <w:p w14:paraId="098FAC76">
            <w:pPr>
              <w:pStyle w:val="14"/>
              <w:spacing w:before="90"/>
              <w:ind w:left="61" w:right="53"/>
              <w:jc w:val="center"/>
              <w:rPr>
                <w:sz w:val="21"/>
              </w:rPr>
            </w:pPr>
            <w:r>
              <w:rPr>
                <w:sz w:val="21"/>
              </w:rPr>
              <w:t>周受二</w:t>
            </w:r>
          </w:p>
        </w:tc>
        <w:tc>
          <w:tcPr>
            <w:tcW w:w="621" w:type="dxa"/>
          </w:tcPr>
          <w:p w14:paraId="7C93D682">
            <w:pPr>
              <w:pStyle w:val="14"/>
              <w:spacing w:before="106"/>
              <w:ind w:left="44" w:right="36"/>
              <w:jc w:val="center"/>
              <w:rPr>
                <w:rFonts w:ascii="Times New Roman"/>
                <w:sz w:val="21"/>
              </w:rPr>
            </w:pPr>
            <w:r>
              <w:rPr>
                <w:rFonts w:ascii="Times New Roman"/>
                <w:sz w:val="21"/>
              </w:rPr>
              <w:t>-550</w:t>
            </w:r>
          </w:p>
        </w:tc>
        <w:tc>
          <w:tcPr>
            <w:tcW w:w="621" w:type="dxa"/>
          </w:tcPr>
          <w:p w14:paraId="6F9DD1DE">
            <w:pPr>
              <w:pStyle w:val="14"/>
              <w:spacing w:before="106"/>
              <w:ind w:left="43" w:right="36"/>
              <w:jc w:val="center"/>
              <w:rPr>
                <w:rFonts w:ascii="Times New Roman"/>
                <w:sz w:val="21"/>
              </w:rPr>
            </w:pPr>
            <w:r>
              <w:rPr>
                <w:rFonts w:ascii="Times New Roman"/>
                <w:sz w:val="21"/>
              </w:rPr>
              <w:t>-1400</w:t>
            </w:r>
          </w:p>
        </w:tc>
        <w:tc>
          <w:tcPr>
            <w:tcW w:w="536" w:type="dxa"/>
          </w:tcPr>
          <w:p w14:paraId="4EC0F508">
            <w:pPr>
              <w:pStyle w:val="14"/>
              <w:spacing w:before="90"/>
              <w:ind w:left="36" w:right="30"/>
              <w:jc w:val="center"/>
              <w:rPr>
                <w:sz w:val="21"/>
              </w:rPr>
            </w:pPr>
            <w:r>
              <w:rPr>
                <w:sz w:val="21"/>
              </w:rPr>
              <w:t>居民</w:t>
            </w:r>
          </w:p>
        </w:tc>
        <w:tc>
          <w:tcPr>
            <w:tcW w:w="717" w:type="dxa"/>
          </w:tcPr>
          <w:p w14:paraId="4A1AE157">
            <w:pPr>
              <w:pStyle w:val="14"/>
              <w:spacing w:before="90"/>
              <w:ind w:right="65"/>
              <w:jc w:val="right"/>
              <w:rPr>
                <w:sz w:val="21"/>
              </w:rPr>
            </w:pPr>
            <w:r>
              <w:rPr>
                <w:rFonts w:ascii="Times New Roman" w:eastAsia="Times New Roman"/>
                <w:sz w:val="21"/>
              </w:rPr>
              <w:t xml:space="preserve">280 </w:t>
            </w:r>
            <w:r>
              <w:rPr>
                <w:sz w:val="21"/>
              </w:rPr>
              <w:t>户</w:t>
            </w:r>
          </w:p>
        </w:tc>
        <w:tc>
          <w:tcPr>
            <w:tcW w:w="797" w:type="dxa"/>
          </w:tcPr>
          <w:p w14:paraId="28949081">
            <w:pPr>
              <w:pStyle w:val="14"/>
              <w:spacing w:before="90"/>
              <w:ind w:left="166" w:right="160"/>
              <w:jc w:val="center"/>
              <w:rPr>
                <w:sz w:val="21"/>
              </w:rPr>
            </w:pPr>
            <w:r>
              <w:rPr>
                <w:sz w:val="21"/>
              </w:rPr>
              <w:t>Ⅱ类</w:t>
            </w:r>
          </w:p>
        </w:tc>
        <w:tc>
          <w:tcPr>
            <w:tcW w:w="1580" w:type="dxa"/>
          </w:tcPr>
          <w:p w14:paraId="6EB6E937">
            <w:pPr>
              <w:pStyle w:val="14"/>
              <w:spacing w:before="90"/>
              <w:ind w:left="450" w:right="443"/>
              <w:jc w:val="center"/>
              <w:rPr>
                <w:sz w:val="21"/>
              </w:rPr>
            </w:pPr>
            <w:r>
              <w:rPr>
                <w:sz w:val="21"/>
              </w:rPr>
              <w:t>西侧</w:t>
            </w:r>
          </w:p>
        </w:tc>
        <w:tc>
          <w:tcPr>
            <w:tcW w:w="1580" w:type="dxa"/>
          </w:tcPr>
          <w:p w14:paraId="13F8A66B">
            <w:pPr>
              <w:pStyle w:val="14"/>
              <w:spacing w:before="106"/>
              <w:ind w:left="450" w:right="443"/>
              <w:jc w:val="center"/>
              <w:rPr>
                <w:rFonts w:ascii="Times New Roman"/>
                <w:sz w:val="21"/>
              </w:rPr>
            </w:pPr>
            <w:r>
              <w:rPr>
                <w:rFonts w:ascii="Times New Roman"/>
                <w:sz w:val="21"/>
              </w:rPr>
              <w:t>1.3km</w:t>
            </w:r>
          </w:p>
        </w:tc>
      </w:tr>
      <w:tr w14:paraId="1D2FE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0C974CB0">
            <w:pPr>
              <w:rPr>
                <w:sz w:val="2"/>
                <w:szCs w:val="2"/>
              </w:rPr>
            </w:pPr>
          </w:p>
        </w:tc>
        <w:tc>
          <w:tcPr>
            <w:tcW w:w="535" w:type="dxa"/>
          </w:tcPr>
          <w:p w14:paraId="6673BB9B">
            <w:pPr>
              <w:pStyle w:val="14"/>
              <w:spacing w:before="106"/>
              <w:ind w:left="160"/>
              <w:rPr>
                <w:rFonts w:ascii="Times New Roman"/>
                <w:sz w:val="21"/>
              </w:rPr>
            </w:pPr>
            <w:r>
              <w:rPr>
                <w:rFonts w:ascii="Times New Roman"/>
                <w:sz w:val="21"/>
              </w:rPr>
              <w:t>10</w:t>
            </w:r>
          </w:p>
        </w:tc>
        <w:tc>
          <w:tcPr>
            <w:tcW w:w="794" w:type="dxa"/>
          </w:tcPr>
          <w:p w14:paraId="2B6842DB">
            <w:pPr>
              <w:pStyle w:val="14"/>
              <w:spacing w:before="92"/>
              <w:ind w:left="61" w:right="53"/>
              <w:jc w:val="center"/>
              <w:rPr>
                <w:sz w:val="21"/>
              </w:rPr>
            </w:pPr>
            <w:r>
              <w:rPr>
                <w:sz w:val="21"/>
              </w:rPr>
              <w:t>三义村</w:t>
            </w:r>
          </w:p>
        </w:tc>
        <w:tc>
          <w:tcPr>
            <w:tcW w:w="621" w:type="dxa"/>
          </w:tcPr>
          <w:p w14:paraId="24A120CE">
            <w:pPr>
              <w:pStyle w:val="14"/>
              <w:spacing w:before="106"/>
              <w:ind w:left="44" w:right="36"/>
              <w:jc w:val="center"/>
              <w:rPr>
                <w:rFonts w:ascii="Times New Roman"/>
                <w:sz w:val="21"/>
              </w:rPr>
            </w:pPr>
            <w:r>
              <w:rPr>
                <w:rFonts w:ascii="Times New Roman"/>
                <w:sz w:val="21"/>
              </w:rPr>
              <w:t>-1600</w:t>
            </w:r>
          </w:p>
        </w:tc>
        <w:tc>
          <w:tcPr>
            <w:tcW w:w="621" w:type="dxa"/>
          </w:tcPr>
          <w:p w14:paraId="45FA0BB8">
            <w:pPr>
              <w:pStyle w:val="14"/>
              <w:spacing w:before="106"/>
              <w:ind w:left="43" w:right="36"/>
              <w:jc w:val="center"/>
              <w:rPr>
                <w:rFonts w:ascii="Times New Roman"/>
                <w:sz w:val="21"/>
              </w:rPr>
            </w:pPr>
            <w:r>
              <w:rPr>
                <w:rFonts w:ascii="Times New Roman"/>
                <w:sz w:val="21"/>
              </w:rPr>
              <w:t>-3500</w:t>
            </w:r>
          </w:p>
        </w:tc>
        <w:tc>
          <w:tcPr>
            <w:tcW w:w="536" w:type="dxa"/>
          </w:tcPr>
          <w:p w14:paraId="3D3DE050">
            <w:pPr>
              <w:pStyle w:val="14"/>
              <w:spacing w:before="92"/>
              <w:ind w:left="36" w:right="30"/>
              <w:jc w:val="center"/>
              <w:rPr>
                <w:sz w:val="21"/>
              </w:rPr>
            </w:pPr>
            <w:r>
              <w:rPr>
                <w:sz w:val="21"/>
              </w:rPr>
              <w:t>居民</w:t>
            </w:r>
          </w:p>
        </w:tc>
        <w:tc>
          <w:tcPr>
            <w:tcW w:w="717" w:type="dxa"/>
          </w:tcPr>
          <w:p w14:paraId="0B8C19E9">
            <w:pPr>
              <w:pStyle w:val="14"/>
              <w:spacing w:before="92"/>
              <w:ind w:right="118"/>
              <w:jc w:val="right"/>
              <w:rPr>
                <w:sz w:val="21"/>
              </w:rPr>
            </w:pPr>
            <w:r>
              <w:rPr>
                <w:rFonts w:ascii="Times New Roman" w:eastAsia="Times New Roman"/>
                <w:sz w:val="21"/>
              </w:rPr>
              <w:t xml:space="preserve">80 </w:t>
            </w:r>
            <w:r>
              <w:rPr>
                <w:sz w:val="21"/>
              </w:rPr>
              <w:t>户</w:t>
            </w:r>
          </w:p>
        </w:tc>
        <w:tc>
          <w:tcPr>
            <w:tcW w:w="797" w:type="dxa"/>
          </w:tcPr>
          <w:p w14:paraId="1C5211DA">
            <w:pPr>
              <w:pStyle w:val="14"/>
              <w:spacing w:before="92"/>
              <w:ind w:left="166" w:right="160"/>
              <w:jc w:val="center"/>
              <w:rPr>
                <w:sz w:val="21"/>
              </w:rPr>
            </w:pPr>
            <w:r>
              <w:rPr>
                <w:sz w:val="21"/>
              </w:rPr>
              <w:t>Ⅱ类</w:t>
            </w:r>
          </w:p>
        </w:tc>
        <w:tc>
          <w:tcPr>
            <w:tcW w:w="1580" w:type="dxa"/>
          </w:tcPr>
          <w:p w14:paraId="67830E69">
            <w:pPr>
              <w:pStyle w:val="14"/>
              <w:spacing w:before="92"/>
              <w:ind w:left="450" w:right="443"/>
              <w:jc w:val="center"/>
              <w:rPr>
                <w:sz w:val="21"/>
              </w:rPr>
            </w:pPr>
            <w:r>
              <w:rPr>
                <w:sz w:val="21"/>
              </w:rPr>
              <w:t>西南侧</w:t>
            </w:r>
          </w:p>
        </w:tc>
        <w:tc>
          <w:tcPr>
            <w:tcW w:w="1580" w:type="dxa"/>
          </w:tcPr>
          <w:p w14:paraId="699C3D11">
            <w:pPr>
              <w:pStyle w:val="14"/>
              <w:spacing w:before="106"/>
              <w:ind w:left="450" w:right="443"/>
              <w:jc w:val="center"/>
              <w:rPr>
                <w:rFonts w:ascii="Times New Roman"/>
                <w:sz w:val="21"/>
              </w:rPr>
            </w:pPr>
            <w:r>
              <w:rPr>
                <w:rFonts w:ascii="Times New Roman"/>
                <w:sz w:val="21"/>
              </w:rPr>
              <w:t>1.8km</w:t>
            </w:r>
          </w:p>
        </w:tc>
      </w:tr>
      <w:tr w14:paraId="07D4E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187ED661">
            <w:pPr>
              <w:rPr>
                <w:sz w:val="2"/>
                <w:szCs w:val="2"/>
              </w:rPr>
            </w:pPr>
          </w:p>
        </w:tc>
        <w:tc>
          <w:tcPr>
            <w:tcW w:w="535" w:type="dxa"/>
          </w:tcPr>
          <w:p w14:paraId="7A245045">
            <w:pPr>
              <w:pStyle w:val="14"/>
              <w:spacing w:before="105"/>
              <w:ind w:left="165"/>
              <w:rPr>
                <w:rFonts w:ascii="Times New Roman"/>
                <w:sz w:val="21"/>
              </w:rPr>
            </w:pPr>
            <w:r>
              <w:rPr>
                <w:rFonts w:ascii="Times New Roman"/>
                <w:sz w:val="21"/>
              </w:rPr>
              <w:t>11</w:t>
            </w:r>
          </w:p>
        </w:tc>
        <w:tc>
          <w:tcPr>
            <w:tcW w:w="794" w:type="dxa"/>
          </w:tcPr>
          <w:p w14:paraId="19A5655C">
            <w:pPr>
              <w:pStyle w:val="14"/>
              <w:spacing w:before="91"/>
              <w:ind w:left="61" w:right="53"/>
              <w:jc w:val="center"/>
              <w:rPr>
                <w:sz w:val="21"/>
              </w:rPr>
            </w:pPr>
            <w:r>
              <w:rPr>
                <w:sz w:val="21"/>
              </w:rPr>
              <w:t>三塘村</w:t>
            </w:r>
          </w:p>
        </w:tc>
        <w:tc>
          <w:tcPr>
            <w:tcW w:w="621" w:type="dxa"/>
          </w:tcPr>
          <w:p w14:paraId="3465A1CB">
            <w:pPr>
              <w:pStyle w:val="14"/>
              <w:spacing w:before="105"/>
              <w:ind w:left="44" w:right="36"/>
              <w:jc w:val="center"/>
              <w:rPr>
                <w:rFonts w:ascii="Times New Roman"/>
                <w:sz w:val="21"/>
              </w:rPr>
            </w:pPr>
            <w:r>
              <w:rPr>
                <w:rFonts w:ascii="Times New Roman"/>
                <w:sz w:val="21"/>
              </w:rPr>
              <w:t>-900</w:t>
            </w:r>
          </w:p>
        </w:tc>
        <w:tc>
          <w:tcPr>
            <w:tcW w:w="621" w:type="dxa"/>
          </w:tcPr>
          <w:p w14:paraId="3A1C9787">
            <w:pPr>
              <w:pStyle w:val="14"/>
              <w:spacing w:before="105"/>
              <w:ind w:left="43" w:right="36"/>
              <w:jc w:val="center"/>
              <w:rPr>
                <w:rFonts w:ascii="Times New Roman"/>
                <w:sz w:val="21"/>
              </w:rPr>
            </w:pPr>
            <w:r>
              <w:rPr>
                <w:rFonts w:ascii="Times New Roman"/>
                <w:sz w:val="21"/>
              </w:rPr>
              <w:t>-4000</w:t>
            </w:r>
          </w:p>
        </w:tc>
        <w:tc>
          <w:tcPr>
            <w:tcW w:w="536" w:type="dxa"/>
          </w:tcPr>
          <w:p w14:paraId="4CD256ED">
            <w:pPr>
              <w:pStyle w:val="14"/>
              <w:spacing w:before="91"/>
              <w:ind w:left="36" w:right="30"/>
              <w:jc w:val="center"/>
              <w:rPr>
                <w:sz w:val="21"/>
              </w:rPr>
            </w:pPr>
            <w:r>
              <w:rPr>
                <w:sz w:val="21"/>
              </w:rPr>
              <w:t>居民</w:t>
            </w:r>
          </w:p>
        </w:tc>
        <w:tc>
          <w:tcPr>
            <w:tcW w:w="717" w:type="dxa"/>
          </w:tcPr>
          <w:p w14:paraId="49F20653">
            <w:pPr>
              <w:pStyle w:val="14"/>
              <w:spacing w:before="91"/>
              <w:ind w:right="118"/>
              <w:jc w:val="right"/>
              <w:rPr>
                <w:sz w:val="21"/>
              </w:rPr>
            </w:pPr>
            <w:r>
              <w:rPr>
                <w:rFonts w:ascii="Times New Roman" w:eastAsia="Times New Roman"/>
                <w:sz w:val="21"/>
              </w:rPr>
              <w:t xml:space="preserve">90 </w:t>
            </w:r>
            <w:r>
              <w:rPr>
                <w:sz w:val="21"/>
              </w:rPr>
              <w:t>户</w:t>
            </w:r>
          </w:p>
        </w:tc>
        <w:tc>
          <w:tcPr>
            <w:tcW w:w="797" w:type="dxa"/>
          </w:tcPr>
          <w:p w14:paraId="2ADA16F3">
            <w:pPr>
              <w:pStyle w:val="14"/>
              <w:spacing w:before="91"/>
              <w:ind w:left="166" w:right="160"/>
              <w:jc w:val="center"/>
              <w:rPr>
                <w:sz w:val="21"/>
              </w:rPr>
            </w:pPr>
            <w:r>
              <w:rPr>
                <w:sz w:val="21"/>
              </w:rPr>
              <w:t>Ⅱ类</w:t>
            </w:r>
          </w:p>
        </w:tc>
        <w:tc>
          <w:tcPr>
            <w:tcW w:w="1580" w:type="dxa"/>
          </w:tcPr>
          <w:p w14:paraId="285525E6">
            <w:pPr>
              <w:pStyle w:val="14"/>
              <w:spacing w:before="91"/>
              <w:ind w:left="450" w:right="443"/>
              <w:jc w:val="center"/>
              <w:rPr>
                <w:sz w:val="21"/>
              </w:rPr>
            </w:pPr>
            <w:r>
              <w:rPr>
                <w:sz w:val="21"/>
              </w:rPr>
              <w:t>西南侧</w:t>
            </w:r>
          </w:p>
        </w:tc>
        <w:tc>
          <w:tcPr>
            <w:tcW w:w="1580" w:type="dxa"/>
          </w:tcPr>
          <w:p w14:paraId="454BF0FA">
            <w:pPr>
              <w:pStyle w:val="14"/>
              <w:spacing w:before="105"/>
              <w:ind w:left="450" w:right="443"/>
              <w:jc w:val="center"/>
              <w:rPr>
                <w:rFonts w:ascii="Times New Roman"/>
                <w:sz w:val="21"/>
              </w:rPr>
            </w:pPr>
            <w:r>
              <w:rPr>
                <w:rFonts w:ascii="Times New Roman"/>
                <w:sz w:val="21"/>
              </w:rPr>
              <w:t>2.3km</w:t>
            </w:r>
          </w:p>
        </w:tc>
      </w:tr>
      <w:tr w14:paraId="49C8A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35" w:type="dxa"/>
            <w:vMerge w:val="continue"/>
            <w:tcBorders>
              <w:top w:val="nil"/>
            </w:tcBorders>
          </w:tcPr>
          <w:p w14:paraId="21417BE4">
            <w:pPr>
              <w:rPr>
                <w:sz w:val="2"/>
                <w:szCs w:val="2"/>
              </w:rPr>
            </w:pPr>
          </w:p>
        </w:tc>
        <w:tc>
          <w:tcPr>
            <w:tcW w:w="535" w:type="dxa"/>
          </w:tcPr>
          <w:p w14:paraId="6CE5BFE7">
            <w:pPr>
              <w:pStyle w:val="14"/>
              <w:spacing w:before="106"/>
              <w:ind w:left="160"/>
              <w:rPr>
                <w:rFonts w:ascii="Times New Roman"/>
                <w:sz w:val="21"/>
              </w:rPr>
            </w:pPr>
            <w:r>
              <w:rPr>
                <w:rFonts w:ascii="Times New Roman"/>
                <w:sz w:val="21"/>
              </w:rPr>
              <w:t>12</w:t>
            </w:r>
          </w:p>
        </w:tc>
        <w:tc>
          <w:tcPr>
            <w:tcW w:w="794" w:type="dxa"/>
          </w:tcPr>
          <w:p w14:paraId="6B824C08">
            <w:pPr>
              <w:pStyle w:val="14"/>
              <w:spacing w:before="90"/>
              <w:ind w:left="61" w:right="53"/>
              <w:jc w:val="center"/>
              <w:rPr>
                <w:sz w:val="21"/>
              </w:rPr>
            </w:pPr>
            <w:r>
              <w:rPr>
                <w:sz w:val="21"/>
              </w:rPr>
              <w:t>胡铭屋</w:t>
            </w:r>
          </w:p>
        </w:tc>
        <w:tc>
          <w:tcPr>
            <w:tcW w:w="621" w:type="dxa"/>
          </w:tcPr>
          <w:p w14:paraId="3496B452">
            <w:pPr>
              <w:pStyle w:val="14"/>
              <w:spacing w:before="106"/>
              <w:ind w:left="44" w:right="36"/>
              <w:jc w:val="center"/>
              <w:rPr>
                <w:rFonts w:ascii="Times New Roman"/>
                <w:sz w:val="21"/>
              </w:rPr>
            </w:pPr>
            <w:r>
              <w:rPr>
                <w:rFonts w:ascii="Times New Roman"/>
                <w:sz w:val="21"/>
              </w:rPr>
              <w:t>800</w:t>
            </w:r>
          </w:p>
        </w:tc>
        <w:tc>
          <w:tcPr>
            <w:tcW w:w="621" w:type="dxa"/>
          </w:tcPr>
          <w:p w14:paraId="0B4435F8">
            <w:pPr>
              <w:pStyle w:val="14"/>
              <w:spacing w:before="106"/>
              <w:ind w:left="43" w:right="36"/>
              <w:jc w:val="center"/>
              <w:rPr>
                <w:rFonts w:ascii="Times New Roman"/>
                <w:sz w:val="21"/>
              </w:rPr>
            </w:pPr>
            <w:r>
              <w:rPr>
                <w:rFonts w:ascii="Times New Roman"/>
                <w:sz w:val="21"/>
              </w:rPr>
              <w:t>-3300</w:t>
            </w:r>
          </w:p>
        </w:tc>
        <w:tc>
          <w:tcPr>
            <w:tcW w:w="536" w:type="dxa"/>
          </w:tcPr>
          <w:p w14:paraId="305DD5A7">
            <w:pPr>
              <w:pStyle w:val="14"/>
              <w:spacing w:before="90"/>
              <w:ind w:left="36" w:right="30"/>
              <w:jc w:val="center"/>
              <w:rPr>
                <w:sz w:val="21"/>
              </w:rPr>
            </w:pPr>
            <w:r>
              <w:rPr>
                <w:sz w:val="21"/>
              </w:rPr>
              <w:t>居民</w:t>
            </w:r>
          </w:p>
        </w:tc>
        <w:tc>
          <w:tcPr>
            <w:tcW w:w="717" w:type="dxa"/>
          </w:tcPr>
          <w:p w14:paraId="5C62EA03">
            <w:pPr>
              <w:pStyle w:val="14"/>
              <w:spacing w:before="90"/>
              <w:ind w:right="118"/>
              <w:jc w:val="right"/>
              <w:rPr>
                <w:sz w:val="21"/>
              </w:rPr>
            </w:pPr>
            <w:r>
              <w:rPr>
                <w:rFonts w:ascii="Times New Roman" w:eastAsia="Times New Roman"/>
                <w:sz w:val="21"/>
              </w:rPr>
              <w:t xml:space="preserve">80 </w:t>
            </w:r>
            <w:r>
              <w:rPr>
                <w:sz w:val="21"/>
              </w:rPr>
              <w:t>户</w:t>
            </w:r>
          </w:p>
        </w:tc>
        <w:tc>
          <w:tcPr>
            <w:tcW w:w="797" w:type="dxa"/>
          </w:tcPr>
          <w:p w14:paraId="575F54AE">
            <w:pPr>
              <w:pStyle w:val="14"/>
              <w:spacing w:before="90"/>
              <w:ind w:left="166" w:right="160"/>
              <w:jc w:val="center"/>
              <w:rPr>
                <w:sz w:val="21"/>
              </w:rPr>
            </w:pPr>
            <w:r>
              <w:rPr>
                <w:sz w:val="21"/>
              </w:rPr>
              <w:t>Ⅱ类</w:t>
            </w:r>
          </w:p>
        </w:tc>
        <w:tc>
          <w:tcPr>
            <w:tcW w:w="1580" w:type="dxa"/>
          </w:tcPr>
          <w:p w14:paraId="07DAC209">
            <w:pPr>
              <w:pStyle w:val="14"/>
              <w:spacing w:before="90"/>
              <w:ind w:left="450" w:right="443"/>
              <w:jc w:val="center"/>
              <w:rPr>
                <w:sz w:val="21"/>
              </w:rPr>
            </w:pPr>
            <w:r>
              <w:rPr>
                <w:sz w:val="21"/>
              </w:rPr>
              <w:t>西北侧</w:t>
            </w:r>
          </w:p>
        </w:tc>
        <w:tc>
          <w:tcPr>
            <w:tcW w:w="1580" w:type="dxa"/>
          </w:tcPr>
          <w:p w14:paraId="292DBBCF">
            <w:pPr>
              <w:pStyle w:val="14"/>
              <w:spacing w:before="106"/>
              <w:ind w:left="450" w:right="443"/>
              <w:jc w:val="center"/>
              <w:rPr>
                <w:rFonts w:ascii="Times New Roman"/>
                <w:sz w:val="21"/>
              </w:rPr>
            </w:pPr>
            <w:r>
              <w:rPr>
                <w:rFonts w:ascii="Times New Roman"/>
                <w:sz w:val="21"/>
              </w:rPr>
              <w:t>1.9km</w:t>
            </w:r>
          </w:p>
        </w:tc>
      </w:tr>
    </w:tbl>
    <w:p w14:paraId="4FD138A3">
      <w:pPr>
        <w:spacing w:before="1" w:after="3"/>
        <w:ind w:left="262" w:right="321" w:firstLine="0"/>
        <w:jc w:val="center"/>
        <w:rPr>
          <w:b/>
          <w:sz w:val="21"/>
        </w:rPr>
      </w:pPr>
      <w:r>
        <w:rPr>
          <w:b/>
          <w:sz w:val="21"/>
        </w:rPr>
        <w:t xml:space="preserve">表 </w:t>
      </w:r>
      <w:r>
        <w:rPr>
          <w:rFonts w:ascii="Times New Roman" w:eastAsia="Times New Roman"/>
          <w:b/>
          <w:sz w:val="21"/>
        </w:rPr>
        <w:t xml:space="preserve">2.6-2 </w:t>
      </w:r>
      <w:r>
        <w:rPr>
          <w:b/>
          <w:sz w:val="21"/>
        </w:rPr>
        <w:t>项目主要声环境保护目标一览表</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
        <w:gridCol w:w="1261"/>
        <w:gridCol w:w="573"/>
        <w:gridCol w:w="464"/>
        <w:gridCol w:w="493"/>
        <w:gridCol w:w="956"/>
        <w:gridCol w:w="523"/>
        <w:gridCol w:w="1040"/>
        <w:gridCol w:w="2712"/>
      </w:tblGrid>
      <w:tr w14:paraId="7A2CD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500" w:type="dxa"/>
            <w:vMerge w:val="restart"/>
          </w:tcPr>
          <w:p w14:paraId="2736D1D8">
            <w:pPr>
              <w:pStyle w:val="14"/>
              <w:spacing w:before="159" w:line="242" w:lineRule="auto"/>
              <w:ind w:left="143" w:right="135"/>
              <w:rPr>
                <w:sz w:val="21"/>
              </w:rPr>
            </w:pPr>
            <w:r>
              <w:rPr>
                <w:sz w:val="21"/>
              </w:rPr>
              <w:t>序号</w:t>
            </w:r>
          </w:p>
        </w:tc>
        <w:tc>
          <w:tcPr>
            <w:tcW w:w="1261" w:type="dxa"/>
            <w:vMerge w:val="restart"/>
          </w:tcPr>
          <w:p w14:paraId="6A11EE56">
            <w:pPr>
              <w:pStyle w:val="14"/>
              <w:spacing w:before="159" w:line="242" w:lineRule="auto"/>
              <w:ind w:left="418" w:right="201" w:hanging="209"/>
              <w:rPr>
                <w:sz w:val="21"/>
              </w:rPr>
            </w:pPr>
            <w:r>
              <w:rPr>
                <w:w w:val="95"/>
                <w:sz w:val="21"/>
              </w:rPr>
              <w:t>保护目标</w:t>
            </w:r>
            <w:r>
              <w:rPr>
                <w:sz w:val="21"/>
              </w:rPr>
              <w:t>名称</w:t>
            </w:r>
          </w:p>
        </w:tc>
        <w:tc>
          <w:tcPr>
            <w:tcW w:w="1530" w:type="dxa"/>
            <w:gridSpan w:val="3"/>
          </w:tcPr>
          <w:p w14:paraId="2B1592FC">
            <w:pPr>
              <w:pStyle w:val="14"/>
              <w:spacing w:before="1"/>
              <w:ind w:left="113" w:right="106"/>
              <w:jc w:val="center"/>
              <w:rPr>
                <w:sz w:val="21"/>
              </w:rPr>
            </w:pPr>
            <w:r>
              <w:rPr>
                <w:sz w:val="21"/>
              </w:rPr>
              <w:t>空间相对位置</w:t>
            </w:r>
          </w:p>
          <w:p w14:paraId="3B269087">
            <w:pPr>
              <w:pStyle w:val="14"/>
              <w:spacing w:before="1" w:line="221" w:lineRule="exact"/>
              <w:ind w:left="112" w:right="106"/>
              <w:jc w:val="center"/>
              <w:rPr>
                <w:rFonts w:ascii="Times New Roman"/>
                <w:sz w:val="21"/>
              </w:rPr>
            </w:pPr>
            <w:r>
              <w:rPr>
                <w:rFonts w:ascii="Times New Roman"/>
                <w:sz w:val="21"/>
              </w:rPr>
              <w:t>/m</w:t>
            </w:r>
          </w:p>
        </w:tc>
        <w:tc>
          <w:tcPr>
            <w:tcW w:w="956" w:type="dxa"/>
            <w:vMerge w:val="restart"/>
          </w:tcPr>
          <w:p w14:paraId="3C88AD11">
            <w:pPr>
              <w:pStyle w:val="14"/>
              <w:spacing w:before="22" w:line="242" w:lineRule="auto"/>
              <w:ind w:left="162" w:right="152"/>
              <w:jc w:val="both"/>
              <w:rPr>
                <w:rFonts w:ascii="Times New Roman" w:eastAsia="Times New Roman"/>
                <w:sz w:val="21"/>
              </w:rPr>
            </w:pPr>
            <w:r>
              <w:rPr>
                <w:sz w:val="21"/>
              </w:rPr>
              <w:t>距厂界最近距离</w:t>
            </w:r>
            <w:r>
              <w:rPr>
                <w:rFonts w:ascii="Times New Roman" w:eastAsia="Times New Roman"/>
                <w:sz w:val="21"/>
              </w:rPr>
              <w:t>/m</w:t>
            </w:r>
          </w:p>
        </w:tc>
        <w:tc>
          <w:tcPr>
            <w:tcW w:w="523" w:type="dxa"/>
            <w:vMerge w:val="restart"/>
          </w:tcPr>
          <w:p w14:paraId="1A207D90">
            <w:pPr>
              <w:pStyle w:val="14"/>
              <w:spacing w:before="159" w:line="242" w:lineRule="auto"/>
              <w:ind w:left="156" w:right="145"/>
              <w:rPr>
                <w:sz w:val="21"/>
              </w:rPr>
            </w:pPr>
            <w:r>
              <w:rPr>
                <w:sz w:val="21"/>
              </w:rPr>
              <w:t>方位</w:t>
            </w:r>
          </w:p>
        </w:tc>
        <w:tc>
          <w:tcPr>
            <w:tcW w:w="1040" w:type="dxa"/>
            <w:vMerge w:val="restart"/>
          </w:tcPr>
          <w:p w14:paraId="04B8E448">
            <w:pPr>
              <w:pStyle w:val="14"/>
              <w:spacing w:before="22" w:line="242" w:lineRule="auto"/>
              <w:ind w:left="176" w:right="167" w:firstLine="28"/>
              <w:jc w:val="both"/>
              <w:rPr>
                <w:sz w:val="21"/>
              </w:rPr>
            </w:pPr>
            <w:r>
              <w:rPr>
                <w:sz w:val="21"/>
              </w:rPr>
              <w:t>执行标</w:t>
            </w:r>
            <w:r>
              <w:rPr>
                <w:w w:val="95"/>
                <w:sz w:val="21"/>
              </w:rPr>
              <w:t>准</w:t>
            </w:r>
            <w:r>
              <w:rPr>
                <w:rFonts w:ascii="Times New Roman" w:eastAsia="Times New Roman"/>
                <w:w w:val="95"/>
                <w:sz w:val="21"/>
              </w:rPr>
              <w:t>/</w:t>
            </w:r>
            <w:r>
              <w:rPr>
                <w:w w:val="95"/>
                <w:sz w:val="21"/>
              </w:rPr>
              <w:t>功能</w:t>
            </w:r>
            <w:r>
              <w:rPr>
                <w:sz w:val="21"/>
              </w:rPr>
              <w:t>区类别</w:t>
            </w:r>
          </w:p>
        </w:tc>
        <w:tc>
          <w:tcPr>
            <w:tcW w:w="2712" w:type="dxa"/>
            <w:vMerge w:val="restart"/>
          </w:tcPr>
          <w:p w14:paraId="0E6A069C">
            <w:pPr>
              <w:pStyle w:val="14"/>
              <w:spacing w:before="22"/>
              <w:ind w:left="201"/>
              <w:rPr>
                <w:sz w:val="21"/>
              </w:rPr>
            </w:pPr>
            <w:r>
              <w:rPr>
                <w:sz w:val="21"/>
              </w:rPr>
              <w:t>声环境保护目标情况说明</w:t>
            </w:r>
          </w:p>
          <w:p w14:paraId="5FA73582">
            <w:pPr>
              <w:pStyle w:val="14"/>
              <w:spacing w:before="2" w:line="242" w:lineRule="auto"/>
              <w:ind w:left="304" w:right="297"/>
              <w:jc w:val="center"/>
              <w:rPr>
                <w:sz w:val="21"/>
              </w:rPr>
            </w:pPr>
            <w:r>
              <w:rPr>
                <w:w w:val="95"/>
                <w:sz w:val="21"/>
              </w:rPr>
              <w:t>（建筑结构、朝向、楼</w:t>
            </w:r>
            <w:r>
              <w:rPr>
                <w:sz w:val="21"/>
              </w:rPr>
              <w:t>层、周围环境情况）</w:t>
            </w:r>
          </w:p>
        </w:tc>
      </w:tr>
      <w:tr w14:paraId="376F3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 w:type="dxa"/>
            <w:vMerge w:val="continue"/>
            <w:tcBorders>
              <w:top w:val="nil"/>
            </w:tcBorders>
          </w:tcPr>
          <w:p w14:paraId="773BBFE2">
            <w:pPr>
              <w:rPr>
                <w:sz w:val="2"/>
                <w:szCs w:val="2"/>
              </w:rPr>
            </w:pPr>
          </w:p>
        </w:tc>
        <w:tc>
          <w:tcPr>
            <w:tcW w:w="1261" w:type="dxa"/>
            <w:vMerge w:val="continue"/>
            <w:tcBorders>
              <w:top w:val="nil"/>
            </w:tcBorders>
          </w:tcPr>
          <w:p w14:paraId="73D27DC8">
            <w:pPr>
              <w:rPr>
                <w:sz w:val="2"/>
                <w:szCs w:val="2"/>
              </w:rPr>
            </w:pPr>
          </w:p>
        </w:tc>
        <w:tc>
          <w:tcPr>
            <w:tcW w:w="573" w:type="dxa"/>
          </w:tcPr>
          <w:p w14:paraId="307D0864">
            <w:pPr>
              <w:pStyle w:val="14"/>
              <w:spacing w:before="48"/>
              <w:ind w:left="6"/>
              <w:jc w:val="center"/>
              <w:rPr>
                <w:rFonts w:ascii="Times New Roman"/>
                <w:sz w:val="21"/>
              </w:rPr>
            </w:pPr>
            <w:r>
              <w:rPr>
                <w:rFonts w:ascii="Times New Roman"/>
                <w:w w:val="99"/>
                <w:sz w:val="21"/>
              </w:rPr>
              <w:t>X</w:t>
            </w:r>
          </w:p>
        </w:tc>
        <w:tc>
          <w:tcPr>
            <w:tcW w:w="464" w:type="dxa"/>
          </w:tcPr>
          <w:p w14:paraId="14C62882">
            <w:pPr>
              <w:pStyle w:val="14"/>
              <w:spacing w:before="48"/>
              <w:ind w:left="6"/>
              <w:jc w:val="center"/>
              <w:rPr>
                <w:rFonts w:ascii="Times New Roman"/>
                <w:sz w:val="21"/>
              </w:rPr>
            </w:pPr>
            <w:r>
              <w:rPr>
                <w:rFonts w:ascii="Times New Roman"/>
                <w:w w:val="99"/>
                <w:sz w:val="21"/>
              </w:rPr>
              <w:t>Y</w:t>
            </w:r>
          </w:p>
        </w:tc>
        <w:tc>
          <w:tcPr>
            <w:tcW w:w="493" w:type="dxa"/>
          </w:tcPr>
          <w:p w14:paraId="29989150">
            <w:pPr>
              <w:pStyle w:val="14"/>
              <w:spacing w:before="48"/>
              <w:ind w:left="9"/>
              <w:jc w:val="center"/>
              <w:rPr>
                <w:rFonts w:ascii="Times New Roman"/>
                <w:sz w:val="21"/>
              </w:rPr>
            </w:pPr>
            <w:r>
              <w:rPr>
                <w:rFonts w:ascii="Times New Roman"/>
                <w:w w:val="99"/>
                <w:sz w:val="21"/>
              </w:rPr>
              <w:t>Z</w:t>
            </w:r>
          </w:p>
        </w:tc>
        <w:tc>
          <w:tcPr>
            <w:tcW w:w="956" w:type="dxa"/>
            <w:vMerge w:val="continue"/>
            <w:tcBorders>
              <w:top w:val="nil"/>
            </w:tcBorders>
          </w:tcPr>
          <w:p w14:paraId="0A7D1A93">
            <w:pPr>
              <w:rPr>
                <w:sz w:val="2"/>
                <w:szCs w:val="2"/>
              </w:rPr>
            </w:pPr>
          </w:p>
        </w:tc>
        <w:tc>
          <w:tcPr>
            <w:tcW w:w="523" w:type="dxa"/>
            <w:vMerge w:val="continue"/>
            <w:tcBorders>
              <w:top w:val="nil"/>
            </w:tcBorders>
          </w:tcPr>
          <w:p w14:paraId="422A7C24">
            <w:pPr>
              <w:rPr>
                <w:sz w:val="2"/>
                <w:szCs w:val="2"/>
              </w:rPr>
            </w:pPr>
          </w:p>
        </w:tc>
        <w:tc>
          <w:tcPr>
            <w:tcW w:w="1040" w:type="dxa"/>
            <w:vMerge w:val="continue"/>
            <w:tcBorders>
              <w:top w:val="nil"/>
            </w:tcBorders>
          </w:tcPr>
          <w:p w14:paraId="21CB4B09">
            <w:pPr>
              <w:rPr>
                <w:sz w:val="2"/>
                <w:szCs w:val="2"/>
              </w:rPr>
            </w:pPr>
          </w:p>
        </w:tc>
        <w:tc>
          <w:tcPr>
            <w:tcW w:w="2712" w:type="dxa"/>
            <w:vMerge w:val="continue"/>
            <w:tcBorders>
              <w:top w:val="nil"/>
            </w:tcBorders>
          </w:tcPr>
          <w:p w14:paraId="31EBE18A">
            <w:pPr>
              <w:rPr>
                <w:sz w:val="2"/>
                <w:szCs w:val="2"/>
              </w:rPr>
            </w:pPr>
          </w:p>
        </w:tc>
      </w:tr>
      <w:tr w14:paraId="44C5A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00" w:type="dxa"/>
          </w:tcPr>
          <w:p w14:paraId="30AD6992">
            <w:pPr>
              <w:pStyle w:val="14"/>
              <w:spacing w:before="4"/>
              <w:rPr>
                <w:b/>
                <w:sz w:val="22"/>
              </w:rPr>
            </w:pPr>
          </w:p>
          <w:p w14:paraId="1017CEAF">
            <w:pPr>
              <w:pStyle w:val="14"/>
              <w:spacing w:before="1"/>
              <w:ind w:right="186"/>
              <w:jc w:val="right"/>
              <w:rPr>
                <w:rFonts w:ascii="Times New Roman"/>
                <w:sz w:val="21"/>
              </w:rPr>
            </w:pPr>
            <w:r>
              <w:rPr>
                <w:rFonts w:ascii="Times New Roman"/>
                <w:w w:val="99"/>
                <w:sz w:val="21"/>
              </w:rPr>
              <w:t>1</w:t>
            </w:r>
          </w:p>
        </w:tc>
        <w:tc>
          <w:tcPr>
            <w:tcW w:w="1261" w:type="dxa"/>
          </w:tcPr>
          <w:p w14:paraId="2C94B51A">
            <w:pPr>
              <w:pStyle w:val="14"/>
              <w:spacing w:before="136" w:line="244" w:lineRule="auto"/>
              <w:ind w:left="135" w:right="82" w:firstLine="74"/>
              <w:rPr>
                <w:sz w:val="21"/>
              </w:rPr>
            </w:pPr>
            <w:r>
              <w:rPr>
                <w:sz w:val="21"/>
              </w:rPr>
              <w:t>城东村散户（</w:t>
            </w:r>
            <w:r>
              <w:rPr>
                <w:rFonts w:ascii="Times New Roman" w:eastAsia="Times New Roman"/>
                <w:sz w:val="21"/>
              </w:rPr>
              <w:t xml:space="preserve">2 </w:t>
            </w:r>
            <w:r>
              <w:rPr>
                <w:sz w:val="21"/>
              </w:rPr>
              <w:t>户）</w:t>
            </w:r>
          </w:p>
        </w:tc>
        <w:tc>
          <w:tcPr>
            <w:tcW w:w="573" w:type="dxa"/>
          </w:tcPr>
          <w:p w14:paraId="70D8AC42">
            <w:pPr>
              <w:pStyle w:val="14"/>
              <w:spacing w:before="166"/>
              <w:ind w:left="127" w:right="101" w:firstLine="122"/>
              <w:rPr>
                <w:rFonts w:ascii="Times New Roman"/>
                <w:sz w:val="21"/>
              </w:rPr>
            </w:pPr>
            <w:r>
              <w:rPr>
                <w:rFonts w:ascii="Times New Roman"/>
                <w:sz w:val="21"/>
              </w:rPr>
              <w:t>- 150</w:t>
            </w:r>
          </w:p>
        </w:tc>
        <w:tc>
          <w:tcPr>
            <w:tcW w:w="464" w:type="dxa"/>
          </w:tcPr>
          <w:p w14:paraId="3123ABBF">
            <w:pPr>
              <w:pStyle w:val="14"/>
              <w:spacing w:before="4"/>
              <w:rPr>
                <w:b/>
                <w:sz w:val="22"/>
              </w:rPr>
            </w:pPr>
          </w:p>
          <w:p w14:paraId="175EF51D">
            <w:pPr>
              <w:pStyle w:val="14"/>
              <w:spacing w:before="1"/>
              <w:ind w:left="7"/>
              <w:jc w:val="center"/>
              <w:rPr>
                <w:rFonts w:ascii="Times New Roman"/>
                <w:sz w:val="21"/>
              </w:rPr>
            </w:pPr>
            <w:r>
              <w:rPr>
                <w:rFonts w:ascii="Times New Roman"/>
                <w:w w:val="99"/>
                <w:sz w:val="21"/>
              </w:rPr>
              <w:t>0</w:t>
            </w:r>
          </w:p>
        </w:tc>
        <w:tc>
          <w:tcPr>
            <w:tcW w:w="493" w:type="dxa"/>
          </w:tcPr>
          <w:p w14:paraId="0AAD9827">
            <w:pPr>
              <w:pStyle w:val="14"/>
              <w:spacing w:before="4"/>
              <w:rPr>
                <w:b/>
                <w:sz w:val="22"/>
              </w:rPr>
            </w:pPr>
          </w:p>
          <w:p w14:paraId="3248BD44">
            <w:pPr>
              <w:pStyle w:val="14"/>
              <w:spacing w:before="1"/>
              <w:ind w:left="95" w:right="85"/>
              <w:jc w:val="center"/>
              <w:rPr>
                <w:rFonts w:ascii="Times New Roman"/>
                <w:sz w:val="21"/>
              </w:rPr>
            </w:pPr>
            <w:r>
              <w:rPr>
                <w:rFonts w:ascii="Times New Roman"/>
                <w:sz w:val="21"/>
              </w:rPr>
              <w:t>5.5</w:t>
            </w:r>
          </w:p>
        </w:tc>
        <w:tc>
          <w:tcPr>
            <w:tcW w:w="956" w:type="dxa"/>
          </w:tcPr>
          <w:p w14:paraId="05C036DE">
            <w:pPr>
              <w:pStyle w:val="14"/>
              <w:spacing w:before="4"/>
              <w:rPr>
                <w:b/>
                <w:sz w:val="22"/>
              </w:rPr>
            </w:pPr>
          </w:p>
          <w:p w14:paraId="0190CFDF">
            <w:pPr>
              <w:pStyle w:val="14"/>
              <w:spacing w:before="1"/>
              <w:ind w:right="360"/>
              <w:jc w:val="right"/>
              <w:rPr>
                <w:rFonts w:ascii="Times New Roman"/>
                <w:sz w:val="21"/>
              </w:rPr>
            </w:pPr>
            <w:r>
              <w:rPr>
                <w:rFonts w:ascii="Times New Roman"/>
                <w:sz w:val="21"/>
              </w:rPr>
              <w:t>20</w:t>
            </w:r>
          </w:p>
        </w:tc>
        <w:tc>
          <w:tcPr>
            <w:tcW w:w="523" w:type="dxa"/>
          </w:tcPr>
          <w:p w14:paraId="4A5D0D5D">
            <w:pPr>
              <w:pStyle w:val="14"/>
              <w:spacing w:before="4"/>
              <w:rPr>
                <w:b/>
                <w:sz w:val="22"/>
              </w:rPr>
            </w:pPr>
          </w:p>
          <w:p w14:paraId="57DEBD14">
            <w:pPr>
              <w:pStyle w:val="14"/>
              <w:spacing w:before="1"/>
              <w:ind w:left="7"/>
              <w:jc w:val="center"/>
              <w:rPr>
                <w:rFonts w:ascii="Times New Roman"/>
                <w:sz w:val="21"/>
              </w:rPr>
            </w:pPr>
            <w:r>
              <w:rPr>
                <w:rFonts w:ascii="Times New Roman"/>
                <w:w w:val="99"/>
                <w:sz w:val="21"/>
              </w:rPr>
              <w:t>W</w:t>
            </w:r>
          </w:p>
        </w:tc>
        <w:tc>
          <w:tcPr>
            <w:tcW w:w="1040" w:type="dxa"/>
          </w:tcPr>
          <w:p w14:paraId="7F42B340">
            <w:pPr>
              <w:pStyle w:val="14"/>
              <w:spacing w:before="1"/>
              <w:ind w:left="204" w:hanging="75"/>
              <w:rPr>
                <w:sz w:val="21"/>
              </w:rPr>
            </w:pPr>
            <w:r>
              <w:rPr>
                <w:rFonts w:ascii="Times New Roman" w:eastAsia="Times New Roman"/>
                <w:sz w:val="21"/>
              </w:rPr>
              <w:t xml:space="preserve">2 </w:t>
            </w:r>
            <w:r>
              <w:rPr>
                <w:sz w:val="21"/>
              </w:rPr>
              <w:t>类声环</w:t>
            </w:r>
          </w:p>
          <w:p w14:paraId="336B184C">
            <w:pPr>
              <w:pStyle w:val="14"/>
              <w:spacing w:before="2" w:line="270" w:lineRule="atLeast"/>
              <w:ind w:left="413" w:right="194" w:hanging="209"/>
              <w:rPr>
                <w:sz w:val="21"/>
              </w:rPr>
            </w:pPr>
            <w:r>
              <w:rPr>
                <w:sz w:val="21"/>
              </w:rPr>
              <w:t>境功能区</w:t>
            </w:r>
          </w:p>
        </w:tc>
        <w:tc>
          <w:tcPr>
            <w:tcW w:w="2712" w:type="dxa"/>
          </w:tcPr>
          <w:p w14:paraId="5D36D18E">
            <w:pPr>
              <w:pStyle w:val="14"/>
              <w:spacing w:before="136" w:line="244" w:lineRule="auto"/>
              <w:ind w:left="304" w:right="191" w:hanging="104"/>
              <w:rPr>
                <w:sz w:val="21"/>
              </w:rPr>
            </w:pPr>
            <w:r>
              <w:rPr>
                <w:w w:val="95"/>
                <w:sz w:val="21"/>
              </w:rPr>
              <w:t>砖混结构、朝东、二层建</w:t>
            </w:r>
            <w:r>
              <w:rPr>
                <w:sz w:val="21"/>
              </w:rPr>
              <w:t>筑、周围为乡道和耕地</w:t>
            </w:r>
          </w:p>
        </w:tc>
      </w:tr>
      <w:tr w14:paraId="55847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00" w:type="dxa"/>
          </w:tcPr>
          <w:p w14:paraId="3BD1FC6E">
            <w:pPr>
              <w:pStyle w:val="14"/>
              <w:spacing w:before="4"/>
              <w:rPr>
                <w:b/>
                <w:sz w:val="22"/>
              </w:rPr>
            </w:pPr>
          </w:p>
          <w:p w14:paraId="2D130A30">
            <w:pPr>
              <w:pStyle w:val="14"/>
              <w:spacing w:before="1"/>
              <w:ind w:right="186"/>
              <w:jc w:val="right"/>
              <w:rPr>
                <w:rFonts w:ascii="Times New Roman"/>
                <w:sz w:val="21"/>
              </w:rPr>
            </w:pPr>
            <w:r>
              <w:rPr>
                <w:rFonts w:ascii="Times New Roman"/>
                <w:w w:val="99"/>
                <w:sz w:val="21"/>
              </w:rPr>
              <w:t>2</w:t>
            </w:r>
          </w:p>
        </w:tc>
        <w:tc>
          <w:tcPr>
            <w:tcW w:w="1261" w:type="dxa"/>
          </w:tcPr>
          <w:p w14:paraId="6F836CC8">
            <w:pPr>
              <w:pStyle w:val="14"/>
              <w:spacing w:line="244" w:lineRule="auto"/>
              <w:ind w:left="183" w:right="173" w:hanging="2"/>
              <w:jc w:val="center"/>
              <w:rPr>
                <w:rFonts w:ascii="Times New Roman" w:eastAsia="Times New Roman"/>
                <w:sz w:val="21"/>
              </w:rPr>
            </w:pPr>
            <w:r>
              <w:rPr>
                <w:sz w:val="21"/>
              </w:rPr>
              <w:t>城东村散户（</w:t>
            </w:r>
            <w:r>
              <w:rPr>
                <w:spacing w:val="-28"/>
                <w:sz w:val="21"/>
              </w:rPr>
              <w:t xml:space="preserve">约 </w:t>
            </w:r>
            <w:r>
              <w:rPr>
                <w:rFonts w:ascii="Times New Roman" w:eastAsia="Times New Roman"/>
                <w:sz w:val="21"/>
              </w:rPr>
              <w:t>10</w:t>
            </w:r>
          </w:p>
          <w:p w14:paraId="12FBDFA1">
            <w:pPr>
              <w:pStyle w:val="14"/>
              <w:spacing w:line="249" w:lineRule="exact"/>
              <w:ind w:left="397" w:right="393"/>
              <w:jc w:val="center"/>
              <w:rPr>
                <w:sz w:val="21"/>
              </w:rPr>
            </w:pPr>
            <w:r>
              <w:rPr>
                <w:sz w:val="21"/>
              </w:rPr>
              <w:t>户）</w:t>
            </w:r>
          </w:p>
        </w:tc>
        <w:tc>
          <w:tcPr>
            <w:tcW w:w="573" w:type="dxa"/>
          </w:tcPr>
          <w:p w14:paraId="3BAAEF59">
            <w:pPr>
              <w:pStyle w:val="14"/>
              <w:spacing w:before="4"/>
              <w:rPr>
                <w:b/>
                <w:sz w:val="22"/>
              </w:rPr>
            </w:pPr>
          </w:p>
          <w:p w14:paraId="338990C2">
            <w:pPr>
              <w:pStyle w:val="14"/>
              <w:spacing w:before="1"/>
              <w:ind w:left="107" w:right="100"/>
              <w:jc w:val="center"/>
              <w:rPr>
                <w:rFonts w:ascii="Times New Roman"/>
                <w:sz w:val="21"/>
              </w:rPr>
            </w:pPr>
            <w:r>
              <w:rPr>
                <w:rFonts w:ascii="Times New Roman"/>
                <w:sz w:val="21"/>
              </w:rPr>
              <w:t>160</w:t>
            </w:r>
          </w:p>
        </w:tc>
        <w:tc>
          <w:tcPr>
            <w:tcW w:w="464" w:type="dxa"/>
          </w:tcPr>
          <w:p w14:paraId="2DA76514">
            <w:pPr>
              <w:pStyle w:val="14"/>
              <w:spacing w:before="166"/>
              <w:ind w:left="125" w:right="99" w:firstLine="72"/>
              <w:rPr>
                <w:rFonts w:ascii="Times New Roman"/>
                <w:sz w:val="21"/>
              </w:rPr>
            </w:pPr>
            <w:r>
              <w:rPr>
                <w:rFonts w:ascii="Times New Roman"/>
                <w:sz w:val="21"/>
              </w:rPr>
              <w:t>- 90</w:t>
            </w:r>
          </w:p>
        </w:tc>
        <w:tc>
          <w:tcPr>
            <w:tcW w:w="493" w:type="dxa"/>
          </w:tcPr>
          <w:p w14:paraId="2514CE67">
            <w:pPr>
              <w:pStyle w:val="14"/>
              <w:spacing w:before="4"/>
              <w:rPr>
                <w:b/>
                <w:sz w:val="22"/>
              </w:rPr>
            </w:pPr>
          </w:p>
          <w:p w14:paraId="7DCAB56A">
            <w:pPr>
              <w:pStyle w:val="14"/>
              <w:spacing w:before="1"/>
              <w:ind w:left="95" w:right="85"/>
              <w:jc w:val="center"/>
              <w:rPr>
                <w:rFonts w:ascii="Times New Roman"/>
                <w:sz w:val="21"/>
              </w:rPr>
            </w:pPr>
            <w:r>
              <w:rPr>
                <w:rFonts w:ascii="Times New Roman"/>
                <w:sz w:val="21"/>
              </w:rPr>
              <w:t>5.5</w:t>
            </w:r>
          </w:p>
        </w:tc>
        <w:tc>
          <w:tcPr>
            <w:tcW w:w="956" w:type="dxa"/>
          </w:tcPr>
          <w:p w14:paraId="1AEE6C69">
            <w:pPr>
              <w:pStyle w:val="14"/>
              <w:spacing w:before="4"/>
              <w:rPr>
                <w:b/>
                <w:sz w:val="22"/>
              </w:rPr>
            </w:pPr>
          </w:p>
          <w:p w14:paraId="0BBAFC15">
            <w:pPr>
              <w:pStyle w:val="14"/>
              <w:spacing w:before="1"/>
              <w:ind w:right="362"/>
              <w:jc w:val="right"/>
              <w:rPr>
                <w:rFonts w:ascii="Times New Roman"/>
                <w:sz w:val="21"/>
              </w:rPr>
            </w:pPr>
            <w:r>
              <w:rPr>
                <w:rFonts w:ascii="Times New Roman"/>
                <w:w w:val="95"/>
                <w:sz w:val="21"/>
              </w:rPr>
              <w:t>20</w:t>
            </w:r>
          </w:p>
        </w:tc>
        <w:tc>
          <w:tcPr>
            <w:tcW w:w="523" w:type="dxa"/>
          </w:tcPr>
          <w:p w14:paraId="57773605">
            <w:pPr>
              <w:pStyle w:val="14"/>
              <w:spacing w:before="4"/>
              <w:rPr>
                <w:b/>
                <w:sz w:val="22"/>
              </w:rPr>
            </w:pPr>
          </w:p>
          <w:p w14:paraId="0CDCA959">
            <w:pPr>
              <w:pStyle w:val="14"/>
              <w:spacing w:before="1"/>
              <w:ind w:left="116" w:right="111"/>
              <w:jc w:val="center"/>
              <w:rPr>
                <w:rFonts w:ascii="Times New Roman"/>
                <w:sz w:val="21"/>
              </w:rPr>
            </w:pPr>
            <w:r>
              <w:rPr>
                <w:rFonts w:ascii="Times New Roman"/>
                <w:sz w:val="21"/>
              </w:rPr>
              <w:t>SE</w:t>
            </w:r>
          </w:p>
        </w:tc>
        <w:tc>
          <w:tcPr>
            <w:tcW w:w="1040" w:type="dxa"/>
          </w:tcPr>
          <w:p w14:paraId="0DEB28F5">
            <w:pPr>
              <w:pStyle w:val="14"/>
              <w:spacing w:line="268" w:lineRule="exact"/>
              <w:ind w:left="204" w:hanging="75"/>
              <w:rPr>
                <w:sz w:val="21"/>
              </w:rPr>
            </w:pPr>
            <w:r>
              <w:rPr>
                <w:rFonts w:ascii="Times New Roman" w:eastAsia="Times New Roman"/>
                <w:sz w:val="21"/>
              </w:rPr>
              <w:t xml:space="preserve">2 </w:t>
            </w:r>
            <w:r>
              <w:rPr>
                <w:sz w:val="21"/>
              </w:rPr>
              <w:t>类声环</w:t>
            </w:r>
          </w:p>
          <w:p w14:paraId="0BA55D31">
            <w:pPr>
              <w:pStyle w:val="14"/>
              <w:spacing w:before="3" w:line="270" w:lineRule="atLeast"/>
              <w:ind w:left="413" w:right="194" w:hanging="209"/>
              <w:rPr>
                <w:sz w:val="21"/>
              </w:rPr>
            </w:pPr>
            <w:r>
              <w:rPr>
                <w:sz w:val="21"/>
              </w:rPr>
              <w:t>境功能区</w:t>
            </w:r>
          </w:p>
        </w:tc>
        <w:tc>
          <w:tcPr>
            <w:tcW w:w="2712" w:type="dxa"/>
          </w:tcPr>
          <w:p w14:paraId="35AA3778">
            <w:pPr>
              <w:pStyle w:val="14"/>
              <w:spacing w:before="136" w:line="242" w:lineRule="auto"/>
              <w:ind w:left="516" w:right="189" w:hanging="315"/>
              <w:rPr>
                <w:sz w:val="21"/>
              </w:rPr>
            </w:pPr>
            <w:r>
              <w:rPr>
                <w:w w:val="95"/>
                <w:sz w:val="21"/>
              </w:rPr>
              <w:t>砖混结构、朝西北、二层</w:t>
            </w:r>
            <w:r>
              <w:rPr>
                <w:sz w:val="21"/>
              </w:rPr>
              <w:t>建筑、周围为林地</w:t>
            </w:r>
          </w:p>
        </w:tc>
      </w:tr>
    </w:tbl>
    <w:p w14:paraId="064D3383">
      <w:pPr>
        <w:spacing w:before="0" w:after="3"/>
        <w:ind w:left="262" w:right="321" w:firstLine="0"/>
        <w:jc w:val="center"/>
        <w:rPr>
          <w:b/>
          <w:sz w:val="21"/>
        </w:rPr>
      </w:pPr>
      <w:r>
        <w:rPr>
          <w:b/>
          <w:spacing w:val="-28"/>
          <w:sz w:val="21"/>
        </w:rPr>
        <w:t xml:space="preserve">表 </w:t>
      </w:r>
      <w:r>
        <w:rPr>
          <w:rFonts w:ascii="Times New Roman" w:eastAsia="Times New Roman"/>
          <w:b/>
          <w:sz w:val="21"/>
        </w:rPr>
        <w:t>2.6-3</w:t>
      </w:r>
      <w:r>
        <w:rPr>
          <w:rFonts w:ascii="Times New Roman" w:eastAsia="Times New Roman"/>
          <w:b/>
          <w:spacing w:val="50"/>
          <w:sz w:val="21"/>
        </w:rPr>
        <w:t xml:space="preserve"> </w:t>
      </w:r>
      <w:r>
        <w:rPr>
          <w:b/>
          <w:sz w:val="21"/>
        </w:rPr>
        <w:t>与项目相关的其它环境因素保护目标</w:t>
      </w:r>
    </w:p>
    <w:tbl>
      <w:tblPr>
        <w:tblStyle w:val="10"/>
        <w:tblW w:w="0" w:type="auto"/>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5"/>
        <w:gridCol w:w="1244"/>
        <w:gridCol w:w="2026"/>
        <w:gridCol w:w="2174"/>
        <w:gridCol w:w="2087"/>
      </w:tblGrid>
      <w:tr w14:paraId="01C52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5" w:type="dxa"/>
          </w:tcPr>
          <w:p w14:paraId="4125D0E7">
            <w:pPr>
              <w:pStyle w:val="14"/>
              <w:spacing w:before="20" w:line="242" w:lineRule="auto"/>
              <w:ind w:left="179" w:right="172"/>
              <w:rPr>
                <w:b/>
                <w:sz w:val="21"/>
              </w:rPr>
            </w:pPr>
            <w:r>
              <w:rPr>
                <w:b/>
                <w:sz w:val="21"/>
              </w:rPr>
              <w:t>环境要素</w:t>
            </w:r>
          </w:p>
        </w:tc>
        <w:tc>
          <w:tcPr>
            <w:tcW w:w="1244" w:type="dxa"/>
          </w:tcPr>
          <w:p w14:paraId="6F9183A8">
            <w:pPr>
              <w:pStyle w:val="14"/>
              <w:spacing w:before="155"/>
              <w:ind w:left="178" w:right="172"/>
              <w:jc w:val="center"/>
              <w:rPr>
                <w:b/>
                <w:sz w:val="21"/>
              </w:rPr>
            </w:pPr>
            <w:r>
              <w:rPr>
                <w:b/>
                <w:sz w:val="21"/>
              </w:rPr>
              <w:t>环保目标</w:t>
            </w:r>
          </w:p>
        </w:tc>
        <w:tc>
          <w:tcPr>
            <w:tcW w:w="2026" w:type="dxa"/>
          </w:tcPr>
          <w:p w14:paraId="2E991420">
            <w:pPr>
              <w:pStyle w:val="14"/>
              <w:spacing w:before="155"/>
              <w:ind w:left="329" w:right="322"/>
              <w:jc w:val="center"/>
              <w:rPr>
                <w:b/>
                <w:sz w:val="21"/>
              </w:rPr>
            </w:pPr>
            <w:r>
              <w:rPr>
                <w:b/>
                <w:sz w:val="21"/>
              </w:rPr>
              <w:t>相对方位</w:t>
            </w:r>
            <w:r>
              <w:rPr>
                <w:rFonts w:ascii="Times New Roman" w:eastAsia="Times New Roman"/>
                <w:b/>
                <w:sz w:val="21"/>
              </w:rPr>
              <w:t>/</w:t>
            </w:r>
            <w:r>
              <w:rPr>
                <w:b/>
                <w:sz w:val="21"/>
              </w:rPr>
              <w:t>距离</w:t>
            </w:r>
          </w:p>
        </w:tc>
        <w:tc>
          <w:tcPr>
            <w:tcW w:w="2174" w:type="dxa"/>
          </w:tcPr>
          <w:p w14:paraId="144DCE05">
            <w:pPr>
              <w:pStyle w:val="14"/>
              <w:spacing w:before="155"/>
              <w:ind w:left="328" w:right="323"/>
              <w:jc w:val="center"/>
              <w:rPr>
                <w:b/>
                <w:sz w:val="21"/>
              </w:rPr>
            </w:pPr>
            <w:r>
              <w:rPr>
                <w:b/>
                <w:sz w:val="21"/>
              </w:rPr>
              <w:t>功能</w:t>
            </w:r>
            <w:r>
              <w:rPr>
                <w:rFonts w:ascii="Times New Roman" w:eastAsia="Times New Roman"/>
                <w:b/>
                <w:sz w:val="21"/>
              </w:rPr>
              <w:t>/</w:t>
            </w:r>
            <w:r>
              <w:rPr>
                <w:b/>
                <w:sz w:val="21"/>
              </w:rPr>
              <w:t>性质</w:t>
            </w:r>
          </w:p>
        </w:tc>
        <w:tc>
          <w:tcPr>
            <w:tcW w:w="2087" w:type="dxa"/>
          </w:tcPr>
          <w:p w14:paraId="7B8CFEBF">
            <w:pPr>
              <w:pStyle w:val="14"/>
              <w:spacing w:before="155"/>
              <w:ind w:left="37" w:right="31"/>
              <w:jc w:val="center"/>
              <w:rPr>
                <w:b/>
                <w:sz w:val="21"/>
              </w:rPr>
            </w:pPr>
            <w:r>
              <w:rPr>
                <w:b/>
                <w:sz w:val="21"/>
              </w:rPr>
              <w:t>保护级别</w:t>
            </w:r>
          </w:p>
        </w:tc>
      </w:tr>
      <w:tr w14:paraId="7C1DB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85" w:type="dxa"/>
          </w:tcPr>
          <w:p w14:paraId="0BE13E6A">
            <w:pPr>
              <w:pStyle w:val="14"/>
              <w:spacing w:before="20" w:line="270" w:lineRule="atLeast"/>
              <w:ind w:left="179" w:right="64" w:hanging="104"/>
              <w:rPr>
                <w:b/>
                <w:sz w:val="21"/>
              </w:rPr>
            </w:pPr>
            <w:r>
              <w:rPr>
                <w:b/>
                <w:sz w:val="21"/>
              </w:rPr>
              <w:t>地下水环境</w:t>
            </w:r>
          </w:p>
        </w:tc>
        <w:tc>
          <w:tcPr>
            <w:tcW w:w="5444" w:type="dxa"/>
            <w:gridSpan w:val="3"/>
          </w:tcPr>
          <w:p w14:paraId="75EE42E6">
            <w:pPr>
              <w:pStyle w:val="14"/>
              <w:spacing w:before="17" w:line="270" w:lineRule="atLeast"/>
              <w:ind w:left="4" w:right="6"/>
              <w:rPr>
                <w:sz w:val="21"/>
              </w:rPr>
            </w:pPr>
            <w:r>
              <w:rPr>
                <w:sz w:val="21"/>
              </w:rPr>
              <w:t>周边无集中式地下水取水点，本次评价以项目</w:t>
            </w:r>
            <w:r>
              <w:rPr>
                <w:rFonts w:ascii="Times New Roman" w:hAnsi="Times New Roman" w:eastAsia="Times New Roman"/>
                <w:sz w:val="21"/>
              </w:rPr>
              <w:t>≤6km</w:t>
            </w:r>
            <w:r>
              <w:rPr>
                <w:rFonts w:ascii="Times New Roman" w:hAnsi="Times New Roman" w:eastAsia="Times New Roman"/>
                <w:position w:val="7"/>
                <w:sz w:val="13"/>
              </w:rPr>
              <w:t xml:space="preserve">2 </w:t>
            </w:r>
            <w:r>
              <w:rPr>
                <w:sz w:val="21"/>
              </w:rPr>
              <w:t>范围含水层为地下水保护目标</w:t>
            </w:r>
          </w:p>
        </w:tc>
        <w:tc>
          <w:tcPr>
            <w:tcW w:w="2087" w:type="dxa"/>
          </w:tcPr>
          <w:p w14:paraId="715741CA">
            <w:pPr>
              <w:pStyle w:val="14"/>
              <w:spacing w:before="21"/>
              <w:ind w:left="40" w:right="31"/>
              <w:jc w:val="center"/>
              <w:rPr>
                <w:sz w:val="21"/>
              </w:rPr>
            </w:pPr>
            <w:r>
              <w:rPr>
                <w:rFonts w:ascii="Times New Roman" w:hAnsi="Times New Roman" w:eastAsia="Times New Roman"/>
                <w:sz w:val="21"/>
              </w:rPr>
              <w:t xml:space="preserve">GB/T14848-2017 </w:t>
            </w:r>
            <w:r>
              <w:rPr>
                <w:sz w:val="21"/>
              </w:rPr>
              <w:t>中Ⅲ</w:t>
            </w:r>
          </w:p>
          <w:p w14:paraId="566F2582">
            <w:pPr>
              <w:pStyle w:val="14"/>
              <w:spacing w:before="2"/>
              <w:ind w:left="40" w:right="31"/>
              <w:jc w:val="center"/>
              <w:rPr>
                <w:sz w:val="21"/>
              </w:rPr>
            </w:pPr>
            <w:r>
              <w:rPr>
                <w:sz w:val="21"/>
              </w:rPr>
              <w:t>类标准</w:t>
            </w:r>
          </w:p>
        </w:tc>
      </w:tr>
      <w:tr w14:paraId="2C623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5" w:type="dxa"/>
          </w:tcPr>
          <w:p w14:paraId="50A319FB">
            <w:pPr>
              <w:pStyle w:val="14"/>
              <w:spacing w:before="21" w:line="270" w:lineRule="atLeast"/>
              <w:ind w:left="179" w:right="64" w:hanging="104"/>
              <w:rPr>
                <w:b/>
                <w:sz w:val="21"/>
              </w:rPr>
            </w:pPr>
            <w:r>
              <w:rPr>
                <w:b/>
                <w:sz w:val="21"/>
              </w:rPr>
              <w:t>地表水环境</w:t>
            </w:r>
          </w:p>
        </w:tc>
        <w:tc>
          <w:tcPr>
            <w:tcW w:w="1244" w:type="dxa"/>
          </w:tcPr>
          <w:p w14:paraId="40079064">
            <w:pPr>
              <w:pStyle w:val="14"/>
              <w:spacing w:before="156"/>
              <w:ind w:left="178" w:right="170"/>
              <w:jc w:val="center"/>
              <w:rPr>
                <w:sz w:val="21"/>
              </w:rPr>
            </w:pPr>
            <w:r>
              <w:rPr>
                <w:sz w:val="21"/>
              </w:rPr>
              <w:t>新墙河</w:t>
            </w:r>
          </w:p>
        </w:tc>
        <w:tc>
          <w:tcPr>
            <w:tcW w:w="2026" w:type="dxa"/>
          </w:tcPr>
          <w:p w14:paraId="20A190FD">
            <w:pPr>
              <w:pStyle w:val="14"/>
              <w:spacing w:before="170"/>
              <w:ind w:left="328" w:right="322"/>
              <w:jc w:val="center"/>
              <w:rPr>
                <w:rFonts w:ascii="Times New Roman"/>
                <w:sz w:val="21"/>
              </w:rPr>
            </w:pPr>
            <w:r>
              <w:rPr>
                <w:rFonts w:ascii="Times New Roman"/>
                <w:sz w:val="21"/>
              </w:rPr>
              <w:t>N/1km</w:t>
            </w:r>
          </w:p>
        </w:tc>
        <w:tc>
          <w:tcPr>
            <w:tcW w:w="2174" w:type="dxa"/>
          </w:tcPr>
          <w:p w14:paraId="6079647E">
            <w:pPr>
              <w:pStyle w:val="14"/>
              <w:spacing w:before="156"/>
              <w:ind w:left="330" w:right="323"/>
              <w:jc w:val="center"/>
              <w:rPr>
                <w:sz w:val="21"/>
              </w:rPr>
            </w:pPr>
            <w:r>
              <w:rPr>
                <w:sz w:val="21"/>
              </w:rPr>
              <w:t>景观用水，小河</w:t>
            </w:r>
          </w:p>
        </w:tc>
        <w:tc>
          <w:tcPr>
            <w:tcW w:w="2087" w:type="dxa"/>
          </w:tcPr>
          <w:p w14:paraId="2A76B267">
            <w:pPr>
              <w:pStyle w:val="14"/>
              <w:spacing w:before="156"/>
              <w:ind w:left="37" w:right="31"/>
              <w:jc w:val="center"/>
              <w:rPr>
                <w:sz w:val="21"/>
              </w:rPr>
            </w:pPr>
            <w:r>
              <w:rPr>
                <w:sz w:val="21"/>
              </w:rPr>
              <w:t>Ⅲ类</w:t>
            </w:r>
          </w:p>
        </w:tc>
      </w:tr>
      <w:tr w14:paraId="0ECAE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5" w:type="dxa"/>
          </w:tcPr>
          <w:p w14:paraId="3535FC02">
            <w:pPr>
              <w:pStyle w:val="14"/>
              <w:spacing w:before="19" w:line="242" w:lineRule="auto"/>
              <w:ind w:left="285" w:right="64" w:hanging="209"/>
              <w:rPr>
                <w:b/>
                <w:sz w:val="21"/>
              </w:rPr>
            </w:pPr>
            <w:r>
              <w:rPr>
                <w:b/>
                <w:sz w:val="21"/>
              </w:rPr>
              <w:t>生态环境</w:t>
            </w:r>
          </w:p>
        </w:tc>
        <w:tc>
          <w:tcPr>
            <w:tcW w:w="1244" w:type="dxa"/>
          </w:tcPr>
          <w:p w14:paraId="6DCA1345">
            <w:pPr>
              <w:pStyle w:val="14"/>
              <w:spacing w:before="154"/>
              <w:ind w:left="178" w:right="170"/>
              <w:jc w:val="center"/>
              <w:rPr>
                <w:sz w:val="21"/>
              </w:rPr>
            </w:pPr>
            <w:r>
              <w:rPr>
                <w:sz w:val="21"/>
              </w:rPr>
              <w:t>荒林地</w:t>
            </w:r>
          </w:p>
        </w:tc>
        <w:tc>
          <w:tcPr>
            <w:tcW w:w="2026" w:type="dxa"/>
          </w:tcPr>
          <w:p w14:paraId="28F7B5D9">
            <w:pPr>
              <w:pStyle w:val="14"/>
              <w:spacing w:before="154"/>
              <w:ind w:left="329" w:right="322"/>
              <w:jc w:val="center"/>
              <w:rPr>
                <w:sz w:val="21"/>
              </w:rPr>
            </w:pPr>
            <w:r>
              <w:rPr>
                <w:sz w:val="21"/>
              </w:rPr>
              <w:t>四周</w:t>
            </w:r>
          </w:p>
        </w:tc>
        <w:tc>
          <w:tcPr>
            <w:tcW w:w="2174" w:type="dxa"/>
          </w:tcPr>
          <w:p w14:paraId="75EC646B">
            <w:pPr>
              <w:pStyle w:val="14"/>
              <w:spacing w:before="154"/>
              <w:ind w:left="330" w:right="323"/>
              <w:jc w:val="center"/>
              <w:rPr>
                <w:sz w:val="21"/>
              </w:rPr>
            </w:pPr>
            <w:r>
              <w:rPr>
                <w:sz w:val="21"/>
              </w:rPr>
              <w:t>景观</w:t>
            </w:r>
          </w:p>
        </w:tc>
        <w:tc>
          <w:tcPr>
            <w:tcW w:w="2087" w:type="dxa"/>
          </w:tcPr>
          <w:p w14:paraId="02EDF2F2">
            <w:pPr>
              <w:pStyle w:val="14"/>
              <w:spacing w:before="170"/>
              <w:ind w:left="9"/>
              <w:jc w:val="center"/>
              <w:rPr>
                <w:rFonts w:ascii="Times New Roman"/>
                <w:sz w:val="21"/>
              </w:rPr>
            </w:pPr>
            <w:r>
              <w:rPr>
                <w:rFonts w:ascii="Times New Roman"/>
                <w:w w:val="99"/>
                <w:sz w:val="21"/>
              </w:rPr>
              <w:t>/</w:t>
            </w:r>
          </w:p>
        </w:tc>
      </w:tr>
    </w:tbl>
    <w:p w14:paraId="66228071">
      <w:pPr>
        <w:spacing w:before="1"/>
        <w:ind w:left="700" w:right="0" w:firstLine="0"/>
        <w:jc w:val="left"/>
        <w:rPr>
          <w:sz w:val="21"/>
        </w:rPr>
      </w:pPr>
      <w:r>
        <w:rPr>
          <w:sz w:val="21"/>
        </w:rPr>
        <w:t xml:space="preserve">备注：选取厂区中心点（经度 </w:t>
      </w:r>
      <w:r>
        <w:rPr>
          <w:rFonts w:ascii="Times New Roman" w:hAnsi="Times New Roman" w:eastAsia="Times New Roman"/>
          <w:sz w:val="21"/>
        </w:rPr>
        <w:t>113.1114000</w:t>
      </w:r>
      <w:r>
        <w:rPr>
          <w:sz w:val="21"/>
        </w:rPr>
        <w:t xml:space="preserve">°，纬度 </w:t>
      </w:r>
      <w:r>
        <w:rPr>
          <w:rFonts w:ascii="Times New Roman" w:hAnsi="Times New Roman" w:eastAsia="Times New Roman"/>
          <w:sz w:val="21"/>
        </w:rPr>
        <w:t>29.1232147</w:t>
      </w:r>
      <w:r>
        <w:rPr>
          <w:sz w:val="21"/>
        </w:rPr>
        <w:t>°）作为原点；</w:t>
      </w:r>
    </w:p>
    <w:p w14:paraId="4B9CD37A">
      <w:pPr>
        <w:pStyle w:val="3"/>
        <w:numPr>
          <w:ilvl w:val="1"/>
          <w:numId w:val="12"/>
        </w:numPr>
        <w:tabs>
          <w:tab w:val="left" w:pos="688"/>
        </w:tabs>
        <w:spacing w:before="141" w:after="0" w:line="240" w:lineRule="auto"/>
        <w:ind w:left="688" w:right="0" w:hanging="408"/>
        <w:jc w:val="left"/>
        <w:rPr>
          <w:rFonts w:ascii="Times New Roman" w:eastAsia="Times New Roman"/>
        </w:rPr>
      </w:pPr>
      <w:bookmarkStart w:id="79" w:name="_bookmark13"/>
      <w:bookmarkEnd w:id="79"/>
      <w:bookmarkStart w:id="80" w:name="_bookmark13"/>
      <w:bookmarkEnd w:id="80"/>
      <w:bookmarkStart w:id="81" w:name="2.7环境功能区划"/>
      <w:bookmarkEnd w:id="81"/>
      <w:r>
        <w:t>环境功能区划</w:t>
      </w:r>
    </w:p>
    <w:p w14:paraId="29D9C247">
      <w:pPr>
        <w:pStyle w:val="7"/>
        <w:spacing w:before="5"/>
        <w:rPr>
          <w:b/>
          <w:sz w:val="8"/>
        </w:rPr>
      </w:pPr>
    </w:p>
    <w:p w14:paraId="16ED004B">
      <w:pPr>
        <w:spacing w:before="76"/>
        <w:ind w:left="2843" w:right="0" w:firstLine="0"/>
        <w:jc w:val="left"/>
        <w:rPr>
          <w:b/>
          <w:sz w:val="21"/>
        </w:rPr>
      </w:pPr>
      <w:r>
        <w:rPr>
          <w:b/>
          <w:spacing w:val="-26"/>
          <w:sz w:val="21"/>
        </w:rPr>
        <w:t xml:space="preserve">表 </w:t>
      </w:r>
      <w:r>
        <w:rPr>
          <w:rFonts w:ascii="Times New Roman" w:eastAsia="Times New Roman"/>
          <w:b/>
          <w:sz w:val="21"/>
        </w:rPr>
        <w:t>2.7-1</w:t>
      </w:r>
      <w:r>
        <w:rPr>
          <w:rFonts w:ascii="Times New Roman" w:eastAsia="Times New Roman"/>
          <w:b/>
          <w:spacing w:val="50"/>
          <w:sz w:val="21"/>
        </w:rPr>
        <w:t xml:space="preserve"> </w:t>
      </w:r>
      <w:r>
        <w:rPr>
          <w:b/>
          <w:sz w:val="21"/>
        </w:rPr>
        <w:t>项目选址区环境功能区划</w:t>
      </w:r>
    </w:p>
    <w:p w14:paraId="7DA6DA71">
      <w:pPr>
        <w:spacing w:after="0"/>
        <w:jc w:val="left"/>
        <w:rPr>
          <w:sz w:val="21"/>
        </w:rPr>
        <w:sectPr>
          <w:pgSz w:w="11910" w:h="16840"/>
          <w:pgMar w:top="1360" w:right="1460" w:bottom="1400" w:left="1520" w:header="878" w:footer="1204" w:gutter="0"/>
          <w:cols w:space="720" w:num="1"/>
        </w:sectPr>
      </w:pPr>
    </w:p>
    <w:p w14:paraId="788B0174">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2"/>
        <w:gridCol w:w="2744"/>
        <w:gridCol w:w="5296"/>
      </w:tblGrid>
      <w:tr w14:paraId="5B324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82" w:type="dxa"/>
          </w:tcPr>
          <w:p w14:paraId="46454A8D">
            <w:pPr>
              <w:pStyle w:val="14"/>
              <w:spacing w:before="21" w:line="242" w:lineRule="auto"/>
              <w:ind w:left="134" w:right="126"/>
              <w:rPr>
                <w:b/>
                <w:sz w:val="21"/>
              </w:rPr>
            </w:pPr>
            <w:r>
              <w:rPr>
                <w:b/>
                <w:sz w:val="21"/>
              </w:rPr>
              <w:t>编号</w:t>
            </w:r>
          </w:p>
        </w:tc>
        <w:tc>
          <w:tcPr>
            <w:tcW w:w="2744" w:type="dxa"/>
          </w:tcPr>
          <w:p w14:paraId="4748FDF5">
            <w:pPr>
              <w:pStyle w:val="14"/>
              <w:spacing w:before="155"/>
              <w:ind w:left="89" w:right="80"/>
              <w:jc w:val="center"/>
              <w:rPr>
                <w:b/>
                <w:sz w:val="21"/>
              </w:rPr>
            </w:pPr>
            <w:r>
              <w:rPr>
                <w:b/>
                <w:sz w:val="21"/>
              </w:rPr>
              <w:t>项目</w:t>
            </w:r>
          </w:p>
        </w:tc>
        <w:tc>
          <w:tcPr>
            <w:tcW w:w="5296" w:type="dxa"/>
          </w:tcPr>
          <w:p w14:paraId="740F5223">
            <w:pPr>
              <w:pStyle w:val="14"/>
              <w:spacing w:before="155"/>
              <w:ind w:left="131" w:right="124"/>
              <w:jc w:val="center"/>
              <w:rPr>
                <w:b/>
                <w:sz w:val="21"/>
              </w:rPr>
            </w:pPr>
            <w:r>
              <w:rPr>
                <w:b/>
                <w:sz w:val="21"/>
              </w:rPr>
              <w:t>功能属性及执行标准</w:t>
            </w:r>
          </w:p>
        </w:tc>
      </w:tr>
      <w:tr w14:paraId="0347E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482" w:type="dxa"/>
          </w:tcPr>
          <w:p w14:paraId="4215A427">
            <w:pPr>
              <w:pStyle w:val="14"/>
              <w:rPr>
                <w:rFonts w:ascii="Times New Roman"/>
                <w:sz w:val="22"/>
              </w:rPr>
            </w:pPr>
          </w:p>
          <w:p w14:paraId="4766E248">
            <w:pPr>
              <w:pStyle w:val="14"/>
              <w:spacing w:before="2"/>
              <w:rPr>
                <w:rFonts w:ascii="Times New Roman"/>
                <w:sz w:val="28"/>
              </w:rPr>
            </w:pPr>
          </w:p>
          <w:p w14:paraId="2CA2EFB0">
            <w:pPr>
              <w:pStyle w:val="14"/>
              <w:ind w:left="6"/>
              <w:jc w:val="center"/>
              <w:rPr>
                <w:rFonts w:ascii="Times New Roman"/>
                <w:sz w:val="21"/>
              </w:rPr>
            </w:pPr>
            <w:r>
              <w:rPr>
                <w:rFonts w:ascii="Times New Roman"/>
                <w:w w:val="99"/>
                <w:sz w:val="21"/>
              </w:rPr>
              <w:t>1</w:t>
            </w:r>
          </w:p>
        </w:tc>
        <w:tc>
          <w:tcPr>
            <w:tcW w:w="2744" w:type="dxa"/>
          </w:tcPr>
          <w:p w14:paraId="4554F063">
            <w:pPr>
              <w:pStyle w:val="14"/>
              <w:rPr>
                <w:rFonts w:ascii="Times New Roman"/>
                <w:sz w:val="20"/>
              </w:rPr>
            </w:pPr>
          </w:p>
          <w:p w14:paraId="6007A9A1">
            <w:pPr>
              <w:pStyle w:val="14"/>
              <w:rPr>
                <w:rFonts w:ascii="Times New Roman"/>
                <w:sz w:val="29"/>
              </w:rPr>
            </w:pPr>
          </w:p>
          <w:p w14:paraId="325446B7">
            <w:pPr>
              <w:pStyle w:val="14"/>
              <w:ind w:left="89" w:right="82"/>
              <w:jc w:val="center"/>
              <w:rPr>
                <w:sz w:val="21"/>
              </w:rPr>
            </w:pPr>
            <w:r>
              <w:rPr>
                <w:sz w:val="21"/>
              </w:rPr>
              <w:t>水环境功能区</w:t>
            </w:r>
          </w:p>
        </w:tc>
        <w:tc>
          <w:tcPr>
            <w:tcW w:w="5296" w:type="dxa"/>
          </w:tcPr>
          <w:p w14:paraId="5A51B2D3">
            <w:pPr>
              <w:pStyle w:val="14"/>
              <w:spacing w:before="19" w:line="242" w:lineRule="auto"/>
              <w:ind w:left="133" w:right="124"/>
              <w:jc w:val="center"/>
              <w:rPr>
                <w:sz w:val="21"/>
              </w:rPr>
            </w:pPr>
            <w:r>
              <w:rPr>
                <w:spacing w:val="-5"/>
                <w:sz w:val="21"/>
              </w:rPr>
              <w:t xml:space="preserve">新墙河县水厂取水口上游 </w:t>
            </w:r>
            <w:r>
              <w:rPr>
                <w:rFonts w:ascii="Times New Roman" w:hAnsi="Times New Roman" w:eastAsia="Times New Roman"/>
                <w:sz w:val="21"/>
              </w:rPr>
              <w:t>1000</w:t>
            </w:r>
            <w:r>
              <w:rPr>
                <w:rFonts w:ascii="Times New Roman" w:hAnsi="Times New Roman" w:eastAsia="Times New Roman"/>
                <w:spacing w:val="-15"/>
                <w:sz w:val="21"/>
              </w:rPr>
              <w:t xml:space="preserve"> </w:t>
            </w:r>
            <w:r>
              <w:rPr>
                <w:spacing w:val="-11"/>
                <w:sz w:val="21"/>
              </w:rPr>
              <w:t xml:space="preserve">米至下游 </w:t>
            </w:r>
            <w:r>
              <w:rPr>
                <w:rFonts w:ascii="Times New Roman" w:hAnsi="Times New Roman" w:eastAsia="Times New Roman"/>
                <w:sz w:val="21"/>
              </w:rPr>
              <w:t>200</w:t>
            </w:r>
            <w:r>
              <w:rPr>
                <w:rFonts w:ascii="Times New Roman" w:hAnsi="Times New Roman" w:eastAsia="Times New Roman"/>
                <w:spacing w:val="-14"/>
                <w:sz w:val="21"/>
              </w:rPr>
              <w:t xml:space="preserve"> </w:t>
            </w:r>
            <w:r>
              <w:rPr>
                <w:sz w:val="21"/>
              </w:rPr>
              <w:t xml:space="preserve">米河段， </w:t>
            </w:r>
            <w:r>
              <w:rPr>
                <w:spacing w:val="-8"/>
                <w:sz w:val="21"/>
              </w:rPr>
              <w:t>执行《地表水环境质量标准》</w:t>
            </w:r>
            <w:r>
              <w:rPr>
                <w:sz w:val="21"/>
              </w:rPr>
              <w:t>（</w:t>
            </w:r>
            <w:r>
              <w:rPr>
                <w:rFonts w:ascii="Times New Roman" w:hAnsi="Times New Roman" w:eastAsia="Times New Roman"/>
                <w:sz w:val="21"/>
              </w:rPr>
              <w:t>GB3838-2002</w:t>
            </w:r>
            <w:r>
              <w:rPr>
                <w:sz w:val="21"/>
              </w:rPr>
              <w:t xml:space="preserve">）中的Ⅱ </w:t>
            </w:r>
            <w:r>
              <w:rPr>
                <w:spacing w:val="-5"/>
                <w:sz w:val="21"/>
              </w:rPr>
              <w:t xml:space="preserve">类标准，县水厂取水口下游 </w:t>
            </w:r>
            <w:r>
              <w:rPr>
                <w:rFonts w:ascii="Times New Roman" w:hAnsi="Times New Roman" w:eastAsia="Times New Roman"/>
                <w:sz w:val="21"/>
              </w:rPr>
              <w:t>200</w:t>
            </w:r>
            <w:r>
              <w:rPr>
                <w:rFonts w:ascii="Times New Roman" w:hAnsi="Times New Roman" w:eastAsia="Times New Roman"/>
                <w:spacing w:val="-17"/>
                <w:sz w:val="21"/>
              </w:rPr>
              <w:t xml:space="preserve"> </w:t>
            </w:r>
            <w:r>
              <w:rPr>
                <w:sz w:val="21"/>
              </w:rPr>
              <w:t>米至铁路桥河段、新墙</w:t>
            </w:r>
            <w:r>
              <w:rPr>
                <w:w w:val="95"/>
                <w:sz w:val="21"/>
              </w:rPr>
              <w:t xml:space="preserve">河铁路桥河段至春风河段，执行《地表水环境质量标准  </w:t>
            </w:r>
            <w:r>
              <w:rPr>
                <w:spacing w:val="-106"/>
                <w:sz w:val="21"/>
              </w:rPr>
              <w:t>》</w:t>
            </w:r>
            <w:r>
              <w:rPr>
                <w:sz w:val="21"/>
              </w:rPr>
              <w:t>（</w:t>
            </w:r>
            <w:r>
              <w:rPr>
                <w:rFonts w:ascii="Times New Roman" w:hAnsi="Times New Roman" w:eastAsia="Times New Roman"/>
                <w:sz w:val="21"/>
              </w:rPr>
              <w:t>GB3838-2002</w:t>
            </w:r>
            <w:r>
              <w:rPr>
                <w:sz w:val="21"/>
              </w:rPr>
              <w:t>）中的Ⅲ类标准</w:t>
            </w:r>
          </w:p>
        </w:tc>
      </w:tr>
      <w:tr w14:paraId="34F5C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82" w:type="dxa"/>
          </w:tcPr>
          <w:p w14:paraId="06B9EC15">
            <w:pPr>
              <w:pStyle w:val="14"/>
              <w:spacing w:before="170"/>
              <w:ind w:left="6"/>
              <w:jc w:val="center"/>
              <w:rPr>
                <w:rFonts w:ascii="Times New Roman"/>
                <w:sz w:val="21"/>
              </w:rPr>
            </w:pPr>
            <w:r>
              <w:rPr>
                <w:rFonts w:ascii="Times New Roman"/>
                <w:w w:val="99"/>
                <w:sz w:val="21"/>
              </w:rPr>
              <w:t>2</w:t>
            </w:r>
          </w:p>
        </w:tc>
        <w:tc>
          <w:tcPr>
            <w:tcW w:w="2744" w:type="dxa"/>
          </w:tcPr>
          <w:p w14:paraId="40691A35">
            <w:pPr>
              <w:pStyle w:val="14"/>
              <w:spacing w:before="156"/>
              <w:ind w:left="89" w:right="80"/>
              <w:jc w:val="center"/>
              <w:rPr>
                <w:sz w:val="21"/>
              </w:rPr>
            </w:pPr>
            <w:r>
              <w:rPr>
                <w:sz w:val="21"/>
              </w:rPr>
              <w:t>环境空气质量功能区</w:t>
            </w:r>
          </w:p>
        </w:tc>
        <w:tc>
          <w:tcPr>
            <w:tcW w:w="5296" w:type="dxa"/>
          </w:tcPr>
          <w:p w14:paraId="732AA153">
            <w:pPr>
              <w:pStyle w:val="14"/>
              <w:spacing w:before="21"/>
              <w:ind w:left="133" w:right="20"/>
              <w:jc w:val="center"/>
              <w:rPr>
                <w:sz w:val="21"/>
              </w:rPr>
            </w:pPr>
            <w:r>
              <w:rPr>
                <w:sz w:val="21"/>
              </w:rPr>
              <w:t>二类区，环境空气质量分别执行《环境空气质量标准》</w:t>
            </w:r>
          </w:p>
          <w:p w14:paraId="379E52DE">
            <w:pPr>
              <w:pStyle w:val="14"/>
              <w:spacing w:before="2"/>
              <w:ind w:left="131" w:right="124"/>
              <w:jc w:val="center"/>
              <w:rPr>
                <w:sz w:val="21"/>
              </w:rPr>
            </w:pPr>
            <w:r>
              <w:rPr>
                <w:sz w:val="21"/>
              </w:rPr>
              <w:t>（</w:t>
            </w:r>
            <w:r>
              <w:rPr>
                <w:rFonts w:ascii="Times New Roman" w:eastAsia="Times New Roman"/>
                <w:sz w:val="21"/>
              </w:rPr>
              <w:t>GB3095-2012</w:t>
            </w:r>
            <w:r>
              <w:rPr>
                <w:sz w:val="21"/>
              </w:rPr>
              <w:t>）中的二级标准</w:t>
            </w:r>
          </w:p>
        </w:tc>
      </w:tr>
      <w:tr w14:paraId="5F474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82" w:type="dxa"/>
          </w:tcPr>
          <w:p w14:paraId="3D53FC9A">
            <w:pPr>
              <w:pStyle w:val="14"/>
              <w:spacing w:before="170"/>
              <w:ind w:left="6"/>
              <w:jc w:val="center"/>
              <w:rPr>
                <w:rFonts w:ascii="Times New Roman"/>
                <w:sz w:val="21"/>
              </w:rPr>
            </w:pPr>
            <w:r>
              <w:rPr>
                <w:rFonts w:ascii="Times New Roman"/>
                <w:w w:val="99"/>
                <w:sz w:val="21"/>
              </w:rPr>
              <w:t>3</w:t>
            </w:r>
          </w:p>
        </w:tc>
        <w:tc>
          <w:tcPr>
            <w:tcW w:w="2744" w:type="dxa"/>
          </w:tcPr>
          <w:p w14:paraId="158DCC9F">
            <w:pPr>
              <w:pStyle w:val="14"/>
              <w:spacing w:before="156"/>
              <w:ind w:left="89" w:right="80"/>
              <w:jc w:val="center"/>
              <w:rPr>
                <w:sz w:val="21"/>
              </w:rPr>
            </w:pPr>
            <w:r>
              <w:rPr>
                <w:sz w:val="21"/>
              </w:rPr>
              <w:t>声环境功能</w:t>
            </w:r>
          </w:p>
        </w:tc>
        <w:tc>
          <w:tcPr>
            <w:tcW w:w="5296" w:type="dxa"/>
          </w:tcPr>
          <w:p w14:paraId="70E9ACF9">
            <w:pPr>
              <w:pStyle w:val="14"/>
              <w:spacing w:before="21" w:line="270" w:lineRule="atLeast"/>
              <w:ind w:left="2437" w:right="111" w:hanging="2271"/>
              <w:rPr>
                <w:sz w:val="21"/>
              </w:rPr>
            </w:pPr>
            <w:r>
              <w:rPr>
                <w:rFonts w:ascii="Times New Roman" w:eastAsia="Times New Roman"/>
                <w:sz w:val="21"/>
              </w:rPr>
              <w:t xml:space="preserve">2 </w:t>
            </w:r>
            <w:r>
              <w:rPr>
                <w:spacing w:val="-8"/>
                <w:sz w:val="21"/>
              </w:rPr>
              <w:t>类区，执行《声环境质量标准》</w:t>
            </w:r>
            <w:r>
              <w:rPr>
                <w:sz w:val="21"/>
              </w:rPr>
              <w:t>（</w:t>
            </w:r>
            <w:r>
              <w:rPr>
                <w:rFonts w:ascii="Times New Roman" w:eastAsia="Times New Roman"/>
                <w:sz w:val="21"/>
              </w:rPr>
              <w:t>GB3096-2008</w:t>
            </w:r>
            <w:r>
              <w:rPr>
                <w:sz w:val="21"/>
              </w:rPr>
              <w:t>）</w:t>
            </w:r>
            <w:r>
              <w:rPr>
                <w:rFonts w:ascii="Times New Roman" w:eastAsia="Times New Roman"/>
                <w:sz w:val="21"/>
              </w:rPr>
              <w:t xml:space="preserve">2 </w:t>
            </w:r>
            <w:r>
              <w:rPr>
                <w:sz w:val="21"/>
              </w:rPr>
              <w:t>类标准</w:t>
            </w:r>
          </w:p>
        </w:tc>
      </w:tr>
      <w:tr w14:paraId="2332A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2" w:type="dxa"/>
          </w:tcPr>
          <w:p w14:paraId="478D66E3">
            <w:pPr>
              <w:pStyle w:val="14"/>
              <w:spacing w:before="105"/>
              <w:ind w:left="6"/>
              <w:jc w:val="center"/>
              <w:rPr>
                <w:rFonts w:ascii="Times New Roman"/>
                <w:sz w:val="21"/>
              </w:rPr>
            </w:pPr>
            <w:r>
              <w:rPr>
                <w:rFonts w:ascii="Times New Roman"/>
                <w:w w:val="99"/>
                <w:sz w:val="21"/>
              </w:rPr>
              <w:t>4</w:t>
            </w:r>
          </w:p>
        </w:tc>
        <w:tc>
          <w:tcPr>
            <w:tcW w:w="2744" w:type="dxa"/>
          </w:tcPr>
          <w:p w14:paraId="3260272D">
            <w:pPr>
              <w:pStyle w:val="14"/>
              <w:spacing w:before="89"/>
              <w:ind w:left="89" w:right="80"/>
              <w:jc w:val="center"/>
              <w:rPr>
                <w:sz w:val="21"/>
              </w:rPr>
            </w:pPr>
            <w:r>
              <w:rPr>
                <w:sz w:val="21"/>
              </w:rPr>
              <w:t>是否基本农田保护区</w:t>
            </w:r>
          </w:p>
        </w:tc>
        <w:tc>
          <w:tcPr>
            <w:tcW w:w="5296" w:type="dxa"/>
          </w:tcPr>
          <w:p w14:paraId="628430EB">
            <w:pPr>
              <w:pStyle w:val="14"/>
              <w:spacing w:before="89"/>
              <w:ind w:left="9"/>
              <w:jc w:val="center"/>
              <w:rPr>
                <w:sz w:val="21"/>
              </w:rPr>
            </w:pPr>
            <w:r>
              <w:rPr>
                <w:w w:val="99"/>
                <w:sz w:val="21"/>
              </w:rPr>
              <w:t>否</w:t>
            </w:r>
          </w:p>
        </w:tc>
      </w:tr>
      <w:tr w14:paraId="7BC0C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82" w:type="dxa"/>
          </w:tcPr>
          <w:p w14:paraId="518AB05C">
            <w:pPr>
              <w:pStyle w:val="14"/>
              <w:spacing w:before="104"/>
              <w:ind w:left="6"/>
              <w:jc w:val="center"/>
              <w:rPr>
                <w:rFonts w:ascii="Times New Roman"/>
                <w:sz w:val="21"/>
              </w:rPr>
            </w:pPr>
            <w:r>
              <w:rPr>
                <w:rFonts w:ascii="Times New Roman"/>
                <w:w w:val="99"/>
                <w:sz w:val="21"/>
              </w:rPr>
              <w:t>5</w:t>
            </w:r>
          </w:p>
        </w:tc>
        <w:tc>
          <w:tcPr>
            <w:tcW w:w="2744" w:type="dxa"/>
          </w:tcPr>
          <w:p w14:paraId="283A836D">
            <w:pPr>
              <w:pStyle w:val="14"/>
              <w:spacing w:before="91"/>
              <w:ind w:left="89" w:right="82"/>
              <w:jc w:val="center"/>
              <w:rPr>
                <w:sz w:val="21"/>
              </w:rPr>
            </w:pPr>
            <w:r>
              <w:rPr>
                <w:sz w:val="21"/>
              </w:rPr>
              <w:t>是否森林公园</w:t>
            </w:r>
          </w:p>
        </w:tc>
        <w:tc>
          <w:tcPr>
            <w:tcW w:w="5296" w:type="dxa"/>
          </w:tcPr>
          <w:p w14:paraId="77A9E990">
            <w:pPr>
              <w:pStyle w:val="14"/>
              <w:spacing w:before="91"/>
              <w:ind w:left="9"/>
              <w:jc w:val="center"/>
              <w:rPr>
                <w:sz w:val="21"/>
              </w:rPr>
            </w:pPr>
            <w:r>
              <w:rPr>
                <w:w w:val="99"/>
                <w:sz w:val="21"/>
              </w:rPr>
              <w:t>否</w:t>
            </w:r>
          </w:p>
        </w:tc>
      </w:tr>
      <w:tr w14:paraId="39DCD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2" w:type="dxa"/>
          </w:tcPr>
          <w:p w14:paraId="4E8ADA84">
            <w:pPr>
              <w:pStyle w:val="14"/>
              <w:spacing w:before="104"/>
              <w:ind w:left="6"/>
              <w:jc w:val="center"/>
              <w:rPr>
                <w:rFonts w:ascii="Times New Roman"/>
                <w:sz w:val="21"/>
              </w:rPr>
            </w:pPr>
            <w:r>
              <w:rPr>
                <w:rFonts w:ascii="Times New Roman"/>
                <w:w w:val="99"/>
                <w:sz w:val="21"/>
              </w:rPr>
              <w:t>6</w:t>
            </w:r>
          </w:p>
        </w:tc>
        <w:tc>
          <w:tcPr>
            <w:tcW w:w="2744" w:type="dxa"/>
          </w:tcPr>
          <w:p w14:paraId="6AA92C01">
            <w:pPr>
              <w:pStyle w:val="14"/>
              <w:spacing w:before="90"/>
              <w:ind w:left="89" w:right="80"/>
              <w:jc w:val="center"/>
              <w:rPr>
                <w:sz w:val="21"/>
              </w:rPr>
            </w:pPr>
            <w:r>
              <w:rPr>
                <w:sz w:val="21"/>
              </w:rPr>
              <w:t>是否生态功能保护区</w:t>
            </w:r>
          </w:p>
        </w:tc>
        <w:tc>
          <w:tcPr>
            <w:tcW w:w="5296" w:type="dxa"/>
          </w:tcPr>
          <w:p w14:paraId="418FECA5">
            <w:pPr>
              <w:pStyle w:val="14"/>
              <w:spacing w:before="90"/>
              <w:ind w:left="9"/>
              <w:jc w:val="center"/>
              <w:rPr>
                <w:sz w:val="21"/>
              </w:rPr>
            </w:pPr>
            <w:r>
              <w:rPr>
                <w:w w:val="99"/>
                <w:sz w:val="21"/>
              </w:rPr>
              <w:t>否</w:t>
            </w:r>
          </w:p>
        </w:tc>
      </w:tr>
      <w:tr w14:paraId="7796E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2" w:type="dxa"/>
          </w:tcPr>
          <w:p w14:paraId="38E00430">
            <w:pPr>
              <w:pStyle w:val="14"/>
              <w:spacing w:before="105"/>
              <w:ind w:left="6"/>
              <w:jc w:val="center"/>
              <w:rPr>
                <w:rFonts w:ascii="Times New Roman"/>
                <w:sz w:val="21"/>
              </w:rPr>
            </w:pPr>
            <w:r>
              <w:rPr>
                <w:rFonts w:ascii="Times New Roman"/>
                <w:w w:val="99"/>
                <w:sz w:val="21"/>
              </w:rPr>
              <w:t>7</w:t>
            </w:r>
          </w:p>
        </w:tc>
        <w:tc>
          <w:tcPr>
            <w:tcW w:w="2744" w:type="dxa"/>
          </w:tcPr>
          <w:p w14:paraId="31A176E7">
            <w:pPr>
              <w:pStyle w:val="14"/>
              <w:spacing w:before="89"/>
              <w:ind w:left="89" w:right="82"/>
              <w:jc w:val="center"/>
              <w:rPr>
                <w:sz w:val="21"/>
              </w:rPr>
            </w:pPr>
            <w:r>
              <w:rPr>
                <w:sz w:val="21"/>
              </w:rPr>
              <w:t>是否水土流失重点防治区</w:t>
            </w:r>
          </w:p>
        </w:tc>
        <w:tc>
          <w:tcPr>
            <w:tcW w:w="5296" w:type="dxa"/>
          </w:tcPr>
          <w:p w14:paraId="56EAC031">
            <w:pPr>
              <w:pStyle w:val="14"/>
              <w:spacing w:before="89"/>
              <w:ind w:left="9"/>
              <w:jc w:val="center"/>
              <w:rPr>
                <w:sz w:val="21"/>
              </w:rPr>
            </w:pPr>
            <w:r>
              <w:rPr>
                <w:w w:val="99"/>
                <w:sz w:val="21"/>
              </w:rPr>
              <w:t>否</w:t>
            </w:r>
          </w:p>
        </w:tc>
      </w:tr>
      <w:tr w14:paraId="7A23E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82" w:type="dxa"/>
          </w:tcPr>
          <w:p w14:paraId="4DC92385">
            <w:pPr>
              <w:pStyle w:val="14"/>
              <w:spacing w:before="104"/>
              <w:ind w:left="6"/>
              <w:jc w:val="center"/>
              <w:rPr>
                <w:rFonts w:ascii="Times New Roman"/>
                <w:sz w:val="21"/>
              </w:rPr>
            </w:pPr>
            <w:r>
              <w:rPr>
                <w:rFonts w:ascii="Times New Roman"/>
                <w:w w:val="99"/>
                <w:sz w:val="21"/>
              </w:rPr>
              <w:t>8</w:t>
            </w:r>
          </w:p>
        </w:tc>
        <w:tc>
          <w:tcPr>
            <w:tcW w:w="2744" w:type="dxa"/>
          </w:tcPr>
          <w:p w14:paraId="0F145501">
            <w:pPr>
              <w:pStyle w:val="14"/>
              <w:spacing w:before="91"/>
              <w:ind w:left="89" w:right="82"/>
              <w:jc w:val="center"/>
              <w:rPr>
                <w:sz w:val="21"/>
              </w:rPr>
            </w:pPr>
            <w:r>
              <w:rPr>
                <w:sz w:val="21"/>
              </w:rPr>
              <w:t>是否人口密集区</w:t>
            </w:r>
          </w:p>
        </w:tc>
        <w:tc>
          <w:tcPr>
            <w:tcW w:w="5296" w:type="dxa"/>
          </w:tcPr>
          <w:p w14:paraId="3F07C333">
            <w:pPr>
              <w:pStyle w:val="14"/>
              <w:spacing w:before="91"/>
              <w:ind w:left="9"/>
              <w:jc w:val="center"/>
              <w:rPr>
                <w:sz w:val="21"/>
              </w:rPr>
            </w:pPr>
            <w:r>
              <w:rPr>
                <w:w w:val="99"/>
                <w:sz w:val="21"/>
              </w:rPr>
              <w:t>否</w:t>
            </w:r>
          </w:p>
        </w:tc>
      </w:tr>
      <w:tr w14:paraId="56748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82" w:type="dxa"/>
          </w:tcPr>
          <w:p w14:paraId="54B200E0">
            <w:pPr>
              <w:pStyle w:val="14"/>
              <w:spacing w:before="104"/>
              <w:ind w:left="6"/>
              <w:jc w:val="center"/>
              <w:rPr>
                <w:rFonts w:ascii="Times New Roman"/>
                <w:sz w:val="21"/>
              </w:rPr>
            </w:pPr>
            <w:r>
              <w:rPr>
                <w:rFonts w:ascii="Times New Roman"/>
                <w:w w:val="99"/>
                <w:sz w:val="21"/>
              </w:rPr>
              <w:t>9</w:t>
            </w:r>
          </w:p>
        </w:tc>
        <w:tc>
          <w:tcPr>
            <w:tcW w:w="2744" w:type="dxa"/>
          </w:tcPr>
          <w:p w14:paraId="1549C286">
            <w:pPr>
              <w:pStyle w:val="14"/>
              <w:spacing w:before="90"/>
              <w:ind w:left="89" w:right="82"/>
              <w:jc w:val="center"/>
              <w:rPr>
                <w:sz w:val="21"/>
              </w:rPr>
            </w:pPr>
            <w:r>
              <w:rPr>
                <w:sz w:val="21"/>
              </w:rPr>
              <w:t>是否重点文物保护单位</w:t>
            </w:r>
          </w:p>
        </w:tc>
        <w:tc>
          <w:tcPr>
            <w:tcW w:w="5296" w:type="dxa"/>
          </w:tcPr>
          <w:p w14:paraId="17F31C3F">
            <w:pPr>
              <w:pStyle w:val="14"/>
              <w:spacing w:before="90"/>
              <w:ind w:left="9"/>
              <w:jc w:val="center"/>
              <w:rPr>
                <w:sz w:val="21"/>
              </w:rPr>
            </w:pPr>
            <w:r>
              <w:rPr>
                <w:w w:val="99"/>
                <w:sz w:val="21"/>
              </w:rPr>
              <w:t>否</w:t>
            </w:r>
          </w:p>
        </w:tc>
      </w:tr>
      <w:tr w14:paraId="2440C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82" w:type="dxa"/>
          </w:tcPr>
          <w:p w14:paraId="04FB4161">
            <w:pPr>
              <w:pStyle w:val="14"/>
              <w:spacing w:before="105"/>
              <w:ind w:left="116" w:right="105"/>
              <w:jc w:val="center"/>
              <w:rPr>
                <w:rFonts w:ascii="Times New Roman"/>
                <w:sz w:val="21"/>
              </w:rPr>
            </w:pPr>
            <w:r>
              <w:rPr>
                <w:rFonts w:ascii="Times New Roman"/>
                <w:sz w:val="21"/>
              </w:rPr>
              <w:t>10</w:t>
            </w:r>
          </w:p>
        </w:tc>
        <w:tc>
          <w:tcPr>
            <w:tcW w:w="2744" w:type="dxa"/>
          </w:tcPr>
          <w:p w14:paraId="4F2C4F83">
            <w:pPr>
              <w:pStyle w:val="14"/>
              <w:spacing w:before="89"/>
              <w:ind w:left="89" w:right="82"/>
              <w:jc w:val="center"/>
              <w:rPr>
                <w:sz w:val="21"/>
              </w:rPr>
            </w:pPr>
            <w:r>
              <w:rPr>
                <w:sz w:val="21"/>
              </w:rPr>
              <w:t>是否三河、三湖、两控区</w:t>
            </w:r>
          </w:p>
        </w:tc>
        <w:tc>
          <w:tcPr>
            <w:tcW w:w="5296" w:type="dxa"/>
          </w:tcPr>
          <w:p w14:paraId="356DEF9A">
            <w:pPr>
              <w:pStyle w:val="14"/>
              <w:spacing w:before="89"/>
              <w:ind w:left="131" w:right="124"/>
              <w:jc w:val="center"/>
              <w:rPr>
                <w:sz w:val="21"/>
              </w:rPr>
            </w:pPr>
            <w:r>
              <w:rPr>
                <w:sz w:val="21"/>
              </w:rPr>
              <w:t>是（两控区）</w:t>
            </w:r>
          </w:p>
        </w:tc>
      </w:tr>
      <w:tr w14:paraId="4565A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82" w:type="dxa"/>
          </w:tcPr>
          <w:p w14:paraId="342BEE1D">
            <w:pPr>
              <w:pStyle w:val="14"/>
              <w:spacing w:before="104"/>
              <w:ind w:left="116" w:right="105"/>
              <w:jc w:val="center"/>
              <w:rPr>
                <w:rFonts w:ascii="Times New Roman"/>
                <w:sz w:val="21"/>
              </w:rPr>
            </w:pPr>
            <w:r>
              <w:rPr>
                <w:rFonts w:ascii="Times New Roman"/>
                <w:sz w:val="21"/>
              </w:rPr>
              <w:t>11</w:t>
            </w:r>
          </w:p>
        </w:tc>
        <w:tc>
          <w:tcPr>
            <w:tcW w:w="2744" w:type="dxa"/>
          </w:tcPr>
          <w:p w14:paraId="7A91BDC6">
            <w:pPr>
              <w:pStyle w:val="14"/>
              <w:spacing w:before="90"/>
              <w:ind w:left="89" w:right="82"/>
              <w:jc w:val="center"/>
              <w:rPr>
                <w:sz w:val="21"/>
              </w:rPr>
            </w:pPr>
            <w:r>
              <w:rPr>
                <w:sz w:val="21"/>
              </w:rPr>
              <w:t>是否水库库区</w:t>
            </w:r>
          </w:p>
        </w:tc>
        <w:tc>
          <w:tcPr>
            <w:tcW w:w="5296" w:type="dxa"/>
          </w:tcPr>
          <w:p w14:paraId="36584C00">
            <w:pPr>
              <w:pStyle w:val="14"/>
              <w:spacing w:before="90"/>
              <w:ind w:left="9"/>
              <w:jc w:val="center"/>
              <w:rPr>
                <w:sz w:val="21"/>
              </w:rPr>
            </w:pPr>
            <w:r>
              <w:rPr>
                <w:w w:val="99"/>
                <w:sz w:val="21"/>
              </w:rPr>
              <w:t>否</w:t>
            </w:r>
          </w:p>
        </w:tc>
      </w:tr>
      <w:tr w14:paraId="179F7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82" w:type="dxa"/>
          </w:tcPr>
          <w:p w14:paraId="528240C9">
            <w:pPr>
              <w:pStyle w:val="14"/>
              <w:spacing w:before="104"/>
              <w:ind w:left="116" w:right="105"/>
              <w:jc w:val="center"/>
              <w:rPr>
                <w:rFonts w:ascii="Times New Roman"/>
                <w:sz w:val="21"/>
              </w:rPr>
            </w:pPr>
            <w:r>
              <w:rPr>
                <w:rFonts w:ascii="Times New Roman"/>
                <w:sz w:val="21"/>
              </w:rPr>
              <w:t>12</w:t>
            </w:r>
          </w:p>
        </w:tc>
        <w:tc>
          <w:tcPr>
            <w:tcW w:w="2744" w:type="dxa"/>
          </w:tcPr>
          <w:p w14:paraId="0DE830CE">
            <w:pPr>
              <w:pStyle w:val="14"/>
              <w:spacing w:before="90"/>
              <w:ind w:left="89" w:right="82"/>
              <w:jc w:val="center"/>
              <w:rPr>
                <w:sz w:val="21"/>
              </w:rPr>
            </w:pPr>
            <w:r>
              <w:rPr>
                <w:sz w:val="21"/>
              </w:rPr>
              <w:t>是否污水处理厂集水范围</w:t>
            </w:r>
          </w:p>
        </w:tc>
        <w:tc>
          <w:tcPr>
            <w:tcW w:w="5296" w:type="dxa"/>
          </w:tcPr>
          <w:p w14:paraId="0B6286AF">
            <w:pPr>
              <w:pStyle w:val="14"/>
              <w:spacing w:before="90"/>
              <w:ind w:left="9"/>
              <w:jc w:val="center"/>
              <w:rPr>
                <w:sz w:val="21"/>
              </w:rPr>
            </w:pPr>
            <w:r>
              <w:rPr>
                <w:w w:val="99"/>
                <w:sz w:val="21"/>
              </w:rPr>
              <w:t>是</w:t>
            </w:r>
          </w:p>
        </w:tc>
      </w:tr>
      <w:tr w14:paraId="728EF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82" w:type="dxa"/>
          </w:tcPr>
          <w:p w14:paraId="2B55D8D9">
            <w:pPr>
              <w:pStyle w:val="14"/>
              <w:spacing w:before="105"/>
              <w:ind w:left="116" w:right="105"/>
              <w:jc w:val="center"/>
              <w:rPr>
                <w:rFonts w:ascii="Times New Roman"/>
                <w:sz w:val="21"/>
              </w:rPr>
            </w:pPr>
            <w:r>
              <w:rPr>
                <w:rFonts w:ascii="Times New Roman"/>
                <w:sz w:val="21"/>
              </w:rPr>
              <w:t>13</w:t>
            </w:r>
          </w:p>
        </w:tc>
        <w:tc>
          <w:tcPr>
            <w:tcW w:w="2744" w:type="dxa"/>
          </w:tcPr>
          <w:p w14:paraId="23AC4527">
            <w:pPr>
              <w:pStyle w:val="14"/>
              <w:spacing w:before="89"/>
              <w:ind w:left="89" w:right="85"/>
              <w:jc w:val="center"/>
              <w:rPr>
                <w:sz w:val="21"/>
              </w:rPr>
            </w:pPr>
            <w:r>
              <w:rPr>
                <w:sz w:val="21"/>
              </w:rPr>
              <w:t>是否属于生态敏感与脆弱区</w:t>
            </w:r>
          </w:p>
        </w:tc>
        <w:tc>
          <w:tcPr>
            <w:tcW w:w="5296" w:type="dxa"/>
          </w:tcPr>
          <w:p w14:paraId="339583BF">
            <w:pPr>
              <w:pStyle w:val="14"/>
              <w:spacing w:before="89"/>
              <w:ind w:left="9"/>
              <w:jc w:val="center"/>
              <w:rPr>
                <w:sz w:val="21"/>
              </w:rPr>
            </w:pPr>
            <w:r>
              <w:rPr>
                <w:w w:val="99"/>
                <w:sz w:val="21"/>
              </w:rPr>
              <w:t>否</w:t>
            </w:r>
          </w:p>
        </w:tc>
      </w:tr>
    </w:tbl>
    <w:p w14:paraId="5436C197">
      <w:pPr>
        <w:spacing w:after="0"/>
        <w:jc w:val="center"/>
        <w:rPr>
          <w:sz w:val="21"/>
        </w:rPr>
        <w:sectPr>
          <w:pgSz w:w="11910" w:h="16840"/>
          <w:pgMar w:top="1360" w:right="1460" w:bottom="1400" w:left="1520" w:header="878" w:footer="1204" w:gutter="0"/>
          <w:cols w:space="720" w:num="1"/>
        </w:sectPr>
      </w:pPr>
    </w:p>
    <w:p w14:paraId="61B9762C">
      <w:pPr>
        <w:pStyle w:val="7"/>
        <w:spacing w:before="10"/>
        <w:rPr>
          <w:rFonts w:ascii="Times New Roman"/>
          <w:sz w:val="10"/>
        </w:rPr>
      </w:pPr>
    </w:p>
    <w:p w14:paraId="62A52082">
      <w:pPr>
        <w:pStyle w:val="2"/>
        <w:numPr>
          <w:ilvl w:val="0"/>
          <w:numId w:val="12"/>
        </w:numPr>
        <w:tabs>
          <w:tab w:val="left" w:pos="3261"/>
        </w:tabs>
        <w:spacing w:before="65" w:after="0" w:line="240" w:lineRule="auto"/>
        <w:ind w:left="3260" w:right="62" w:hanging="228"/>
        <w:jc w:val="left"/>
        <w:rPr>
          <w:rFonts w:ascii="Times New Roman" w:eastAsia="Times New Roman"/>
        </w:rPr>
      </w:pPr>
      <w:bookmarkStart w:id="82" w:name="_bookmark14"/>
      <w:bookmarkEnd w:id="82"/>
      <w:bookmarkStart w:id="83" w:name="_bookmark14"/>
      <w:bookmarkEnd w:id="83"/>
      <w:bookmarkStart w:id="84" w:name="3建设项目工程分析"/>
      <w:bookmarkEnd w:id="84"/>
      <w:r>
        <w:t>建设项目工程分析</w:t>
      </w:r>
    </w:p>
    <w:p w14:paraId="3211B308">
      <w:pPr>
        <w:pStyle w:val="7"/>
        <w:spacing w:before="11"/>
        <w:rPr>
          <w:b/>
          <w:sz w:val="25"/>
        </w:rPr>
      </w:pPr>
    </w:p>
    <w:p w14:paraId="48D423E4">
      <w:pPr>
        <w:pStyle w:val="13"/>
        <w:numPr>
          <w:ilvl w:val="1"/>
          <w:numId w:val="13"/>
        </w:numPr>
        <w:tabs>
          <w:tab w:val="left" w:pos="720"/>
        </w:tabs>
        <w:spacing w:before="1" w:after="0" w:line="240" w:lineRule="auto"/>
        <w:ind w:left="719" w:right="0" w:hanging="439"/>
        <w:jc w:val="left"/>
        <w:rPr>
          <w:b/>
          <w:sz w:val="30"/>
        </w:rPr>
      </w:pPr>
      <w:bookmarkStart w:id="85" w:name="_bookmark15"/>
      <w:bookmarkEnd w:id="85"/>
      <w:bookmarkStart w:id="86" w:name="3.1拟建项目基本情况"/>
      <w:bookmarkEnd w:id="86"/>
      <w:bookmarkStart w:id="87" w:name="_bookmark15"/>
      <w:bookmarkEnd w:id="87"/>
      <w:r>
        <w:rPr>
          <w:b/>
          <w:sz w:val="30"/>
        </w:rPr>
        <w:t>拟建项目基本情况</w:t>
      </w:r>
    </w:p>
    <w:p w14:paraId="2426EE09">
      <w:pPr>
        <w:pStyle w:val="7"/>
        <w:spacing w:before="198"/>
        <w:ind w:left="760"/>
      </w:pPr>
      <w:r>
        <w:t>（</w:t>
      </w:r>
      <w:r>
        <w:rPr>
          <w:rFonts w:ascii="Times New Roman" w:eastAsia="Times New Roman"/>
        </w:rPr>
        <w:t>1</w:t>
      </w:r>
      <w:r>
        <w:t>）项目名称及代码：岳阳县畜禽屠宰场及冷链物流建设项目；</w:t>
      </w:r>
    </w:p>
    <w:p w14:paraId="291BEB84">
      <w:pPr>
        <w:pStyle w:val="7"/>
        <w:spacing w:before="159"/>
        <w:ind w:left="760"/>
      </w:pPr>
      <w:r>
        <w:t>（</w:t>
      </w:r>
      <w:r>
        <w:rPr>
          <w:rFonts w:ascii="Times New Roman" w:eastAsia="Times New Roman"/>
        </w:rPr>
        <w:t>2</w:t>
      </w:r>
      <w:r>
        <w:t>）建设单位：岳阳县惠康农业有限公司；</w:t>
      </w:r>
    </w:p>
    <w:p w14:paraId="5E1B28DD">
      <w:pPr>
        <w:pStyle w:val="7"/>
        <w:spacing w:before="160" w:line="364" w:lineRule="auto"/>
        <w:ind w:left="280" w:right="340" w:firstLine="480"/>
        <w:jc w:val="both"/>
      </w:pPr>
      <w:r>
        <w:t>（</w:t>
      </w:r>
      <w:r>
        <w:rPr>
          <w:rFonts w:ascii="Times New Roman" w:hAnsi="Times New Roman" w:eastAsia="Times New Roman"/>
        </w:rPr>
        <w:t>3</w:t>
      </w:r>
      <w:r>
        <w:t xml:space="preserve">）建设地点：项目位于湖南省岳阳市岳阳县荣家湾镇城东村。项目地理中心坐标为：东经 </w:t>
      </w:r>
      <w:r>
        <w:rPr>
          <w:rFonts w:ascii="Times New Roman" w:hAnsi="Times New Roman" w:eastAsia="Times New Roman"/>
        </w:rPr>
        <w:t>113°6′41.274″</w:t>
      </w:r>
      <w:r>
        <w:t xml:space="preserve">，北纬 </w:t>
      </w:r>
      <w:r>
        <w:rPr>
          <w:rFonts w:ascii="Times New Roman" w:hAnsi="Times New Roman" w:eastAsia="Times New Roman"/>
        </w:rPr>
        <w:t>29°7′23.248″</w:t>
      </w:r>
      <w:r>
        <w:t xml:space="preserve">，项目用地为历史建设用地，占地面积约 </w:t>
      </w:r>
      <w:r>
        <w:rPr>
          <w:rFonts w:ascii="Times New Roman" w:hAnsi="Times New Roman" w:eastAsia="Times New Roman"/>
        </w:rPr>
        <w:t xml:space="preserve">40.4 </w:t>
      </w:r>
      <w:r>
        <w:t xml:space="preserve">亩，总建筑面积为 </w:t>
      </w:r>
      <w:r>
        <w:rPr>
          <w:rFonts w:ascii="Times New Roman" w:hAnsi="Times New Roman" w:eastAsia="Times New Roman"/>
        </w:rPr>
        <w:t>29760m</w:t>
      </w:r>
      <w:r>
        <w:rPr>
          <w:rFonts w:ascii="Times New Roman" w:hAnsi="Times New Roman" w:eastAsia="Times New Roman"/>
          <w:position w:val="8"/>
          <w:sz w:val="15"/>
        </w:rPr>
        <w:t>2</w:t>
      </w:r>
      <w:r>
        <w:t>；</w:t>
      </w:r>
    </w:p>
    <w:p w14:paraId="5BC8E876">
      <w:pPr>
        <w:pStyle w:val="7"/>
        <w:spacing w:line="305" w:lineRule="exact"/>
        <w:ind w:left="760"/>
      </w:pPr>
      <w:r>
        <w:t>（</w:t>
      </w:r>
      <w:r>
        <w:rPr>
          <w:rFonts w:ascii="Times New Roman" w:eastAsia="Times New Roman"/>
        </w:rPr>
        <w:t>4</w:t>
      </w:r>
      <w:r>
        <w:t>）建设性质：新建；</w:t>
      </w:r>
    </w:p>
    <w:p w14:paraId="47C821F2">
      <w:pPr>
        <w:pStyle w:val="7"/>
        <w:spacing w:before="161" w:line="364" w:lineRule="auto"/>
        <w:ind w:left="280" w:right="337" w:firstLine="480"/>
        <w:jc w:val="both"/>
      </w:pPr>
      <w:r>
        <w:t>（</w:t>
      </w:r>
      <w:r>
        <w:rPr>
          <w:rFonts w:ascii="Times New Roman" w:eastAsia="Times New Roman"/>
        </w:rPr>
        <w:t>5</w:t>
      </w:r>
      <w:r>
        <w:t>）总投资：</w:t>
      </w:r>
      <w:r>
        <w:rPr>
          <w:rFonts w:ascii="Times New Roman" w:eastAsia="Times New Roman"/>
        </w:rPr>
        <w:t xml:space="preserve">17585.3 </w:t>
      </w:r>
      <w:r>
        <w:t xml:space="preserve">万元人民币，其中环保投资 </w:t>
      </w:r>
      <w:r>
        <w:rPr>
          <w:rFonts w:ascii="Times New Roman" w:eastAsia="Times New Roman"/>
        </w:rPr>
        <w:t xml:space="preserve">791 </w:t>
      </w:r>
      <w:r>
        <w:t xml:space="preserve">万元，占项目总投资 </w:t>
      </w:r>
      <w:r>
        <w:rPr>
          <w:rFonts w:ascii="Times New Roman" w:eastAsia="Times New Roman"/>
        </w:rPr>
        <w:t>4.5%</w:t>
      </w:r>
      <w:r>
        <w:t>。</w:t>
      </w:r>
    </w:p>
    <w:p w14:paraId="36550CF1">
      <w:pPr>
        <w:pStyle w:val="7"/>
        <w:spacing w:line="306" w:lineRule="exact"/>
        <w:ind w:left="760"/>
      </w:pPr>
      <w:r>
        <w:t>（</w:t>
      </w:r>
      <w:r>
        <w:rPr>
          <w:rFonts w:ascii="Times New Roman" w:eastAsia="Times New Roman"/>
        </w:rPr>
        <w:t>6</w:t>
      </w:r>
      <w:r>
        <w:t xml:space="preserve">）建设工期：计划施工建设工期为 </w:t>
      </w:r>
      <w:r>
        <w:rPr>
          <w:rFonts w:ascii="Times New Roman" w:eastAsia="Times New Roman"/>
        </w:rPr>
        <w:t xml:space="preserve">19 </w:t>
      </w:r>
      <w:r>
        <w:t>个月；</w:t>
      </w:r>
    </w:p>
    <w:p w14:paraId="61E10634">
      <w:pPr>
        <w:pStyle w:val="7"/>
        <w:spacing w:before="158"/>
        <w:ind w:left="760"/>
      </w:pPr>
      <w:r>
        <w:t>（</w:t>
      </w:r>
      <w:r>
        <w:rPr>
          <w:rFonts w:ascii="Times New Roman" w:eastAsia="Times New Roman"/>
        </w:rPr>
        <w:t>7</w:t>
      </w:r>
      <w:r>
        <w:t xml:space="preserve">）劳动定员及生产制度：劳动定员 </w:t>
      </w:r>
      <w:r>
        <w:rPr>
          <w:rFonts w:ascii="Times New Roman" w:eastAsia="Times New Roman"/>
        </w:rPr>
        <w:t xml:space="preserve">240 </w:t>
      </w:r>
      <w:r>
        <w:t>人，厂区设有食堂和宿舍；生猪</w:t>
      </w:r>
    </w:p>
    <w:p w14:paraId="4BF4B1AF">
      <w:pPr>
        <w:pStyle w:val="7"/>
        <w:spacing w:before="160"/>
        <w:ind w:left="280"/>
      </w:pPr>
      <w:r>
        <w:t xml:space="preserve">屠宰年运行天数为 </w:t>
      </w:r>
      <w:r>
        <w:rPr>
          <w:rFonts w:ascii="Times New Roman" w:eastAsia="Times New Roman"/>
        </w:rPr>
        <w:t xml:space="preserve">300 </w:t>
      </w:r>
      <w:r>
        <w:t>天，日一班八小时制，工作时间：</w:t>
      </w:r>
      <w:r>
        <w:rPr>
          <w:rFonts w:ascii="Times New Roman" w:eastAsia="Times New Roman"/>
        </w:rPr>
        <w:t>23:00~7:00</w:t>
      </w:r>
      <w:r>
        <w:t>；废水处理</w:t>
      </w:r>
    </w:p>
    <w:p w14:paraId="523F45D8">
      <w:pPr>
        <w:pStyle w:val="7"/>
        <w:spacing w:before="158"/>
        <w:ind w:left="280"/>
      </w:pPr>
      <w:r>
        <w:t xml:space="preserve">站年运行天数 </w:t>
      </w:r>
      <w:r>
        <w:rPr>
          <w:rFonts w:ascii="Times New Roman" w:eastAsia="Times New Roman"/>
        </w:rPr>
        <w:t xml:space="preserve">365 </w:t>
      </w:r>
      <w:r>
        <w:t xml:space="preserve">天，每日运行 </w:t>
      </w:r>
      <w:r>
        <w:rPr>
          <w:rFonts w:ascii="Times New Roman" w:eastAsia="Times New Roman"/>
        </w:rPr>
        <w:t xml:space="preserve">24 </w:t>
      </w:r>
      <w:r>
        <w:t>小时。</w:t>
      </w:r>
    </w:p>
    <w:p w14:paraId="75AEE6B9">
      <w:pPr>
        <w:pStyle w:val="13"/>
        <w:numPr>
          <w:ilvl w:val="1"/>
          <w:numId w:val="13"/>
        </w:numPr>
        <w:tabs>
          <w:tab w:val="left" w:pos="720"/>
        </w:tabs>
        <w:spacing w:before="161" w:after="0" w:line="240" w:lineRule="auto"/>
        <w:ind w:left="719" w:right="0" w:hanging="439"/>
        <w:jc w:val="left"/>
        <w:rPr>
          <w:b/>
          <w:sz w:val="30"/>
        </w:rPr>
      </w:pPr>
      <w:bookmarkStart w:id="88" w:name="3.2建设规模和产品方案"/>
      <w:bookmarkEnd w:id="88"/>
      <w:bookmarkStart w:id="89" w:name="_bookmark16"/>
      <w:bookmarkEnd w:id="89"/>
      <w:bookmarkStart w:id="90" w:name="_bookmark16"/>
      <w:bookmarkEnd w:id="90"/>
      <w:r>
        <w:rPr>
          <w:b/>
          <w:sz w:val="30"/>
        </w:rPr>
        <w:t>建设规模和产品方案</w:t>
      </w:r>
    </w:p>
    <w:p w14:paraId="1D4A1470">
      <w:pPr>
        <w:pStyle w:val="7"/>
        <w:spacing w:before="199" w:line="364" w:lineRule="auto"/>
        <w:ind w:left="280" w:right="337" w:firstLine="480"/>
        <w:jc w:val="both"/>
      </w:pPr>
      <w:r>
        <w:rPr>
          <w:spacing w:val="-6"/>
        </w:rPr>
        <w:t xml:space="preserve">项目设计年屠宰猪 </w:t>
      </w:r>
      <w:r>
        <w:rPr>
          <w:rFonts w:ascii="Times New Roman" w:eastAsia="Times New Roman"/>
        </w:rPr>
        <w:t xml:space="preserve">40 </w:t>
      </w:r>
      <w:r>
        <w:t>万头，生产白条肉、冷鲜副产品等冷鲜制品，不可食用部分委托资质单位同无害化废物合理处置。项目主要生产的产品方案如下：</w:t>
      </w:r>
    </w:p>
    <w:p w14:paraId="6A465BEA">
      <w:pPr>
        <w:spacing w:before="0" w:after="3" w:line="267" w:lineRule="exact"/>
        <w:ind w:left="262" w:right="324" w:firstLine="0"/>
        <w:jc w:val="center"/>
        <w:rPr>
          <w:b/>
          <w:sz w:val="21"/>
        </w:rPr>
      </w:pPr>
      <w:r>
        <w:rPr>
          <w:b/>
          <w:sz w:val="21"/>
        </w:rPr>
        <w:t xml:space="preserve">表 </w:t>
      </w:r>
      <w:r>
        <w:rPr>
          <w:rFonts w:ascii="Times New Roman" w:eastAsia="Times New Roman"/>
          <w:b/>
          <w:sz w:val="21"/>
        </w:rPr>
        <w:t xml:space="preserve">3.2- 1 </w:t>
      </w:r>
      <w:r>
        <w:rPr>
          <w:b/>
          <w:sz w:val="21"/>
        </w:rPr>
        <w:t>项目产品方案一览表</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1077"/>
        <w:gridCol w:w="3007"/>
        <w:gridCol w:w="2976"/>
      </w:tblGrid>
      <w:tr w14:paraId="484BB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539" w:type="dxa"/>
            <w:gridSpan w:val="2"/>
          </w:tcPr>
          <w:p w14:paraId="02B459E1">
            <w:pPr>
              <w:pStyle w:val="14"/>
              <w:spacing w:before="48"/>
              <w:ind w:left="107"/>
              <w:rPr>
                <w:b/>
                <w:sz w:val="21"/>
              </w:rPr>
            </w:pPr>
            <w:r>
              <w:rPr>
                <w:b/>
                <w:sz w:val="21"/>
              </w:rPr>
              <w:t>序号</w:t>
            </w:r>
          </w:p>
        </w:tc>
        <w:tc>
          <w:tcPr>
            <w:tcW w:w="3007" w:type="dxa"/>
          </w:tcPr>
          <w:p w14:paraId="6B2EA93D">
            <w:pPr>
              <w:pStyle w:val="14"/>
              <w:spacing w:before="48"/>
              <w:ind w:left="107"/>
              <w:rPr>
                <w:b/>
                <w:sz w:val="21"/>
              </w:rPr>
            </w:pPr>
            <w:r>
              <w:rPr>
                <w:b/>
                <w:sz w:val="21"/>
              </w:rPr>
              <w:t>产品名称</w:t>
            </w:r>
          </w:p>
        </w:tc>
        <w:tc>
          <w:tcPr>
            <w:tcW w:w="2976" w:type="dxa"/>
          </w:tcPr>
          <w:p w14:paraId="5D877C29">
            <w:pPr>
              <w:pStyle w:val="14"/>
              <w:spacing w:before="48"/>
              <w:ind w:left="108"/>
              <w:rPr>
                <w:b/>
                <w:sz w:val="21"/>
              </w:rPr>
            </w:pPr>
            <w:r>
              <w:rPr>
                <w:b/>
                <w:sz w:val="21"/>
              </w:rPr>
              <w:t>产能（</w:t>
            </w:r>
            <w:r>
              <w:rPr>
                <w:rFonts w:ascii="Times New Roman" w:eastAsia="Times New Roman"/>
                <w:b/>
                <w:sz w:val="21"/>
              </w:rPr>
              <w:t>t/a</w:t>
            </w:r>
            <w:r>
              <w:rPr>
                <w:b/>
                <w:sz w:val="21"/>
              </w:rPr>
              <w:t>）</w:t>
            </w:r>
          </w:p>
        </w:tc>
      </w:tr>
      <w:tr w14:paraId="69EE5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539" w:type="dxa"/>
            <w:gridSpan w:val="2"/>
          </w:tcPr>
          <w:p w14:paraId="5E7A9D03">
            <w:pPr>
              <w:pStyle w:val="14"/>
              <w:spacing w:before="63"/>
              <w:ind w:left="107"/>
              <w:rPr>
                <w:rFonts w:ascii="Times New Roman"/>
                <w:sz w:val="21"/>
              </w:rPr>
            </w:pPr>
            <w:r>
              <w:rPr>
                <w:rFonts w:ascii="Times New Roman"/>
                <w:w w:val="99"/>
                <w:sz w:val="21"/>
              </w:rPr>
              <w:t>1</w:t>
            </w:r>
          </w:p>
        </w:tc>
        <w:tc>
          <w:tcPr>
            <w:tcW w:w="3007" w:type="dxa"/>
          </w:tcPr>
          <w:p w14:paraId="43A3C62B">
            <w:pPr>
              <w:pStyle w:val="14"/>
              <w:spacing w:before="49"/>
              <w:ind w:left="107"/>
              <w:rPr>
                <w:sz w:val="21"/>
              </w:rPr>
            </w:pPr>
            <w:r>
              <w:rPr>
                <w:sz w:val="21"/>
              </w:rPr>
              <w:t>生猪冷鲜制品</w:t>
            </w:r>
          </w:p>
        </w:tc>
        <w:tc>
          <w:tcPr>
            <w:tcW w:w="2976" w:type="dxa"/>
          </w:tcPr>
          <w:p w14:paraId="3D2DE2DC">
            <w:pPr>
              <w:pStyle w:val="14"/>
              <w:spacing w:before="63"/>
              <w:ind w:left="108"/>
              <w:rPr>
                <w:rFonts w:ascii="Times New Roman"/>
                <w:sz w:val="21"/>
              </w:rPr>
            </w:pPr>
            <w:r>
              <w:rPr>
                <w:rFonts w:ascii="Times New Roman"/>
                <w:sz w:val="21"/>
              </w:rPr>
              <w:t>41800</w:t>
            </w:r>
          </w:p>
        </w:tc>
      </w:tr>
      <w:tr w14:paraId="7EE95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62" w:type="dxa"/>
            <w:vMerge w:val="restart"/>
          </w:tcPr>
          <w:p w14:paraId="740DBFD2">
            <w:pPr>
              <w:pStyle w:val="14"/>
              <w:spacing w:before="8"/>
              <w:rPr>
                <w:b/>
                <w:sz w:val="18"/>
              </w:rPr>
            </w:pPr>
          </w:p>
          <w:p w14:paraId="061BC7EA">
            <w:pPr>
              <w:pStyle w:val="14"/>
              <w:ind w:left="107"/>
              <w:rPr>
                <w:sz w:val="21"/>
              </w:rPr>
            </w:pPr>
            <w:r>
              <w:rPr>
                <w:sz w:val="21"/>
              </w:rPr>
              <w:t>其中</w:t>
            </w:r>
          </w:p>
        </w:tc>
        <w:tc>
          <w:tcPr>
            <w:tcW w:w="1077" w:type="dxa"/>
          </w:tcPr>
          <w:p w14:paraId="13813032">
            <w:pPr>
              <w:pStyle w:val="14"/>
              <w:spacing w:before="49"/>
              <w:ind w:left="107"/>
              <w:rPr>
                <w:sz w:val="21"/>
              </w:rPr>
            </w:pPr>
            <w:r>
              <w:rPr>
                <w:w w:val="99"/>
                <w:sz w:val="21"/>
              </w:rPr>
              <w:t>①</w:t>
            </w:r>
          </w:p>
        </w:tc>
        <w:tc>
          <w:tcPr>
            <w:tcW w:w="3007" w:type="dxa"/>
          </w:tcPr>
          <w:p w14:paraId="10B9388B">
            <w:pPr>
              <w:pStyle w:val="14"/>
              <w:spacing w:before="49"/>
              <w:ind w:left="107"/>
              <w:rPr>
                <w:sz w:val="21"/>
              </w:rPr>
            </w:pPr>
            <w:r>
              <w:rPr>
                <w:sz w:val="21"/>
              </w:rPr>
              <w:t>白条肉</w:t>
            </w:r>
          </w:p>
        </w:tc>
        <w:tc>
          <w:tcPr>
            <w:tcW w:w="2976" w:type="dxa"/>
          </w:tcPr>
          <w:p w14:paraId="4E64DF72">
            <w:pPr>
              <w:pStyle w:val="14"/>
              <w:spacing w:before="63"/>
              <w:ind w:left="108"/>
              <w:rPr>
                <w:rFonts w:ascii="Times New Roman"/>
                <w:sz w:val="21"/>
              </w:rPr>
            </w:pPr>
            <w:r>
              <w:rPr>
                <w:rFonts w:ascii="Times New Roman"/>
                <w:sz w:val="21"/>
              </w:rPr>
              <w:t>35200</w:t>
            </w:r>
          </w:p>
        </w:tc>
      </w:tr>
      <w:tr w14:paraId="2AFC9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62" w:type="dxa"/>
            <w:vMerge w:val="continue"/>
            <w:tcBorders>
              <w:top w:val="nil"/>
            </w:tcBorders>
          </w:tcPr>
          <w:p w14:paraId="34A131BA">
            <w:pPr>
              <w:rPr>
                <w:sz w:val="2"/>
                <w:szCs w:val="2"/>
              </w:rPr>
            </w:pPr>
          </w:p>
        </w:tc>
        <w:tc>
          <w:tcPr>
            <w:tcW w:w="1077" w:type="dxa"/>
          </w:tcPr>
          <w:p w14:paraId="1C713D05">
            <w:pPr>
              <w:pStyle w:val="14"/>
              <w:spacing w:before="49"/>
              <w:ind w:left="107"/>
              <w:rPr>
                <w:sz w:val="21"/>
              </w:rPr>
            </w:pPr>
            <w:r>
              <w:rPr>
                <w:w w:val="99"/>
                <w:sz w:val="21"/>
              </w:rPr>
              <w:t>②</w:t>
            </w:r>
          </w:p>
        </w:tc>
        <w:tc>
          <w:tcPr>
            <w:tcW w:w="3007" w:type="dxa"/>
          </w:tcPr>
          <w:p w14:paraId="51B83441">
            <w:pPr>
              <w:pStyle w:val="14"/>
              <w:spacing w:before="49"/>
              <w:ind w:left="107"/>
              <w:rPr>
                <w:sz w:val="21"/>
              </w:rPr>
            </w:pPr>
            <w:r>
              <w:rPr>
                <w:sz w:val="21"/>
              </w:rPr>
              <w:t>冷鲜副产品</w:t>
            </w:r>
          </w:p>
        </w:tc>
        <w:tc>
          <w:tcPr>
            <w:tcW w:w="2976" w:type="dxa"/>
          </w:tcPr>
          <w:p w14:paraId="6F6E0879">
            <w:pPr>
              <w:pStyle w:val="14"/>
              <w:spacing w:before="63"/>
              <w:ind w:left="108"/>
              <w:rPr>
                <w:rFonts w:ascii="Times New Roman"/>
                <w:sz w:val="21"/>
              </w:rPr>
            </w:pPr>
            <w:r>
              <w:rPr>
                <w:rFonts w:ascii="Times New Roman"/>
                <w:sz w:val="21"/>
              </w:rPr>
              <w:t>6600</w:t>
            </w:r>
          </w:p>
        </w:tc>
      </w:tr>
      <w:tr w14:paraId="304D1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539" w:type="dxa"/>
            <w:gridSpan w:val="2"/>
          </w:tcPr>
          <w:p w14:paraId="4373755E">
            <w:pPr>
              <w:pStyle w:val="14"/>
              <w:spacing w:before="63"/>
              <w:ind w:left="107"/>
              <w:rPr>
                <w:rFonts w:ascii="Times New Roman"/>
                <w:sz w:val="21"/>
              </w:rPr>
            </w:pPr>
            <w:r>
              <w:rPr>
                <w:rFonts w:ascii="Times New Roman"/>
                <w:w w:val="99"/>
                <w:sz w:val="21"/>
              </w:rPr>
              <w:t>2</w:t>
            </w:r>
          </w:p>
        </w:tc>
        <w:tc>
          <w:tcPr>
            <w:tcW w:w="3007" w:type="dxa"/>
          </w:tcPr>
          <w:p w14:paraId="603B0267">
            <w:pPr>
              <w:pStyle w:val="14"/>
              <w:spacing w:before="49"/>
              <w:ind w:left="107"/>
              <w:rPr>
                <w:sz w:val="21"/>
              </w:rPr>
            </w:pPr>
            <w:r>
              <w:rPr>
                <w:sz w:val="21"/>
              </w:rPr>
              <w:t>不可食用部分</w:t>
            </w:r>
          </w:p>
        </w:tc>
        <w:tc>
          <w:tcPr>
            <w:tcW w:w="2976" w:type="dxa"/>
          </w:tcPr>
          <w:p w14:paraId="65475BC2">
            <w:pPr>
              <w:pStyle w:val="14"/>
              <w:spacing w:before="63"/>
              <w:ind w:left="108"/>
              <w:rPr>
                <w:rFonts w:ascii="Times New Roman"/>
                <w:sz w:val="21"/>
              </w:rPr>
            </w:pPr>
            <w:r>
              <w:rPr>
                <w:rFonts w:ascii="Times New Roman"/>
                <w:sz w:val="21"/>
              </w:rPr>
              <w:t>2200</w:t>
            </w:r>
          </w:p>
        </w:tc>
      </w:tr>
      <w:tr w14:paraId="09049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8522" w:type="dxa"/>
            <w:gridSpan w:val="4"/>
          </w:tcPr>
          <w:p w14:paraId="57C81773">
            <w:pPr>
              <w:pStyle w:val="14"/>
              <w:spacing w:before="2"/>
              <w:ind w:left="107" w:right="-15"/>
              <w:rPr>
                <w:sz w:val="21"/>
              </w:rPr>
            </w:pPr>
            <w:r>
              <w:rPr>
                <w:spacing w:val="1"/>
                <w:sz w:val="21"/>
              </w:rPr>
              <w:t>备注：根据《排污许可证申请与核发技术规范 农副食品加工工业</w:t>
            </w:r>
            <w:r>
              <w:rPr>
                <w:rFonts w:ascii="Times New Roman" w:eastAsia="Times New Roman"/>
                <w:spacing w:val="7"/>
                <w:sz w:val="21"/>
              </w:rPr>
              <w:t>-</w:t>
            </w:r>
            <w:r>
              <w:rPr>
                <w:spacing w:val="5"/>
                <w:sz w:val="21"/>
              </w:rPr>
              <w:t>屠宰及肉类加工工业》</w:t>
            </w:r>
          </w:p>
          <w:p w14:paraId="10138314">
            <w:pPr>
              <w:pStyle w:val="14"/>
              <w:spacing w:before="2"/>
              <w:ind w:left="107"/>
              <w:rPr>
                <w:sz w:val="21"/>
              </w:rPr>
            </w:pPr>
            <w:r>
              <w:rPr>
                <w:spacing w:val="-1"/>
                <w:w w:val="99"/>
                <w:sz w:val="21"/>
              </w:rPr>
              <w:t>（</w:t>
            </w:r>
            <w:r>
              <w:rPr>
                <w:rFonts w:ascii="Times New Roman" w:eastAsia="Times New Roman"/>
                <w:w w:val="99"/>
                <w:sz w:val="21"/>
              </w:rPr>
              <w:t>HJ</w:t>
            </w:r>
            <w:r>
              <w:rPr>
                <w:rFonts w:ascii="Times New Roman" w:eastAsia="Times New Roman"/>
                <w:spacing w:val="1"/>
                <w:sz w:val="21"/>
              </w:rPr>
              <w:t xml:space="preserve"> </w:t>
            </w:r>
            <w:r>
              <w:rPr>
                <w:rFonts w:ascii="Times New Roman" w:eastAsia="Times New Roman"/>
                <w:spacing w:val="0"/>
                <w:w w:val="99"/>
                <w:sz w:val="21"/>
              </w:rPr>
              <w:t>86</w:t>
            </w:r>
            <w:r>
              <w:rPr>
                <w:rFonts w:ascii="Times New Roman" w:eastAsia="Times New Roman"/>
                <w:spacing w:val="-2"/>
                <w:w w:val="99"/>
                <w:sz w:val="21"/>
              </w:rPr>
              <w:t>0</w:t>
            </w:r>
            <w:r>
              <w:rPr>
                <w:rFonts w:ascii="Times New Roman" w:eastAsia="Times New Roman"/>
                <w:w w:val="99"/>
                <w:sz w:val="21"/>
              </w:rPr>
              <w:t>.</w:t>
            </w:r>
            <w:r>
              <w:rPr>
                <w:rFonts w:ascii="Times New Roman" w:eastAsia="Times New Roman"/>
                <w:spacing w:val="-2"/>
                <w:w w:val="99"/>
                <w:sz w:val="21"/>
              </w:rPr>
              <w:t>3</w:t>
            </w:r>
            <w:r>
              <w:rPr>
                <w:rFonts w:ascii="Times New Roman" w:eastAsia="Times New Roman"/>
                <w:w w:val="99"/>
                <w:sz w:val="21"/>
              </w:rPr>
              <w:t>-</w:t>
            </w:r>
            <w:r>
              <w:rPr>
                <w:rFonts w:ascii="Times New Roman" w:eastAsia="Times New Roman"/>
                <w:spacing w:val="0"/>
                <w:w w:val="99"/>
                <w:sz w:val="21"/>
              </w:rPr>
              <w:t>201</w:t>
            </w:r>
            <w:r>
              <w:rPr>
                <w:rFonts w:ascii="Times New Roman" w:eastAsia="Times New Roman"/>
                <w:spacing w:val="-2"/>
                <w:w w:val="99"/>
                <w:sz w:val="21"/>
              </w:rPr>
              <w:t>8</w:t>
            </w:r>
            <w:r>
              <w:rPr>
                <w:spacing w:val="-101"/>
                <w:w w:val="99"/>
                <w:sz w:val="21"/>
              </w:rPr>
              <w:t>）</w:t>
            </w:r>
            <w:r>
              <w:rPr>
                <w:spacing w:val="-1"/>
                <w:w w:val="99"/>
                <w:sz w:val="21"/>
              </w:rPr>
              <w:t>，猪的活屠重为</w:t>
            </w:r>
            <w:r>
              <w:rPr>
                <w:spacing w:val="-50"/>
                <w:sz w:val="21"/>
              </w:rPr>
              <w:t xml:space="preserve"> </w:t>
            </w:r>
            <w:r>
              <w:rPr>
                <w:rFonts w:ascii="Times New Roman" w:eastAsia="Times New Roman"/>
                <w:spacing w:val="-4"/>
                <w:w w:val="99"/>
                <w:sz w:val="21"/>
              </w:rPr>
              <w:t>1</w:t>
            </w:r>
            <w:r>
              <w:rPr>
                <w:rFonts w:ascii="Times New Roman" w:eastAsia="Times New Roman"/>
                <w:spacing w:val="-2"/>
                <w:w w:val="99"/>
                <w:sz w:val="21"/>
              </w:rPr>
              <w:t>10kg</w:t>
            </w:r>
            <w:r>
              <w:rPr>
                <w:rFonts w:ascii="Times New Roman" w:eastAsia="Times New Roman"/>
                <w:spacing w:val="0"/>
                <w:w w:val="99"/>
                <w:sz w:val="21"/>
              </w:rPr>
              <w:t>/</w:t>
            </w:r>
            <w:r>
              <w:rPr>
                <w:spacing w:val="-1"/>
                <w:w w:val="99"/>
                <w:sz w:val="21"/>
              </w:rPr>
              <w:t>头。产品白条肉率以</w:t>
            </w:r>
            <w:r>
              <w:rPr>
                <w:spacing w:val="-53"/>
                <w:sz w:val="21"/>
              </w:rPr>
              <w:t xml:space="preserve"> </w:t>
            </w:r>
            <w:r>
              <w:rPr>
                <w:rFonts w:ascii="Times New Roman" w:eastAsia="Times New Roman"/>
                <w:spacing w:val="0"/>
                <w:w w:val="99"/>
                <w:sz w:val="21"/>
              </w:rPr>
              <w:t>80</w:t>
            </w:r>
            <w:r>
              <w:rPr>
                <w:rFonts w:ascii="Times New Roman" w:eastAsia="Times New Roman"/>
                <w:spacing w:val="-2"/>
                <w:w w:val="99"/>
                <w:sz w:val="21"/>
              </w:rPr>
              <w:t>%</w:t>
            </w:r>
            <w:r>
              <w:rPr>
                <w:spacing w:val="-1"/>
                <w:w w:val="99"/>
                <w:sz w:val="21"/>
              </w:rPr>
              <w:t>计算，副产品含猪血、猪</w:t>
            </w:r>
          </w:p>
          <w:p w14:paraId="75E55414">
            <w:pPr>
              <w:pStyle w:val="14"/>
              <w:spacing w:before="4" w:line="250" w:lineRule="exact"/>
              <w:ind w:left="107"/>
              <w:rPr>
                <w:sz w:val="21"/>
              </w:rPr>
            </w:pPr>
            <w:r>
              <w:rPr>
                <w:sz w:val="21"/>
              </w:rPr>
              <w:t xml:space="preserve">心、猪毛以及内脏等副产品按 </w:t>
            </w:r>
            <w:r>
              <w:rPr>
                <w:rFonts w:ascii="Times New Roman" w:eastAsia="Times New Roman"/>
                <w:sz w:val="21"/>
              </w:rPr>
              <w:t>15%</w:t>
            </w:r>
            <w:r>
              <w:rPr>
                <w:sz w:val="21"/>
              </w:rPr>
              <w:t xml:space="preserve">计算，另 </w:t>
            </w:r>
            <w:r>
              <w:rPr>
                <w:rFonts w:ascii="Times New Roman" w:eastAsia="Times New Roman"/>
                <w:sz w:val="21"/>
              </w:rPr>
              <w:t>5%</w:t>
            </w:r>
            <w:r>
              <w:rPr>
                <w:sz w:val="21"/>
              </w:rPr>
              <w:t>为不可食用部分</w:t>
            </w:r>
          </w:p>
        </w:tc>
      </w:tr>
    </w:tbl>
    <w:p w14:paraId="587073E8">
      <w:pPr>
        <w:pStyle w:val="13"/>
        <w:numPr>
          <w:ilvl w:val="1"/>
          <w:numId w:val="13"/>
        </w:numPr>
        <w:tabs>
          <w:tab w:val="left" w:pos="720"/>
        </w:tabs>
        <w:spacing w:before="4" w:after="0" w:line="240" w:lineRule="auto"/>
        <w:ind w:left="719" w:right="0" w:hanging="439"/>
        <w:jc w:val="left"/>
        <w:rPr>
          <w:b/>
          <w:sz w:val="30"/>
        </w:rPr>
      </w:pPr>
      <w:bookmarkStart w:id="91" w:name="_bookmark17"/>
      <w:bookmarkEnd w:id="91"/>
      <w:bookmarkStart w:id="92" w:name="3.3项目组成和建设内容"/>
      <w:bookmarkEnd w:id="92"/>
      <w:bookmarkStart w:id="93" w:name="_bookmark17"/>
      <w:bookmarkEnd w:id="93"/>
      <w:r>
        <w:rPr>
          <w:b/>
          <w:sz w:val="30"/>
        </w:rPr>
        <w:t>项目组成和建设内容</w:t>
      </w:r>
    </w:p>
    <w:p w14:paraId="346FDC8E">
      <w:pPr>
        <w:pStyle w:val="7"/>
        <w:spacing w:before="196" w:line="364" w:lineRule="auto"/>
        <w:ind w:left="280" w:right="337" w:firstLine="480"/>
        <w:jc w:val="both"/>
      </w:pPr>
      <w:r>
        <w:t xml:space="preserve">项目建设规模为年屠宰猪 </w:t>
      </w:r>
      <w:r>
        <w:rPr>
          <w:rFonts w:ascii="Times New Roman" w:eastAsia="Times New Roman"/>
        </w:rPr>
        <w:t xml:space="preserve">40 </w:t>
      </w:r>
      <w:r>
        <w:t>万头，拟建项目的主要建设有待宰圈、暂养间、无害化暂存间、屠宰加工间、冷库、物料库及仓库、综合楼、员工宿舍及食堂，并配套辅助设备间、废气处理设施、污水处理站、固废暂存设施及公共设备等。具体项目组成见下表。</w:t>
      </w:r>
    </w:p>
    <w:p w14:paraId="6070EBC2">
      <w:pPr>
        <w:spacing w:after="0" w:line="364" w:lineRule="auto"/>
        <w:jc w:val="both"/>
        <w:sectPr>
          <w:pgSz w:w="11910" w:h="16840"/>
          <w:pgMar w:top="1360" w:right="1460" w:bottom="1400" w:left="1520" w:header="878" w:footer="1204" w:gutter="0"/>
          <w:cols w:space="720" w:num="1"/>
        </w:sectPr>
      </w:pPr>
    </w:p>
    <w:p w14:paraId="58C7F118">
      <w:pPr>
        <w:spacing w:before="67" w:after="3"/>
        <w:ind w:left="262" w:right="321" w:firstLine="0"/>
        <w:jc w:val="center"/>
        <w:rPr>
          <w:b/>
          <w:sz w:val="21"/>
        </w:rPr>
      </w:pPr>
      <w:r>
        <w:rPr>
          <w:b/>
          <w:sz w:val="21"/>
        </w:rPr>
        <w:t xml:space="preserve">表 </w:t>
      </w:r>
      <w:r>
        <w:rPr>
          <w:rFonts w:ascii="Times New Roman" w:eastAsia="Times New Roman"/>
          <w:b/>
          <w:sz w:val="21"/>
        </w:rPr>
        <w:t xml:space="preserve">3.3- 1 </w:t>
      </w:r>
      <w:r>
        <w:rPr>
          <w:b/>
          <w:sz w:val="21"/>
        </w:rPr>
        <w:t>项目组成一览表</w:t>
      </w:r>
    </w:p>
    <w:tbl>
      <w:tblPr>
        <w:tblStyle w:val="10"/>
        <w:tblW w:w="0" w:type="auto"/>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1525"/>
        <w:gridCol w:w="5660"/>
      </w:tblGrid>
      <w:tr w14:paraId="7B0BB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tcPr>
          <w:p w14:paraId="0E0C5228">
            <w:pPr>
              <w:pStyle w:val="14"/>
              <w:spacing w:before="90"/>
              <w:ind w:left="122" w:right="118"/>
              <w:jc w:val="center"/>
              <w:rPr>
                <w:b/>
                <w:sz w:val="21"/>
              </w:rPr>
            </w:pPr>
            <w:r>
              <w:rPr>
                <w:b/>
                <w:sz w:val="21"/>
              </w:rPr>
              <w:t>类别</w:t>
            </w:r>
          </w:p>
        </w:tc>
        <w:tc>
          <w:tcPr>
            <w:tcW w:w="1525" w:type="dxa"/>
          </w:tcPr>
          <w:p w14:paraId="1C8D6D93">
            <w:pPr>
              <w:pStyle w:val="14"/>
              <w:spacing w:before="90"/>
              <w:ind w:left="7"/>
              <w:jc w:val="center"/>
              <w:rPr>
                <w:b/>
                <w:sz w:val="21"/>
              </w:rPr>
            </w:pPr>
            <w:r>
              <w:rPr>
                <w:b/>
                <w:sz w:val="21"/>
              </w:rPr>
              <w:t>项目名称</w:t>
            </w:r>
          </w:p>
        </w:tc>
        <w:tc>
          <w:tcPr>
            <w:tcW w:w="5660" w:type="dxa"/>
          </w:tcPr>
          <w:p w14:paraId="72D3754D">
            <w:pPr>
              <w:pStyle w:val="14"/>
              <w:spacing w:before="90"/>
              <w:ind w:left="25" w:right="19"/>
              <w:jc w:val="center"/>
              <w:rPr>
                <w:b/>
                <w:sz w:val="21"/>
              </w:rPr>
            </w:pPr>
            <w:r>
              <w:rPr>
                <w:b/>
                <w:sz w:val="21"/>
              </w:rPr>
              <w:t>工程内容及规模</w:t>
            </w:r>
          </w:p>
        </w:tc>
      </w:tr>
      <w:tr w14:paraId="46A0B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restart"/>
          </w:tcPr>
          <w:p w14:paraId="6EB5A26E">
            <w:pPr>
              <w:pStyle w:val="14"/>
              <w:rPr>
                <w:b/>
                <w:sz w:val="20"/>
              </w:rPr>
            </w:pPr>
          </w:p>
          <w:p w14:paraId="5B833D66">
            <w:pPr>
              <w:pStyle w:val="14"/>
              <w:rPr>
                <w:b/>
                <w:sz w:val="20"/>
              </w:rPr>
            </w:pPr>
          </w:p>
          <w:p w14:paraId="52E72855">
            <w:pPr>
              <w:pStyle w:val="14"/>
              <w:spacing w:before="12"/>
              <w:rPr>
                <w:b/>
                <w:sz w:val="28"/>
              </w:rPr>
            </w:pPr>
          </w:p>
          <w:p w14:paraId="6EC5CBAE">
            <w:pPr>
              <w:pStyle w:val="14"/>
              <w:ind w:left="122" w:right="118"/>
              <w:jc w:val="center"/>
              <w:rPr>
                <w:sz w:val="21"/>
              </w:rPr>
            </w:pPr>
            <w:r>
              <w:rPr>
                <w:sz w:val="21"/>
              </w:rPr>
              <w:t>主体工程</w:t>
            </w:r>
          </w:p>
          <w:p w14:paraId="33C95AD9">
            <w:pPr>
              <w:pStyle w:val="14"/>
              <w:spacing w:before="2"/>
              <w:ind w:left="122" w:right="115"/>
              <w:jc w:val="center"/>
              <w:rPr>
                <w:sz w:val="21"/>
              </w:rPr>
            </w:pPr>
            <w:r>
              <w:rPr>
                <w:sz w:val="21"/>
              </w:rPr>
              <w:t>（一）</w:t>
            </w:r>
          </w:p>
        </w:tc>
        <w:tc>
          <w:tcPr>
            <w:tcW w:w="1525" w:type="dxa"/>
          </w:tcPr>
          <w:p w14:paraId="6AD1E5F6">
            <w:pPr>
              <w:pStyle w:val="14"/>
              <w:spacing w:before="89"/>
              <w:ind w:left="7"/>
              <w:jc w:val="center"/>
              <w:rPr>
                <w:sz w:val="21"/>
              </w:rPr>
            </w:pPr>
            <w:r>
              <w:rPr>
                <w:sz w:val="21"/>
              </w:rPr>
              <w:t>生猪暂养间</w:t>
            </w:r>
          </w:p>
        </w:tc>
        <w:tc>
          <w:tcPr>
            <w:tcW w:w="5660" w:type="dxa"/>
          </w:tcPr>
          <w:p w14:paraId="3AFA756C">
            <w:pPr>
              <w:pStyle w:val="14"/>
              <w:spacing w:before="91"/>
              <w:ind w:left="25"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750m</w:t>
            </w:r>
            <w:r>
              <w:rPr>
                <w:rFonts w:ascii="Times New Roman" w:eastAsia="Times New Roman"/>
                <w:position w:val="7"/>
                <w:sz w:val="13"/>
              </w:rPr>
              <w:t>2</w:t>
            </w:r>
            <w:r>
              <w:rPr>
                <w:sz w:val="21"/>
              </w:rPr>
              <w:t>，用于生猪临时圈养</w:t>
            </w:r>
          </w:p>
        </w:tc>
      </w:tr>
      <w:tr w14:paraId="6553E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265AB3D8">
            <w:pPr>
              <w:rPr>
                <w:sz w:val="2"/>
                <w:szCs w:val="2"/>
              </w:rPr>
            </w:pPr>
          </w:p>
        </w:tc>
        <w:tc>
          <w:tcPr>
            <w:tcW w:w="1525" w:type="dxa"/>
          </w:tcPr>
          <w:p w14:paraId="38CD02CB">
            <w:pPr>
              <w:pStyle w:val="14"/>
              <w:spacing w:before="88"/>
              <w:ind w:left="7"/>
              <w:jc w:val="center"/>
              <w:rPr>
                <w:sz w:val="21"/>
              </w:rPr>
            </w:pPr>
            <w:r>
              <w:rPr>
                <w:sz w:val="21"/>
              </w:rPr>
              <w:t>猪待宰圈</w:t>
            </w:r>
          </w:p>
        </w:tc>
        <w:tc>
          <w:tcPr>
            <w:tcW w:w="5660" w:type="dxa"/>
          </w:tcPr>
          <w:p w14:paraId="53EDF391">
            <w:pPr>
              <w:pStyle w:val="14"/>
              <w:spacing w:before="91"/>
              <w:ind w:left="25" w:right="17"/>
              <w:jc w:val="center"/>
              <w:rPr>
                <w:sz w:val="21"/>
              </w:rPr>
            </w:pPr>
            <w:r>
              <w:rPr>
                <w:rFonts w:ascii="Times New Roman" w:eastAsia="Times New Roman"/>
                <w:sz w:val="21"/>
              </w:rPr>
              <w:t>1F</w:t>
            </w:r>
            <w:r>
              <w:rPr>
                <w:sz w:val="21"/>
              </w:rPr>
              <w:t xml:space="preserve">，占地面积 </w:t>
            </w:r>
            <w:r>
              <w:rPr>
                <w:rFonts w:ascii="Times New Roman" w:eastAsia="Times New Roman"/>
                <w:sz w:val="21"/>
              </w:rPr>
              <w:t>1200m</w:t>
            </w:r>
            <w:r>
              <w:rPr>
                <w:rFonts w:ascii="Times New Roman" w:eastAsia="Times New Roman"/>
                <w:position w:val="7"/>
                <w:sz w:val="13"/>
              </w:rPr>
              <w:t>2</w:t>
            </w:r>
            <w:r>
              <w:rPr>
                <w:sz w:val="21"/>
              </w:rPr>
              <w:t>，用于待宰猪临时饲养</w:t>
            </w:r>
          </w:p>
        </w:tc>
      </w:tr>
      <w:tr w14:paraId="3E03A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continue"/>
            <w:tcBorders>
              <w:top w:val="nil"/>
            </w:tcBorders>
          </w:tcPr>
          <w:p w14:paraId="78DBA899">
            <w:pPr>
              <w:rPr>
                <w:sz w:val="2"/>
                <w:szCs w:val="2"/>
              </w:rPr>
            </w:pPr>
          </w:p>
        </w:tc>
        <w:tc>
          <w:tcPr>
            <w:tcW w:w="1525" w:type="dxa"/>
          </w:tcPr>
          <w:p w14:paraId="2B6BB8FB">
            <w:pPr>
              <w:pStyle w:val="14"/>
              <w:spacing w:before="90"/>
              <w:ind w:left="5"/>
              <w:jc w:val="center"/>
              <w:rPr>
                <w:sz w:val="21"/>
              </w:rPr>
            </w:pPr>
            <w:r>
              <w:rPr>
                <w:sz w:val="21"/>
              </w:rPr>
              <w:t>猪屠宰加工间</w:t>
            </w:r>
          </w:p>
        </w:tc>
        <w:tc>
          <w:tcPr>
            <w:tcW w:w="5660" w:type="dxa"/>
          </w:tcPr>
          <w:p w14:paraId="1E7FD587">
            <w:pPr>
              <w:pStyle w:val="14"/>
              <w:spacing w:before="90"/>
              <w:ind w:left="25"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2000m</w:t>
            </w:r>
            <w:r>
              <w:rPr>
                <w:rFonts w:ascii="Times New Roman" w:eastAsia="Times New Roman"/>
                <w:position w:val="7"/>
                <w:sz w:val="13"/>
              </w:rPr>
              <w:t>2</w:t>
            </w:r>
            <w:r>
              <w:rPr>
                <w:sz w:val="21"/>
              </w:rPr>
              <w:t>，主要生产车间</w:t>
            </w:r>
          </w:p>
        </w:tc>
      </w:tr>
      <w:tr w14:paraId="2080B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continue"/>
            <w:tcBorders>
              <w:top w:val="nil"/>
            </w:tcBorders>
          </w:tcPr>
          <w:p w14:paraId="35DEEFE0">
            <w:pPr>
              <w:rPr>
                <w:sz w:val="2"/>
                <w:szCs w:val="2"/>
              </w:rPr>
            </w:pPr>
          </w:p>
        </w:tc>
        <w:tc>
          <w:tcPr>
            <w:tcW w:w="1525" w:type="dxa"/>
          </w:tcPr>
          <w:p w14:paraId="4B9D708E">
            <w:pPr>
              <w:pStyle w:val="14"/>
              <w:spacing w:before="89"/>
              <w:ind w:left="7"/>
              <w:jc w:val="center"/>
              <w:rPr>
                <w:sz w:val="21"/>
              </w:rPr>
            </w:pPr>
            <w:r>
              <w:rPr>
                <w:sz w:val="21"/>
              </w:rPr>
              <w:t>急宰化制间</w:t>
            </w:r>
          </w:p>
        </w:tc>
        <w:tc>
          <w:tcPr>
            <w:tcW w:w="5660" w:type="dxa"/>
          </w:tcPr>
          <w:p w14:paraId="39AFB83C">
            <w:pPr>
              <w:pStyle w:val="14"/>
              <w:spacing w:before="91"/>
              <w:ind w:left="22"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250m</w:t>
            </w:r>
            <w:r>
              <w:rPr>
                <w:rFonts w:ascii="Times New Roman" w:eastAsia="Times New Roman"/>
                <w:position w:val="7"/>
                <w:sz w:val="13"/>
              </w:rPr>
              <w:t>2</w:t>
            </w:r>
            <w:r>
              <w:rPr>
                <w:sz w:val="21"/>
              </w:rPr>
              <w:t>，应急</w:t>
            </w:r>
          </w:p>
        </w:tc>
      </w:tr>
      <w:tr w14:paraId="62B4E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0D72BBD7">
            <w:pPr>
              <w:rPr>
                <w:sz w:val="2"/>
                <w:szCs w:val="2"/>
              </w:rPr>
            </w:pPr>
          </w:p>
        </w:tc>
        <w:tc>
          <w:tcPr>
            <w:tcW w:w="1525" w:type="dxa"/>
          </w:tcPr>
          <w:p w14:paraId="30528753">
            <w:pPr>
              <w:pStyle w:val="14"/>
              <w:spacing w:before="88"/>
              <w:ind w:left="5"/>
              <w:jc w:val="center"/>
              <w:rPr>
                <w:sz w:val="21"/>
              </w:rPr>
            </w:pPr>
            <w:r>
              <w:rPr>
                <w:sz w:val="21"/>
              </w:rPr>
              <w:t>无害化暂存间</w:t>
            </w:r>
          </w:p>
        </w:tc>
        <w:tc>
          <w:tcPr>
            <w:tcW w:w="5660" w:type="dxa"/>
          </w:tcPr>
          <w:p w14:paraId="6C7DA369">
            <w:pPr>
              <w:pStyle w:val="14"/>
              <w:spacing w:before="90"/>
              <w:ind w:left="25"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80m</w:t>
            </w:r>
            <w:r>
              <w:rPr>
                <w:rFonts w:ascii="Times New Roman" w:eastAsia="Times New Roman"/>
                <w:position w:val="7"/>
                <w:sz w:val="13"/>
              </w:rPr>
              <w:t>2</w:t>
            </w:r>
            <w:r>
              <w:rPr>
                <w:sz w:val="21"/>
              </w:rPr>
              <w:t>，暂存需无害化的废物</w:t>
            </w:r>
          </w:p>
        </w:tc>
      </w:tr>
      <w:tr w14:paraId="1F0D9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131" w:type="dxa"/>
          </w:tcPr>
          <w:p w14:paraId="6FA51B75">
            <w:pPr>
              <w:pStyle w:val="14"/>
              <w:spacing w:before="20"/>
              <w:ind w:left="122" w:right="118"/>
              <w:jc w:val="center"/>
              <w:rPr>
                <w:sz w:val="21"/>
              </w:rPr>
            </w:pPr>
            <w:r>
              <w:rPr>
                <w:sz w:val="21"/>
              </w:rPr>
              <w:t>主体工程</w:t>
            </w:r>
          </w:p>
          <w:p w14:paraId="200E4621">
            <w:pPr>
              <w:pStyle w:val="14"/>
              <w:spacing w:before="5"/>
              <w:ind w:left="122" w:right="115"/>
              <w:jc w:val="center"/>
              <w:rPr>
                <w:sz w:val="21"/>
              </w:rPr>
            </w:pPr>
            <w:r>
              <w:rPr>
                <w:sz w:val="21"/>
              </w:rPr>
              <w:t>（二）</w:t>
            </w:r>
          </w:p>
        </w:tc>
        <w:tc>
          <w:tcPr>
            <w:tcW w:w="1525" w:type="dxa"/>
          </w:tcPr>
          <w:p w14:paraId="01647E79">
            <w:pPr>
              <w:pStyle w:val="14"/>
              <w:spacing w:before="35" w:line="255" w:lineRule="exact"/>
              <w:ind w:left="5"/>
              <w:jc w:val="center"/>
              <w:rPr>
                <w:sz w:val="21"/>
              </w:rPr>
            </w:pPr>
            <w:r>
              <w:rPr>
                <w:sz w:val="21"/>
              </w:rPr>
              <w:t>猪屠宰加工间</w:t>
            </w:r>
          </w:p>
          <w:p w14:paraId="7A53933E">
            <w:pPr>
              <w:pStyle w:val="14"/>
              <w:spacing w:line="255" w:lineRule="exact"/>
              <w:ind w:left="7"/>
              <w:jc w:val="center"/>
              <w:rPr>
                <w:sz w:val="21"/>
              </w:rPr>
            </w:pPr>
            <w:r>
              <w:rPr>
                <w:sz w:val="21"/>
              </w:rPr>
              <w:t>（预留）</w:t>
            </w:r>
          </w:p>
        </w:tc>
        <w:tc>
          <w:tcPr>
            <w:tcW w:w="5660" w:type="dxa"/>
          </w:tcPr>
          <w:p w14:paraId="14697C51">
            <w:pPr>
              <w:pStyle w:val="14"/>
              <w:spacing w:before="19" w:line="270" w:lineRule="atLeast"/>
              <w:ind w:left="2513" w:right="47" w:hanging="2458"/>
              <w:rPr>
                <w:sz w:val="21"/>
              </w:rPr>
            </w:pPr>
            <w:r>
              <w:rPr>
                <w:rFonts w:ascii="Times New Roman" w:eastAsia="Times New Roman"/>
                <w:sz w:val="21"/>
              </w:rPr>
              <w:t>1F</w:t>
            </w:r>
            <w:r>
              <w:rPr>
                <w:spacing w:val="-11"/>
                <w:sz w:val="21"/>
              </w:rPr>
              <w:t xml:space="preserve">，占地面积 </w:t>
            </w:r>
            <w:r>
              <w:rPr>
                <w:rFonts w:ascii="Times New Roman" w:eastAsia="Times New Roman"/>
                <w:sz w:val="21"/>
              </w:rPr>
              <w:t>2000m</w:t>
            </w:r>
            <w:r>
              <w:rPr>
                <w:rFonts w:ascii="Times New Roman" w:eastAsia="Times New Roman"/>
                <w:position w:val="7"/>
                <w:sz w:val="13"/>
              </w:rPr>
              <w:t>2</w:t>
            </w:r>
            <w:r>
              <w:rPr>
                <w:sz w:val="21"/>
              </w:rPr>
              <w:t>，位于厂区北部，根据实际产量安排生产时间</w:t>
            </w:r>
          </w:p>
        </w:tc>
      </w:tr>
      <w:tr w14:paraId="3DD26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restart"/>
          </w:tcPr>
          <w:p w14:paraId="64A5A5EC">
            <w:pPr>
              <w:pStyle w:val="14"/>
              <w:rPr>
                <w:b/>
                <w:sz w:val="20"/>
              </w:rPr>
            </w:pPr>
          </w:p>
          <w:p w14:paraId="23BC2962">
            <w:pPr>
              <w:pStyle w:val="14"/>
              <w:spacing w:before="4"/>
              <w:rPr>
                <w:b/>
                <w:sz w:val="23"/>
              </w:rPr>
            </w:pPr>
          </w:p>
          <w:p w14:paraId="4F82E146">
            <w:pPr>
              <w:pStyle w:val="14"/>
              <w:spacing w:before="1"/>
              <w:ind w:left="143"/>
              <w:rPr>
                <w:sz w:val="21"/>
              </w:rPr>
            </w:pPr>
            <w:r>
              <w:rPr>
                <w:sz w:val="21"/>
              </w:rPr>
              <w:t>储运工程</w:t>
            </w:r>
          </w:p>
        </w:tc>
        <w:tc>
          <w:tcPr>
            <w:tcW w:w="1525" w:type="dxa"/>
          </w:tcPr>
          <w:p w14:paraId="0A510058">
            <w:pPr>
              <w:pStyle w:val="14"/>
              <w:spacing w:before="90"/>
              <w:ind w:left="5"/>
              <w:jc w:val="center"/>
              <w:rPr>
                <w:sz w:val="21"/>
              </w:rPr>
            </w:pPr>
            <w:r>
              <w:rPr>
                <w:sz w:val="21"/>
              </w:rPr>
              <w:t>猪冷库</w:t>
            </w:r>
          </w:p>
        </w:tc>
        <w:tc>
          <w:tcPr>
            <w:tcW w:w="5660" w:type="dxa"/>
          </w:tcPr>
          <w:p w14:paraId="7622702B">
            <w:pPr>
              <w:pStyle w:val="14"/>
              <w:spacing w:before="90"/>
              <w:ind w:left="25"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1200m</w:t>
            </w:r>
            <w:r>
              <w:rPr>
                <w:rFonts w:ascii="Times New Roman" w:eastAsia="Times New Roman"/>
                <w:position w:val="7"/>
                <w:sz w:val="13"/>
              </w:rPr>
              <w:t>2</w:t>
            </w:r>
            <w:r>
              <w:rPr>
                <w:sz w:val="21"/>
              </w:rPr>
              <w:t>，用于生猪冷鲜产品的贮藏</w:t>
            </w:r>
          </w:p>
        </w:tc>
      </w:tr>
      <w:tr w14:paraId="709B2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31BCB146">
            <w:pPr>
              <w:rPr>
                <w:sz w:val="2"/>
                <w:szCs w:val="2"/>
              </w:rPr>
            </w:pPr>
          </w:p>
        </w:tc>
        <w:tc>
          <w:tcPr>
            <w:tcW w:w="1525" w:type="dxa"/>
          </w:tcPr>
          <w:p w14:paraId="3546C3C7">
            <w:pPr>
              <w:pStyle w:val="14"/>
              <w:spacing w:before="91"/>
              <w:ind w:left="5"/>
              <w:jc w:val="center"/>
              <w:rPr>
                <w:sz w:val="21"/>
              </w:rPr>
            </w:pPr>
            <w:r>
              <w:rPr>
                <w:sz w:val="21"/>
              </w:rPr>
              <w:t>物料库</w:t>
            </w:r>
          </w:p>
        </w:tc>
        <w:tc>
          <w:tcPr>
            <w:tcW w:w="5660" w:type="dxa"/>
          </w:tcPr>
          <w:p w14:paraId="66DBCEB1">
            <w:pPr>
              <w:pStyle w:val="14"/>
              <w:spacing w:before="91"/>
              <w:ind w:left="25"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500m</w:t>
            </w:r>
            <w:r>
              <w:rPr>
                <w:rFonts w:ascii="Times New Roman" w:eastAsia="Times New Roman"/>
                <w:position w:val="7"/>
                <w:sz w:val="13"/>
              </w:rPr>
              <w:t>2</w:t>
            </w:r>
            <w:r>
              <w:rPr>
                <w:sz w:val="21"/>
              </w:rPr>
              <w:t>，用于屠宰及饲养物料的贮存</w:t>
            </w:r>
          </w:p>
        </w:tc>
      </w:tr>
      <w:tr w14:paraId="760B6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continue"/>
            <w:tcBorders>
              <w:top w:val="nil"/>
            </w:tcBorders>
          </w:tcPr>
          <w:p w14:paraId="6F8B44B2">
            <w:pPr>
              <w:rPr>
                <w:sz w:val="2"/>
                <w:szCs w:val="2"/>
              </w:rPr>
            </w:pPr>
          </w:p>
        </w:tc>
        <w:tc>
          <w:tcPr>
            <w:tcW w:w="1525" w:type="dxa"/>
          </w:tcPr>
          <w:p w14:paraId="231FB72B">
            <w:pPr>
              <w:pStyle w:val="14"/>
              <w:spacing w:before="91"/>
              <w:ind w:left="5"/>
              <w:jc w:val="center"/>
              <w:rPr>
                <w:sz w:val="21"/>
              </w:rPr>
            </w:pPr>
            <w:r>
              <w:rPr>
                <w:sz w:val="21"/>
              </w:rPr>
              <w:t>仓库</w:t>
            </w:r>
          </w:p>
        </w:tc>
        <w:tc>
          <w:tcPr>
            <w:tcW w:w="5660" w:type="dxa"/>
          </w:tcPr>
          <w:p w14:paraId="379E8F37">
            <w:pPr>
              <w:pStyle w:val="14"/>
              <w:spacing w:before="91"/>
              <w:ind w:left="25"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1000m</w:t>
            </w:r>
            <w:r>
              <w:rPr>
                <w:rFonts w:ascii="Times New Roman" w:eastAsia="Times New Roman"/>
                <w:position w:val="7"/>
                <w:sz w:val="13"/>
              </w:rPr>
              <w:t>2</w:t>
            </w:r>
            <w:r>
              <w:rPr>
                <w:sz w:val="21"/>
              </w:rPr>
              <w:t>，备用</w:t>
            </w:r>
          </w:p>
        </w:tc>
      </w:tr>
      <w:tr w14:paraId="24E3C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restart"/>
          </w:tcPr>
          <w:p w14:paraId="31162785">
            <w:pPr>
              <w:pStyle w:val="14"/>
              <w:rPr>
                <w:b/>
                <w:sz w:val="20"/>
              </w:rPr>
            </w:pPr>
          </w:p>
          <w:p w14:paraId="69D3007F">
            <w:pPr>
              <w:pStyle w:val="14"/>
              <w:rPr>
                <w:b/>
                <w:sz w:val="20"/>
              </w:rPr>
            </w:pPr>
          </w:p>
          <w:p w14:paraId="51A3CD52">
            <w:pPr>
              <w:pStyle w:val="14"/>
              <w:rPr>
                <w:b/>
                <w:sz w:val="20"/>
              </w:rPr>
            </w:pPr>
          </w:p>
          <w:p w14:paraId="0C467E2F">
            <w:pPr>
              <w:pStyle w:val="14"/>
              <w:rPr>
                <w:b/>
                <w:sz w:val="20"/>
              </w:rPr>
            </w:pPr>
          </w:p>
          <w:p w14:paraId="0B2A5DC6">
            <w:pPr>
              <w:pStyle w:val="14"/>
              <w:spacing w:before="8"/>
              <w:rPr>
                <w:b/>
                <w:sz w:val="17"/>
              </w:rPr>
            </w:pPr>
          </w:p>
          <w:p w14:paraId="1BED707C">
            <w:pPr>
              <w:pStyle w:val="14"/>
              <w:spacing w:before="1"/>
              <w:ind w:left="223"/>
              <w:rPr>
                <w:sz w:val="21"/>
              </w:rPr>
            </w:pPr>
            <w:r>
              <w:rPr>
                <w:sz w:val="21"/>
              </w:rPr>
              <w:t>辅助工程</w:t>
            </w:r>
          </w:p>
        </w:tc>
        <w:tc>
          <w:tcPr>
            <w:tcW w:w="1525" w:type="dxa"/>
          </w:tcPr>
          <w:p w14:paraId="613177A2">
            <w:pPr>
              <w:pStyle w:val="14"/>
              <w:spacing w:before="90"/>
              <w:ind w:left="5"/>
              <w:jc w:val="center"/>
              <w:rPr>
                <w:sz w:val="21"/>
              </w:rPr>
            </w:pPr>
            <w:r>
              <w:rPr>
                <w:sz w:val="21"/>
              </w:rPr>
              <w:t>休息室及公厕</w:t>
            </w:r>
          </w:p>
        </w:tc>
        <w:tc>
          <w:tcPr>
            <w:tcW w:w="5660" w:type="dxa"/>
          </w:tcPr>
          <w:p w14:paraId="60E69DF8">
            <w:pPr>
              <w:pStyle w:val="14"/>
              <w:spacing w:before="90"/>
              <w:ind w:left="25" w:right="16"/>
              <w:jc w:val="center"/>
              <w:rPr>
                <w:rFonts w:ascii="Times New Roman" w:eastAsia="Times New Roman"/>
                <w:sz w:val="13"/>
              </w:rPr>
            </w:pPr>
            <w:r>
              <w:rPr>
                <w:rFonts w:ascii="Times New Roman" w:eastAsia="Times New Roman"/>
                <w:sz w:val="21"/>
              </w:rPr>
              <w:t>1F</w:t>
            </w:r>
            <w:r>
              <w:rPr>
                <w:sz w:val="21"/>
              </w:rPr>
              <w:t xml:space="preserve">，占地面积 </w:t>
            </w:r>
            <w:r>
              <w:rPr>
                <w:rFonts w:ascii="Times New Roman" w:eastAsia="Times New Roman"/>
                <w:sz w:val="21"/>
              </w:rPr>
              <w:t>150m</w:t>
            </w:r>
            <w:r>
              <w:rPr>
                <w:rFonts w:ascii="Times New Roman" w:eastAsia="Times New Roman"/>
                <w:position w:val="7"/>
                <w:sz w:val="13"/>
              </w:rPr>
              <w:t>2</w:t>
            </w:r>
          </w:p>
        </w:tc>
      </w:tr>
      <w:tr w14:paraId="1D660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continue"/>
            <w:tcBorders>
              <w:top w:val="nil"/>
            </w:tcBorders>
          </w:tcPr>
          <w:p w14:paraId="05440F06">
            <w:pPr>
              <w:rPr>
                <w:sz w:val="2"/>
                <w:szCs w:val="2"/>
              </w:rPr>
            </w:pPr>
          </w:p>
        </w:tc>
        <w:tc>
          <w:tcPr>
            <w:tcW w:w="1525" w:type="dxa"/>
          </w:tcPr>
          <w:p w14:paraId="75BB4B48">
            <w:pPr>
              <w:pStyle w:val="14"/>
              <w:spacing w:before="91"/>
              <w:ind w:left="7"/>
              <w:jc w:val="center"/>
              <w:rPr>
                <w:sz w:val="21"/>
              </w:rPr>
            </w:pPr>
            <w:r>
              <w:rPr>
                <w:sz w:val="21"/>
              </w:rPr>
              <w:t>制冷机房</w:t>
            </w:r>
          </w:p>
        </w:tc>
        <w:tc>
          <w:tcPr>
            <w:tcW w:w="5660" w:type="dxa"/>
          </w:tcPr>
          <w:p w14:paraId="69AA22B5">
            <w:pPr>
              <w:pStyle w:val="14"/>
              <w:spacing w:before="91"/>
              <w:ind w:left="22" w:right="19"/>
              <w:jc w:val="center"/>
              <w:rPr>
                <w:sz w:val="21"/>
              </w:rPr>
            </w:pPr>
            <w:r>
              <w:rPr>
                <w:rFonts w:ascii="Times New Roman" w:eastAsia="Times New Roman"/>
                <w:sz w:val="21"/>
              </w:rPr>
              <w:t>1F</w:t>
            </w:r>
            <w:r>
              <w:rPr>
                <w:sz w:val="21"/>
              </w:rPr>
              <w:t xml:space="preserve">，占地面积 </w:t>
            </w:r>
            <w:r>
              <w:rPr>
                <w:rFonts w:ascii="Times New Roman" w:eastAsia="Times New Roman"/>
                <w:sz w:val="21"/>
              </w:rPr>
              <w:t>500m</w:t>
            </w:r>
            <w:r>
              <w:rPr>
                <w:rFonts w:ascii="Times New Roman" w:eastAsia="Times New Roman"/>
                <w:position w:val="7"/>
                <w:sz w:val="13"/>
              </w:rPr>
              <w:t>2</w:t>
            </w:r>
            <w:r>
              <w:rPr>
                <w:sz w:val="21"/>
              </w:rPr>
              <w:t>，设置制冷设备提供冷风</w:t>
            </w:r>
          </w:p>
        </w:tc>
      </w:tr>
      <w:tr w14:paraId="1DA95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1143D6F3">
            <w:pPr>
              <w:rPr>
                <w:sz w:val="2"/>
                <w:szCs w:val="2"/>
              </w:rPr>
            </w:pPr>
          </w:p>
        </w:tc>
        <w:tc>
          <w:tcPr>
            <w:tcW w:w="1525" w:type="dxa"/>
          </w:tcPr>
          <w:p w14:paraId="34BAF2DF">
            <w:pPr>
              <w:pStyle w:val="14"/>
              <w:spacing w:before="91"/>
              <w:ind w:left="7"/>
              <w:jc w:val="center"/>
              <w:rPr>
                <w:sz w:val="21"/>
              </w:rPr>
            </w:pPr>
            <w:r>
              <w:rPr>
                <w:sz w:val="21"/>
              </w:rPr>
              <w:t>综合办公楼</w:t>
            </w:r>
          </w:p>
        </w:tc>
        <w:tc>
          <w:tcPr>
            <w:tcW w:w="5660" w:type="dxa"/>
          </w:tcPr>
          <w:p w14:paraId="3F04F680">
            <w:pPr>
              <w:pStyle w:val="14"/>
              <w:spacing w:before="91"/>
              <w:ind w:left="25" w:right="19"/>
              <w:jc w:val="center"/>
              <w:rPr>
                <w:sz w:val="21"/>
              </w:rPr>
            </w:pPr>
            <w:r>
              <w:rPr>
                <w:sz w:val="21"/>
              </w:rPr>
              <w:t>厂区西北角，</w:t>
            </w:r>
            <w:r>
              <w:rPr>
                <w:rFonts w:ascii="Times New Roman" w:eastAsia="Times New Roman"/>
                <w:sz w:val="21"/>
              </w:rPr>
              <w:t>5F</w:t>
            </w:r>
            <w:r>
              <w:rPr>
                <w:sz w:val="21"/>
              </w:rPr>
              <w:t xml:space="preserve">，占地面积 </w:t>
            </w:r>
            <w:r>
              <w:rPr>
                <w:rFonts w:ascii="Times New Roman" w:eastAsia="Times New Roman"/>
                <w:sz w:val="21"/>
              </w:rPr>
              <w:t>800m</w:t>
            </w:r>
            <w:r>
              <w:rPr>
                <w:rFonts w:ascii="Times New Roman" w:eastAsia="Times New Roman"/>
                <w:position w:val="7"/>
                <w:sz w:val="13"/>
              </w:rPr>
              <w:t>2</w:t>
            </w:r>
            <w:r>
              <w:rPr>
                <w:sz w:val="21"/>
              </w:rPr>
              <w:t>，主要为行政办公</w:t>
            </w:r>
          </w:p>
        </w:tc>
      </w:tr>
      <w:tr w14:paraId="5D6D8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6669AE04">
            <w:pPr>
              <w:rPr>
                <w:sz w:val="2"/>
                <w:szCs w:val="2"/>
              </w:rPr>
            </w:pPr>
          </w:p>
        </w:tc>
        <w:tc>
          <w:tcPr>
            <w:tcW w:w="1525" w:type="dxa"/>
          </w:tcPr>
          <w:p w14:paraId="174F12BE">
            <w:pPr>
              <w:pStyle w:val="14"/>
              <w:spacing w:before="90"/>
              <w:ind w:left="5"/>
              <w:jc w:val="center"/>
              <w:rPr>
                <w:sz w:val="21"/>
              </w:rPr>
            </w:pPr>
            <w:r>
              <w:rPr>
                <w:sz w:val="21"/>
              </w:rPr>
              <w:t>员工宿舍及食堂</w:t>
            </w:r>
          </w:p>
        </w:tc>
        <w:tc>
          <w:tcPr>
            <w:tcW w:w="5660" w:type="dxa"/>
          </w:tcPr>
          <w:p w14:paraId="3F4FE01E">
            <w:pPr>
              <w:pStyle w:val="14"/>
              <w:spacing w:before="90"/>
              <w:ind w:left="25" w:right="19"/>
              <w:jc w:val="center"/>
              <w:rPr>
                <w:sz w:val="21"/>
              </w:rPr>
            </w:pPr>
            <w:r>
              <w:rPr>
                <w:rFonts w:ascii="Times New Roman" w:eastAsia="Times New Roman"/>
                <w:sz w:val="21"/>
              </w:rPr>
              <w:t>5F</w:t>
            </w:r>
            <w:r>
              <w:rPr>
                <w:sz w:val="21"/>
              </w:rPr>
              <w:t xml:space="preserve">，占地面积 </w:t>
            </w:r>
            <w:r>
              <w:rPr>
                <w:rFonts w:ascii="Times New Roman" w:eastAsia="Times New Roman"/>
                <w:sz w:val="21"/>
              </w:rPr>
              <w:t>250m</w:t>
            </w:r>
            <w:r>
              <w:rPr>
                <w:rFonts w:ascii="Times New Roman" w:eastAsia="Times New Roman"/>
                <w:position w:val="7"/>
                <w:sz w:val="13"/>
              </w:rPr>
              <w:t>2</w:t>
            </w:r>
            <w:r>
              <w:rPr>
                <w:sz w:val="21"/>
              </w:rPr>
              <w:t>，厂区提供食宿</w:t>
            </w:r>
          </w:p>
        </w:tc>
      </w:tr>
      <w:tr w14:paraId="7459A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326C76C6">
            <w:pPr>
              <w:rPr>
                <w:sz w:val="2"/>
                <w:szCs w:val="2"/>
              </w:rPr>
            </w:pPr>
          </w:p>
        </w:tc>
        <w:tc>
          <w:tcPr>
            <w:tcW w:w="1525" w:type="dxa"/>
          </w:tcPr>
          <w:p w14:paraId="5C925C74">
            <w:pPr>
              <w:pStyle w:val="14"/>
              <w:spacing w:before="92"/>
              <w:ind w:left="7"/>
              <w:jc w:val="center"/>
              <w:rPr>
                <w:sz w:val="21"/>
              </w:rPr>
            </w:pPr>
            <w:r>
              <w:rPr>
                <w:sz w:val="21"/>
              </w:rPr>
              <w:t>员工宿舍</w:t>
            </w:r>
          </w:p>
        </w:tc>
        <w:tc>
          <w:tcPr>
            <w:tcW w:w="5660" w:type="dxa"/>
          </w:tcPr>
          <w:p w14:paraId="3EDF6A84">
            <w:pPr>
              <w:pStyle w:val="14"/>
              <w:spacing w:before="92"/>
              <w:ind w:left="25" w:right="19"/>
              <w:jc w:val="center"/>
              <w:rPr>
                <w:sz w:val="21"/>
              </w:rPr>
            </w:pPr>
            <w:r>
              <w:rPr>
                <w:rFonts w:ascii="Times New Roman" w:eastAsia="Times New Roman"/>
                <w:sz w:val="21"/>
              </w:rPr>
              <w:t>5F</w:t>
            </w:r>
            <w:r>
              <w:rPr>
                <w:sz w:val="21"/>
              </w:rPr>
              <w:t xml:space="preserve">，占地面积 </w:t>
            </w:r>
            <w:r>
              <w:rPr>
                <w:rFonts w:ascii="Times New Roman" w:eastAsia="Times New Roman"/>
                <w:sz w:val="21"/>
              </w:rPr>
              <w:t>350m</w:t>
            </w:r>
            <w:r>
              <w:rPr>
                <w:rFonts w:ascii="Times New Roman" w:eastAsia="Times New Roman"/>
                <w:position w:val="7"/>
                <w:sz w:val="13"/>
              </w:rPr>
              <w:t>2</w:t>
            </w:r>
            <w:r>
              <w:rPr>
                <w:sz w:val="21"/>
              </w:rPr>
              <w:t>，用于生产人员住宿</w:t>
            </w:r>
          </w:p>
        </w:tc>
      </w:tr>
      <w:tr w14:paraId="4EA64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160E930D">
            <w:pPr>
              <w:rPr>
                <w:sz w:val="2"/>
                <w:szCs w:val="2"/>
              </w:rPr>
            </w:pPr>
          </w:p>
        </w:tc>
        <w:tc>
          <w:tcPr>
            <w:tcW w:w="1525" w:type="dxa"/>
          </w:tcPr>
          <w:p w14:paraId="45A500B8">
            <w:pPr>
              <w:pStyle w:val="14"/>
              <w:spacing w:before="88"/>
              <w:ind w:left="5"/>
              <w:jc w:val="center"/>
              <w:rPr>
                <w:sz w:val="21"/>
              </w:rPr>
            </w:pPr>
            <w:r>
              <w:rPr>
                <w:sz w:val="21"/>
              </w:rPr>
              <w:t>门卫室</w:t>
            </w:r>
          </w:p>
        </w:tc>
        <w:tc>
          <w:tcPr>
            <w:tcW w:w="5660" w:type="dxa"/>
          </w:tcPr>
          <w:p w14:paraId="46EC2A33">
            <w:pPr>
              <w:pStyle w:val="14"/>
              <w:spacing w:before="91"/>
              <w:ind w:left="25" w:right="16"/>
              <w:jc w:val="center"/>
              <w:rPr>
                <w:rFonts w:ascii="Times New Roman" w:eastAsia="Times New Roman"/>
                <w:sz w:val="13"/>
              </w:rPr>
            </w:pPr>
            <w:r>
              <w:rPr>
                <w:rFonts w:ascii="Times New Roman" w:eastAsia="Times New Roman"/>
                <w:sz w:val="21"/>
              </w:rPr>
              <w:t xml:space="preserve">2 </w:t>
            </w:r>
            <w:r>
              <w:rPr>
                <w:sz w:val="21"/>
              </w:rPr>
              <w:t>间，</w:t>
            </w:r>
            <w:r>
              <w:rPr>
                <w:rFonts w:ascii="Times New Roman" w:eastAsia="Times New Roman"/>
                <w:sz w:val="21"/>
              </w:rPr>
              <w:t>1F</w:t>
            </w:r>
            <w:r>
              <w:rPr>
                <w:sz w:val="21"/>
              </w:rPr>
              <w:t xml:space="preserve">，产品、生猪进口各 </w:t>
            </w:r>
            <w:r>
              <w:rPr>
                <w:rFonts w:ascii="Times New Roman" w:eastAsia="Times New Roman"/>
                <w:sz w:val="21"/>
              </w:rPr>
              <w:t xml:space="preserve">1 </w:t>
            </w:r>
            <w:r>
              <w:rPr>
                <w:sz w:val="21"/>
              </w:rPr>
              <w:t xml:space="preserve">个，单个占地面积 </w:t>
            </w:r>
            <w:r>
              <w:rPr>
                <w:rFonts w:ascii="Times New Roman" w:eastAsia="Times New Roman"/>
                <w:sz w:val="21"/>
              </w:rPr>
              <w:t>40m</w:t>
            </w:r>
            <w:r>
              <w:rPr>
                <w:rFonts w:ascii="Times New Roman" w:eastAsia="Times New Roman"/>
                <w:position w:val="7"/>
                <w:sz w:val="13"/>
              </w:rPr>
              <w:t>2</w:t>
            </w:r>
          </w:p>
        </w:tc>
      </w:tr>
      <w:tr w14:paraId="61FA0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restart"/>
          </w:tcPr>
          <w:p w14:paraId="31F47149">
            <w:pPr>
              <w:pStyle w:val="14"/>
              <w:rPr>
                <w:b/>
                <w:sz w:val="20"/>
              </w:rPr>
            </w:pPr>
          </w:p>
          <w:p w14:paraId="581A9F37">
            <w:pPr>
              <w:pStyle w:val="14"/>
              <w:rPr>
                <w:b/>
                <w:sz w:val="20"/>
              </w:rPr>
            </w:pPr>
          </w:p>
          <w:p w14:paraId="35EA818A">
            <w:pPr>
              <w:pStyle w:val="14"/>
              <w:spacing w:before="4"/>
              <w:rPr>
                <w:b/>
                <w:sz w:val="21"/>
              </w:rPr>
            </w:pPr>
          </w:p>
          <w:p w14:paraId="44FFE68A">
            <w:pPr>
              <w:pStyle w:val="14"/>
              <w:ind w:left="143"/>
              <w:rPr>
                <w:sz w:val="21"/>
              </w:rPr>
            </w:pPr>
            <w:r>
              <w:rPr>
                <w:sz w:val="21"/>
              </w:rPr>
              <w:t>公用工程</w:t>
            </w:r>
          </w:p>
        </w:tc>
        <w:tc>
          <w:tcPr>
            <w:tcW w:w="1525" w:type="dxa"/>
          </w:tcPr>
          <w:p w14:paraId="28869AFE">
            <w:pPr>
              <w:pStyle w:val="14"/>
              <w:spacing w:before="90"/>
              <w:ind w:left="5"/>
              <w:jc w:val="center"/>
              <w:rPr>
                <w:sz w:val="21"/>
              </w:rPr>
            </w:pPr>
            <w:r>
              <w:rPr>
                <w:sz w:val="21"/>
              </w:rPr>
              <w:t>供水</w:t>
            </w:r>
          </w:p>
        </w:tc>
        <w:tc>
          <w:tcPr>
            <w:tcW w:w="5660" w:type="dxa"/>
          </w:tcPr>
          <w:p w14:paraId="7FBFB5FA">
            <w:pPr>
              <w:pStyle w:val="14"/>
              <w:spacing w:before="90"/>
              <w:ind w:left="25" w:right="17"/>
              <w:jc w:val="center"/>
              <w:rPr>
                <w:sz w:val="21"/>
              </w:rPr>
            </w:pPr>
            <w:r>
              <w:rPr>
                <w:sz w:val="21"/>
              </w:rPr>
              <w:t>市政供水管网接入自来水，用于厂区内生产及生活用水</w:t>
            </w:r>
          </w:p>
        </w:tc>
      </w:tr>
      <w:tr w14:paraId="1B56F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5A055FFB">
            <w:pPr>
              <w:rPr>
                <w:sz w:val="2"/>
                <w:szCs w:val="2"/>
              </w:rPr>
            </w:pPr>
          </w:p>
        </w:tc>
        <w:tc>
          <w:tcPr>
            <w:tcW w:w="1525" w:type="dxa"/>
          </w:tcPr>
          <w:p w14:paraId="6A2AD410">
            <w:pPr>
              <w:pStyle w:val="14"/>
              <w:spacing w:before="92"/>
              <w:ind w:left="5"/>
              <w:jc w:val="center"/>
              <w:rPr>
                <w:sz w:val="21"/>
              </w:rPr>
            </w:pPr>
            <w:r>
              <w:rPr>
                <w:sz w:val="21"/>
              </w:rPr>
              <w:t>供电</w:t>
            </w:r>
          </w:p>
        </w:tc>
        <w:tc>
          <w:tcPr>
            <w:tcW w:w="5660" w:type="dxa"/>
          </w:tcPr>
          <w:p w14:paraId="238B2837">
            <w:pPr>
              <w:pStyle w:val="14"/>
              <w:spacing w:before="92"/>
              <w:ind w:left="25" w:right="19"/>
              <w:jc w:val="center"/>
              <w:rPr>
                <w:sz w:val="21"/>
              </w:rPr>
            </w:pPr>
            <w:r>
              <w:rPr>
                <w:sz w:val="21"/>
              </w:rPr>
              <w:t xml:space="preserve">从乡镇电网接入，配有 </w:t>
            </w:r>
            <w:r>
              <w:rPr>
                <w:rFonts w:ascii="Times New Roman" w:eastAsia="Times New Roman"/>
                <w:sz w:val="21"/>
              </w:rPr>
              <w:t xml:space="preserve">2 </w:t>
            </w:r>
            <w:r>
              <w:rPr>
                <w:sz w:val="21"/>
              </w:rPr>
              <w:t>台备用柴油发电机</w:t>
            </w:r>
          </w:p>
        </w:tc>
      </w:tr>
      <w:tr w14:paraId="28FA2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1" w:type="dxa"/>
            <w:vMerge w:val="continue"/>
            <w:tcBorders>
              <w:top w:val="nil"/>
            </w:tcBorders>
          </w:tcPr>
          <w:p w14:paraId="419E904D">
            <w:pPr>
              <w:rPr>
                <w:sz w:val="2"/>
                <w:szCs w:val="2"/>
              </w:rPr>
            </w:pPr>
          </w:p>
        </w:tc>
        <w:tc>
          <w:tcPr>
            <w:tcW w:w="1525" w:type="dxa"/>
          </w:tcPr>
          <w:p w14:paraId="2C3B17E0">
            <w:pPr>
              <w:pStyle w:val="14"/>
              <w:spacing w:before="91"/>
              <w:ind w:left="5"/>
              <w:jc w:val="center"/>
              <w:rPr>
                <w:sz w:val="21"/>
              </w:rPr>
            </w:pPr>
            <w:r>
              <w:rPr>
                <w:sz w:val="21"/>
              </w:rPr>
              <w:t>供气</w:t>
            </w:r>
          </w:p>
        </w:tc>
        <w:tc>
          <w:tcPr>
            <w:tcW w:w="5660" w:type="dxa"/>
          </w:tcPr>
          <w:p w14:paraId="6850427B">
            <w:pPr>
              <w:pStyle w:val="14"/>
              <w:spacing w:before="91"/>
              <w:ind w:left="25" w:right="17"/>
              <w:jc w:val="center"/>
              <w:rPr>
                <w:sz w:val="21"/>
              </w:rPr>
            </w:pPr>
            <w:r>
              <w:rPr>
                <w:sz w:val="21"/>
              </w:rPr>
              <w:t>接入城市天然气管网</w:t>
            </w:r>
          </w:p>
        </w:tc>
      </w:tr>
      <w:tr w14:paraId="66EC5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529A0A27">
            <w:pPr>
              <w:rPr>
                <w:sz w:val="2"/>
                <w:szCs w:val="2"/>
              </w:rPr>
            </w:pPr>
          </w:p>
        </w:tc>
        <w:tc>
          <w:tcPr>
            <w:tcW w:w="1525" w:type="dxa"/>
          </w:tcPr>
          <w:p w14:paraId="64D7CF4A">
            <w:pPr>
              <w:pStyle w:val="14"/>
              <w:spacing w:before="90"/>
              <w:ind w:left="5"/>
              <w:jc w:val="center"/>
              <w:rPr>
                <w:sz w:val="21"/>
              </w:rPr>
            </w:pPr>
            <w:r>
              <w:rPr>
                <w:sz w:val="21"/>
              </w:rPr>
              <w:t>供热</w:t>
            </w:r>
          </w:p>
        </w:tc>
        <w:tc>
          <w:tcPr>
            <w:tcW w:w="5660" w:type="dxa"/>
          </w:tcPr>
          <w:p w14:paraId="05B724B7">
            <w:pPr>
              <w:pStyle w:val="14"/>
              <w:spacing w:before="90"/>
              <w:ind w:left="25" w:right="19"/>
              <w:jc w:val="center"/>
              <w:rPr>
                <w:sz w:val="21"/>
              </w:rPr>
            </w:pPr>
            <w:r>
              <w:rPr>
                <w:sz w:val="21"/>
              </w:rPr>
              <w:t xml:space="preserve">锅炉房设 </w:t>
            </w:r>
            <w:r>
              <w:rPr>
                <w:rFonts w:ascii="Times New Roman" w:eastAsia="Times New Roman"/>
                <w:sz w:val="21"/>
              </w:rPr>
              <w:t xml:space="preserve">1 </w:t>
            </w:r>
            <w:r>
              <w:rPr>
                <w:sz w:val="21"/>
              </w:rPr>
              <w:t>台燃气锅炉</w:t>
            </w:r>
          </w:p>
        </w:tc>
      </w:tr>
      <w:tr w14:paraId="7AEC6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3" w:hRule="atLeast"/>
        </w:trPr>
        <w:tc>
          <w:tcPr>
            <w:tcW w:w="1131" w:type="dxa"/>
          </w:tcPr>
          <w:p w14:paraId="7B0483D8">
            <w:pPr>
              <w:pStyle w:val="14"/>
              <w:rPr>
                <w:b/>
                <w:sz w:val="20"/>
              </w:rPr>
            </w:pPr>
          </w:p>
          <w:p w14:paraId="3FD2CC22">
            <w:pPr>
              <w:pStyle w:val="14"/>
              <w:rPr>
                <w:b/>
                <w:sz w:val="20"/>
              </w:rPr>
            </w:pPr>
          </w:p>
          <w:p w14:paraId="6924EFD8">
            <w:pPr>
              <w:pStyle w:val="14"/>
              <w:rPr>
                <w:b/>
                <w:sz w:val="20"/>
              </w:rPr>
            </w:pPr>
          </w:p>
          <w:p w14:paraId="569BBD83">
            <w:pPr>
              <w:pStyle w:val="14"/>
              <w:rPr>
                <w:b/>
                <w:sz w:val="20"/>
              </w:rPr>
            </w:pPr>
          </w:p>
          <w:p w14:paraId="556FF5FD">
            <w:pPr>
              <w:pStyle w:val="14"/>
              <w:rPr>
                <w:b/>
                <w:sz w:val="20"/>
              </w:rPr>
            </w:pPr>
          </w:p>
          <w:p w14:paraId="3DB110F8">
            <w:pPr>
              <w:pStyle w:val="14"/>
              <w:rPr>
                <w:b/>
                <w:sz w:val="20"/>
              </w:rPr>
            </w:pPr>
          </w:p>
          <w:p w14:paraId="65AFD8A4">
            <w:pPr>
              <w:pStyle w:val="14"/>
              <w:rPr>
                <w:b/>
                <w:sz w:val="20"/>
              </w:rPr>
            </w:pPr>
          </w:p>
          <w:p w14:paraId="1DB89A4F">
            <w:pPr>
              <w:pStyle w:val="14"/>
              <w:spacing w:before="134"/>
              <w:ind w:left="122" w:right="118"/>
              <w:jc w:val="center"/>
              <w:rPr>
                <w:sz w:val="21"/>
              </w:rPr>
            </w:pPr>
            <w:r>
              <w:rPr>
                <w:sz w:val="21"/>
              </w:rPr>
              <w:t>环保工程</w:t>
            </w:r>
          </w:p>
        </w:tc>
        <w:tc>
          <w:tcPr>
            <w:tcW w:w="1525" w:type="dxa"/>
          </w:tcPr>
          <w:p w14:paraId="640AFF20">
            <w:pPr>
              <w:pStyle w:val="14"/>
              <w:rPr>
                <w:b/>
                <w:sz w:val="20"/>
              </w:rPr>
            </w:pPr>
          </w:p>
          <w:p w14:paraId="08BCECEF">
            <w:pPr>
              <w:pStyle w:val="14"/>
              <w:rPr>
                <w:b/>
                <w:sz w:val="20"/>
              </w:rPr>
            </w:pPr>
          </w:p>
          <w:p w14:paraId="281E24F1">
            <w:pPr>
              <w:pStyle w:val="14"/>
              <w:rPr>
                <w:b/>
                <w:sz w:val="20"/>
              </w:rPr>
            </w:pPr>
          </w:p>
          <w:p w14:paraId="744D44A7">
            <w:pPr>
              <w:pStyle w:val="14"/>
              <w:rPr>
                <w:b/>
                <w:sz w:val="20"/>
              </w:rPr>
            </w:pPr>
          </w:p>
          <w:p w14:paraId="238F187B">
            <w:pPr>
              <w:pStyle w:val="14"/>
              <w:rPr>
                <w:b/>
                <w:sz w:val="20"/>
              </w:rPr>
            </w:pPr>
          </w:p>
          <w:p w14:paraId="23A4EE85">
            <w:pPr>
              <w:pStyle w:val="14"/>
              <w:rPr>
                <w:b/>
                <w:sz w:val="20"/>
              </w:rPr>
            </w:pPr>
          </w:p>
          <w:p w14:paraId="20417B92">
            <w:pPr>
              <w:pStyle w:val="14"/>
              <w:rPr>
                <w:b/>
                <w:sz w:val="20"/>
              </w:rPr>
            </w:pPr>
          </w:p>
          <w:p w14:paraId="5C2DA514">
            <w:pPr>
              <w:pStyle w:val="14"/>
              <w:spacing w:before="134"/>
              <w:ind w:left="7"/>
              <w:jc w:val="center"/>
              <w:rPr>
                <w:sz w:val="21"/>
              </w:rPr>
            </w:pPr>
            <w:r>
              <w:rPr>
                <w:sz w:val="21"/>
              </w:rPr>
              <w:t>废气防治</w:t>
            </w:r>
          </w:p>
        </w:tc>
        <w:tc>
          <w:tcPr>
            <w:tcW w:w="5660" w:type="dxa"/>
          </w:tcPr>
          <w:p w14:paraId="489A4871">
            <w:pPr>
              <w:pStyle w:val="14"/>
              <w:spacing w:before="22" w:line="242" w:lineRule="auto"/>
              <w:ind w:left="5" w:right="58"/>
              <w:rPr>
                <w:sz w:val="21"/>
              </w:rPr>
            </w:pPr>
            <w:r>
              <w:rPr>
                <w:spacing w:val="-3"/>
                <w:sz w:val="21"/>
              </w:rPr>
              <w:t xml:space="preserve">①暂养间和待宰圈采取封闭措施，废气集中收集至 </w:t>
            </w:r>
            <w:r>
              <w:rPr>
                <w:rFonts w:ascii="Times New Roman" w:hAnsi="Times New Roman" w:eastAsia="Times New Roman"/>
                <w:sz w:val="21"/>
              </w:rPr>
              <w:t xml:space="preserve">1 </w:t>
            </w:r>
            <w:r>
              <w:rPr>
                <w:sz w:val="21"/>
              </w:rPr>
              <w:t>套喷淋吸收塔</w:t>
            </w:r>
            <w:r>
              <w:rPr>
                <w:rFonts w:ascii="Times New Roman" w:hAnsi="Times New Roman" w:eastAsia="Times New Roman"/>
                <w:sz w:val="21"/>
              </w:rPr>
              <w:t>+</w:t>
            </w:r>
            <w:r>
              <w:rPr>
                <w:sz w:val="21"/>
              </w:rPr>
              <w:t>生物除臭系统（</w:t>
            </w:r>
            <w:r>
              <w:rPr>
                <w:spacing w:val="-19"/>
                <w:sz w:val="21"/>
              </w:rPr>
              <w:t xml:space="preserve">编号 </w:t>
            </w:r>
            <w:r>
              <w:rPr>
                <w:rFonts w:ascii="Times New Roman" w:hAnsi="Times New Roman" w:eastAsia="Times New Roman"/>
                <w:spacing w:val="-3"/>
                <w:sz w:val="21"/>
              </w:rPr>
              <w:t>TA001</w:t>
            </w:r>
            <w:r>
              <w:rPr>
                <w:spacing w:val="-3"/>
                <w:sz w:val="21"/>
              </w:rPr>
              <w:t>）</w:t>
            </w:r>
            <w:r>
              <w:rPr>
                <w:spacing w:val="-8"/>
                <w:sz w:val="21"/>
              </w:rPr>
              <w:t xml:space="preserve">处理后经顶部 </w:t>
            </w:r>
            <w:r>
              <w:rPr>
                <w:rFonts w:ascii="Times New Roman" w:hAnsi="Times New Roman" w:eastAsia="Times New Roman"/>
                <w:sz w:val="21"/>
              </w:rPr>
              <w:t xml:space="preserve">1 </w:t>
            </w:r>
            <w:r>
              <w:rPr>
                <w:spacing w:val="-28"/>
                <w:sz w:val="21"/>
              </w:rPr>
              <w:t xml:space="preserve">根 </w:t>
            </w:r>
            <w:r>
              <w:rPr>
                <w:rFonts w:ascii="Times New Roman" w:hAnsi="Times New Roman" w:eastAsia="Times New Roman"/>
                <w:sz w:val="21"/>
              </w:rPr>
              <w:t xml:space="preserve">15m </w:t>
            </w:r>
            <w:r>
              <w:rPr>
                <w:sz w:val="21"/>
              </w:rPr>
              <w:t>高排气筒（</w:t>
            </w:r>
            <w:r>
              <w:rPr>
                <w:spacing w:val="-18"/>
                <w:sz w:val="21"/>
              </w:rPr>
              <w:t xml:space="preserve">编号 </w:t>
            </w:r>
            <w:r>
              <w:rPr>
                <w:rFonts w:ascii="Times New Roman" w:hAnsi="Times New Roman" w:eastAsia="Times New Roman"/>
                <w:sz w:val="21"/>
              </w:rPr>
              <w:t>DA001</w:t>
            </w:r>
            <w:r>
              <w:rPr>
                <w:sz w:val="21"/>
              </w:rPr>
              <w:t>）处理后排放；</w:t>
            </w:r>
          </w:p>
          <w:p w14:paraId="7668B5E0">
            <w:pPr>
              <w:pStyle w:val="14"/>
              <w:spacing w:before="1" w:line="242" w:lineRule="auto"/>
              <w:ind w:left="5" w:right="184"/>
              <w:jc w:val="both"/>
              <w:rPr>
                <w:sz w:val="21"/>
              </w:rPr>
            </w:pPr>
            <w:r>
              <w:rPr>
                <w:w w:val="95"/>
                <w:sz w:val="21"/>
              </w:rPr>
              <w:t xml:space="preserve">②屠宰加工间恶臭通过对主要产臭区域（内脏处理间和一般 固废暂存间）进行负压集气收集，污水处理站主要产臭池体 </w:t>
            </w:r>
            <w:r>
              <w:rPr>
                <w:spacing w:val="-6"/>
                <w:sz w:val="21"/>
              </w:rPr>
              <w:t xml:space="preserve">通过密闭收集，经同一 </w:t>
            </w:r>
            <w:r>
              <w:rPr>
                <w:rFonts w:ascii="Times New Roman" w:hAnsi="Times New Roman" w:eastAsia="Times New Roman"/>
                <w:sz w:val="21"/>
              </w:rPr>
              <w:t>1</w:t>
            </w:r>
            <w:r>
              <w:rPr>
                <w:rFonts w:ascii="Times New Roman" w:hAnsi="Times New Roman" w:eastAsia="Times New Roman"/>
                <w:spacing w:val="-13"/>
                <w:sz w:val="21"/>
              </w:rPr>
              <w:t xml:space="preserve"> </w:t>
            </w:r>
            <w:r>
              <w:rPr>
                <w:sz w:val="21"/>
              </w:rPr>
              <w:t>套经套喷淋吸收塔</w:t>
            </w:r>
            <w:r>
              <w:rPr>
                <w:rFonts w:ascii="Times New Roman" w:hAnsi="Times New Roman" w:eastAsia="Times New Roman"/>
                <w:sz w:val="21"/>
              </w:rPr>
              <w:t>+</w:t>
            </w:r>
            <w:r>
              <w:rPr>
                <w:sz w:val="21"/>
              </w:rPr>
              <w:t>生物除臭系统</w:t>
            </w:r>
          </w:p>
          <w:p w14:paraId="08A05496">
            <w:pPr>
              <w:pStyle w:val="14"/>
              <w:ind w:left="5"/>
              <w:rPr>
                <w:sz w:val="21"/>
              </w:rPr>
            </w:pPr>
            <w:r>
              <w:rPr>
                <w:sz w:val="21"/>
              </w:rPr>
              <w:t>（</w:t>
            </w:r>
            <w:r>
              <w:rPr>
                <w:rFonts w:ascii="Times New Roman" w:eastAsia="Times New Roman"/>
                <w:sz w:val="21"/>
              </w:rPr>
              <w:t>TA002</w:t>
            </w:r>
            <w:r>
              <w:rPr>
                <w:sz w:val="21"/>
              </w:rPr>
              <w:t xml:space="preserve">）处理后经 </w:t>
            </w:r>
            <w:r>
              <w:rPr>
                <w:rFonts w:ascii="Times New Roman" w:eastAsia="Times New Roman"/>
                <w:sz w:val="21"/>
              </w:rPr>
              <w:t xml:space="preserve">1 </w:t>
            </w:r>
            <w:r>
              <w:rPr>
                <w:sz w:val="21"/>
              </w:rPr>
              <w:t xml:space="preserve">根 </w:t>
            </w:r>
            <w:r>
              <w:rPr>
                <w:rFonts w:ascii="Times New Roman" w:eastAsia="Times New Roman"/>
                <w:sz w:val="21"/>
              </w:rPr>
              <w:t xml:space="preserve">15m </w:t>
            </w:r>
            <w:r>
              <w:rPr>
                <w:sz w:val="21"/>
              </w:rPr>
              <w:t xml:space="preserve">高排气筒 </w:t>
            </w:r>
            <w:r>
              <w:rPr>
                <w:rFonts w:ascii="Times New Roman" w:eastAsia="Times New Roman"/>
                <w:sz w:val="21"/>
              </w:rPr>
              <w:t xml:space="preserve">DA002 </w:t>
            </w:r>
            <w:r>
              <w:rPr>
                <w:sz w:val="21"/>
              </w:rPr>
              <w:t>排放；</w:t>
            </w:r>
          </w:p>
          <w:p w14:paraId="4CBD06E9">
            <w:pPr>
              <w:pStyle w:val="14"/>
              <w:spacing w:before="5" w:line="242" w:lineRule="auto"/>
              <w:ind w:left="5" w:right="6"/>
              <w:rPr>
                <w:sz w:val="21"/>
              </w:rPr>
            </w:pPr>
            <w:r>
              <w:rPr>
                <w:sz w:val="21"/>
              </w:rPr>
              <w:t xml:space="preserve">③屠宰加工间（备用）对主要产臭区域（内脏处理间和一般固废暂存间）进行负压集气至 </w:t>
            </w:r>
            <w:r>
              <w:rPr>
                <w:rFonts w:ascii="Times New Roman" w:hAnsi="Times New Roman" w:eastAsia="Times New Roman"/>
                <w:sz w:val="21"/>
              </w:rPr>
              <w:t xml:space="preserve">1 </w:t>
            </w:r>
            <w:r>
              <w:rPr>
                <w:sz w:val="21"/>
              </w:rPr>
              <w:t>套喷淋吸收塔</w:t>
            </w:r>
            <w:r>
              <w:rPr>
                <w:rFonts w:ascii="Times New Roman" w:hAnsi="Times New Roman" w:eastAsia="Times New Roman"/>
                <w:sz w:val="21"/>
              </w:rPr>
              <w:t>+</w:t>
            </w:r>
            <w:r>
              <w:rPr>
                <w:sz w:val="21"/>
              </w:rPr>
              <w:t>生物除臭系统</w:t>
            </w:r>
          </w:p>
          <w:p w14:paraId="2C9CC186">
            <w:pPr>
              <w:pStyle w:val="14"/>
              <w:spacing w:before="1" w:line="242" w:lineRule="auto"/>
              <w:ind w:left="5" w:right="69"/>
              <w:rPr>
                <w:sz w:val="21"/>
              </w:rPr>
            </w:pPr>
            <w:r>
              <w:rPr>
                <w:spacing w:val="-3"/>
                <w:sz w:val="21"/>
              </w:rPr>
              <w:t>（</w:t>
            </w:r>
            <w:r>
              <w:rPr>
                <w:rFonts w:ascii="Times New Roman" w:eastAsia="Times New Roman"/>
                <w:spacing w:val="-3"/>
                <w:sz w:val="21"/>
              </w:rPr>
              <w:t>TA003</w:t>
            </w:r>
            <w:r>
              <w:rPr>
                <w:spacing w:val="-3"/>
                <w:sz w:val="21"/>
              </w:rPr>
              <w:t>）</w:t>
            </w:r>
            <w:r>
              <w:rPr>
                <w:spacing w:val="-6"/>
                <w:sz w:val="21"/>
              </w:rPr>
              <w:t xml:space="preserve">处理，处理后废气经 </w:t>
            </w:r>
            <w:r>
              <w:rPr>
                <w:rFonts w:ascii="Times New Roman" w:eastAsia="Times New Roman"/>
                <w:sz w:val="21"/>
              </w:rPr>
              <w:t xml:space="preserve">1 </w:t>
            </w:r>
            <w:r>
              <w:rPr>
                <w:spacing w:val="-28"/>
                <w:sz w:val="21"/>
              </w:rPr>
              <w:t xml:space="preserve">根 </w:t>
            </w:r>
            <w:r>
              <w:rPr>
                <w:rFonts w:ascii="Times New Roman" w:eastAsia="Times New Roman"/>
                <w:sz w:val="21"/>
              </w:rPr>
              <w:t xml:space="preserve">15m </w:t>
            </w:r>
            <w:r>
              <w:rPr>
                <w:spacing w:val="-11"/>
                <w:sz w:val="21"/>
              </w:rPr>
              <w:t xml:space="preserve">高排气筒 </w:t>
            </w:r>
            <w:r>
              <w:rPr>
                <w:rFonts w:ascii="Times New Roman" w:eastAsia="Times New Roman"/>
                <w:sz w:val="21"/>
              </w:rPr>
              <w:t xml:space="preserve">DA003 </w:t>
            </w:r>
            <w:r>
              <w:rPr>
                <w:sz w:val="21"/>
              </w:rPr>
              <w:t>排放；</w:t>
            </w:r>
          </w:p>
          <w:p w14:paraId="03AA012F">
            <w:pPr>
              <w:pStyle w:val="14"/>
              <w:spacing w:line="244" w:lineRule="auto"/>
              <w:ind w:left="5" w:right="66"/>
              <w:rPr>
                <w:sz w:val="21"/>
              </w:rPr>
            </w:pPr>
            <w:r>
              <w:rPr>
                <w:sz w:val="21"/>
              </w:rPr>
              <w:t xml:space="preserve">④天然气锅炉废气采用低氮燃烧法，废气收集后经 </w:t>
            </w:r>
            <w:r>
              <w:rPr>
                <w:rFonts w:ascii="Times New Roman" w:hAnsi="Times New Roman" w:eastAsia="Times New Roman"/>
                <w:sz w:val="21"/>
              </w:rPr>
              <w:t xml:space="preserve">15m </w:t>
            </w:r>
            <w:r>
              <w:rPr>
                <w:sz w:val="21"/>
              </w:rPr>
              <w:t xml:space="preserve">高排气筒 </w:t>
            </w:r>
            <w:r>
              <w:rPr>
                <w:rFonts w:ascii="Times New Roman" w:hAnsi="Times New Roman" w:eastAsia="Times New Roman"/>
                <w:sz w:val="21"/>
              </w:rPr>
              <w:t xml:space="preserve">DA004 </w:t>
            </w:r>
            <w:r>
              <w:rPr>
                <w:sz w:val="21"/>
              </w:rPr>
              <w:t>排放；</w:t>
            </w:r>
          </w:p>
          <w:p w14:paraId="653282EB">
            <w:pPr>
              <w:pStyle w:val="14"/>
              <w:spacing w:line="267" w:lineRule="exact"/>
              <w:ind w:left="5"/>
              <w:rPr>
                <w:sz w:val="21"/>
              </w:rPr>
            </w:pPr>
            <w:r>
              <w:rPr>
                <w:sz w:val="21"/>
              </w:rPr>
              <w:t>⑤厂区无组织恶臭通过采取定期保洁、喷洒除臭剂，绿化等</w:t>
            </w:r>
          </w:p>
          <w:p w14:paraId="7BEF4D5C">
            <w:pPr>
              <w:pStyle w:val="14"/>
              <w:spacing w:before="1"/>
              <w:ind w:left="5"/>
              <w:rPr>
                <w:sz w:val="21"/>
              </w:rPr>
            </w:pPr>
            <w:r>
              <w:rPr>
                <w:sz w:val="21"/>
              </w:rPr>
              <w:t>措施降低恶臭浓度</w:t>
            </w:r>
          </w:p>
        </w:tc>
      </w:tr>
    </w:tbl>
    <w:p w14:paraId="20C36851">
      <w:pPr>
        <w:spacing w:after="0"/>
        <w:rPr>
          <w:sz w:val="21"/>
        </w:rPr>
        <w:sectPr>
          <w:pgSz w:w="11910" w:h="16840"/>
          <w:pgMar w:top="1360" w:right="1460" w:bottom="1400" w:left="1520" w:header="878" w:footer="1204" w:gutter="0"/>
          <w:cols w:space="720" w:num="1"/>
        </w:sectPr>
      </w:pPr>
    </w:p>
    <w:p w14:paraId="519D7134">
      <w:pPr>
        <w:pStyle w:val="7"/>
        <w:spacing w:before="3"/>
        <w:rPr>
          <w:b/>
          <w:sz w:val="5"/>
        </w:rPr>
      </w:pPr>
    </w:p>
    <w:tbl>
      <w:tblPr>
        <w:tblStyle w:val="10"/>
        <w:tblW w:w="0" w:type="auto"/>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1525"/>
        <w:gridCol w:w="5660"/>
      </w:tblGrid>
      <w:tr w14:paraId="0FC40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131" w:type="dxa"/>
            <w:vMerge w:val="restart"/>
          </w:tcPr>
          <w:p w14:paraId="6F1EED98">
            <w:pPr>
              <w:pStyle w:val="14"/>
              <w:rPr>
                <w:rFonts w:ascii="Times New Roman"/>
                <w:sz w:val="20"/>
              </w:rPr>
            </w:pPr>
          </w:p>
        </w:tc>
        <w:tc>
          <w:tcPr>
            <w:tcW w:w="1525" w:type="dxa"/>
            <w:tcBorders>
              <w:bottom w:val="nil"/>
            </w:tcBorders>
          </w:tcPr>
          <w:p w14:paraId="60D425D6">
            <w:pPr>
              <w:pStyle w:val="14"/>
              <w:spacing w:before="10"/>
              <w:rPr>
                <w:b/>
                <w:sz w:val="22"/>
              </w:rPr>
            </w:pPr>
          </w:p>
          <w:p w14:paraId="5F188D55">
            <w:pPr>
              <w:pStyle w:val="14"/>
              <w:spacing w:line="247" w:lineRule="exact"/>
              <w:ind w:left="7"/>
              <w:jc w:val="center"/>
              <w:rPr>
                <w:sz w:val="21"/>
              </w:rPr>
            </w:pPr>
            <w:r>
              <w:rPr>
                <w:sz w:val="21"/>
              </w:rPr>
              <w:t>废水处理</w:t>
            </w:r>
          </w:p>
        </w:tc>
        <w:tc>
          <w:tcPr>
            <w:tcW w:w="5660" w:type="dxa"/>
            <w:tcBorders>
              <w:bottom w:val="nil"/>
            </w:tcBorders>
          </w:tcPr>
          <w:p w14:paraId="1AF1EF39">
            <w:pPr>
              <w:pStyle w:val="14"/>
              <w:spacing w:before="20" w:line="270" w:lineRule="atLeast"/>
              <w:ind w:left="99" w:right="88" w:firstLine="64"/>
              <w:rPr>
                <w:sz w:val="21"/>
              </w:rPr>
            </w:pPr>
            <w:r>
              <w:rPr>
                <w:sz w:val="21"/>
              </w:rPr>
              <w:t>厂区内生产废水收集至自建污水处理站（</w:t>
            </w:r>
            <w:r>
              <w:rPr>
                <w:rFonts w:ascii="Times New Roman" w:eastAsia="Times New Roman"/>
                <w:sz w:val="21"/>
              </w:rPr>
              <w:t>800m</w:t>
            </w:r>
            <w:r>
              <w:rPr>
                <w:rFonts w:ascii="Times New Roman" w:eastAsia="Times New Roman"/>
                <w:position w:val="7"/>
                <w:sz w:val="13"/>
              </w:rPr>
              <w:t>3</w:t>
            </w:r>
            <w:r>
              <w:rPr>
                <w:rFonts w:ascii="Times New Roman" w:eastAsia="Times New Roman"/>
                <w:sz w:val="21"/>
              </w:rPr>
              <w:t>/d</w:t>
            </w:r>
            <w:r>
              <w:rPr>
                <w:sz w:val="21"/>
              </w:rPr>
              <w:t>）预处理</w:t>
            </w:r>
            <w:r>
              <w:rPr>
                <w:w w:val="95"/>
                <w:sz w:val="21"/>
              </w:rPr>
              <w:t>后，同生活污水经化粪池处理后尾水，通过污水管网衔接入</w:t>
            </w:r>
          </w:p>
        </w:tc>
      </w:tr>
      <w:tr w14:paraId="02EA6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131" w:type="dxa"/>
            <w:vMerge w:val="continue"/>
            <w:tcBorders>
              <w:top w:val="nil"/>
            </w:tcBorders>
          </w:tcPr>
          <w:p w14:paraId="7D766147">
            <w:pPr>
              <w:rPr>
                <w:sz w:val="2"/>
                <w:szCs w:val="2"/>
              </w:rPr>
            </w:pPr>
          </w:p>
        </w:tc>
        <w:tc>
          <w:tcPr>
            <w:tcW w:w="1525" w:type="dxa"/>
            <w:tcBorders>
              <w:top w:val="nil"/>
            </w:tcBorders>
          </w:tcPr>
          <w:p w14:paraId="5221237F">
            <w:pPr>
              <w:pStyle w:val="14"/>
              <w:rPr>
                <w:rFonts w:ascii="Times New Roman"/>
                <w:sz w:val="20"/>
              </w:rPr>
            </w:pPr>
          </w:p>
        </w:tc>
        <w:tc>
          <w:tcPr>
            <w:tcW w:w="5660" w:type="dxa"/>
            <w:tcBorders>
              <w:top w:val="nil"/>
            </w:tcBorders>
          </w:tcPr>
          <w:p w14:paraId="39F3F9C2">
            <w:pPr>
              <w:pStyle w:val="14"/>
              <w:spacing w:line="265" w:lineRule="exact"/>
              <w:ind w:left="413"/>
              <w:rPr>
                <w:sz w:val="21"/>
              </w:rPr>
            </w:pPr>
            <w:r>
              <w:rPr>
                <w:sz w:val="21"/>
              </w:rPr>
              <w:t>市政污水管网，进入岳阳县污水处理厂处理达标排放</w:t>
            </w:r>
          </w:p>
        </w:tc>
      </w:tr>
      <w:tr w14:paraId="26002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7F2E0FBC">
            <w:pPr>
              <w:rPr>
                <w:sz w:val="2"/>
                <w:szCs w:val="2"/>
              </w:rPr>
            </w:pPr>
          </w:p>
        </w:tc>
        <w:tc>
          <w:tcPr>
            <w:tcW w:w="1525" w:type="dxa"/>
          </w:tcPr>
          <w:p w14:paraId="7D35B620">
            <w:pPr>
              <w:pStyle w:val="14"/>
              <w:spacing w:before="90"/>
              <w:ind w:left="7"/>
              <w:jc w:val="center"/>
              <w:rPr>
                <w:sz w:val="21"/>
              </w:rPr>
            </w:pPr>
            <w:r>
              <w:rPr>
                <w:sz w:val="21"/>
              </w:rPr>
              <w:t>噪声治理</w:t>
            </w:r>
          </w:p>
        </w:tc>
        <w:tc>
          <w:tcPr>
            <w:tcW w:w="5660" w:type="dxa"/>
          </w:tcPr>
          <w:p w14:paraId="71F91155">
            <w:pPr>
              <w:pStyle w:val="14"/>
              <w:spacing w:before="90"/>
              <w:ind w:left="204"/>
              <w:rPr>
                <w:sz w:val="21"/>
              </w:rPr>
            </w:pPr>
            <w:r>
              <w:rPr>
                <w:sz w:val="21"/>
              </w:rPr>
              <w:t>合理布局，选用低噪声设备；采取隔声、距离衰减等措施</w:t>
            </w:r>
          </w:p>
        </w:tc>
      </w:tr>
      <w:tr w14:paraId="1B99E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31" w:type="dxa"/>
            <w:vMerge w:val="continue"/>
            <w:tcBorders>
              <w:top w:val="nil"/>
            </w:tcBorders>
          </w:tcPr>
          <w:p w14:paraId="55F8838F">
            <w:pPr>
              <w:rPr>
                <w:sz w:val="2"/>
                <w:szCs w:val="2"/>
              </w:rPr>
            </w:pPr>
          </w:p>
        </w:tc>
        <w:tc>
          <w:tcPr>
            <w:tcW w:w="1525" w:type="dxa"/>
            <w:tcBorders>
              <w:bottom w:val="nil"/>
            </w:tcBorders>
          </w:tcPr>
          <w:p w14:paraId="7C2776EB">
            <w:pPr>
              <w:pStyle w:val="14"/>
              <w:rPr>
                <w:rFonts w:ascii="Times New Roman"/>
                <w:sz w:val="20"/>
              </w:rPr>
            </w:pPr>
          </w:p>
        </w:tc>
        <w:tc>
          <w:tcPr>
            <w:tcW w:w="5660" w:type="dxa"/>
            <w:tcBorders>
              <w:bottom w:val="nil"/>
            </w:tcBorders>
          </w:tcPr>
          <w:p w14:paraId="676ED510">
            <w:pPr>
              <w:pStyle w:val="14"/>
              <w:spacing w:before="22" w:line="245" w:lineRule="exact"/>
              <w:ind w:left="99"/>
              <w:rPr>
                <w:sz w:val="21"/>
              </w:rPr>
            </w:pPr>
            <w:r>
              <w:rPr>
                <w:sz w:val="21"/>
              </w:rPr>
              <w:t>①边角料主要是生猪屠宰胴体修整过程中产生的碎肉及废油</w:t>
            </w:r>
          </w:p>
        </w:tc>
      </w:tr>
      <w:tr w14:paraId="35E94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131" w:type="dxa"/>
            <w:vMerge w:val="continue"/>
            <w:tcBorders>
              <w:top w:val="nil"/>
            </w:tcBorders>
          </w:tcPr>
          <w:p w14:paraId="12B6A211">
            <w:pPr>
              <w:rPr>
                <w:sz w:val="2"/>
                <w:szCs w:val="2"/>
              </w:rPr>
            </w:pPr>
          </w:p>
        </w:tc>
        <w:tc>
          <w:tcPr>
            <w:tcW w:w="1525" w:type="dxa"/>
            <w:tcBorders>
              <w:top w:val="nil"/>
              <w:bottom w:val="nil"/>
            </w:tcBorders>
          </w:tcPr>
          <w:p w14:paraId="50EE579E">
            <w:pPr>
              <w:pStyle w:val="14"/>
              <w:rPr>
                <w:rFonts w:ascii="Times New Roman"/>
                <w:sz w:val="18"/>
              </w:rPr>
            </w:pPr>
          </w:p>
        </w:tc>
        <w:tc>
          <w:tcPr>
            <w:tcW w:w="5660" w:type="dxa"/>
            <w:tcBorders>
              <w:top w:val="nil"/>
              <w:bottom w:val="nil"/>
            </w:tcBorders>
          </w:tcPr>
          <w:p w14:paraId="024BDF88">
            <w:pPr>
              <w:pStyle w:val="14"/>
              <w:spacing w:line="241" w:lineRule="exact"/>
              <w:ind w:left="99"/>
              <w:rPr>
                <w:sz w:val="21"/>
              </w:rPr>
            </w:pPr>
            <w:r>
              <w:rPr>
                <w:sz w:val="21"/>
              </w:rPr>
              <w:t>脂，收集后外售；②猪毛由压缩空气通过风送管道输送至厂</w:t>
            </w:r>
          </w:p>
        </w:tc>
      </w:tr>
      <w:tr w14:paraId="7E8DB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4DD17644">
            <w:pPr>
              <w:rPr>
                <w:sz w:val="2"/>
                <w:szCs w:val="2"/>
              </w:rPr>
            </w:pPr>
          </w:p>
        </w:tc>
        <w:tc>
          <w:tcPr>
            <w:tcW w:w="1525" w:type="dxa"/>
            <w:tcBorders>
              <w:top w:val="nil"/>
              <w:bottom w:val="nil"/>
            </w:tcBorders>
          </w:tcPr>
          <w:p w14:paraId="0DAF9CF8">
            <w:pPr>
              <w:pStyle w:val="14"/>
              <w:rPr>
                <w:rFonts w:ascii="Times New Roman"/>
                <w:sz w:val="18"/>
              </w:rPr>
            </w:pPr>
          </w:p>
        </w:tc>
        <w:tc>
          <w:tcPr>
            <w:tcW w:w="5660" w:type="dxa"/>
            <w:tcBorders>
              <w:top w:val="nil"/>
              <w:bottom w:val="nil"/>
            </w:tcBorders>
          </w:tcPr>
          <w:p w14:paraId="246E66D3">
            <w:pPr>
              <w:pStyle w:val="14"/>
              <w:spacing w:line="242" w:lineRule="exact"/>
              <w:ind w:left="99"/>
              <w:rPr>
                <w:sz w:val="21"/>
              </w:rPr>
            </w:pPr>
            <w:r>
              <w:rPr>
                <w:sz w:val="21"/>
              </w:rPr>
              <w:t>区内一般固废暂存间（布置在屠宰间厂房西北角）用专用容</w:t>
            </w:r>
          </w:p>
        </w:tc>
      </w:tr>
      <w:tr w14:paraId="7BB80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698AAE6B">
            <w:pPr>
              <w:rPr>
                <w:sz w:val="2"/>
                <w:szCs w:val="2"/>
              </w:rPr>
            </w:pPr>
          </w:p>
        </w:tc>
        <w:tc>
          <w:tcPr>
            <w:tcW w:w="1525" w:type="dxa"/>
            <w:tcBorders>
              <w:top w:val="nil"/>
              <w:bottom w:val="nil"/>
            </w:tcBorders>
          </w:tcPr>
          <w:p w14:paraId="205AD71A">
            <w:pPr>
              <w:pStyle w:val="14"/>
              <w:rPr>
                <w:rFonts w:ascii="Times New Roman"/>
                <w:sz w:val="18"/>
              </w:rPr>
            </w:pPr>
          </w:p>
        </w:tc>
        <w:tc>
          <w:tcPr>
            <w:tcW w:w="5660" w:type="dxa"/>
            <w:tcBorders>
              <w:top w:val="nil"/>
              <w:bottom w:val="nil"/>
            </w:tcBorders>
          </w:tcPr>
          <w:p w14:paraId="0997CBDB">
            <w:pPr>
              <w:pStyle w:val="14"/>
              <w:spacing w:line="242" w:lineRule="exact"/>
              <w:ind w:left="99"/>
              <w:rPr>
                <w:sz w:val="21"/>
              </w:rPr>
            </w:pPr>
            <w:r>
              <w:rPr>
                <w:sz w:val="21"/>
              </w:rPr>
              <w:t>器暂存，外售猪毛制品企业综合利用；③污水处理站污泥、</w:t>
            </w:r>
          </w:p>
        </w:tc>
      </w:tr>
      <w:tr w14:paraId="11B45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5BF9159F">
            <w:pPr>
              <w:rPr>
                <w:sz w:val="2"/>
                <w:szCs w:val="2"/>
              </w:rPr>
            </w:pPr>
          </w:p>
        </w:tc>
        <w:tc>
          <w:tcPr>
            <w:tcW w:w="1525" w:type="dxa"/>
            <w:tcBorders>
              <w:top w:val="nil"/>
              <w:bottom w:val="nil"/>
            </w:tcBorders>
          </w:tcPr>
          <w:p w14:paraId="5347C4F9">
            <w:pPr>
              <w:pStyle w:val="14"/>
              <w:rPr>
                <w:rFonts w:ascii="Times New Roman"/>
                <w:sz w:val="18"/>
              </w:rPr>
            </w:pPr>
          </w:p>
        </w:tc>
        <w:tc>
          <w:tcPr>
            <w:tcW w:w="5660" w:type="dxa"/>
            <w:tcBorders>
              <w:top w:val="nil"/>
              <w:bottom w:val="nil"/>
            </w:tcBorders>
          </w:tcPr>
          <w:p w14:paraId="55C84196">
            <w:pPr>
              <w:pStyle w:val="14"/>
              <w:spacing w:line="242" w:lineRule="exact"/>
              <w:ind w:left="99"/>
              <w:rPr>
                <w:sz w:val="21"/>
              </w:rPr>
            </w:pPr>
            <w:r>
              <w:rPr>
                <w:sz w:val="21"/>
              </w:rPr>
              <w:t>格栅渣（肠胃内容物）清理暂存于厂区内污泥池，外售作为</w:t>
            </w:r>
          </w:p>
        </w:tc>
      </w:tr>
      <w:tr w14:paraId="6D12F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131" w:type="dxa"/>
            <w:vMerge w:val="continue"/>
            <w:tcBorders>
              <w:top w:val="nil"/>
            </w:tcBorders>
          </w:tcPr>
          <w:p w14:paraId="066CD0DE">
            <w:pPr>
              <w:rPr>
                <w:sz w:val="2"/>
                <w:szCs w:val="2"/>
              </w:rPr>
            </w:pPr>
          </w:p>
        </w:tc>
        <w:tc>
          <w:tcPr>
            <w:tcW w:w="1525" w:type="dxa"/>
            <w:tcBorders>
              <w:top w:val="nil"/>
              <w:bottom w:val="nil"/>
            </w:tcBorders>
          </w:tcPr>
          <w:p w14:paraId="4EB2C3B8">
            <w:pPr>
              <w:pStyle w:val="14"/>
              <w:spacing w:before="131"/>
              <w:ind w:left="7"/>
              <w:jc w:val="center"/>
              <w:rPr>
                <w:sz w:val="21"/>
              </w:rPr>
            </w:pPr>
            <w:r>
              <w:rPr>
                <w:sz w:val="21"/>
              </w:rPr>
              <w:t>固废处置</w:t>
            </w:r>
          </w:p>
        </w:tc>
        <w:tc>
          <w:tcPr>
            <w:tcW w:w="5660" w:type="dxa"/>
            <w:tcBorders>
              <w:top w:val="nil"/>
              <w:bottom w:val="nil"/>
            </w:tcBorders>
          </w:tcPr>
          <w:p w14:paraId="3A887B0D">
            <w:pPr>
              <w:pStyle w:val="14"/>
              <w:spacing w:line="266" w:lineRule="exact"/>
              <w:ind w:left="25" w:right="19"/>
              <w:jc w:val="center"/>
              <w:rPr>
                <w:sz w:val="21"/>
              </w:rPr>
            </w:pPr>
            <w:r>
              <w:rPr>
                <w:sz w:val="21"/>
              </w:rPr>
              <w:t>有机肥生产原料使用，日产日清； ④危险废物如实验室胴体</w:t>
            </w:r>
          </w:p>
          <w:p w14:paraId="139D064F">
            <w:pPr>
              <w:pStyle w:val="14"/>
              <w:spacing w:before="2" w:line="247" w:lineRule="exact"/>
              <w:ind w:left="25" w:right="19"/>
              <w:jc w:val="center"/>
              <w:rPr>
                <w:sz w:val="21"/>
              </w:rPr>
            </w:pPr>
            <w:r>
              <w:rPr>
                <w:sz w:val="21"/>
              </w:rPr>
              <w:t>检疫过程中产生的废实验废液、维修产生的废机油、废包</w:t>
            </w:r>
          </w:p>
        </w:tc>
      </w:tr>
      <w:tr w14:paraId="16685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5C151437">
            <w:pPr>
              <w:rPr>
                <w:sz w:val="2"/>
                <w:szCs w:val="2"/>
              </w:rPr>
            </w:pPr>
          </w:p>
        </w:tc>
        <w:tc>
          <w:tcPr>
            <w:tcW w:w="1525" w:type="dxa"/>
            <w:tcBorders>
              <w:top w:val="nil"/>
              <w:bottom w:val="nil"/>
            </w:tcBorders>
          </w:tcPr>
          <w:p w14:paraId="56C562BF">
            <w:pPr>
              <w:pStyle w:val="14"/>
              <w:rPr>
                <w:rFonts w:ascii="Times New Roman"/>
                <w:sz w:val="18"/>
              </w:rPr>
            </w:pPr>
          </w:p>
        </w:tc>
        <w:tc>
          <w:tcPr>
            <w:tcW w:w="5660" w:type="dxa"/>
            <w:tcBorders>
              <w:top w:val="nil"/>
              <w:bottom w:val="nil"/>
            </w:tcBorders>
          </w:tcPr>
          <w:p w14:paraId="0ED24B4C">
            <w:pPr>
              <w:pStyle w:val="14"/>
              <w:spacing w:line="242" w:lineRule="exact"/>
              <w:ind w:left="99"/>
              <w:rPr>
                <w:sz w:val="21"/>
              </w:rPr>
            </w:pPr>
            <w:r>
              <w:rPr>
                <w:sz w:val="21"/>
              </w:rPr>
              <w:t>装、含油抹布及劳保用品等分类收集暂存于厂区内危险废物</w:t>
            </w:r>
          </w:p>
        </w:tc>
      </w:tr>
      <w:tr w14:paraId="49A68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251EF2B7">
            <w:pPr>
              <w:rPr>
                <w:sz w:val="2"/>
                <w:szCs w:val="2"/>
              </w:rPr>
            </w:pPr>
          </w:p>
        </w:tc>
        <w:tc>
          <w:tcPr>
            <w:tcW w:w="1525" w:type="dxa"/>
            <w:tcBorders>
              <w:top w:val="nil"/>
              <w:bottom w:val="nil"/>
            </w:tcBorders>
          </w:tcPr>
          <w:p w14:paraId="0369420E">
            <w:pPr>
              <w:pStyle w:val="14"/>
              <w:rPr>
                <w:rFonts w:ascii="Times New Roman"/>
                <w:sz w:val="18"/>
              </w:rPr>
            </w:pPr>
          </w:p>
        </w:tc>
        <w:tc>
          <w:tcPr>
            <w:tcW w:w="5660" w:type="dxa"/>
            <w:tcBorders>
              <w:top w:val="nil"/>
              <w:bottom w:val="nil"/>
            </w:tcBorders>
          </w:tcPr>
          <w:p w14:paraId="41E8059B">
            <w:pPr>
              <w:pStyle w:val="14"/>
              <w:spacing w:line="242" w:lineRule="exact"/>
              <w:ind w:left="46"/>
              <w:rPr>
                <w:sz w:val="21"/>
              </w:rPr>
            </w:pPr>
            <w:r>
              <w:rPr>
                <w:w w:val="99"/>
                <w:sz w:val="21"/>
              </w:rPr>
              <w:t>暂存间</w:t>
            </w:r>
            <w:r>
              <w:rPr>
                <w:spacing w:val="-1"/>
                <w:w w:val="99"/>
                <w:sz w:val="21"/>
              </w:rPr>
              <w:t>（布置在屠宰间厂房西北部维修间内</w:t>
            </w:r>
            <w:r>
              <w:rPr>
                <w:spacing w:val="-106"/>
                <w:w w:val="99"/>
                <w:sz w:val="21"/>
              </w:rPr>
              <w:t>）</w:t>
            </w:r>
            <w:r>
              <w:rPr>
                <w:spacing w:val="-1"/>
                <w:w w:val="99"/>
                <w:sz w:val="21"/>
              </w:rPr>
              <w:t>，定期交由有资</w:t>
            </w:r>
          </w:p>
        </w:tc>
      </w:tr>
      <w:tr w14:paraId="61E13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595AA74F">
            <w:pPr>
              <w:rPr>
                <w:sz w:val="2"/>
                <w:szCs w:val="2"/>
              </w:rPr>
            </w:pPr>
          </w:p>
        </w:tc>
        <w:tc>
          <w:tcPr>
            <w:tcW w:w="1525" w:type="dxa"/>
            <w:tcBorders>
              <w:top w:val="nil"/>
              <w:bottom w:val="nil"/>
            </w:tcBorders>
          </w:tcPr>
          <w:p w14:paraId="13E29FC3">
            <w:pPr>
              <w:pStyle w:val="14"/>
              <w:rPr>
                <w:rFonts w:ascii="Times New Roman"/>
                <w:sz w:val="18"/>
              </w:rPr>
            </w:pPr>
          </w:p>
        </w:tc>
        <w:tc>
          <w:tcPr>
            <w:tcW w:w="5660" w:type="dxa"/>
            <w:tcBorders>
              <w:top w:val="nil"/>
              <w:bottom w:val="nil"/>
            </w:tcBorders>
          </w:tcPr>
          <w:p w14:paraId="6D487E54">
            <w:pPr>
              <w:pStyle w:val="14"/>
              <w:spacing w:line="242" w:lineRule="exact"/>
              <w:ind w:left="99"/>
              <w:rPr>
                <w:sz w:val="21"/>
              </w:rPr>
            </w:pPr>
            <w:r>
              <w:rPr>
                <w:sz w:val="21"/>
              </w:rPr>
              <w:t>质单位回收处置；⑤病死猪和不合格产品收集至无害化暂存</w:t>
            </w:r>
          </w:p>
        </w:tc>
      </w:tr>
      <w:tr w14:paraId="1DEB8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131" w:type="dxa"/>
            <w:vMerge w:val="continue"/>
            <w:tcBorders>
              <w:top w:val="nil"/>
            </w:tcBorders>
          </w:tcPr>
          <w:p w14:paraId="2F24FE2F">
            <w:pPr>
              <w:rPr>
                <w:sz w:val="2"/>
                <w:szCs w:val="2"/>
              </w:rPr>
            </w:pPr>
          </w:p>
        </w:tc>
        <w:tc>
          <w:tcPr>
            <w:tcW w:w="1525" w:type="dxa"/>
            <w:tcBorders>
              <w:top w:val="nil"/>
              <w:bottom w:val="nil"/>
            </w:tcBorders>
          </w:tcPr>
          <w:p w14:paraId="699FD034">
            <w:pPr>
              <w:pStyle w:val="14"/>
              <w:rPr>
                <w:rFonts w:ascii="Times New Roman"/>
                <w:sz w:val="18"/>
              </w:rPr>
            </w:pPr>
          </w:p>
        </w:tc>
        <w:tc>
          <w:tcPr>
            <w:tcW w:w="5660" w:type="dxa"/>
            <w:tcBorders>
              <w:top w:val="nil"/>
              <w:bottom w:val="nil"/>
            </w:tcBorders>
          </w:tcPr>
          <w:p w14:paraId="686D497A">
            <w:pPr>
              <w:pStyle w:val="14"/>
              <w:spacing w:line="241" w:lineRule="exact"/>
              <w:ind w:left="99"/>
              <w:rPr>
                <w:sz w:val="21"/>
              </w:rPr>
            </w:pPr>
            <w:r>
              <w:rPr>
                <w:sz w:val="21"/>
              </w:rPr>
              <w:t>间，委托岳阳县无害化处理中心处置；⑥生活垃圾收集后交</w:t>
            </w:r>
          </w:p>
        </w:tc>
      </w:tr>
      <w:tr w14:paraId="39405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131" w:type="dxa"/>
            <w:vMerge w:val="continue"/>
            <w:tcBorders>
              <w:top w:val="nil"/>
            </w:tcBorders>
          </w:tcPr>
          <w:p w14:paraId="2853E26E">
            <w:pPr>
              <w:rPr>
                <w:sz w:val="2"/>
                <w:szCs w:val="2"/>
              </w:rPr>
            </w:pPr>
          </w:p>
        </w:tc>
        <w:tc>
          <w:tcPr>
            <w:tcW w:w="1525" w:type="dxa"/>
            <w:tcBorders>
              <w:top w:val="nil"/>
            </w:tcBorders>
          </w:tcPr>
          <w:p w14:paraId="305F1DD7">
            <w:pPr>
              <w:pStyle w:val="14"/>
              <w:rPr>
                <w:rFonts w:ascii="Times New Roman"/>
                <w:sz w:val="20"/>
              </w:rPr>
            </w:pPr>
          </w:p>
        </w:tc>
        <w:tc>
          <w:tcPr>
            <w:tcW w:w="5660" w:type="dxa"/>
            <w:tcBorders>
              <w:top w:val="nil"/>
            </w:tcBorders>
          </w:tcPr>
          <w:p w14:paraId="3B69A0CC">
            <w:pPr>
              <w:pStyle w:val="14"/>
              <w:spacing w:line="265" w:lineRule="exact"/>
              <w:ind w:left="1570"/>
              <w:rPr>
                <w:sz w:val="21"/>
              </w:rPr>
            </w:pPr>
            <w:r>
              <w:rPr>
                <w:sz w:val="21"/>
              </w:rPr>
              <w:t>由当地环卫部门清运处置。</w:t>
            </w:r>
          </w:p>
        </w:tc>
      </w:tr>
      <w:tr w14:paraId="18EF5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131" w:type="dxa"/>
            <w:vMerge w:val="continue"/>
            <w:tcBorders>
              <w:top w:val="nil"/>
            </w:tcBorders>
          </w:tcPr>
          <w:p w14:paraId="72FC2602">
            <w:pPr>
              <w:rPr>
                <w:sz w:val="2"/>
                <w:szCs w:val="2"/>
              </w:rPr>
            </w:pPr>
          </w:p>
        </w:tc>
        <w:tc>
          <w:tcPr>
            <w:tcW w:w="1525" w:type="dxa"/>
            <w:tcBorders>
              <w:bottom w:val="nil"/>
            </w:tcBorders>
          </w:tcPr>
          <w:p w14:paraId="17DE7BC3">
            <w:pPr>
              <w:pStyle w:val="14"/>
              <w:rPr>
                <w:rFonts w:ascii="Times New Roman"/>
                <w:sz w:val="20"/>
              </w:rPr>
            </w:pPr>
          </w:p>
        </w:tc>
        <w:tc>
          <w:tcPr>
            <w:tcW w:w="5660" w:type="dxa"/>
            <w:tcBorders>
              <w:bottom w:val="nil"/>
            </w:tcBorders>
          </w:tcPr>
          <w:p w14:paraId="460D4628">
            <w:pPr>
              <w:pStyle w:val="14"/>
              <w:spacing w:before="21" w:line="245" w:lineRule="exact"/>
              <w:ind w:left="99"/>
              <w:rPr>
                <w:sz w:val="21"/>
              </w:rPr>
            </w:pPr>
            <w:r>
              <w:rPr>
                <w:sz w:val="21"/>
              </w:rPr>
              <w:t>为防止动物疫病传播扩散，保障肉品质量，根据《中华人民</w:t>
            </w:r>
          </w:p>
        </w:tc>
      </w:tr>
      <w:tr w14:paraId="56FED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4AA80D1D">
            <w:pPr>
              <w:rPr>
                <w:sz w:val="2"/>
                <w:szCs w:val="2"/>
              </w:rPr>
            </w:pPr>
          </w:p>
        </w:tc>
        <w:tc>
          <w:tcPr>
            <w:tcW w:w="1525" w:type="dxa"/>
            <w:tcBorders>
              <w:top w:val="nil"/>
              <w:bottom w:val="nil"/>
            </w:tcBorders>
          </w:tcPr>
          <w:p w14:paraId="43ED23B9">
            <w:pPr>
              <w:pStyle w:val="14"/>
              <w:rPr>
                <w:rFonts w:ascii="Times New Roman"/>
                <w:sz w:val="18"/>
              </w:rPr>
            </w:pPr>
          </w:p>
        </w:tc>
        <w:tc>
          <w:tcPr>
            <w:tcW w:w="5660" w:type="dxa"/>
            <w:tcBorders>
              <w:top w:val="nil"/>
              <w:bottom w:val="nil"/>
            </w:tcBorders>
          </w:tcPr>
          <w:p w14:paraId="15DC14C3">
            <w:pPr>
              <w:pStyle w:val="14"/>
              <w:spacing w:line="242" w:lineRule="exact"/>
              <w:ind w:left="204"/>
              <w:rPr>
                <w:sz w:val="21"/>
              </w:rPr>
            </w:pPr>
            <w:r>
              <w:rPr>
                <w:spacing w:val="-15"/>
                <w:sz w:val="21"/>
              </w:rPr>
              <w:t>共和国动物防疫法》、《生猪屠宰管理条例》等有关法律法</w:t>
            </w:r>
          </w:p>
        </w:tc>
      </w:tr>
      <w:tr w14:paraId="5B538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131" w:type="dxa"/>
            <w:vMerge w:val="continue"/>
            <w:tcBorders>
              <w:top w:val="nil"/>
            </w:tcBorders>
          </w:tcPr>
          <w:p w14:paraId="22A911F5">
            <w:pPr>
              <w:rPr>
                <w:sz w:val="2"/>
                <w:szCs w:val="2"/>
              </w:rPr>
            </w:pPr>
          </w:p>
        </w:tc>
        <w:tc>
          <w:tcPr>
            <w:tcW w:w="1525" w:type="dxa"/>
            <w:tcBorders>
              <w:top w:val="nil"/>
              <w:bottom w:val="nil"/>
            </w:tcBorders>
          </w:tcPr>
          <w:p w14:paraId="3C3B9781">
            <w:pPr>
              <w:pStyle w:val="14"/>
              <w:spacing w:before="131"/>
              <w:ind w:left="7"/>
              <w:jc w:val="center"/>
              <w:rPr>
                <w:sz w:val="21"/>
              </w:rPr>
            </w:pPr>
            <w:r>
              <w:rPr>
                <w:sz w:val="21"/>
              </w:rPr>
              <w:t>无害化处理</w:t>
            </w:r>
          </w:p>
        </w:tc>
        <w:tc>
          <w:tcPr>
            <w:tcW w:w="5660" w:type="dxa"/>
            <w:tcBorders>
              <w:top w:val="nil"/>
              <w:bottom w:val="nil"/>
            </w:tcBorders>
          </w:tcPr>
          <w:p w14:paraId="792ABC54">
            <w:pPr>
              <w:pStyle w:val="14"/>
              <w:spacing w:line="266" w:lineRule="exact"/>
              <w:ind w:left="99"/>
              <w:rPr>
                <w:sz w:val="21"/>
              </w:rPr>
            </w:pPr>
            <w:r>
              <w:rPr>
                <w:w w:val="95"/>
                <w:sz w:val="21"/>
              </w:rPr>
              <w:t>规，屠宰前确认病害动物、屠宰过程中经检疫不合格的肉品</w:t>
            </w:r>
          </w:p>
          <w:p w14:paraId="2EF722C3">
            <w:pPr>
              <w:pStyle w:val="14"/>
              <w:spacing w:before="2" w:line="247" w:lineRule="exact"/>
              <w:ind w:left="99"/>
              <w:rPr>
                <w:sz w:val="21"/>
              </w:rPr>
            </w:pPr>
            <w:r>
              <w:rPr>
                <w:w w:val="95"/>
                <w:sz w:val="21"/>
              </w:rPr>
              <w:t>需进行无害化处理。本项目需无害化处理的物品均进入无害</w:t>
            </w:r>
          </w:p>
        </w:tc>
      </w:tr>
      <w:tr w14:paraId="7EFB2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187FEC23">
            <w:pPr>
              <w:rPr>
                <w:sz w:val="2"/>
                <w:szCs w:val="2"/>
              </w:rPr>
            </w:pPr>
          </w:p>
        </w:tc>
        <w:tc>
          <w:tcPr>
            <w:tcW w:w="1525" w:type="dxa"/>
            <w:tcBorders>
              <w:top w:val="nil"/>
              <w:bottom w:val="nil"/>
            </w:tcBorders>
          </w:tcPr>
          <w:p w14:paraId="14DE63FD">
            <w:pPr>
              <w:pStyle w:val="14"/>
              <w:rPr>
                <w:rFonts w:ascii="Times New Roman"/>
                <w:sz w:val="18"/>
              </w:rPr>
            </w:pPr>
          </w:p>
        </w:tc>
        <w:tc>
          <w:tcPr>
            <w:tcW w:w="5660" w:type="dxa"/>
            <w:tcBorders>
              <w:top w:val="nil"/>
              <w:bottom w:val="nil"/>
            </w:tcBorders>
          </w:tcPr>
          <w:p w14:paraId="1A19EE71">
            <w:pPr>
              <w:pStyle w:val="14"/>
              <w:spacing w:line="242" w:lineRule="exact"/>
              <w:ind w:left="99"/>
              <w:rPr>
                <w:sz w:val="21"/>
              </w:rPr>
            </w:pPr>
            <w:r>
              <w:rPr>
                <w:sz w:val="21"/>
              </w:rPr>
              <w:t>化暂存间密封冷冻，再用专用车转运至岳阳县无害化处理中</w:t>
            </w:r>
          </w:p>
        </w:tc>
      </w:tr>
      <w:tr w14:paraId="5DE3A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131" w:type="dxa"/>
            <w:vMerge w:val="continue"/>
            <w:tcBorders>
              <w:top w:val="nil"/>
            </w:tcBorders>
          </w:tcPr>
          <w:p w14:paraId="0CF6B5A5">
            <w:pPr>
              <w:rPr>
                <w:sz w:val="2"/>
                <w:szCs w:val="2"/>
              </w:rPr>
            </w:pPr>
          </w:p>
        </w:tc>
        <w:tc>
          <w:tcPr>
            <w:tcW w:w="1525" w:type="dxa"/>
            <w:tcBorders>
              <w:top w:val="nil"/>
            </w:tcBorders>
          </w:tcPr>
          <w:p w14:paraId="445E3579">
            <w:pPr>
              <w:pStyle w:val="14"/>
              <w:rPr>
                <w:rFonts w:ascii="Times New Roman"/>
                <w:sz w:val="20"/>
              </w:rPr>
            </w:pPr>
          </w:p>
        </w:tc>
        <w:tc>
          <w:tcPr>
            <w:tcW w:w="5660" w:type="dxa"/>
            <w:tcBorders>
              <w:top w:val="nil"/>
            </w:tcBorders>
          </w:tcPr>
          <w:p w14:paraId="527307FF">
            <w:pPr>
              <w:pStyle w:val="14"/>
              <w:spacing w:line="265" w:lineRule="exact"/>
              <w:ind w:left="25" w:right="19"/>
              <w:jc w:val="center"/>
              <w:rPr>
                <w:sz w:val="21"/>
              </w:rPr>
            </w:pPr>
            <w:r>
              <w:rPr>
                <w:sz w:val="21"/>
              </w:rPr>
              <w:t>心处置</w:t>
            </w:r>
          </w:p>
        </w:tc>
      </w:tr>
      <w:tr w14:paraId="2096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31" w:type="dxa"/>
            <w:vMerge w:val="continue"/>
            <w:tcBorders>
              <w:top w:val="nil"/>
            </w:tcBorders>
          </w:tcPr>
          <w:p w14:paraId="0EE4728C">
            <w:pPr>
              <w:rPr>
                <w:sz w:val="2"/>
                <w:szCs w:val="2"/>
              </w:rPr>
            </w:pPr>
          </w:p>
        </w:tc>
        <w:tc>
          <w:tcPr>
            <w:tcW w:w="1525" w:type="dxa"/>
          </w:tcPr>
          <w:p w14:paraId="6B3E63CE">
            <w:pPr>
              <w:pStyle w:val="14"/>
              <w:spacing w:before="91"/>
              <w:ind w:left="7"/>
              <w:jc w:val="center"/>
              <w:rPr>
                <w:sz w:val="21"/>
              </w:rPr>
            </w:pPr>
            <w:r>
              <w:rPr>
                <w:sz w:val="21"/>
              </w:rPr>
              <w:t>绿化工程</w:t>
            </w:r>
          </w:p>
        </w:tc>
        <w:tc>
          <w:tcPr>
            <w:tcW w:w="5660" w:type="dxa"/>
          </w:tcPr>
          <w:p w14:paraId="518D2A8F">
            <w:pPr>
              <w:pStyle w:val="14"/>
              <w:spacing w:before="91"/>
              <w:ind w:left="25" w:right="18"/>
              <w:jc w:val="center"/>
              <w:rPr>
                <w:rFonts w:ascii="Times New Roman" w:eastAsia="Times New Roman"/>
                <w:sz w:val="21"/>
              </w:rPr>
            </w:pPr>
            <w:r>
              <w:rPr>
                <w:sz w:val="21"/>
              </w:rPr>
              <w:t xml:space="preserve">绿地率 </w:t>
            </w:r>
            <w:r>
              <w:rPr>
                <w:rFonts w:ascii="Times New Roman" w:eastAsia="Times New Roman"/>
                <w:sz w:val="21"/>
              </w:rPr>
              <w:t>11.08%</w:t>
            </w:r>
          </w:p>
        </w:tc>
      </w:tr>
      <w:tr w14:paraId="38BF5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131" w:type="dxa"/>
            <w:vMerge w:val="continue"/>
            <w:tcBorders>
              <w:top w:val="nil"/>
            </w:tcBorders>
          </w:tcPr>
          <w:p w14:paraId="764868C0">
            <w:pPr>
              <w:rPr>
                <w:sz w:val="2"/>
                <w:szCs w:val="2"/>
              </w:rPr>
            </w:pPr>
          </w:p>
        </w:tc>
        <w:tc>
          <w:tcPr>
            <w:tcW w:w="1525" w:type="dxa"/>
            <w:tcBorders>
              <w:bottom w:val="nil"/>
            </w:tcBorders>
          </w:tcPr>
          <w:p w14:paraId="4ABC33FD">
            <w:pPr>
              <w:pStyle w:val="14"/>
              <w:rPr>
                <w:rFonts w:ascii="Times New Roman"/>
                <w:sz w:val="20"/>
              </w:rPr>
            </w:pPr>
          </w:p>
        </w:tc>
        <w:tc>
          <w:tcPr>
            <w:tcW w:w="5660" w:type="dxa"/>
            <w:tcBorders>
              <w:bottom w:val="nil"/>
            </w:tcBorders>
          </w:tcPr>
          <w:p w14:paraId="4B6A723B">
            <w:pPr>
              <w:pStyle w:val="14"/>
              <w:spacing w:before="21" w:line="245" w:lineRule="exact"/>
              <w:ind w:left="5"/>
              <w:rPr>
                <w:sz w:val="21"/>
              </w:rPr>
            </w:pPr>
            <w:r>
              <w:rPr>
                <w:sz w:val="21"/>
              </w:rPr>
              <w:t>①设置应急池。运行期项目配设污水排放在线监测设备，通</w:t>
            </w:r>
          </w:p>
        </w:tc>
      </w:tr>
      <w:tr w14:paraId="44AD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608BDA88">
            <w:pPr>
              <w:rPr>
                <w:sz w:val="2"/>
                <w:szCs w:val="2"/>
              </w:rPr>
            </w:pPr>
          </w:p>
        </w:tc>
        <w:tc>
          <w:tcPr>
            <w:tcW w:w="1525" w:type="dxa"/>
            <w:tcBorders>
              <w:top w:val="nil"/>
              <w:bottom w:val="nil"/>
            </w:tcBorders>
          </w:tcPr>
          <w:p w14:paraId="6C7C1F1D">
            <w:pPr>
              <w:pStyle w:val="14"/>
              <w:rPr>
                <w:rFonts w:ascii="Times New Roman"/>
                <w:sz w:val="18"/>
              </w:rPr>
            </w:pPr>
          </w:p>
        </w:tc>
        <w:tc>
          <w:tcPr>
            <w:tcW w:w="5660" w:type="dxa"/>
            <w:tcBorders>
              <w:top w:val="nil"/>
              <w:bottom w:val="nil"/>
            </w:tcBorders>
          </w:tcPr>
          <w:p w14:paraId="4DFD94C7">
            <w:pPr>
              <w:pStyle w:val="14"/>
              <w:spacing w:line="242" w:lineRule="exact"/>
              <w:ind w:left="5"/>
              <w:rPr>
                <w:sz w:val="21"/>
              </w:rPr>
            </w:pPr>
            <w:r>
              <w:rPr>
                <w:sz w:val="21"/>
              </w:rPr>
              <w:t>过监测设备发现项目污水故障排放时，立即关闭污水总排放</w:t>
            </w:r>
          </w:p>
        </w:tc>
      </w:tr>
      <w:tr w14:paraId="1FB7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51152E78">
            <w:pPr>
              <w:rPr>
                <w:sz w:val="2"/>
                <w:szCs w:val="2"/>
              </w:rPr>
            </w:pPr>
          </w:p>
        </w:tc>
        <w:tc>
          <w:tcPr>
            <w:tcW w:w="1525" w:type="dxa"/>
            <w:tcBorders>
              <w:top w:val="nil"/>
              <w:bottom w:val="nil"/>
            </w:tcBorders>
          </w:tcPr>
          <w:p w14:paraId="619B415A">
            <w:pPr>
              <w:pStyle w:val="14"/>
              <w:rPr>
                <w:rFonts w:ascii="Times New Roman"/>
                <w:sz w:val="18"/>
              </w:rPr>
            </w:pPr>
          </w:p>
        </w:tc>
        <w:tc>
          <w:tcPr>
            <w:tcW w:w="5660" w:type="dxa"/>
            <w:tcBorders>
              <w:top w:val="nil"/>
              <w:bottom w:val="nil"/>
            </w:tcBorders>
          </w:tcPr>
          <w:p w14:paraId="306652E4">
            <w:pPr>
              <w:pStyle w:val="14"/>
              <w:spacing w:line="242" w:lineRule="exact"/>
              <w:ind w:left="5"/>
              <w:rPr>
                <w:sz w:val="21"/>
              </w:rPr>
            </w:pPr>
            <w:r>
              <w:rPr>
                <w:sz w:val="21"/>
              </w:rPr>
              <w:t>处闸门防止污水超标排放，将污水引入污水处理站事故池内</w:t>
            </w:r>
          </w:p>
        </w:tc>
      </w:tr>
      <w:tr w14:paraId="72D00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323E14D5">
            <w:pPr>
              <w:rPr>
                <w:sz w:val="2"/>
                <w:szCs w:val="2"/>
              </w:rPr>
            </w:pPr>
          </w:p>
        </w:tc>
        <w:tc>
          <w:tcPr>
            <w:tcW w:w="1525" w:type="dxa"/>
            <w:tcBorders>
              <w:top w:val="nil"/>
              <w:bottom w:val="nil"/>
            </w:tcBorders>
          </w:tcPr>
          <w:p w14:paraId="7A590299">
            <w:pPr>
              <w:pStyle w:val="14"/>
              <w:spacing w:line="242" w:lineRule="exact"/>
              <w:ind w:left="7"/>
              <w:jc w:val="center"/>
              <w:rPr>
                <w:sz w:val="21"/>
              </w:rPr>
            </w:pPr>
            <w:r>
              <w:rPr>
                <w:sz w:val="21"/>
              </w:rPr>
              <w:t>风险防范</w:t>
            </w:r>
          </w:p>
        </w:tc>
        <w:tc>
          <w:tcPr>
            <w:tcW w:w="5660" w:type="dxa"/>
            <w:tcBorders>
              <w:top w:val="nil"/>
              <w:bottom w:val="nil"/>
            </w:tcBorders>
          </w:tcPr>
          <w:p w14:paraId="26A3655B">
            <w:pPr>
              <w:pStyle w:val="14"/>
              <w:spacing w:line="242" w:lineRule="exact"/>
              <w:ind w:left="5"/>
              <w:rPr>
                <w:sz w:val="21"/>
              </w:rPr>
            </w:pPr>
            <w:r>
              <w:rPr>
                <w:sz w:val="21"/>
              </w:rPr>
              <w:t>暂存，待污水处理设施检修完毕后再行处理。</w:t>
            </w:r>
          </w:p>
        </w:tc>
      </w:tr>
      <w:tr w14:paraId="5191B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523AFB12">
            <w:pPr>
              <w:rPr>
                <w:sz w:val="2"/>
                <w:szCs w:val="2"/>
              </w:rPr>
            </w:pPr>
          </w:p>
        </w:tc>
        <w:tc>
          <w:tcPr>
            <w:tcW w:w="1525" w:type="dxa"/>
            <w:tcBorders>
              <w:top w:val="nil"/>
              <w:bottom w:val="nil"/>
            </w:tcBorders>
          </w:tcPr>
          <w:p w14:paraId="320C5B43">
            <w:pPr>
              <w:pStyle w:val="14"/>
              <w:rPr>
                <w:rFonts w:ascii="Times New Roman"/>
                <w:sz w:val="18"/>
              </w:rPr>
            </w:pPr>
          </w:p>
        </w:tc>
        <w:tc>
          <w:tcPr>
            <w:tcW w:w="5660" w:type="dxa"/>
            <w:tcBorders>
              <w:top w:val="nil"/>
              <w:bottom w:val="nil"/>
            </w:tcBorders>
          </w:tcPr>
          <w:p w14:paraId="1E85A446">
            <w:pPr>
              <w:pStyle w:val="14"/>
              <w:spacing w:line="242" w:lineRule="exact"/>
              <w:ind w:left="5"/>
              <w:rPr>
                <w:sz w:val="21"/>
              </w:rPr>
            </w:pPr>
            <w:r>
              <w:rPr>
                <w:sz w:val="21"/>
              </w:rPr>
              <w:t>②对厂区雨水、污水总排口安装紧急切断装置，若事故池仍</w:t>
            </w:r>
          </w:p>
        </w:tc>
      </w:tr>
      <w:tr w14:paraId="5204F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131" w:type="dxa"/>
            <w:vMerge w:val="continue"/>
            <w:tcBorders>
              <w:top w:val="nil"/>
            </w:tcBorders>
          </w:tcPr>
          <w:p w14:paraId="0623B7AC">
            <w:pPr>
              <w:rPr>
                <w:sz w:val="2"/>
                <w:szCs w:val="2"/>
              </w:rPr>
            </w:pPr>
          </w:p>
        </w:tc>
        <w:tc>
          <w:tcPr>
            <w:tcW w:w="1525" w:type="dxa"/>
            <w:tcBorders>
              <w:top w:val="nil"/>
              <w:bottom w:val="nil"/>
            </w:tcBorders>
          </w:tcPr>
          <w:p w14:paraId="4839EDC1">
            <w:pPr>
              <w:pStyle w:val="14"/>
              <w:rPr>
                <w:rFonts w:ascii="Times New Roman"/>
                <w:sz w:val="18"/>
              </w:rPr>
            </w:pPr>
          </w:p>
        </w:tc>
        <w:tc>
          <w:tcPr>
            <w:tcW w:w="5660" w:type="dxa"/>
            <w:tcBorders>
              <w:top w:val="nil"/>
              <w:bottom w:val="nil"/>
            </w:tcBorders>
          </w:tcPr>
          <w:p w14:paraId="32FFC57C">
            <w:pPr>
              <w:pStyle w:val="14"/>
              <w:spacing w:line="242" w:lineRule="exact"/>
              <w:ind w:left="5"/>
              <w:rPr>
                <w:sz w:val="21"/>
              </w:rPr>
            </w:pPr>
            <w:r>
              <w:rPr>
                <w:sz w:val="21"/>
              </w:rPr>
              <w:t>不能收集消防水，则应关闭厂区总排口，将消防水保存在厂</w:t>
            </w:r>
          </w:p>
        </w:tc>
      </w:tr>
      <w:tr w14:paraId="38574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131" w:type="dxa"/>
            <w:vMerge w:val="continue"/>
            <w:tcBorders>
              <w:top w:val="nil"/>
            </w:tcBorders>
          </w:tcPr>
          <w:p w14:paraId="03015EA9">
            <w:pPr>
              <w:rPr>
                <w:sz w:val="2"/>
                <w:szCs w:val="2"/>
              </w:rPr>
            </w:pPr>
          </w:p>
        </w:tc>
        <w:tc>
          <w:tcPr>
            <w:tcW w:w="1525" w:type="dxa"/>
            <w:tcBorders>
              <w:top w:val="nil"/>
            </w:tcBorders>
          </w:tcPr>
          <w:p w14:paraId="0B138C5B">
            <w:pPr>
              <w:pStyle w:val="14"/>
              <w:rPr>
                <w:rFonts w:ascii="Times New Roman"/>
                <w:sz w:val="20"/>
              </w:rPr>
            </w:pPr>
          </w:p>
        </w:tc>
        <w:tc>
          <w:tcPr>
            <w:tcW w:w="5660" w:type="dxa"/>
            <w:tcBorders>
              <w:top w:val="nil"/>
            </w:tcBorders>
          </w:tcPr>
          <w:p w14:paraId="77D3AB50">
            <w:pPr>
              <w:pStyle w:val="14"/>
              <w:spacing w:line="266" w:lineRule="exact"/>
              <w:ind w:left="5"/>
              <w:rPr>
                <w:sz w:val="21"/>
              </w:rPr>
            </w:pPr>
            <w:r>
              <w:rPr>
                <w:sz w:val="21"/>
              </w:rPr>
              <w:t>区内，保证事故污水不外排。</w:t>
            </w:r>
          </w:p>
        </w:tc>
      </w:tr>
    </w:tbl>
    <w:p w14:paraId="3D3FFBED">
      <w:pPr>
        <w:pStyle w:val="13"/>
        <w:numPr>
          <w:ilvl w:val="1"/>
          <w:numId w:val="13"/>
        </w:numPr>
        <w:tabs>
          <w:tab w:val="left" w:pos="720"/>
        </w:tabs>
        <w:spacing w:before="2" w:after="0" w:line="240" w:lineRule="auto"/>
        <w:ind w:left="719" w:right="0" w:hanging="439"/>
        <w:jc w:val="left"/>
        <w:rPr>
          <w:b/>
          <w:sz w:val="30"/>
        </w:rPr>
      </w:pPr>
      <w:bookmarkStart w:id="94" w:name="3.4原辅材料和能源消耗"/>
      <w:bookmarkEnd w:id="94"/>
      <w:bookmarkStart w:id="95" w:name="_bookmark18"/>
      <w:bookmarkEnd w:id="95"/>
      <w:bookmarkStart w:id="96" w:name="_bookmark18"/>
      <w:bookmarkEnd w:id="96"/>
      <w:r>
        <w:rPr>
          <w:b/>
          <w:w w:val="95"/>
          <w:sz w:val="30"/>
        </w:rPr>
        <w:t>原辅材料和能源消耗</w:t>
      </w:r>
    </w:p>
    <w:p w14:paraId="3F06738D">
      <w:pPr>
        <w:pStyle w:val="7"/>
        <w:spacing w:before="199" w:line="364" w:lineRule="auto"/>
        <w:ind w:left="280" w:right="337" w:firstLine="480"/>
      </w:pPr>
      <w:r>
        <w:t>本项目为生猪屠宰项目，主要原材料即外购的生猪。其它原辅材料包含包装材料、污水处理药剂、制冷剂等。</w:t>
      </w:r>
    </w:p>
    <w:p w14:paraId="6ED97859">
      <w:pPr>
        <w:spacing w:before="0" w:after="3" w:line="267" w:lineRule="exact"/>
        <w:ind w:left="2377" w:right="0" w:firstLine="0"/>
        <w:jc w:val="left"/>
        <w:rPr>
          <w:b/>
          <w:sz w:val="21"/>
        </w:rPr>
      </w:pPr>
      <w:r>
        <w:rPr>
          <w:b/>
          <w:spacing w:val="-26"/>
          <w:sz w:val="21"/>
        </w:rPr>
        <w:t xml:space="preserve">表 </w:t>
      </w:r>
      <w:r>
        <w:rPr>
          <w:rFonts w:ascii="Times New Roman" w:eastAsia="Times New Roman"/>
          <w:b/>
          <w:sz w:val="21"/>
        </w:rPr>
        <w:t>3.4</w:t>
      </w:r>
      <w:r>
        <w:rPr>
          <w:rFonts w:ascii="Times New Roman" w:eastAsia="Times New Roman"/>
          <w:b/>
          <w:spacing w:val="-9"/>
          <w:sz w:val="21"/>
        </w:rPr>
        <w:t xml:space="preserve">- </w:t>
      </w:r>
      <w:r>
        <w:rPr>
          <w:rFonts w:ascii="Times New Roman" w:eastAsia="Times New Roman"/>
          <w:b/>
          <w:sz w:val="21"/>
        </w:rPr>
        <w:t>1</w:t>
      </w:r>
      <w:r>
        <w:rPr>
          <w:rFonts w:ascii="Times New Roman" w:eastAsia="Times New Roman"/>
          <w:b/>
          <w:spacing w:val="50"/>
          <w:sz w:val="21"/>
        </w:rPr>
        <w:t xml:space="preserve"> </w:t>
      </w:r>
      <w:r>
        <w:rPr>
          <w:b/>
          <w:sz w:val="21"/>
        </w:rPr>
        <w:t>项目主要原辅材料及能源消耗一览表</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
        <w:gridCol w:w="781"/>
        <w:gridCol w:w="1885"/>
        <w:gridCol w:w="1517"/>
        <w:gridCol w:w="1710"/>
        <w:gridCol w:w="2025"/>
      </w:tblGrid>
      <w:tr w14:paraId="0DA90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04" w:type="dxa"/>
          </w:tcPr>
          <w:p w14:paraId="32179349">
            <w:pPr>
              <w:pStyle w:val="14"/>
              <w:spacing w:before="21" w:line="242" w:lineRule="auto"/>
              <w:ind w:left="196" w:right="186"/>
              <w:rPr>
                <w:b/>
                <w:sz w:val="21"/>
              </w:rPr>
            </w:pPr>
            <w:r>
              <w:rPr>
                <w:b/>
                <w:sz w:val="21"/>
              </w:rPr>
              <w:t>序号</w:t>
            </w:r>
          </w:p>
        </w:tc>
        <w:tc>
          <w:tcPr>
            <w:tcW w:w="2666" w:type="dxa"/>
            <w:gridSpan w:val="2"/>
          </w:tcPr>
          <w:p w14:paraId="37045DA0">
            <w:pPr>
              <w:pStyle w:val="14"/>
              <w:spacing w:before="155"/>
              <w:ind w:left="1100" w:right="1094"/>
              <w:jc w:val="center"/>
              <w:rPr>
                <w:b/>
                <w:sz w:val="21"/>
              </w:rPr>
            </w:pPr>
            <w:r>
              <w:rPr>
                <w:b/>
                <w:sz w:val="21"/>
              </w:rPr>
              <w:t>名称</w:t>
            </w:r>
          </w:p>
        </w:tc>
        <w:tc>
          <w:tcPr>
            <w:tcW w:w="1517" w:type="dxa"/>
          </w:tcPr>
          <w:p w14:paraId="7C8613BD">
            <w:pPr>
              <w:pStyle w:val="14"/>
              <w:spacing w:before="155"/>
              <w:ind w:left="107" w:right="98"/>
              <w:jc w:val="center"/>
              <w:rPr>
                <w:b/>
                <w:sz w:val="21"/>
              </w:rPr>
            </w:pPr>
            <w:r>
              <w:rPr>
                <w:b/>
                <w:sz w:val="21"/>
              </w:rPr>
              <w:t>年使用量</w:t>
            </w:r>
          </w:p>
        </w:tc>
        <w:tc>
          <w:tcPr>
            <w:tcW w:w="1710" w:type="dxa"/>
          </w:tcPr>
          <w:p w14:paraId="77B0A409">
            <w:pPr>
              <w:pStyle w:val="14"/>
              <w:spacing w:before="21" w:line="242" w:lineRule="auto"/>
              <w:ind w:left="749" w:right="108" w:hanging="634"/>
              <w:rPr>
                <w:b/>
                <w:sz w:val="21"/>
              </w:rPr>
            </w:pPr>
            <w:r>
              <w:rPr>
                <w:b/>
                <w:w w:val="95"/>
                <w:sz w:val="21"/>
              </w:rPr>
              <w:t>厂区内最大暂存</w:t>
            </w:r>
            <w:r>
              <w:rPr>
                <w:b/>
                <w:sz w:val="21"/>
              </w:rPr>
              <w:t>量</w:t>
            </w:r>
          </w:p>
        </w:tc>
        <w:tc>
          <w:tcPr>
            <w:tcW w:w="2025" w:type="dxa"/>
          </w:tcPr>
          <w:p w14:paraId="47E2CA03">
            <w:pPr>
              <w:pStyle w:val="14"/>
              <w:spacing w:before="155"/>
              <w:ind w:left="463" w:right="456"/>
              <w:jc w:val="center"/>
              <w:rPr>
                <w:b/>
                <w:sz w:val="21"/>
              </w:rPr>
            </w:pPr>
            <w:r>
              <w:rPr>
                <w:b/>
                <w:sz w:val="21"/>
              </w:rPr>
              <w:t>暂存位置</w:t>
            </w:r>
          </w:p>
        </w:tc>
      </w:tr>
      <w:tr w14:paraId="7D757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04" w:type="dxa"/>
          </w:tcPr>
          <w:p w14:paraId="0444EF64">
            <w:pPr>
              <w:pStyle w:val="14"/>
              <w:spacing w:before="172"/>
              <w:ind w:left="9"/>
              <w:jc w:val="center"/>
              <w:rPr>
                <w:rFonts w:ascii="Times New Roman"/>
                <w:sz w:val="21"/>
              </w:rPr>
            </w:pPr>
            <w:r>
              <w:rPr>
                <w:rFonts w:ascii="Times New Roman"/>
                <w:w w:val="99"/>
                <w:sz w:val="21"/>
              </w:rPr>
              <w:t>1</w:t>
            </w:r>
          </w:p>
        </w:tc>
        <w:tc>
          <w:tcPr>
            <w:tcW w:w="781" w:type="dxa"/>
          </w:tcPr>
          <w:p w14:paraId="37C5674A">
            <w:pPr>
              <w:pStyle w:val="14"/>
              <w:spacing w:before="21" w:line="242" w:lineRule="auto"/>
              <w:ind w:left="283" w:right="170" w:hanging="104"/>
              <w:rPr>
                <w:sz w:val="21"/>
              </w:rPr>
            </w:pPr>
            <w:r>
              <w:rPr>
                <w:sz w:val="21"/>
              </w:rPr>
              <w:t>原材料</w:t>
            </w:r>
          </w:p>
        </w:tc>
        <w:tc>
          <w:tcPr>
            <w:tcW w:w="1885" w:type="dxa"/>
          </w:tcPr>
          <w:p w14:paraId="7B52CF78">
            <w:pPr>
              <w:pStyle w:val="14"/>
              <w:spacing w:before="155"/>
              <w:ind w:left="393" w:right="388"/>
              <w:jc w:val="center"/>
              <w:rPr>
                <w:sz w:val="21"/>
              </w:rPr>
            </w:pPr>
            <w:r>
              <w:rPr>
                <w:sz w:val="21"/>
              </w:rPr>
              <w:t>活猪</w:t>
            </w:r>
          </w:p>
        </w:tc>
        <w:tc>
          <w:tcPr>
            <w:tcW w:w="1517" w:type="dxa"/>
          </w:tcPr>
          <w:p w14:paraId="59DF1B13">
            <w:pPr>
              <w:pStyle w:val="14"/>
              <w:spacing w:before="155"/>
              <w:ind w:left="103" w:right="99"/>
              <w:jc w:val="center"/>
              <w:rPr>
                <w:sz w:val="21"/>
              </w:rPr>
            </w:pPr>
            <w:r>
              <w:rPr>
                <w:rFonts w:ascii="Times New Roman" w:eastAsia="Times New Roman"/>
                <w:sz w:val="21"/>
              </w:rPr>
              <w:t xml:space="preserve">40 </w:t>
            </w:r>
            <w:r>
              <w:rPr>
                <w:sz w:val="21"/>
              </w:rPr>
              <w:t>万头</w:t>
            </w:r>
          </w:p>
        </w:tc>
        <w:tc>
          <w:tcPr>
            <w:tcW w:w="1710" w:type="dxa"/>
          </w:tcPr>
          <w:p w14:paraId="44263E7F">
            <w:pPr>
              <w:pStyle w:val="14"/>
              <w:spacing w:before="155"/>
              <w:ind w:left="124" w:right="115"/>
              <w:jc w:val="center"/>
              <w:rPr>
                <w:rFonts w:ascii="Times New Roman" w:eastAsia="Times New Roman"/>
                <w:sz w:val="21"/>
              </w:rPr>
            </w:pPr>
            <w:r>
              <w:rPr>
                <w:rFonts w:ascii="Times New Roman" w:eastAsia="Times New Roman"/>
                <w:sz w:val="21"/>
              </w:rPr>
              <w:t xml:space="preserve">1500 </w:t>
            </w:r>
            <w:r>
              <w:rPr>
                <w:sz w:val="21"/>
              </w:rPr>
              <w:t>头</w:t>
            </w:r>
            <w:r>
              <w:rPr>
                <w:rFonts w:ascii="Times New Roman" w:eastAsia="Times New Roman"/>
                <w:sz w:val="21"/>
              </w:rPr>
              <w:t>/d</w:t>
            </w:r>
          </w:p>
        </w:tc>
        <w:tc>
          <w:tcPr>
            <w:tcW w:w="2025" w:type="dxa"/>
          </w:tcPr>
          <w:p w14:paraId="484461B0">
            <w:pPr>
              <w:pStyle w:val="14"/>
              <w:spacing w:before="21" w:line="242" w:lineRule="auto"/>
              <w:ind w:left="801" w:right="162" w:hanging="629"/>
              <w:rPr>
                <w:sz w:val="21"/>
              </w:rPr>
            </w:pPr>
            <w:r>
              <w:rPr>
                <w:w w:val="95"/>
                <w:sz w:val="21"/>
              </w:rPr>
              <w:t>生猪暂养间及猪待</w:t>
            </w:r>
            <w:r>
              <w:rPr>
                <w:sz w:val="21"/>
              </w:rPr>
              <w:t>宰圈</w:t>
            </w:r>
          </w:p>
        </w:tc>
      </w:tr>
      <w:tr w14:paraId="43149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04" w:type="dxa"/>
          </w:tcPr>
          <w:p w14:paraId="10362356">
            <w:pPr>
              <w:pStyle w:val="14"/>
              <w:spacing w:before="105"/>
              <w:ind w:left="9"/>
              <w:jc w:val="center"/>
              <w:rPr>
                <w:rFonts w:ascii="Times New Roman"/>
                <w:sz w:val="21"/>
              </w:rPr>
            </w:pPr>
            <w:r>
              <w:rPr>
                <w:rFonts w:ascii="Times New Roman"/>
                <w:w w:val="99"/>
                <w:sz w:val="21"/>
              </w:rPr>
              <w:t>2</w:t>
            </w:r>
          </w:p>
        </w:tc>
        <w:tc>
          <w:tcPr>
            <w:tcW w:w="781" w:type="dxa"/>
            <w:vMerge w:val="restart"/>
          </w:tcPr>
          <w:p w14:paraId="50E73335">
            <w:pPr>
              <w:pStyle w:val="14"/>
              <w:rPr>
                <w:b/>
                <w:sz w:val="20"/>
              </w:rPr>
            </w:pPr>
          </w:p>
          <w:p w14:paraId="20821D0B">
            <w:pPr>
              <w:pStyle w:val="14"/>
              <w:rPr>
                <w:b/>
                <w:sz w:val="20"/>
              </w:rPr>
            </w:pPr>
          </w:p>
          <w:p w14:paraId="0D9F210A">
            <w:pPr>
              <w:pStyle w:val="14"/>
              <w:spacing w:before="6"/>
              <w:rPr>
                <w:b/>
                <w:sz w:val="26"/>
              </w:rPr>
            </w:pPr>
          </w:p>
          <w:p w14:paraId="1342D6C7">
            <w:pPr>
              <w:pStyle w:val="14"/>
              <w:ind w:left="180"/>
              <w:rPr>
                <w:sz w:val="21"/>
              </w:rPr>
            </w:pPr>
            <w:r>
              <w:rPr>
                <w:sz w:val="21"/>
              </w:rPr>
              <w:t>辅料</w:t>
            </w:r>
          </w:p>
        </w:tc>
        <w:tc>
          <w:tcPr>
            <w:tcW w:w="1885" w:type="dxa"/>
          </w:tcPr>
          <w:p w14:paraId="35BED5D3">
            <w:pPr>
              <w:pStyle w:val="14"/>
              <w:spacing w:before="91"/>
              <w:ind w:left="396" w:right="388"/>
              <w:jc w:val="center"/>
              <w:rPr>
                <w:sz w:val="21"/>
              </w:rPr>
            </w:pPr>
            <w:r>
              <w:rPr>
                <w:sz w:val="21"/>
              </w:rPr>
              <w:t>包装材料</w:t>
            </w:r>
          </w:p>
        </w:tc>
        <w:tc>
          <w:tcPr>
            <w:tcW w:w="1517" w:type="dxa"/>
          </w:tcPr>
          <w:p w14:paraId="7FBA76C0">
            <w:pPr>
              <w:pStyle w:val="14"/>
              <w:spacing w:before="105"/>
              <w:ind w:left="107" w:right="95"/>
              <w:jc w:val="center"/>
              <w:rPr>
                <w:rFonts w:ascii="Times New Roman"/>
                <w:sz w:val="21"/>
              </w:rPr>
            </w:pPr>
            <w:r>
              <w:rPr>
                <w:rFonts w:ascii="Times New Roman"/>
                <w:sz w:val="21"/>
              </w:rPr>
              <w:t>300t</w:t>
            </w:r>
          </w:p>
        </w:tc>
        <w:tc>
          <w:tcPr>
            <w:tcW w:w="1710" w:type="dxa"/>
          </w:tcPr>
          <w:p w14:paraId="1098A0B3">
            <w:pPr>
              <w:pStyle w:val="14"/>
              <w:spacing w:before="105"/>
              <w:ind w:left="124" w:right="114"/>
              <w:jc w:val="center"/>
              <w:rPr>
                <w:rFonts w:ascii="Times New Roman"/>
                <w:sz w:val="21"/>
              </w:rPr>
            </w:pPr>
            <w:r>
              <w:rPr>
                <w:rFonts w:ascii="Times New Roman"/>
                <w:sz w:val="21"/>
              </w:rPr>
              <w:t>10t</w:t>
            </w:r>
          </w:p>
        </w:tc>
        <w:tc>
          <w:tcPr>
            <w:tcW w:w="2025" w:type="dxa"/>
          </w:tcPr>
          <w:p w14:paraId="467E54A7">
            <w:pPr>
              <w:pStyle w:val="14"/>
              <w:spacing w:before="91"/>
              <w:ind w:left="461" w:right="456"/>
              <w:jc w:val="center"/>
              <w:rPr>
                <w:sz w:val="21"/>
              </w:rPr>
            </w:pPr>
            <w:r>
              <w:rPr>
                <w:sz w:val="21"/>
              </w:rPr>
              <w:t>物料库</w:t>
            </w:r>
          </w:p>
        </w:tc>
      </w:tr>
      <w:tr w14:paraId="000F5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04" w:type="dxa"/>
          </w:tcPr>
          <w:p w14:paraId="59E7E745">
            <w:pPr>
              <w:pStyle w:val="14"/>
              <w:spacing w:before="169"/>
              <w:ind w:left="9"/>
              <w:jc w:val="center"/>
              <w:rPr>
                <w:rFonts w:ascii="Times New Roman"/>
                <w:sz w:val="21"/>
              </w:rPr>
            </w:pPr>
            <w:r>
              <w:rPr>
                <w:rFonts w:ascii="Times New Roman"/>
                <w:w w:val="99"/>
                <w:sz w:val="21"/>
              </w:rPr>
              <w:t>3</w:t>
            </w:r>
          </w:p>
        </w:tc>
        <w:tc>
          <w:tcPr>
            <w:tcW w:w="781" w:type="dxa"/>
            <w:vMerge w:val="continue"/>
            <w:tcBorders>
              <w:top w:val="nil"/>
            </w:tcBorders>
          </w:tcPr>
          <w:p w14:paraId="011CA486">
            <w:pPr>
              <w:rPr>
                <w:sz w:val="2"/>
                <w:szCs w:val="2"/>
              </w:rPr>
            </w:pPr>
          </w:p>
        </w:tc>
        <w:tc>
          <w:tcPr>
            <w:tcW w:w="1885" w:type="dxa"/>
          </w:tcPr>
          <w:p w14:paraId="2172AEE4">
            <w:pPr>
              <w:pStyle w:val="14"/>
              <w:spacing w:before="19" w:line="270" w:lineRule="atLeast"/>
              <w:ind w:left="731" w:right="198" w:hanging="526"/>
              <w:rPr>
                <w:sz w:val="21"/>
              </w:rPr>
            </w:pPr>
            <w:r>
              <w:rPr>
                <w:w w:val="95"/>
                <w:sz w:val="21"/>
              </w:rPr>
              <w:t>消毒剂（过氧乙</w:t>
            </w:r>
            <w:r>
              <w:rPr>
                <w:sz w:val="21"/>
              </w:rPr>
              <w:t>酸）</w:t>
            </w:r>
          </w:p>
        </w:tc>
        <w:tc>
          <w:tcPr>
            <w:tcW w:w="1517" w:type="dxa"/>
          </w:tcPr>
          <w:p w14:paraId="3D7D0651">
            <w:pPr>
              <w:pStyle w:val="14"/>
              <w:spacing w:before="169"/>
              <w:ind w:left="107" w:right="95"/>
              <w:jc w:val="center"/>
              <w:rPr>
                <w:rFonts w:ascii="Times New Roman"/>
                <w:sz w:val="21"/>
              </w:rPr>
            </w:pPr>
            <w:r>
              <w:rPr>
                <w:rFonts w:ascii="Times New Roman"/>
                <w:sz w:val="21"/>
              </w:rPr>
              <w:t>1.2t</w:t>
            </w:r>
          </w:p>
        </w:tc>
        <w:tc>
          <w:tcPr>
            <w:tcW w:w="1710" w:type="dxa"/>
          </w:tcPr>
          <w:p w14:paraId="32CAE788">
            <w:pPr>
              <w:pStyle w:val="14"/>
              <w:spacing w:before="169"/>
              <w:ind w:left="124" w:right="114"/>
              <w:jc w:val="center"/>
              <w:rPr>
                <w:rFonts w:ascii="Times New Roman"/>
                <w:sz w:val="21"/>
              </w:rPr>
            </w:pPr>
            <w:r>
              <w:rPr>
                <w:rFonts w:ascii="Times New Roman"/>
                <w:sz w:val="21"/>
              </w:rPr>
              <w:t>0.1t</w:t>
            </w:r>
          </w:p>
        </w:tc>
        <w:tc>
          <w:tcPr>
            <w:tcW w:w="2025" w:type="dxa"/>
          </w:tcPr>
          <w:p w14:paraId="0721F350">
            <w:pPr>
              <w:pStyle w:val="14"/>
              <w:spacing w:before="155"/>
              <w:ind w:left="461" w:right="456"/>
              <w:jc w:val="center"/>
              <w:rPr>
                <w:sz w:val="21"/>
              </w:rPr>
            </w:pPr>
            <w:r>
              <w:rPr>
                <w:sz w:val="21"/>
              </w:rPr>
              <w:t>物料库</w:t>
            </w:r>
          </w:p>
        </w:tc>
      </w:tr>
      <w:tr w14:paraId="44A0C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04" w:type="dxa"/>
          </w:tcPr>
          <w:p w14:paraId="6EFBD04B">
            <w:pPr>
              <w:pStyle w:val="14"/>
              <w:spacing w:before="105"/>
              <w:ind w:left="9"/>
              <w:jc w:val="center"/>
              <w:rPr>
                <w:rFonts w:ascii="Times New Roman"/>
                <w:sz w:val="21"/>
              </w:rPr>
            </w:pPr>
            <w:r>
              <w:rPr>
                <w:rFonts w:ascii="Times New Roman"/>
                <w:w w:val="99"/>
                <w:sz w:val="21"/>
              </w:rPr>
              <w:t>4</w:t>
            </w:r>
          </w:p>
        </w:tc>
        <w:tc>
          <w:tcPr>
            <w:tcW w:w="781" w:type="dxa"/>
            <w:vMerge w:val="continue"/>
            <w:tcBorders>
              <w:top w:val="nil"/>
            </w:tcBorders>
          </w:tcPr>
          <w:p w14:paraId="41E4D1BF">
            <w:pPr>
              <w:rPr>
                <w:sz w:val="2"/>
                <w:szCs w:val="2"/>
              </w:rPr>
            </w:pPr>
          </w:p>
        </w:tc>
        <w:tc>
          <w:tcPr>
            <w:tcW w:w="1885" w:type="dxa"/>
          </w:tcPr>
          <w:p w14:paraId="2887CCFD">
            <w:pPr>
              <w:pStyle w:val="14"/>
              <w:spacing w:before="91"/>
              <w:ind w:left="396" w:right="388"/>
              <w:jc w:val="center"/>
              <w:rPr>
                <w:sz w:val="21"/>
              </w:rPr>
            </w:pPr>
            <w:r>
              <w:rPr>
                <w:sz w:val="21"/>
              </w:rPr>
              <w:t>植物除臭剂</w:t>
            </w:r>
          </w:p>
        </w:tc>
        <w:tc>
          <w:tcPr>
            <w:tcW w:w="1517" w:type="dxa"/>
          </w:tcPr>
          <w:p w14:paraId="290BF3CA">
            <w:pPr>
              <w:pStyle w:val="14"/>
              <w:spacing w:before="105"/>
              <w:ind w:left="106" w:right="99"/>
              <w:jc w:val="center"/>
              <w:rPr>
                <w:rFonts w:ascii="Times New Roman"/>
                <w:sz w:val="21"/>
              </w:rPr>
            </w:pPr>
            <w:r>
              <w:rPr>
                <w:rFonts w:ascii="Times New Roman"/>
                <w:sz w:val="21"/>
              </w:rPr>
              <w:t>20t</w:t>
            </w:r>
          </w:p>
        </w:tc>
        <w:tc>
          <w:tcPr>
            <w:tcW w:w="1710" w:type="dxa"/>
          </w:tcPr>
          <w:p w14:paraId="1BF51DC2">
            <w:pPr>
              <w:pStyle w:val="14"/>
              <w:spacing w:before="105"/>
              <w:ind w:left="124" w:right="114"/>
              <w:jc w:val="center"/>
              <w:rPr>
                <w:rFonts w:ascii="Times New Roman"/>
                <w:sz w:val="21"/>
              </w:rPr>
            </w:pPr>
            <w:r>
              <w:rPr>
                <w:rFonts w:ascii="Times New Roman"/>
                <w:sz w:val="21"/>
              </w:rPr>
              <w:t>2t</w:t>
            </w:r>
          </w:p>
        </w:tc>
        <w:tc>
          <w:tcPr>
            <w:tcW w:w="2025" w:type="dxa"/>
          </w:tcPr>
          <w:p w14:paraId="31FC61FA">
            <w:pPr>
              <w:pStyle w:val="14"/>
              <w:spacing w:before="91"/>
              <w:ind w:left="461" w:right="456"/>
              <w:jc w:val="center"/>
              <w:rPr>
                <w:sz w:val="21"/>
              </w:rPr>
            </w:pPr>
            <w:r>
              <w:rPr>
                <w:sz w:val="21"/>
              </w:rPr>
              <w:t>物料库</w:t>
            </w:r>
          </w:p>
        </w:tc>
      </w:tr>
      <w:tr w14:paraId="303CE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04" w:type="dxa"/>
          </w:tcPr>
          <w:p w14:paraId="4C23D73A">
            <w:pPr>
              <w:pStyle w:val="14"/>
              <w:spacing w:before="107"/>
              <w:ind w:left="9"/>
              <w:jc w:val="center"/>
              <w:rPr>
                <w:rFonts w:ascii="Times New Roman"/>
                <w:sz w:val="21"/>
              </w:rPr>
            </w:pPr>
            <w:r>
              <w:rPr>
                <w:rFonts w:ascii="Times New Roman"/>
                <w:w w:val="99"/>
                <w:sz w:val="21"/>
              </w:rPr>
              <w:t>5</w:t>
            </w:r>
          </w:p>
        </w:tc>
        <w:tc>
          <w:tcPr>
            <w:tcW w:w="781" w:type="dxa"/>
            <w:vMerge w:val="continue"/>
            <w:tcBorders>
              <w:top w:val="nil"/>
            </w:tcBorders>
          </w:tcPr>
          <w:p w14:paraId="5AFA1536">
            <w:pPr>
              <w:rPr>
                <w:sz w:val="2"/>
                <w:szCs w:val="2"/>
              </w:rPr>
            </w:pPr>
          </w:p>
        </w:tc>
        <w:tc>
          <w:tcPr>
            <w:tcW w:w="1885" w:type="dxa"/>
          </w:tcPr>
          <w:p w14:paraId="657FAA76">
            <w:pPr>
              <w:pStyle w:val="14"/>
              <w:spacing w:before="90"/>
              <w:ind w:left="396" w:right="388"/>
              <w:jc w:val="center"/>
              <w:rPr>
                <w:sz w:val="21"/>
              </w:rPr>
            </w:pPr>
            <w:r>
              <w:rPr>
                <w:sz w:val="21"/>
              </w:rPr>
              <w:t>次氯酸钠</w:t>
            </w:r>
          </w:p>
        </w:tc>
        <w:tc>
          <w:tcPr>
            <w:tcW w:w="1517" w:type="dxa"/>
          </w:tcPr>
          <w:p w14:paraId="3074BD39">
            <w:pPr>
              <w:pStyle w:val="14"/>
              <w:spacing w:before="107"/>
              <w:ind w:left="106" w:right="99"/>
              <w:jc w:val="center"/>
              <w:rPr>
                <w:rFonts w:ascii="Times New Roman"/>
                <w:sz w:val="21"/>
              </w:rPr>
            </w:pPr>
            <w:r>
              <w:rPr>
                <w:rFonts w:ascii="Times New Roman"/>
                <w:sz w:val="21"/>
              </w:rPr>
              <w:t>10t</w:t>
            </w:r>
          </w:p>
        </w:tc>
        <w:tc>
          <w:tcPr>
            <w:tcW w:w="1710" w:type="dxa"/>
          </w:tcPr>
          <w:p w14:paraId="61ED6984">
            <w:pPr>
              <w:pStyle w:val="14"/>
              <w:spacing w:before="107"/>
              <w:ind w:left="124" w:right="114"/>
              <w:jc w:val="center"/>
              <w:rPr>
                <w:rFonts w:ascii="Times New Roman"/>
                <w:sz w:val="21"/>
              </w:rPr>
            </w:pPr>
            <w:r>
              <w:rPr>
                <w:rFonts w:ascii="Times New Roman"/>
                <w:sz w:val="21"/>
              </w:rPr>
              <w:t>1.7t</w:t>
            </w:r>
          </w:p>
        </w:tc>
        <w:tc>
          <w:tcPr>
            <w:tcW w:w="2025" w:type="dxa"/>
          </w:tcPr>
          <w:p w14:paraId="140CAF26">
            <w:pPr>
              <w:pStyle w:val="14"/>
              <w:spacing w:before="90"/>
              <w:ind w:left="461" w:right="456"/>
              <w:jc w:val="center"/>
              <w:rPr>
                <w:sz w:val="21"/>
              </w:rPr>
            </w:pPr>
            <w:r>
              <w:rPr>
                <w:sz w:val="21"/>
              </w:rPr>
              <w:t>物料库</w:t>
            </w:r>
          </w:p>
        </w:tc>
      </w:tr>
    </w:tbl>
    <w:p w14:paraId="7E1F6697">
      <w:pPr>
        <w:spacing w:after="0"/>
        <w:jc w:val="center"/>
        <w:rPr>
          <w:sz w:val="21"/>
        </w:rPr>
        <w:sectPr>
          <w:pgSz w:w="11910" w:h="16840"/>
          <w:pgMar w:top="1360" w:right="1460" w:bottom="1400" w:left="1520" w:header="878" w:footer="1204" w:gutter="0"/>
          <w:cols w:space="720" w:num="1"/>
        </w:sectPr>
      </w:pPr>
    </w:p>
    <w:p w14:paraId="0106F9FE">
      <w:pPr>
        <w:pStyle w:val="7"/>
        <w:spacing w:before="3"/>
        <w:rPr>
          <w:b/>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
        <w:gridCol w:w="781"/>
        <w:gridCol w:w="1885"/>
        <w:gridCol w:w="1517"/>
        <w:gridCol w:w="1710"/>
        <w:gridCol w:w="2025"/>
      </w:tblGrid>
      <w:tr w14:paraId="13887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04" w:type="dxa"/>
          </w:tcPr>
          <w:p w14:paraId="4C108E05">
            <w:pPr>
              <w:pStyle w:val="14"/>
              <w:spacing w:before="107"/>
              <w:ind w:left="9"/>
              <w:jc w:val="center"/>
              <w:rPr>
                <w:rFonts w:ascii="Times New Roman"/>
                <w:sz w:val="21"/>
              </w:rPr>
            </w:pPr>
            <w:r>
              <w:rPr>
                <w:rFonts w:ascii="Times New Roman"/>
                <w:w w:val="99"/>
                <w:sz w:val="21"/>
              </w:rPr>
              <w:t>6</w:t>
            </w:r>
          </w:p>
        </w:tc>
        <w:tc>
          <w:tcPr>
            <w:tcW w:w="781" w:type="dxa"/>
            <w:vMerge w:val="restart"/>
          </w:tcPr>
          <w:p w14:paraId="0FC9E3BE">
            <w:pPr>
              <w:pStyle w:val="14"/>
              <w:rPr>
                <w:rFonts w:ascii="Times New Roman"/>
                <w:sz w:val="20"/>
              </w:rPr>
            </w:pPr>
          </w:p>
        </w:tc>
        <w:tc>
          <w:tcPr>
            <w:tcW w:w="1885" w:type="dxa"/>
          </w:tcPr>
          <w:p w14:paraId="0AE06438">
            <w:pPr>
              <w:pStyle w:val="14"/>
              <w:spacing w:before="107"/>
              <w:ind w:left="396" w:right="387"/>
              <w:jc w:val="center"/>
              <w:rPr>
                <w:rFonts w:ascii="Times New Roman"/>
                <w:sz w:val="21"/>
              </w:rPr>
            </w:pPr>
            <w:r>
              <w:rPr>
                <w:rFonts w:ascii="Times New Roman"/>
                <w:sz w:val="21"/>
              </w:rPr>
              <w:t>PAM</w:t>
            </w:r>
          </w:p>
        </w:tc>
        <w:tc>
          <w:tcPr>
            <w:tcW w:w="1517" w:type="dxa"/>
          </w:tcPr>
          <w:p w14:paraId="39443685">
            <w:pPr>
              <w:pStyle w:val="14"/>
              <w:spacing w:before="107"/>
              <w:ind w:left="106" w:right="99"/>
              <w:jc w:val="center"/>
              <w:rPr>
                <w:rFonts w:ascii="Times New Roman"/>
                <w:sz w:val="21"/>
              </w:rPr>
            </w:pPr>
            <w:r>
              <w:rPr>
                <w:rFonts w:ascii="Times New Roman"/>
                <w:sz w:val="21"/>
              </w:rPr>
              <w:t>0.45t</w:t>
            </w:r>
          </w:p>
        </w:tc>
        <w:tc>
          <w:tcPr>
            <w:tcW w:w="1710" w:type="dxa"/>
          </w:tcPr>
          <w:p w14:paraId="4CE19726">
            <w:pPr>
              <w:pStyle w:val="14"/>
              <w:spacing w:before="107"/>
              <w:ind w:left="124" w:right="116"/>
              <w:jc w:val="center"/>
              <w:rPr>
                <w:rFonts w:ascii="Times New Roman"/>
                <w:sz w:val="21"/>
              </w:rPr>
            </w:pPr>
            <w:r>
              <w:rPr>
                <w:rFonts w:ascii="Times New Roman"/>
                <w:sz w:val="21"/>
              </w:rPr>
              <w:t>0.15t</w:t>
            </w:r>
          </w:p>
        </w:tc>
        <w:tc>
          <w:tcPr>
            <w:tcW w:w="2025" w:type="dxa"/>
          </w:tcPr>
          <w:p w14:paraId="7407A42F">
            <w:pPr>
              <w:pStyle w:val="14"/>
              <w:spacing w:before="91"/>
              <w:ind w:left="461" w:right="456"/>
              <w:jc w:val="center"/>
              <w:rPr>
                <w:sz w:val="21"/>
              </w:rPr>
            </w:pPr>
            <w:r>
              <w:rPr>
                <w:sz w:val="21"/>
              </w:rPr>
              <w:t>物料库</w:t>
            </w:r>
          </w:p>
        </w:tc>
      </w:tr>
      <w:tr w14:paraId="43F64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04" w:type="dxa"/>
          </w:tcPr>
          <w:p w14:paraId="091296C1">
            <w:pPr>
              <w:pStyle w:val="14"/>
              <w:spacing w:before="106"/>
              <w:ind w:left="9"/>
              <w:jc w:val="center"/>
              <w:rPr>
                <w:rFonts w:ascii="Times New Roman"/>
                <w:sz w:val="21"/>
              </w:rPr>
            </w:pPr>
            <w:r>
              <w:rPr>
                <w:rFonts w:ascii="Times New Roman"/>
                <w:w w:val="99"/>
                <w:sz w:val="21"/>
              </w:rPr>
              <w:t>7</w:t>
            </w:r>
          </w:p>
        </w:tc>
        <w:tc>
          <w:tcPr>
            <w:tcW w:w="781" w:type="dxa"/>
            <w:vMerge w:val="continue"/>
            <w:tcBorders>
              <w:top w:val="nil"/>
            </w:tcBorders>
          </w:tcPr>
          <w:p w14:paraId="1229EE85">
            <w:pPr>
              <w:rPr>
                <w:sz w:val="2"/>
                <w:szCs w:val="2"/>
              </w:rPr>
            </w:pPr>
          </w:p>
        </w:tc>
        <w:tc>
          <w:tcPr>
            <w:tcW w:w="1885" w:type="dxa"/>
          </w:tcPr>
          <w:p w14:paraId="0876CD74">
            <w:pPr>
              <w:pStyle w:val="14"/>
              <w:spacing w:before="106"/>
              <w:ind w:left="396" w:right="386"/>
              <w:jc w:val="center"/>
              <w:rPr>
                <w:rFonts w:ascii="Times New Roman"/>
                <w:sz w:val="21"/>
              </w:rPr>
            </w:pPr>
            <w:r>
              <w:rPr>
                <w:rFonts w:ascii="Times New Roman"/>
                <w:sz w:val="21"/>
              </w:rPr>
              <w:t>PAC</w:t>
            </w:r>
          </w:p>
        </w:tc>
        <w:tc>
          <w:tcPr>
            <w:tcW w:w="1517" w:type="dxa"/>
          </w:tcPr>
          <w:p w14:paraId="5FEF2FB2">
            <w:pPr>
              <w:pStyle w:val="14"/>
              <w:spacing w:before="106"/>
              <w:ind w:left="106" w:right="99"/>
              <w:jc w:val="center"/>
              <w:rPr>
                <w:rFonts w:ascii="Times New Roman"/>
                <w:sz w:val="21"/>
              </w:rPr>
            </w:pPr>
            <w:r>
              <w:rPr>
                <w:rFonts w:ascii="Times New Roman"/>
                <w:sz w:val="21"/>
              </w:rPr>
              <w:t>15t</w:t>
            </w:r>
          </w:p>
        </w:tc>
        <w:tc>
          <w:tcPr>
            <w:tcW w:w="1710" w:type="dxa"/>
          </w:tcPr>
          <w:p w14:paraId="199D957D">
            <w:pPr>
              <w:pStyle w:val="14"/>
              <w:spacing w:before="106"/>
              <w:ind w:left="124" w:right="116"/>
              <w:jc w:val="center"/>
              <w:rPr>
                <w:rFonts w:ascii="Times New Roman"/>
                <w:sz w:val="21"/>
              </w:rPr>
            </w:pPr>
            <w:r>
              <w:rPr>
                <w:rFonts w:ascii="Times New Roman"/>
                <w:sz w:val="21"/>
              </w:rPr>
              <w:t>1.5t</w:t>
            </w:r>
          </w:p>
        </w:tc>
        <w:tc>
          <w:tcPr>
            <w:tcW w:w="2025" w:type="dxa"/>
          </w:tcPr>
          <w:p w14:paraId="27F225B6">
            <w:pPr>
              <w:pStyle w:val="14"/>
              <w:spacing w:before="90"/>
              <w:ind w:left="461" w:right="456"/>
              <w:jc w:val="center"/>
              <w:rPr>
                <w:sz w:val="21"/>
              </w:rPr>
            </w:pPr>
            <w:r>
              <w:rPr>
                <w:sz w:val="21"/>
              </w:rPr>
              <w:t>物料库</w:t>
            </w:r>
          </w:p>
        </w:tc>
      </w:tr>
      <w:tr w14:paraId="2BCD1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04" w:type="dxa"/>
          </w:tcPr>
          <w:p w14:paraId="42EAA06E">
            <w:pPr>
              <w:pStyle w:val="14"/>
              <w:spacing w:before="170"/>
              <w:ind w:left="9"/>
              <w:jc w:val="center"/>
              <w:rPr>
                <w:rFonts w:ascii="Times New Roman"/>
                <w:sz w:val="21"/>
              </w:rPr>
            </w:pPr>
            <w:r>
              <w:rPr>
                <w:rFonts w:ascii="Times New Roman"/>
                <w:w w:val="99"/>
                <w:sz w:val="21"/>
              </w:rPr>
              <w:t>8</w:t>
            </w:r>
          </w:p>
        </w:tc>
        <w:tc>
          <w:tcPr>
            <w:tcW w:w="781" w:type="dxa"/>
            <w:vMerge w:val="continue"/>
            <w:tcBorders>
              <w:top w:val="nil"/>
            </w:tcBorders>
          </w:tcPr>
          <w:p w14:paraId="404CD864">
            <w:pPr>
              <w:rPr>
                <w:sz w:val="2"/>
                <w:szCs w:val="2"/>
              </w:rPr>
            </w:pPr>
          </w:p>
        </w:tc>
        <w:tc>
          <w:tcPr>
            <w:tcW w:w="1885" w:type="dxa"/>
          </w:tcPr>
          <w:p w14:paraId="70E5A031">
            <w:pPr>
              <w:pStyle w:val="14"/>
              <w:spacing w:before="170"/>
              <w:ind w:left="396" w:right="387"/>
              <w:jc w:val="center"/>
              <w:rPr>
                <w:rFonts w:ascii="Times New Roman"/>
                <w:sz w:val="21"/>
              </w:rPr>
            </w:pPr>
            <w:r>
              <w:rPr>
                <w:rFonts w:ascii="Times New Roman"/>
                <w:sz w:val="21"/>
              </w:rPr>
              <w:t>R507</w:t>
            </w:r>
          </w:p>
        </w:tc>
        <w:tc>
          <w:tcPr>
            <w:tcW w:w="1517" w:type="dxa"/>
          </w:tcPr>
          <w:p w14:paraId="4184C7FA">
            <w:pPr>
              <w:pStyle w:val="14"/>
              <w:spacing w:before="22"/>
              <w:ind w:left="107" w:right="99"/>
              <w:jc w:val="center"/>
              <w:rPr>
                <w:rFonts w:ascii="Times New Roman" w:eastAsia="Times New Roman"/>
                <w:sz w:val="21"/>
              </w:rPr>
            </w:pPr>
            <w:r>
              <w:rPr>
                <w:sz w:val="21"/>
              </w:rPr>
              <w:t xml:space="preserve">一次性充注 </w:t>
            </w:r>
            <w:r>
              <w:rPr>
                <w:rFonts w:ascii="Times New Roman" w:eastAsia="Times New Roman"/>
                <w:sz w:val="21"/>
              </w:rPr>
              <w:t>9</w:t>
            </w:r>
          </w:p>
          <w:p w14:paraId="768A909E">
            <w:pPr>
              <w:pStyle w:val="14"/>
              <w:spacing w:before="2"/>
              <w:ind w:left="9"/>
              <w:jc w:val="center"/>
              <w:rPr>
                <w:sz w:val="21"/>
              </w:rPr>
            </w:pPr>
            <w:r>
              <w:rPr>
                <w:w w:val="99"/>
                <w:sz w:val="21"/>
              </w:rPr>
              <w:t>吨</w:t>
            </w:r>
          </w:p>
        </w:tc>
        <w:tc>
          <w:tcPr>
            <w:tcW w:w="1710" w:type="dxa"/>
          </w:tcPr>
          <w:p w14:paraId="50AC59B1">
            <w:pPr>
              <w:pStyle w:val="14"/>
              <w:spacing w:before="170"/>
              <w:ind w:left="10"/>
              <w:jc w:val="center"/>
              <w:rPr>
                <w:rFonts w:ascii="Times New Roman"/>
                <w:sz w:val="21"/>
              </w:rPr>
            </w:pPr>
            <w:r>
              <w:rPr>
                <w:rFonts w:ascii="Times New Roman"/>
                <w:w w:val="99"/>
                <w:sz w:val="21"/>
              </w:rPr>
              <w:t>/</w:t>
            </w:r>
          </w:p>
        </w:tc>
        <w:tc>
          <w:tcPr>
            <w:tcW w:w="2025" w:type="dxa"/>
          </w:tcPr>
          <w:p w14:paraId="75530509">
            <w:pPr>
              <w:pStyle w:val="14"/>
              <w:spacing w:before="156"/>
              <w:ind w:left="463" w:right="456"/>
              <w:jc w:val="center"/>
              <w:rPr>
                <w:sz w:val="21"/>
              </w:rPr>
            </w:pPr>
            <w:r>
              <w:rPr>
                <w:sz w:val="21"/>
              </w:rPr>
              <w:t>制冷机房</w:t>
            </w:r>
          </w:p>
        </w:tc>
      </w:tr>
      <w:tr w14:paraId="75BE8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04" w:type="dxa"/>
          </w:tcPr>
          <w:p w14:paraId="723463C5">
            <w:pPr>
              <w:pStyle w:val="14"/>
              <w:spacing w:before="105"/>
              <w:ind w:left="9"/>
              <w:jc w:val="center"/>
              <w:rPr>
                <w:rFonts w:ascii="Times New Roman"/>
                <w:sz w:val="21"/>
              </w:rPr>
            </w:pPr>
            <w:r>
              <w:rPr>
                <w:rFonts w:ascii="Times New Roman"/>
                <w:w w:val="99"/>
                <w:sz w:val="21"/>
              </w:rPr>
              <w:t>9</w:t>
            </w:r>
          </w:p>
        </w:tc>
        <w:tc>
          <w:tcPr>
            <w:tcW w:w="781" w:type="dxa"/>
            <w:vMerge w:val="restart"/>
          </w:tcPr>
          <w:p w14:paraId="0212A488">
            <w:pPr>
              <w:pStyle w:val="14"/>
              <w:rPr>
                <w:b/>
                <w:sz w:val="20"/>
              </w:rPr>
            </w:pPr>
          </w:p>
          <w:p w14:paraId="4A9A4786">
            <w:pPr>
              <w:pStyle w:val="14"/>
              <w:spacing w:before="4"/>
              <w:rPr>
                <w:b/>
                <w:sz w:val="28"/>
              </w:rPr>
            </w:pPr>
          </w:p>
          <w:p w14:paraId="320A15F6">
            <w:pPr>
              <w:pStyle w:val="14"/>
              <w:ind w:left="180"/>
              <w:rPr>
                <w:sz w:val="21"/>
              </w:rPr>
            </w:pPr>
            <w:r>
              <w:rPr>
                <w:sz w:val="21"/>
              </w:rPr>
              <w:t>能源</w:t>
            </w:r>
          </w:p>
        </w:tc>
        <w:tc>
          <w:tcPr>
            <w:tcW w:w="1885" w:type="dxa"/>
          </w:tcPr>
          <w:p w14:paraId="4A5FA6B7">
            <w:pPr>
              <w:pStyle w:val="14"/>
              <w:spacing w:before="89"/>
              <w:ind w:left="8"/>
              <w:jc w:val="center"/>
              <w:rPr>
                <w:sz w:val="21"/>
              </w:rPr>
            </w:pPr>
            <w:r>
              <w:rPr>
                <w:w w:val="99"/>
                <w:sz w:val="21"/>
              </w:rPr>
              <w:t>水</w:t>
            </w:r>
          </w:p>
        </w:tc>
        <w:tc>
          <w:tcPr>
            <w:tcW w:w="1517" w:type="dxa"/>
          </w:tcPr>
          <w:p w14:paraId="68AF1C86">
            <w:pPr>
              <w:pStyle w:val="14"/>
              <w:spacing w:before="89"/>
              <w:ind w:right="335"/>
              <w:jc w:val="right"/>
              <w:rPr>
                <w:sz w:val="21"/>
              </w:rPr>
            </w:pPr>
            <w:r>
              <w:rPr>
                <w:rFonts w:ascii="Times New Roman" w:eastAsia="Times New Roman"/>
                <w:sz w:val="21"/>
              </w:rPr>
              <w:t xml:space="preserve">28.866 </w:t>
            </w:r>
            <w:r>
              <w:rPr>
                <w:sz w:val="21"/>
              </w:rPr>
              <w:t>吨</w:t>
            </w:r>
          </w:p>
        </w:tc>
        <w:tc>
          <w:tcPr>
            <w:tcW w:w="1710" w:type="dxa"/>
          </w:tcPr>
          <w:p w14:paraId="6E0DAEE4">
            <w:pPr>
              <w:pStyle w:val="14"/>
              <w:spacing w:before="105"/>
              <w:ind w:left="10"/>
              <w:jc w:val="center"/>
              <w:rPr>
                <w:rFonts w:ascii="Times New Roman"/>
                <w:sz w:val="21"/>
              </w:rPr>
            </w:pPr>
            <w:r>
              <w:rPr>
                <w:rFonts w:ascii="Times New Roman"/>
                <w:w w:val="99"/>
                <w:sz w:val="21"/>
              </w:rPr>
              <w:t>/</w:t>
            </w:r>
          </w:p>
        </w:tc>
        <w:tc>
          <w:tcPr>
            <w:tcW w:w="2025" w:type="dxa"/>
          </w:tcPr>
          <w:p w14:paraId="3970ED9B">
            <w:pPr>
              <w:pStyle w:val="14"/>
              <w:spacing w:before="89"/>
              <w:ind w:left="463" w:right="456"/>
              <w:jc w:val="center"/>
              <w:rPr>
                <w:sz w:val="21"/>
              </w:rPr>
            </w:pPr>
            <w:r>
              <w:rPr>
                <w:sz w:val="21"/>
              </w:rPr>
              <w:t>乡镇供水</w:t>
            </w:r>
          </w:p>
        </w:tc>
      </w:tr>
      <w:tr w14:paraId="62C00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04" w:type="dxa"/>
          </w:tcPr>
          <w:p w14:paraId="26925134">
            <w:pPr>
              <w:pStyle w:val="14"/>
              <w:spacing w:before="169"/>
              <w:ind w:left="174" w:right="165"/>
              <w:jc w:val="center"/>
              <w:rPr>
                <w:rFonts w:ascii="Times New Roman"/>
                <w:sz w:val="21"/>
              </w:rPr>
            </w:pPr>
            <w:r>
              <w:rPr>
                <w:rFonts w:ascii="Times New Roman"/>
                <w:sz w:val="21"/>
              </w:rPr>
              <w:t>10</w:t>
            </w:r>
          </w:p>
        </w:tc>
        <w:tc>
          <w:tcPr>
            <w:tcW w:w="781" w:type="dxa"/>
            <w:vMerge w:val="continue"/>
            <w:tcBorders>
              <w:top w:val="nil"/>
            </w:tcBorders>
          </w:tcPr>
          <w:p w14:paraId="44B08252">
            <w:pPr>
              <w:rPr>
                <w:sz w:val="2"/>
                <w:szCs w:val="2"/>
              </w:rPr>
            </w:pPr>
          </w:p>
        </w:tc>
        <w:tc>
          <w:tcPr>
            <w:tcW w:w="1885" w:type="dxa"/>
          </w:tcPr>
          <w:p w14:paraId="1CF5337F">
            <w:pPr>
              <w:pStyle w:val="14"/>
              <w:spacing w:before="155"/>
              <w:ind w:left="393" w:right="388"/>
              <w:jc w:val="center"/>
              <w:rPr>
                <w:sz w:val="21"/>
              </w:rPr>
            </w:pPr>
            <w:r>
              <w:rPr>
                <w:sz w:val="21"/>
              </w:rPr>
              <w:t>天然气</w:t>
            </w:r>
          </w:p>
        </w:tc>
        <w:tc>
          <w:tcPr>
            <w:tcW w:w="1517" w:type="dxa"/>
          </w:tcPr>
          <w:p w14:paraId="50684BAB">
            <w:pPr>
              <w:pStyle w:val="14"/>
              <w:spacing w:before="155"/>
              <w:ind w:right="414"/>
              <w:jc w:val="right"/>
              <w:rPr>
                <w:sz w:val="21"/>
              </w:rPr>
            </w:pPr>
            <w:r>
              <w:rPr>
                <w:rFonts w:ascii="Times New Roman" w:eastAsia="Times New Roman"/>
                <w:sz w:val="21"/>
              </w:rPr>
              <w:t xml:space="preserve">25 </w:t>
            </w:r>
            <w:r>
              <w:rPr>
                <w:sz w:val="21"/>
              </w:rPr>
              <w:t>万方</w:t>
            </w:r>
          </w:p>
        </w:tc>
        <w:tc>
          <w:tcPr>
            <w:tcW w:w="1710" w:type="dxa"/>
          </w:tcPr>
          <w:p w14:paraId="63B55F30">
            <w:pPr>
              <w:pStyle w:val="14"/>
              <w:spacing w:before="19"/>
              <w:ind w:left="124" w:right="118"/>
              <w:jc w:val="center"/>
              <w:rPr>
                <w:rFonts w:ascii="Times New Roman" w:eastAsia="Times New Roman"/>
                <w:sz w:val="21"/>
              </w:rPr>
            </w:pPr>
            <w:r>
              <w:rPr>
                <w:sz w:val="21"/>
              </w:rPr>
              <w:t xml:space="preserve">其中生活源 </w:t>
            </w:r>
            <w:r>
              <w:rPr>
                <w:rFonts w:ascii="Times New Roman" w:eastAsia="Times New Roman"/>
                <w:sz w:val="21"/>
              </w:rPr>
              <w:t>4.5</w:t>
            </w:r>
          </w:p>
          <w:p w14:paraId="15E4D9C1">
            <w:pPr>
              <w:pStyle w:val="14"/>
              <w:spacing w:before="4"/>
              <w:ind w:left="123" w:right="118"/>
              <w:jc w:val="center"/>
              <w:rPr>
                <w:sz w:val="21"/>
              </w:rPr>
            </w:pPr>
            <w:r>
              <w:rPr>
                <w:sz w:val="21"/>
              </w:rPr>
              <w:t>万方</w:t>
            </w:r>
          </w:p>
        </w:tc>
        <w:tc>
          <w:tcPr>
            <w:tcW w:w="2025" w:type="dxa"/>
          </w:tcPr>
          <w:p w14:paraId="30D0A016">
            <w:pPr>
              <w:pStyle w:val="14"/>
              <w:spacing w:before="155"/>
              <w:ind w:left="463" w:right="456"/>
              <w:jc w:val="center"/>
              <w:rPr>
                <w:sz w:val="21"/>
              </w:rPr>
            </w:pPr>
            <w:r>
              <w:rPr>
                <w:sz w:val="21"/>
              </w:rPr>
              <w:t>乡镇供气</w:t>
            </w:r>
          </w:p>
        </w:tc>
      </w:tr>
      <w:tr w14:paraId="4A60E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04" w:type="dxa"/>
          </w:tcPr>
          <w:p w14:paraId="78367F46">
            <w:pPr>
              <w:pStyle w:val="14"/>
              <w:spacing w:before="106"/>
              <w:ind w:left="176" w:right="162"/>
              <w:jc w:val="center"/>
              <w:rPr>
                <w:rFonts w:ascii="Times New Roman"/>
                <w:sz w:val="21"/>
              </w:rPr>
            </w:pPr>
            <w:r>
              <w:rPr>
                <w:rFonts w:ascii="Times New Roman"/>
                <w:sz w:val="21"/>
              </w:rPr>
              <w:t>11</w:t>
            </w:r>
          </w:p>
        </w:tc>
        <w:tc>
          <w:tcPr>
            <w:tcW w:w="781" w:type="dxa"/>
            <w:vMerge w:val="continue"/>
            <w:tcBorders>
              <w:top w:val="nil"/>
            </w:tcBorders>
          </w:tcPr>
          <w:p w14:paraId="429778DE">
            <w:pPr>
              <w:rPr>
                <w:sz w:val="2"/>
                <w:szCs w:val="2"/>
              </w:rPr>
            </w:pPr>
          </w:p>
        </w:tc>
        <w:tc>
          <w:tcPr>
            <w:tcW w:w="1885" w:type="dxa"/>
          </w:tcPr>
          <w:p w14:paraId="79238013">
            <w:pPr>
              <w:pStyle w:val="14"/>
              <w:spacing w:before="92"/>
              <w:ind w:left="8"/>
              <w:jc w:val="center"/>
              <w:rPr>
                <w:sz w:val="21"/>
              </w:rPr>
            </w:pPr>
            <w:r>
              <w:rPr>
                <w:w w:val="99"/>
                <w:sz w:val="21"/>
              </w:rPr>
              <w:t>电</w:t>
            </w:r>
          </w:p>
        </w:tc>
        <w:tc>
          <w:tcPr>
            <w:tcW w:w="1517" w:type="dxa"/>
          </w:tcPr>
          <w:p w14:paraId="6DA3EB8B">
            <w:pPr>
              <w:pStyle w:val="14"/>
              <w:spacing w:before="92"/>
              <w:ind w:right="361"/>
              <w:jc w:val="right"/>
              <w:rPr>
                <w:sz w:val="21"/>
              </w:rPr>
            </w:pPr>
            <w:r>
              <w:rPr>
                <w:rFonts w:ascii="Times New Roman" w:eastAsia="Times New Roman"/>
                <w:sz w:val="21"/>
              </w:rPr>
              <w:t xml:space="preserve">350 </w:t>
            </w:r>
            <w:r>
              <w:rPr>
                <w:sz w:val="21"/>
              </w:rPr>
              <w:t>万度</w:t>
            </w:r>
          </w:p>
        </w:tc>
        <w:tc>
          <w:tcPr>
            <w:tcW w:w="1710" w:type="dxa"/>
          </w:tcPr>
          <w:p w14:paraId="4EF3FABA">
            <w:pPr>
              <w:pStyle w:val="14"/>
              <w:spacing w:before="106"/>
              <w:ind w:left="10"/>
              <w:jc w:val="center"/>
              <w:rPr>
                <w:rFonts w:ascii="Times New Roman"/>
                <w:sz w:val="21"/>
              </w:rPr>
            </w:pPr>
            <w:r>
              <w:rPr>
                <w:rFonts w:ascii="Times New Roman"/>
                <w:w w:val="99"/>
                <w:sz w:val="21"/>
              </w:rPr>
              <w:t>/</w:t>
            </w:r>
          </w:p>
        </w:tc>
        <w:tc>
          <w:tcPr>
            <w:tcW w:w="2025" w:type="dxa"/>
          </w:tcPr>
          <w:p w14:paraId="236E899D">
            <w:pPr>
              <w:pStyle w:val="14"/>
              <w:spacing w:before="92"/>
              <w:ind w:left="463" w:right="456"/>
              <w:jc w:val="center"/>
              <w:rPr>
                <w:sz w:val="21"/>
              </w:rPr>
            </w:pPr>
            <w:r>
              <w:rPr>
                <w:sz w:val="21"/>
              </w:rPr>
              <w:t>乡镇电网</w:t>
            </w:r>
          </w:p>
        </w:tc>
      </w:tr>
    </w:tbl>
    <w:p w14:paraId="67C4B455">
      <w:pPr>
        <w:pStyle w:val="13"/>
        <w:numPr>
          <w:ilvl w:val="1"/>
          <w:numId w:val="13"/>
        </w:numPr>
        <w:tabs>
          <w:tab w:val="left" w:pos="720"/>
        </w:tabs>
        <w:spacing w:before="4" w:after="0" w:line="240" w:lineRule="auto"/>
        <w:ind w:left="719" w:right="0" w:hanging="439"/>
        <w:jc w:val="left"/>
        <w:rPr>
          <w:b/>
          <w:sz w:val="30"/>
        </w:rPr>
      </w:pPr>
      <w:bookmarkStart w:id="97" w:name="_bookmark19"/>
      <w:bookmarkEnd w:id="97"/>
      <w:bookmarkStart w:id="98" w:name="_bookmark19"/>
      <w:bookmarkEnd w:id="98"/>
      <w:bookmarkStart w:id="99" w:name="3.5主要设备"/>
      <w:bookmarkEnd w:id="99"/>
      <w:r>
        <w:rPr>
          <w:b/>
          <w:sz w:val="30"/>
        </w:rPr>
        <w:t>主要设备</w:t>
      </w:r>
    </w:p>
    <w:p w14:paraId="26AF2869">
      <w:pPr>
        <w:pStyle w:val="7"/>
        <w:spacing w:before="196" w:line="364" w:lineRule="auto"/>
        <w:ind w:left="280" w:right="337" w:firstLine="480"/>
      </w:pPr>
      <w:r>
        <w:t>本项目生产设备主要包括屠宰设备、包装设备、冷库设备、物流设备、检疫检测设备、污水处理设备及其他辅助设施等。</w:t>
      </w:r>
    </w:p>
    <w:p w14:paraId="5FF6E99E">
      <w:pPr>
        <w:spacing w:before="0" w:after="5" w:line="267" w:lineRule="exact"/>
        <w:ind w:left="262" w:right="321" w:firstLine="0"/>
        <w:jc w:val="center"/>
        <w:rPr>
          <w:b/>
          <w:sz w:val="21"/>
        </w:rPr>
      </w:pPr>
      <w:r>
        <w:rPr>
          <w:b/>
          <w:sz w:val="21"/>
        </w:rPr>
        <w:t xml:space="preserve">表 </w:t>
      </w:r>
      <w:r>
        <w:rPr>
          <w:rFonts w:ascii="Times New Roman" w:eastAsia="Times New Roman"/>
          <w:b/>
          <w:sz w:val="21"/>
        </w:rPr>
        <w:t xml:space="preserve">3.5- 1   </w:t>
      </w:r>
      <w:r>
        <w:rPr>
          <w:b/>
          <w:sz w:val="21"/>
        </w:rPr>
        <w:t>项目生产设备一览表</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23BC4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D7C8475">
            <w:pPr>
              <w:pStyle w:val="14"/>
              <w:spacing w:before="91"/>
              <w:ind w:left="86" w:right="79"/>
              <w:jc w:val="center"/>
              <w:rPr>
                <w:b/>
                <w:sz w:val="21"/>
              </w:rPr>
            </w:pPr>
            <w:r>
              <w:rPr>
                <w:b/>
                <w:sz w:val="21"/>
              </w:rPr>
              <w:t>序号</w:t>
            </w:r>
          </w:p>
        </w:tc>
        <w:tc>
          <w:tcPr>
            <w:tcW w:w="2007" w:type="dxa"/>
          </w:tcPr>
          <w:p w14:paraId="0B86E18C">
            <w:pPr>
              <w:pStyle w:val="14"/>
              <w:spacing w:before="91"/>
              <w:ind w:left="132" w:right="125"/>
              <w:jc w:val="center"/>
              <w:rPr>
                <w:b/>
                <w:sz w:val="21"/>
              </w:rPr>
            </w:pPr>
            <w:r>
              <w:rPr>
                <w:b/>
                <w:sz w:val="21"/>
              </w:rPr>
              <w:t>设备名称</w:t>
            </w:r>
          </w:p>
        </w:tc>
        <w:tc>
          <w:tcPr>
            <w:tcW w:w="2808" w:type="dxa"/>
          </w:tcPr>
          <w:p w14:paraId="60D830D1">
            <w:pPr>
              <w:pStyle w:val="14"/>
              <w:spacing w:before="91"/>
              <w:ind w:left="204" w:right="198"/>
              <w:jc w:val="center"/>
              <w:rPr>
                <w:b/>
                <w:sz w:val="21"/>
              </w:rPr>
            </w:pPr>
            <w:r>
              <w:rPr>
                <w:b/>
                <w:sz w:val="21"/>
              </w:rPr>
              <w:t>规格</w:t>
            </w:r>
            <w:r>
              <w:rPr>
                <w:rFonts w:ascii="Times New Roman" w:eastAsia="Times New Roman"/>
                <w:b/>
                <w:sz w:val="21"/>
              </w:rPr>
              <w:t>/</w:t>
            </w:r>
            <w:r>
              <w:rPr>
                <w:b/>
                <w:sz w:val="21"/>
              </w:rPr>
              <w:t>型号</w:t>
            </w:r>
          </w:p>
        </w:tc>
        <w:tc>
          <w:tcPr>
            <w:tcW w:w="684" w:type="dxa"/>
          </w:tcPr>
          <w:p w14:paraId="4A466F12">
            <w:pPr>
              <w:pStyle w:val="14"/>
              <w:spacing w:before="91"/>
              <w:ind w:left="110" w:right="101"/>
              <w:jc w:val="center"/>
              <w:rPr>
                <w:b/>
                <w:sz w:val="21"/>
              </w:rPr>
            </w:pPr>
            <w:r>
              <w:rPr>
                <w:b/>
                <w:sz w:val="21"/>
              </w:rPr>
              <w:t>数量</w:t>
            </w:r>
          </w:p>
        </w:tc>
        <w:tc>
          <w:tcPr>
            <w:tcW w:w="699" w:type="dxa"/>
          </w:tcPr>
          <w:p w14:paraId="277634A1">
            <w:pPr>
              <w:pStyle w:val="14"/>
              <w:spacing w:before="91"/>
              <w:ind w:left="117" w:right="109"/>
              <w:jc w:val="center"/>
              <w:rPr>
                <w:b/>
                <w:sz w:val="21"/>
              </w:rPr>
            </w:pPr>
            <w:r>
              <w:rPr>
                <w:b/>
                <w:sz w:val="21"/>
              </w:rPr>
              <w:t>单位</w:t>
            </w:r>
          </w:p>
        </w:tc>
        <w:tc>
          <w:tcPr>
            <w:tcW w:w="1686" w:type="dxa"/>
          </w:tcPr>
          <w:p w14:paraId="3AF9DBFD">
            <w:pPr>
              <w:pStyle w:val="14"/>
              <w:spacing w:before="91"/>
              <w:ind w:left="86" w:right="77"/>
              <w:jc w:val="center"/>
              <w:rPr>
                <w:b/>
                <w:sz w:val="21"/>
              </w:rPr>
            </w:pPr>
            <w:r>
              <w:rPr>
                <w:b/>
                <w:sz w:val="21"/>
              </w:rPr>
              <w:t>备注</w:t>
            </w:r>
          </w:p>
        </w:tc>
      </w:tr>
      <w:tr w14:paraId="51AEE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22" w:type="dxa"/>
            <w:gridSpan w:val="6"/>
          </w:tcPr>
          <w:p w14:paraId="796356CA">
            <w:pPr>
              <w:pStyle w:val="14"/>
              <w:spacing w:before="90"/>
              <w:ind w:left="107"/>
              <w:rPr>
                <w:b/>
                <w:sz w:val="21"/>
              </w:rPr>
            </w:pPr>
            <w:r>
              <w:rPr>
                <w:b/>
                <w:sz w:val="21"/>
              </w:rPr>
              <w:t>一、屠宰设备（屠宰加工间）</w:t>
            </w:r>
          </w:p>
        </w:tc>
      </w:tr>
      <w:tr w14:paraId="65847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15716C0A">
            <w:pPr>
              <w:pStyle w:val="14"/>
              <w:spacing w:before="171"/>
              <w:ind w:left="8"/>
              <w:jc w:val="center"/>
              <w:rPr>
                <w:rFonts w:ascii="Times New Roman"/>
                <w:sz w:val="21"/>
              </w:rPr>
            </w:pPr>
            <w:r>
              <w:rPr>
                <w:rFonts w:ascii="Times New Roman"/>
                <w:w w:val="99"/>
                <w:sz w:val="21"/>
              </w:rPr>
              <w:t>1</w:t>
            </w:r>
          </w:p>
        </w:tc>
        <w:tc>
          <w:tcPr>
            <w:tcW w:w="2007" w:type="dxa"/>
          </w:tcPr>
          <w:p w14:paraId="3D120B00">
            <w:pPr>
              <w:pStyle w:val="14"/>
              <w:spacing w:before="19" w:line="270" w:lineRule="atLeast"/>
              <w:ind w:left="897" w:right="153" w:hanging="735"/>
              <w:rPr>
                <w:sz w:val="21"/>
              </w:rPr>
            </w:pPr>
            <w:r>
              <w:rPr>
                <w:w w:val="95"/>
                <w:sz w:val="21"/>
              </w:rPr>
              <w:t>三点式自动电击晕</w:t>
            </w:r>
            <w:r>
              <w:rPr>
                <w:sz w:val="21"/>
              </w:rPr>
              <w:t>机</w:t>
            </w:r>
          </w:p>
        </w:tc>
        <w:tc>
          <w:tcPr>
            <w:tcW w:w="2808" w:type="dxa"/>
          </w:tcPr>
          <w:p w14:paraId="4E258DDA">
            <w:pPr>
              <w:pStyle w:val="14"/>
              <w:spacing w:before="171"/>
              <w:ind w:left="206" w:right="198"/>
              <w:jc w:val="center"/>
              <w:rPr>
                <w:rFonts w:ascii="Times New Roman"/>
                <w:sz w:val="21"/>
              </w:rPr>
            </w:pPr>
            <w:r>
              <w:rPr>
                <w:rFonts w:ascii="Times New Roman"/>
                <w:sz w:val="21"/>
              </w:rPr>
              <w:t>MAG-500</w:t>
            </w:r>
          </w:p>
        </w:tc>
        <w:tc>
          <w:tcPr>
            <w:tcW w:w="684" w:type="dxa"/>
          </w:tcPr>
          <w:p w14:paraId="0938B794">
            <w:pPr>
              <w:pStyle w:val="14"/>
              <w:spacing w:before="171"/>
              <w:ind w:left="5"/>
              <w:jc w:val="center"/>
              <w:rPr>
                <w:rFonts w:ascii="Times New Roman"/>
                <w:sz w:val="21"/>
              </w:rPr>
            </w:pPr>
            <w:r>
              <w:rPr>
                <w:rFonts w:ascii="Times New Roman"/>
                <w:w w:val="99"/>
                <w:sz w:val="21"/>
              </w:rPr>
              <w:t>1</w:t>
            </w:r>
          </w:p>
        </w:tc>
        <w:tc>
          <w:tcPr>
            <w:tcW w:w="699" w:type="dxa"/>
          </w:tcPr>
          <w:p w14:paraId="37CB73ED">
            <w:pPr>
              <w:pStyle w:val="14"/>
              <w:spacing w:before="157"/>
              <w:ind w:left="8"/>
              <w:jc w:val="center"/>
              <w:rPr>
                <w:sz w:val="21"/>
              </w:rPr>
            </w:pPr>
            <w:r>
              <w:rPr>
                <w:w w:val="99"/>
                <w:sz w:val="21"/>
              </w:rPr>
              <w:t>台</w:t>
            </w:r>
          </w:p>
        </w:tc>
        <w:tc>
          <w:tcPr>
            <w:tcW w:w="1686" w:type="dxa"/>
          </w:tcPr>
          <w:p w14:paraId="4A1E74EC">
            <w:pPr>
              <w:pStyle w:val="14"/>
              <w:rPr>
                <w:rFonts w:ascii="Times New Roman"/>
                <w:sz w:val="20"/>
              </w:rPr>
            </w:pPr>
          </w:p>
        </w:tc>
      </w:tr>
      <w:tr w14:paraId="7769F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7A2D3A3">
            <w:pPr>
              <w:pStyle w:val="14"/>
              <w:spacing w:before="104"/>
              <w:ind w:left="8"/>
              <w:jc w:val="center"/>
              <w:rPr>
                <w:rFonts w:ascii="Times New Roman"/>
                <w:sz w:val="21"/>
              </w:rPr>
            </w:pPr>
            <w:r>
              <w:rPr>
                <w:rFonts w:ascii="Times New Roman"/>
                <w:w w:val="99"/>
                <w:sz w:val="21"/>
              </w:rPr>
              <w:t>2</w:t>
            </w:r>
          </w:p>
        </w:tc>
        <w:tc>
          <w:tcPr>
            <w:tcW w:w="2007" w:type="dxa"/>
          </w:tcPr>
          <w:p w14:paraId="6186DCC7">
            <w:pPr>
              <w:pStyle w:val="14"/>
              <w:spacing w:before="90"/>
              <w:ind w:left="132" w:right="127"/>
              <w:jc w:val="center"/>
              <w:rPr>
                <w:sz w:val="21"/>
              </w:rPr>
            </w:pPr>
            <w:r>
              <w:rPr>
                <w:sz w:val="21"/>
              </w:rPr>
              <w:t>击晕机接收滑槽</w:t>
            </w:r>
          </w:p>
        </w:tc>
        <w:tc>
          <w:tcPr>
            <w:tcW w:w="2808" w:type="dxa"/>
          </w:tcPr>
          <w:p w14:paraId="7C53AE1C">
            <w:pPr>
              <w:pStyle w:val="14"/>
              <w:spacing w:before="90"/>
              <w:ind w:left="206" w:right="197"/>
              <w:jc w:val="center"/>
              <w:rPr>
                <w:sz w:val="21"/>
              </w:rPr>
            </w:pPr>
            <w:r>
              <w:rPr>
                <w:sz w:val="21"/>
              </w:rPr>
              <w:t>不锈钢</w:t>
            </w:r>
          </w:p>
        </w:tc>
        <w:tc>
          <w:tcPr>
            <w:tcW w:w="684" w:type="dxa"/>
          </w:tcPr>
          <w:p w14:paraId="01B8D3C0">
            <w:pPr>
              <w:pStyle w:val="14"/>
              <w:spacing w:before="104"/>
              <w:ind w:left="5"/>
              <w:jc w:val="center"/>
              <w:rPr>
                <w:rFonts w:ascii="Times New Roman"/>
                <w:sz w:val="21"/>
              </w:rPr>
            </w:pPr>
            <w:r>
              <w:rPr>
                <w:rFonts w:ascii="Times New Roman"/>
                <w:w w:val="99"/>
                <w:sz w:val="21"/>
              </w:rPr>
              <w:t>1</w:t>
            </w:r>
          </w:p>
        </w:tc>
        <w:tc>
          <w:tcPr>
            <w:tcW w:w="699" w:type="dxa"/>
          </w:tcPr>
          <w:p w14:paraId="363490F0">
            <w:pPr>
              <w:pStyle w:val="14"/>
              <w:spacing w:before="90"/>
              <w:ind w:left="8"/>
              <w:jc w:val="center"/>
              <w:rPr>
                <w:sz w:val="21"/>
              </w:rPr>
            </w:pPr>
            <w:r>
              <w:rPr>
                <w:w w:val="99"/>
                <w:sz w:val="21"/>
              </w:rPr>
              <w:t>台</w:t>
            </w:r>
          </w:p>
        </w:tc>
        <w:tc>
          <w:tcPr>
            <w:tcW w:w="1686" w:type="dxa"/>
          </w:tcPr>
          <w:p w14:paraId="6F053DCD">
            <w:pPr>
              <w:pStyle w:val="14"/>
              <w:rPr>
                <w:rFonts w:ascii="Times New Roman"/>
                <w:sz w:val="20"/>
              </w:rPr>
            </w:pPr>
          </w:p>
        </w:tc>
      </w:tr>
      <w:tr w14:paraId="4AB7B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ED69189">
            <w:pPr>
              <w:pStyle w:val="14"/>
              <w:spacing w:before="105"/>
              <w:ind w:left="8"/>
              <w:jc w:val="center"/>
              <w:rPr>
                <w:rFonts w:ascii="Times New Roman"/>
                <w:sz w:val="21"/>
              </w:rPr>
            </w:pPr>
            <w:r>
              <w:rPr>
                <w:rFonts w:ascii="Times New Roman"/>
                <w:w w:val="99"/>
                <w:sz w:val="21"/>
              </w:rPr>
              <w:t>3</w:t>
            </w:r>
          </w:p>
        </w:tc>
        <w:tc>
          <w:tcPr>
            <w:tcW w:w="2007" w:type="dxa"/>
          </w:tcPr>
          <w:p w14:paraId="5FB455FA">
            <w:pPr>
              <w:pStyle w:val="14"/>
              <w:spacing w:before="89"/>
              <w:ind w:left="132" w:right="125"/>
              <w:jc w:val="center"/>
              <w:rPr>
                <w:sz w:val="21"/>
              </w:rPr>
            </w:pPr>
            <w:r>
              <w:rPr>
                <w:sz w:val="21"/>
              </w:rPr>
              <w:t>悬挂式放血输送机</w:t>
            </w:r>
          </w:p>
        </w:tc>
        <w:tc>
          <w:tcPr>
            <w:tcW w:w="2808" w:type="dxa"/>
          </w:tcPr>
          <w:p w14:paraId="008B1008">
            <w:pPr>
              <w:pStyle w:val="14"/>
              <w:spacing w:before="105"/>
              <w:ind w:left="206" w:right="198"/>
              <w:jc w:val="center"/>
              <w:rPr>
                <w:rFonts w:ascii="Times New Roman"/>
                <w:sz w:val="21"/>
              </w:rPr>
            </w:pPr>
            <w:r>
              <w:rPr>
                <w:rFonts w:ascii="Times New Roman"/>
                <w:sz w:val="21"/>
              </w:rPr>
              <w:t>WFSJ-500</w:t>
            </w:r>
          </w:p>
        </w:tc>
        <w:tc>
          <w:tcPr>
            <w:tcW w:w="684" w:type="dxa"/>
          </w:tcPr>
          <w:p w14:paraId="435FA90A">
            <w:pPr>
              <w:pStyle w:val="14"/>
              <w:spacing w:before="105"/>
              <w:ind w:left="5"/>
              <w:jc w:val="center"/>
              <w:rPr>
                <w:rFonts w:ascii="Times New Roman"/>
                <w:sz w:val="21"/>
              </w:rPr>
            </w:pPr>
            <w:r>
              <w:rPr>
                <w:rFonts w:ascii="Times New Roman"/>
                <w:w w:val="99"/>
                <w:sz w:val="21"/>
              </w:rPr>
              <w:t>1</w:t>
            </w:r>
          </w:p>
        </w:tc>
        <w:tc>
          <w:tcPr>
            <w:tcW w:w="699" w:type="dxa"/>
          </w:tcPr>
          <w:p w14:paraId="10536F01">
            <w:pPr>
              <w:pStyle w:val="14"/>
              <w:spacing w:before="89"/>
              <w:ind w:left="8"/>
              <w:jc w:val="center"/>
              <w:rPr>
                <w:sz w:val="21"/>
              </w:rPr>
            </w:pPr>
            <w:r>
              <w:rPr>
                <w:w w:val="99"/>
                <w:sz w:val="21"/>
              </w:rPr>
              <w:t>台</w:t>
            </w:r>
          </w:p>
        </w:tc>
        <w:tc>
          <w:tcPr>
            <w:tcW w:w="1686" w:type="dxa"/>
          </w:tcPr>
          <w:p w14:paraId="095F27FA">
            <w:pPr>
              <w:pStyle w:val="14"/>
              <w:rPr>
                <w:rFonts w:ascii="Times New Roman"/>
                <w:sz w:val="20"/>
              </w:rPr>
            </w:pPr>
          </w:p>
        </w:tc>
      </w:tr>
      <w:tr w14:paraId="0A2B3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0B82676">
            <w:pPr>
              <w:pStyle w:val="14"/>
              <w:spacing w:before="104"/>
              <w:ind w:left="8"/>
              <w:jc w:val="center"/>
              <w:rPr>
                <w:rFonts w:ascii="Times New Roman"/>
                <w:sz w:val="21"/>
              </w:rPr>
            </w:pPr>
            <w:r>
              <w:rPr>
                <w:rFonts w:ascii="Times New Roman"/>
                <w:w w:val="99"/>
                <w:sz w:val="21"/>
              </w:rPr>
              <w:t>4</w:t>
            </w:r>
          </w:p>
        </w:tc>
        <w:tc>
          <w:tcPr>
            <w:tcW w:w="2007" w:type="dxa"/>
          </w:tcPr>
          <w:p w14:paraId="68629A43">
            <w:pPr>
              <w:pStyle w:val="14"/>
              <w:spacing w:before="90"/>
              <w:ind w:left="132" w:right="127"/>
              <w:jc w:val="center"/>
              <w:rPr>
                <w:sz w:val="21"/>
              </w:rPr>
            </w:pPr>
            <w:r>
              <w:rPr>
                <w:sz w:val="21"/>
              </w:rPr>
              <w:t>毛猪放血自动线</w:t>
            </w:r>
          </w:p>
        </w:tc>
        <w:tc>
          <w:tcPr>
            <w:tcW w:w="2808" w:type="dxa"/>
          </w:tcPr>
          <w:p w14:paraId="3251655C">
            <w:pPr>
              <w:pStyle w:val="14"/>
              <w:spacing w:before="104"/>
              <w:ind w:left="206" w:right="196"/>
              <w:jc w:val="center"/>
              <w:rPr>
                <w:rFonts w:ascii="Times New Roman" w:hAnsi="Times New Roman"/>
                <w:sz w:val="21"/>
              </w:rPr>
            </w:pPr>
            <w:r>
              <w:rPr>
                <w:rFonts w:ascii="Times New Roman" w:hAnsi="Times New Roman"/>
                <w:sz w:val="21"/>
              </w:rPr>
              <w:t>GKX—400</w:t>
            </w:r>
          </w:p>
        </w:tc>
        <w:tc>
          <w:tcPr>
            <w:tcW w:w="684" w:type="dxa"/>
          </w:tcPr>
          <w:p w14:paraId="19174583">
            <w:pPr>
              <w:pStyle w:val="14"/>
              <w:spacing w:before="104"/>
              <w:ind w:left="110" w:right="100"/>
              <w:jc w:val="center"/>
              <w:rPr>
                <w:rFonts w:ascii="Times New Roman"/>
                <w:sz w:val="21"/>
              </w:rPr>
            </w:pPr>
            <w:r>
              <w:rPr>
                <w:rFonts w:ascii="Times New Roman"/>
                <w:sz w:val="21"/>
              </w:rPr>
              <w:t>50</w:t>
            </w:r>
          </w:p>
        </w:tc>
        <w:tc>
          <w:tcPr>
            <w:tcW w:w="699" w:type="dxa"/>
          </w:tcPr>
          <w:p w14:paraId="52D117C7">
            <w:pPr>
              <w:pStyle w:val="14"/>
              <w:spacing w:before="90"/>
              <w:ind w:left="8"/>
              <w:jc w:val="center"/>
              <w:rPr>
                <w:sz w:val="21"/>
              </w:rPr>
            </w:pPr>
            <w:r>
              <w:rPr>
                <w:w w:val="99"/>
                <w:sz w:val="21"/>
              </w:rPr>
              <w:t>米</w:t>
            </w:r>
          </w:p>
        </w:tc>
        <w:tc>
          <w:tcPr>
            <w:tcW w:w="1686" w:type="dxa"/>
          </w:tcPr>
          <w:p w14:paraId="25DE2224">
            <w:pPr>
              <w:pStyle w:val="14"/>
              <w:rPr>
                <w:rFonts w:ascii="Times New Roman"/>
                <w:sz w:val="20"/>
              </w:rPr>
            </w:pPr>
          </w:p>
        </w:tc>
      </w:tr>
      <w:tr w14:paraId="4C457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252FD9F">
            <w:pPr>
              <w:pStyle w:val="14"/>
              <w:spacing w:before="104"/>
              <w:ind w:left="8"/>
              <w:jc w:val="center"/>
              <w:rPr>
                <w:rFonts w:ascii="Times New Roman"/>
                <w:sz w:val="21"/>
              </w:rPr>
            </w:pPr>
            <w:r>
              <w:rPr>
                <w:rFonts w:ascii="Times New Roman"/>
                <w:w w:val="99"/>
                <w:sz w:val="21"/>
              </w:rPr>
              <w:t>5</w:t>
            </w:r>
          </w:p>
        </w:tc>
        <w:tc>
          <w:tcPr>
            <w:tcW w:w="2007" w:type="dxa"/>
          </w:tcPr>
          <w:p w14:paraId="5262CA2C">
            <w:pPr>
              <w:pStyle w:val="14"/>
              <w:spacing w:before="90"/>
              <w:ind w:left="132" w:right="125"/>
              <w:jc w:val="center"/>
              <w:rPr>
                <w:sz w:val="21"/>
              </w:rPr>
            </w:pPr>
            <w:r>
              <w:rPr>
                <w:sz w:val="21"/>
              </w:rPr>
              <w:t>集血</w:t>
            </w:r>
            <w:r>
              <w:rPr>
                <w:rFonts w:ascii="Times New Roman" w:eastAsia="Times New Roman"/>
                <w:sz w:val="21"/>
              </w:rPr>
              <w:t>/</w:t>
            </w:r>
            <w:r>
              <w:rPr>
                <w:sz w:val="21"/>
              </w:rPr>
              <w:t>水槽</w:t>
            </w:r>
          </w:p>
        </w:tc>
        <w:tc>
          <w:tcPr>
            <w:tcW w:w="2808" w:type="dxa"/>
          </w:tcPr>
          <w:p w14:paraId="5202EA32">
            <w:pPr>
              <w:pStyle w:val="14"/>
              <w:spacing w:before="90"/>
              <w:ind w:left="206" w:right="197"/>
              <w:jc w:val="center"/>
              <w:rPr>
                <w:sz w:val="21"/>
              </w:rPr>
            </w:pPr>
            <w:r>
              <w:rPr>
                <w:rFonts w:ascii="Times New Roman" w:eastAsia="Times New Roman"/>
                <w:sz w:val="21"/>
              </w:rPr>
              <w:t xml:space="preserve">20 </w:t>
            </w:r>
            <w:r>
              <w:rPr>
                <w:sz w:val="21"/>
              </w:rPr>
              <w:t>米</w:t>
            </w:r>
          </w:p>
        </w:tc>
        <w:tc>
          <w:tcPr>
            <w:tcW w:w="684" w:type="dxa"/>
          </w:tcPr>
          <w:p w14:paraId="2F9DF100">
            <w:pPr>
              <w:pStyle w:val="14"/>
              <w:spacing w:before="104"/>
              <w:ind w:left="5"/>
              <w:jc w:val="center"/>
              <w:rPr>
                <w:rFonts w:ascii="Times New Roman"/>
                <w:sz w:val="21"/>
              </w:rPr>
            </w:pPr>
            <w:r>
              <w:rPr>
                <w:rFonts w:ascii="Times New Roman"/>
                <w:w w:val="99"/>
                <w:sz w:val="21"/>
              </w:rPr>
              <w:t>1</w:t>
            </w:r>
          </w:p>
        </w:tc>
        <w:tc>
          <w:tcPr>
            <w:tcW w:w="699" w:type="dxa"/>
          </w:tcPr>
          <w:p w14:paraId="189479CA">
            <w:pPr>
              <w:pStyle w:val="14"/>
              <w:spacing w:before="90"/>
              <w:ind w:left="8"/>
              <w:jc w:val="center"/>
              <w:rPr>
                <w:sz w:val="21"/>
              </w:rPr>
            </w:pPr>
            <w:r>
              <w:rPr>
                <w:w w:val="99"/>
                <w:sz w:val="21"/>
              </w:rPr>
              <w:t>套</w:t>
            </w:r>
          </w:p>
        </w:tc>
        <w:tc>
          <w:tcPr>
            <w:tcW w:w="1686" w:type="dxa"/>
          </w:tcPr>
          <w:p w14:paraId="513F2DA2">
            <w:pPr>
              <w:pStyle w:val="14"/>
              <w:rPr>
                <w:rFonts w:ascii="Times New Roman"/>
                <w:sz w:val="20"/>
              </w:rPr>
            </w:pPr>
          </w:p>
        </w:tc>
      </w:tr>
      <w:tr w14:paraId="58BD7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B512B83">
            <w:pPr>
              <w:pStyle w:val="14"/>
              <w:spacing w:before="105"/>
              <w:ind w:left="8"/>
              <w:jc w:val="center"/>
              <w:rPr>
                <w:rFonts w:ascii="Times New Roman"/>
                <w:sz w:val="21"/>
              </w:rPr>
            </w:pPr>
            <w:r>
              <w:rPr>
                <w:rFonts w:ascii="Times New Roman"/>
                <w:w w:val="99"/>
                <w:sz w:val="21"/>
              </w:rPr>
              <w:t>6</w:t>
            </w:r>
          </w:p>
        </w:tc>
        <w:tc>
          <w:tcPr>
            <w:tcW w:w="2007" w:type="dxa"/>
          </w:tcPr>
          <w:p w14:paraId="31B4335E">
            <w:pPr>
              <w:pStyle w:val="14"/>
              <w:spacing w:before="89"/>
              <w:ind w:left="132" w:right="125"/>
              <w:jc w:val="center"/>
              <w:rPr>
                <w:sz w:val="21"/>
              </w:rPr>
            </w:pPr>
            <w:r>
              <w:rPr>
                <w:sz w:val="21"/>
              </w:rPr>
              <w:t>立式洗猪机</w:t>
            </w:r>
          </w:p>
        </w:tc>
        <w:tc>
          <w:tcPr>
            <w:tcW w:w="2808" w:type="dxa"/>
          </w:tcPr>
          <w:p w14:paraId="6DB3E8F7">
            <w:pPr>
              <w:pStyle w:val="14"/>
              <w:spacing w:before="105"/>
              <w:ind w:left="203" w:right="198"/>
              <w:jc w:val="center"/>
              <w:rPr>
                <w:rFonts w:ascii="Times New Roman"/>
                <w:sz w:val="21"/>
              </w:rPr>
            </w:pPr>
            <w:r>
              <w:rPr>
                <w:rFonts w:ascii="Times New Roman"/>
                <w:sz w:val="21"/>
              </w:rPr>
              <w:t>LX-6</w:t>
            </w:r>
          </w:p>
        </w:tc>
        <w:tc>
          <w:tcPr>
            <w:tcW w:w="684" w:type="dxa"/>
          </w:tcPr>
          <w:p w14:paraId="6F676B34">
            <w:pPr>
              <w:pStyle w:val="14"/>
              <w:spacing w:before="105"/>
              <w:ind w:left="5"/>
              <w:jc w:val="center"/>
              <w:rPr>
                <w:rFonts w:ascii="Times New Roman"/>
                <w:sz w:val="21"/>
              </w:rPr>
            </w:pPr>
            <w:r>
              <w:rPr>
                <w:rFonts w:ascii="Times New Roman"/>
                <w:w w:val="99"/>
                <w:sz w:val="21"/>
              </w:rPr>
              <w:t>2</w:t>
            </w:r>
          </w:p>
        </w:tc>
        <w:tc>
          <w:tcPr>
            <w:tcW w:w="699" w:type="dxa"/>
          </w:tcPr>
          <w:p w14:paraId="564704AF">
            <w:pPr>
              <w:pStyle w:val="14"/>
              <w:spacing w:before="89"/>
              <w:ind w:left="8"/>
              <w:jc w:val="center"/>
              <w:rPr>
                <w:sz w:val="21"/>
              </w:rPr>
            </w:pPr>
            <w:r>
              <w:rPr>
                <w:w w:val="99"/>
                <w:sz w:val="21"/>
              </w:rPr>
              <w:t>台</w:t>
            </w:r>
          </w:p>
        </w:tc>
        <w:tc>
          <w:tcPr>
            <w:tcW w:w="1686" w:type="dxa"/>
          </w:tcPr>
          <w:p w14:paraId="023430D6">
            <w:pPr>
              <w:pStyle w:val="14"/>
              <w:rPr>
                <w:rFonts w:ascii="Times New Roman"/>
                <w:sz w:val="20"/>
              </w:rPr>
            </w:pPr>
          </w:p>
        </w:tc>
      </w:tr>
      <w:tr w14:paraId="1C980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ED1CE9B">
            <w:pPr>
              <w:pStyle w:val="14"/>
              <w:spacing w:before="104"/>
              <w:ind w:left="8"/>
              <w:jc w:val="center"/>
              <w:rPr>
                <w:rFonts w:ascii="Times New Roman"/>
                <w:sz w:val="21"/>
              </w:rPr>
            </w:pPr>
            <w:r>
              <w:rPr>
                <w:rFonts w:ascii="Times New Roman"/>
                <w:w w:val="99"/>
                <w:sz w:val="21"/>
              </w:rPr>
              <w:t>7</w:t>
            </w:r>
          </w:p>
        </w:tc>
        <w:tc>
          <w:tcPr>
            <w:tcW w:w="2007" w:type="dxa"/>
          </w:tcPr>
          <w:p w14:paraId="2B3713CE">
            <w:pPr>
              <w:pStyle w:val="14"/>
              <w:spacing w:before="90"/>
              <w:ind w:left="132" w:right="125"/>
              <w:jc w:val="center"/>
              <w:rPr>
                <w:sz w:val="21"/>
              </w:rPr>
            </w:pPr>
            <w:r>
              <w:rPr>
                <w:sz w:val="21"/>
              </w:rPr>
              <w:t>气动卸猪器</w:t>
            </w:r>
          </w:p>
        </w:tc>
        <w:tc>
          <w:tcPr>
            <w:tcW w:w="2808" w:type="dxa"/>
          </w:tcPr>
          <w:p w14:paraId="24306A46">
            <w:pPr>
              <w:pStyle w:val="14"/>
              <w:spacing w:before="90"/>
              <w:ind w:left="206" w:right="197"/>
              <w:jc w:val="center"/>
              <w:rPr>
                <w:sz w:val="21"/>
              </w:rPr>
            </w:pPr>
            <w:r>
              <w:rPr>
                <w:sz w:val="21"/>
              </w:rPr>
              <w:t>国产</w:t>
            </w:r>
          </w:p>
        </w:tc>
        <w:tc>
          <w:tcPr>
            <w:tcW w:w="684" w:type="dxa"/>
          </w:tcPr>
          <w:p w14:paraId="4F847F7B">
            <w:pPr>
              <w:pStyle w:val="14"/>
              <w:spacing w:before="104"/>
              <w:ind w:left="5"/>
              <w:jc w:val="center"/>
              <w:rPr>
                <w:rFonts w:ascii="Times New Roman"/>
                <w:sz w:val="21"/>
              </w:rPr>
            </w:pPr>
            <w:r>
              <w:rPr>
                <w:rFonts w:ascii="Times New Roman"/>
                <w:w w:val="99"/>
                <w:sz w:val="21"/>
              </w:rPr>
              <w:t>2</w:t>
            </w:r>
          </w:p>
        </w:tc>
        <w:tc>
          <w:tcPr>
            <w:tcW w:w="699" w:type="dxa"/>
          </w:tcPr>
          <w:p w14:paraId="350CB726">
            <w:pPr>
              <w:pStyle w:val="14"/>
              <w:spacing w:before="90"/>
              <w:ind w:left="8"/>
              <w:jc w:val="center"/>
              <w:rPr>
                <w:sz w:val="21"/>
              </w:rPr>
            </w:pPr>
            <w:r>
              <w:rPr>
                <w:w w:val="99"/>
                <w:sz w:val="21"/>
              </w:rPr>
              <w:t>台</w:t>
            </w:r>
          </w:p>
        </w:tc>
        <w:tc>
          <w:tcPr>
            <w:tcW w:w="1686" w:type="dxa"/>
          </w:tcPr>
          <w:p w14:paraId="03997D5C">
            <w:pPr>
              <w:pStyle w:val="14"/>
              <w:rPr>
                <w:rFonts w:ascii="Times New Roman"/>
                <w:sz w:val="20"/>
              </w:rPr>
            </w:pPr>
          </w:p>
        </w:tc>
      </w:tr>
      <w:tr w14:paraId="5C68D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85C7ADD">
            <w:pPr>
              <w:pStyle w:val="14"/>
              <w:spacing w:before="104"/>
              <w:ind w:left="8"/>
              <w:jc w:val="center"/>
              <w:rPr>
                <w:rFonts w:ascii="Times New Roman"/>
                <w:sz w:val="21"/>
              </w:rPr>
            </w:pPr>
            <w:r>
              <w:rPr>
                <w:rFonts w:ascii="Times New Roman"/>
                <w:w w:val="99"/>
                <w:sz w:val="21"/>
              </w:rPr>
              <w:t>8</w:t>
            </w:r>
          </w:p>
        </w:tc>
        <w:tc>
          <w:tcPr>
            <w:tcW w:w="2007" w:type="dxa"/>
          </w:tcPr>
          <w:p w14:paraId="14DEA5D5">
            <w:pPr>
              <w:pStyle w:val="14"/>
              <w:spacing w:before="90"/>
              <w:ind w:left="132" w:right="127"/>
              <w:jc w:val="center"/>
              <w:rPr>
                <w:sz w:val="21"/>
              </w:rPr>
            </w:pPr>
            <w:r>
              <w:rPr>
                <w:sz w:val="21"/>
              </w:rPr>
              <w:t>刨毛猪接收滑槽</w:t>
            </w:r>
          </w:p>
        </w:tc>
        <w:tc>
          <w:tcPr>
            <w:tcW w:w="2808" w:type="dxa"/>
          </w:tcPr>
          <w:p w14:paraId="09C0D1DF">
            <w:pPr>
              <w:pStyle w:val="14"/>
              <w:spacing w:before="90"/>
              <w:ind w:left="206" w:right="197"/>
              <w:jc w:val="center"/>
              <w:rPr>
                <w:sz w:val="21"/>
              </w:rPr>
            </w:pPr>
            <w:r>
              <w:rPr>
                <w:sz w:val="21"/>
              </w:rPr>
              <w:t>不锈钢</w:t>
            </w:r>
          </w:p>
        </w:tc>
        <w:tc>
          <w:tcPr>
            <w:tcW w:w="684" w:type="dxa"/>
          </w:tcPr>
          <w:p w14:paraId="443C62C6">
            <w:pPr>
              <w:pStyle w:val="14"/>
              <w:spacing w:before="104"/>
              <w:ind w:left="5"/>
              <w:jc w:val="center"/>
              <w:rPr>
                <w:rFonts w:ascii="Times New Roman"/>
                <w:sz w:val="21"/>
              </w:rPr>
            </w:pPr>
            <w:r>
              <w:rPr>
                <w:rFonts w:ascii="Times New Roman"/>
                <w:w w:val="99"/>
                <w:sz w:val="21"/>
              </w:rPr>
              <w:t>2</w:t>
            </w:r>
          </w:p>
        </w:tc>
        <w:tc>
          <w:tcPr>
            <w:tcW w:w="699" w:type="dxa"/>
          </w:tcPr>
          <w:p w14:paraId="41DA76A5">
            <w:pPr>
              <w:pStyle w:val="14"/>
              <w:spacing w:before="90"/>
              <w:ind w:left="8"/>
              <w:jc w:val="center"/>
              <w:rPr>
                <w:sz w:val="21"/>
              </w:rPr>
            </w:pPr>
            <w:r>
              <w:rPr>
                <w:w w:val="99"/>
                <w:sz w:val="21"/>
              </w:rPr>
              <w:t>台</w:t>
            </w:r>
          </w:p>
        </w:tc>
        <w:tc>
          <w:tcPr>
            <w:tcW w:w="1686" w:type="dxa"/>
          </w:tcPr>
          <w:p w14:paraId="6D4DD62B">
            <w:pPr>
              <w:pStyle w:val="14"/>
              <w:rPr>
                <w:rFonts w:ascii="Times New Roman"/>
                <w:sz w:val="20"/>
              </w:rPr>
            </w:pPr>
          </w:p>
        </w:tc>
      </w:tr>
      <w:tr w14:paraId="2C25C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18678D66">
            <w:pPr>
              <w:pStyle w:val="14"/>
              <w:spacing w:before="105"/>
              <w:ind w:left="8"/>
              <w:jc w:val="center"/>
              <w:rPr>
                <w:rFonts w:ascii="Times New Roman"/>
                <w:sz w:val="21"/>
              </w:rPr>
            </w:pPr>
            <w:r>
              <w:rPr>
                <w:rFonts w:ascii="Times New Roman"/>
                <w:w w:val="99"/>
                <w:sz w:val="21"/>
              </w:rPr>
              <w:t>9</w:t>
            </w:r>
          </w:p>
        </w:tc>
        <w:tc>
          <w:tcPr>
            <w:tcW w:w="2007" w:type="dxa"/>
          </w:tcPr>
          <w:p w14:paraId="73AD53B9">
            <w:pPr>
              <w:pStyle w:val="14"/>
              <w:spacing w:before="89"/>
              <w:ind w:left="132" w:right="127"/>
              <w:jc w:val="center"/>
              <w:rPr>
                <w:sz w:val="21"/>
              </w:rPr>
            </w:pPr>
            <w:r>
              <w:rPr>
                <w:sz w:val="21"/>
              </w:rPr>
              <w:t>运河式烫猪池</w:t>
            </w:r>
          </w:p>
        </w:tc>
        <w:tc>
          <w:tcPr>
            <w:tcW w:w="2808" w:type="dxa"/>
          </w:tcPr>
          <w:p w14:paraId="0CE37745">
            <w:pPr>
              <w:pStyle w:val="14"/>
              <w:spacing w:before="105"/>
              <w:ind w:left="206" w:right="198"/>
              <w:jc w:val="center"/>
              <w:rPr>
                <w:rFonts w:ascii="Times New Roman" w:hAnsi="Times New Roman"/>
                <w:sz w:val="21"/>
              </w:rPr>
            </w:pPr>
            <w:r>
              <w:rPr>
                <w:rFonts w:ascii="Times New Roman" w:hAnsi="Times New Roman"/>
                <w:sz w:val="21"/>
              </w:rPr>
              <w:t>30000×2000×800</w:t>
            </w:r>
          </w:p>
        </w:tc>
        <w:tc>
          <w:tcPr>
            <w:tcW w:w="684" w:type="dxa"/>
          </w:tcPr>
          <w:p w14:paraId="276B49AE">
            <w:pPr>
              <w:pStyle w:val="14"/>
              <w:spacing w:before="105"/>
              <w:ind w:left="110" w:right="100"/>
              <w:jc w:val="center"/>
              <w:rPr>
                <w:rFonts w:ascii="Times New Roman"/>
                <w:sz w:val="21"/>
              </w:rPr>
            </w:pPr>
            <w:r>
              <w:rPr>
                <w:rFonts w:ascii="Times New Roman"/>
                <w:sz w:val="21"/>
              </w:rPr>
              <w:t>30</w:t>
            </w:r>
          </w:p>
        </w:tc>
        <w:tc>
          <w:tcPr>
            <w:tcW w:w="699" w:type="dxa"/>
          </w:tcPr>
          <w:p w14:paraId="2B192E58">
            <w:pPr>
              <w:pStyle w:val="14"/>
              <w:spacing w:before="105"/>
              <w:ind w:left="10"/>
              <w:jc w:val="center"/>
              <w:rPr>
                <w:rFonts w:ascii="Times New Roman"/>
                <w:sz w:val="21"/>
              </w:rPr>
            </w:pPr>
            <w:r>
              <w:rPr>
                <w:rFonts w:ascii="Times New Roman"/>
                <w:w w:val="99"/>
                <w:sz w:val="21"/>
              </w:rPr>
              <w:t>m</w:t>
            </w:r>
          </w:p>
        </w:tc>
        <w:tc>
          <w:tcPr>
            <w:tcW w:w="1686" w:type="dxa"/>
          </w:tcPr>
          <w:p w14:paraId="42F68FB8">
            <w:pPr>
              <w:pStyle w:val="14"/>
              <w:rPr>
                <w:rFonts w:ascii="Times New Roman"/>
                <w:sz w:val="20"/>
              </w:rPr>
            </w:pPr>
          </w:p>
        </w:tc>
      </w:tr>
      <w:tr w14:paraId="0B9A9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E97A817">
            <w:pPr>
              <w:pStyle w:val="14"/>
              <w:spacing w:before="104"/>
              <w:ind w:left="86" w:right="78"/>
              <w:jc w:val="center"/>
              <w:rPr>
                <w:rFonts w:ascii="Times New Roman"/>
                <w:sz w:val="21"/>
              </w:rPr>
            </w:pPr>
            <w:r>
              <w:rPr>
                <w:rFonts w:ascii="Times New Roman"/>
                <w:sz w:val="21"/>
              </w:rPr>
              <w:t>10</w:t>
            </w:r>
          </w:p>
        </w:tc>
        <w:tc>
          <w:tcPr>
            <w:tcW w:w="2007" w:type="dxa"/>
          </w:tcPr>
          <w:p w14:paraId="422159B4">
            <w:pPr>
              <w:pStyle w:val="14"/>
              <w:spacing w:before="91"/>
              <w:ind w:left="132" w:right="127"/>
              <w:jc w:val="center"/>
              <w:rPr>
                <w:sz w:val="21"/>
              </w:rPr>
            </w:pPr>
            <w:r>
              <w:rPr>
                <w:sz w:val="21"/>
              </w:rPr>
              <w:t>螺旋自动刨毛机</w:t>
            </w:r>
          </w:p>
        </w:tc>
        <w:tc>
          <w:tcPr>
            <w:tcW w:w="2808" w:type="dxa"/>
          </w:tcPr>
          <w:p w14:paraId="5B5B0194">
            <w:pPr>
              <w:pStyle w:val="14"/>
              <w:spacing w:before="104"/>
              <w:ind w:left="203" w:right="198"/>
              <w:jc w:val="center"/>
              <w:rPr>
                <w:rFonts w:ascii="Times New Roman"/>
                <w:sz w:val="21"/>
              </w:rPr>
            </w:pPr>
            <w:r>
              <w:rPr>
                <w:rFonts w:ascii="Times New Roman"/>
                <w:sz w:val="21"/>
              </w:rPr>
              <w:t>ZDBM-300</w:t>
            </w:r>
          </w:p>
        </w:tc>
        <w:tc>
          <w:tcPr>
            <w:tcW w:w="684" w:type="dxa"/>
          </w:tcPr>
          <w:p w14:paraId="0E2C7CEB">
            <w:pPr>
              <w:pStyle w:val="14"/>
              <w:spacing w:before="104"/>
              <w:ind w:left="5"/>
              <w:jc w:val="center"/>
              <w:rPr>
                <w:rFonts w:ascii="Times New Roman"/>
                <w:sz w:val="21"/>
              </w:rPr>
            </w:pPr>
            <w:r>
              <w:rPr>
                <w:rFonts w:ascii="Times New Roman"/>
                <w:w w:val="99"/>
                <w:sz w:val="21"/>
              </w:rPr>
              <w:t>2</w:t>
            </w:r>
          </w:p>
        </w:tc>
        <w:tc>
          <w:tcPr>
            <w:tcW w:w="699" w:type="dxa"/>
          </w:tcPr>
          <w:p w14:paraId="25D4786E">
            <w:pPr>
              <w:pStyle w:val="14"/>
              <w:spacing w:before="91"/>
              <w:ind w:left="8"/>
              <w:jc w:val="center"/>
              <w:rPr>
                <w:sz w:val="21"/>
              </w:rPr>
            </w:pPr>
            <w:r>
              <w:rPr>
                <w:w w:val="99"/>
                <w:sz w:val="21"/>
              </w:rPr>
              <w:t>台</w:t>
            </w:r>
          </w:p>
        </w:tc>
        <w:tc>
          <w:tcPr>
            <w:tcW w:w="1686" w:type="dxa"/>
          </w:tcPr>
          <w:p w14:paraId="2ECE1A09">
            <w:pPr>
              <w:pStyle w:val="14"/>
              <w:rPr>
                <w:rFonts w:ascii="Times New Roman"/>
                <w:sz w:val="20"/>
              </w:rPr>
            </w:pPr>
          </w:p>
        </w:tc>
      </w:tr>
      <w:tr w14:paraId="38967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7FE2EF8A">
            <w:pPr>
              <w:pStyle w:val="14"/>
              <w:spacing w:before="104"/>
              <w:ind w:left="86" w:right="73"/>
              <w:jc w:val="center"/>
              <w:rPr>
                <w:rFonts w:ascii="Times New Roman"/>
                <w:sz w:val="21"/>
              </w:rPr>
            </w:pPr>
            <w:r>
              <w:rPr>
                <w:rFonts w:ascii="Times New Roman"/>
                <w:sz w:val="21"/>
              </w:rPr>
              <w:t>11</w:t>
            </w:r>
          </w:p>
        </w:tc>
        <w:tc>
          <w:tcPr>
            <w:tcW w:w="2007" w:type="dxa"/>
          </w:tcPr>
          <w:p w14:paraId="14A5DAA0">
            <w:pPr>
              <w:pStyle w:val="14"/>
              <w:spacing w:before="90"/>
              <w:ind w:left="132" w:right="127"/>
              <w:jc w:val="center"/>
              <w:rPr>
                <w:sz w:val="21"/>
              </w:rPr>
            </w:pPr>
            <w:r>
              <w:rPr>
                <w:sz w:val="21"/>
              </w:rPr>
              <w:t>刨毛猪出猪滑槽</w:t>
            </w:r>
          </w:p>
        </w:tc>
        <w:tc>
          <w:tcPr>
            <w:tcW w:w="2808" w:type="dxa"/>
          </w:tcPr>
          <w:p w14:paraId="73DC6409">
            <w:pPr>
              <w:pStyle w:val="14"/>
              <w:spacing w:before="90"/>
              <w:ind w:left="206" w:right="197"/>
              <w:jc w:val="center"/>
              <w:rPr>
                <w:sz w:val="21"/>
              </w:rPr>
            </w:pPr>
            <w:r>
              <w:rPr>
                <w:sz w:val="21"/>
              </w:rPr>
              <w:t>不锈钢</w:t>
            </w:r>
          </w:p>
        </w:tc>
        <w:tc>
          <w:tcPr>
            <w:tcW w:w="684" w:type="dxa"/>
          </w:tcPr>
          <w:p w14:paraId="49022C1E">
            <w:pPr>
              <w:pStyle w:val="14"/>
              <w:spacing w:before="104"/>
              <w:ind w:left="5"/>
              <w:jc w:val="center"/>
              <w:rPr>
                <w:rFonts w:ascii="Times New Roman"/>
                <w:sz w:val="21"/>
              </w:rPr>
            </w:pPr>
            <w:r>
              <w:rPr>
                <w:rFonts w:ascii="Times New Roman"/>
                <w:w w:val="99"/>
                <w:sz w:val="21"/>
              </w:rPr>
              <w:t>2</w:t>
            </w:r>
          </w:p>
        </w:tc>
        <w:tc>
          <w:tcPr>
            <w:tcW w:w="699" w:type="dxa"/>
          </w:tcPr>
          <w:p w14:paraId="03339154">
            <w:pPr>
              <w:pStyle w:val="14"/>
              <w:spacing w:before="90"/>
              <w:ind w:left="8"/>
              <w:jc w:val="center"/>
              <w:rPr>
                <w:sz w:val="21"/>
              </w:rPr>
            </w:pPr>
            <w:r>
              <w:rPr>
                <w:w w:val="99"/>
                <w:sz w:val="21"/>
              </w:rPr>
              <w:t>台</w:t>
            </w:r>
          </w:p>
        </w:tc>
        <w:tc>
          <w:tcPr>
            <w:tcW w:w="1686" w:type="dxa"/>
          </w:tcPr>
          <w:p w14:paraId="1BA46264">
            <w:pPr>
              <w:pStyle w:val="14"/>
              <w:rPr>
                <w:rFonts w:ascii="Times New Roman"/>
                <w:sz w:val="20"/>
              </w:rPr>
            </w:pPr>
          </w:p>
        </w:tc>
      </w:tr>
      <w:tr w14:paraId="22C58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26EDB1D">
            <w:pPr>
              <w:pStyle w:val="14"/>
              <w:spacing w:before="105"/>
              <w:ind w:left="86" w:right="78"/>
              <w:jc w:val="center"/>
              <w:rPr>
                <w:rFonts w:ascii="Times New Roman"/>
                <w:sz w:val="21"/>
              </w:rPr>
            </w:pPr>
            <w:r>
              <w:rPr>
                <w:rFonts w:ascii="Times New Roman"/>
                <w:sz w:val="21"/>
              </w:rPr>
              <w:t>12</w:t>
            </w:r>
          </w:p>
        </w:tc>
        <w:tc>
          <w:tcPr>
            <w:tcW w:w="2007" w:type="dxa"/>
          </w:tcPr>
          <w:p w14:paraId="58E2F05A">
            <w:pPr>
              <w:pStyle w:val="14"/>
              <w:spacing w:before="89"/>
              <w:ind w:left="132" w:right="125"/>
              <w:jc w:val="center"/>
              <w:rPr>
                <w:sz w:val="21"/>
              </w:rPr>
            </w:pPr>
            <w:r>
              <w:rPr>
                <w:sz w:val="21"/>
              </w:rPr>
              <w:t>修刮输送机</w:t>
            </w:r>
          </w:p>
        </w:tc>
        <w:tc>
          <w:tcPr>
            <w:tcW w:w="2808" w:type="dxa"/>
          </w:tcPr>
          <w:p w14:paraId="1BE936CD">
            <w:pPr>
              <w:pStyle w:val="14"/>
              <w:spacing w:before="105"/>
              <w:ind w:left="206" w:right="198"/>
              <w:jc w:val="center"/>
              <w:rPr>
                <w:rFonts w:ascii="Times New Roman"/>
                <w:sz w:val="21"/>
              </w:rPr>
            </w:pPr>
            <w:r>
              <w:rPr>
                <w:rFonts w:ascii="Times New Roman"/>
                <w:sz w:val="21"/>
              </w:rPr>
              <w:t>PBS-400</w:t>
            </w:r>
          </w:p>
        </w:tc>
        <w:tc>
          <w:tcPr>
            <w:tcW w:w="684" w:type="dxa"/>
          </w:tcPr>
          <w:p w14:paraId="038D1830">
            <w:pPr>
              <w:pStyle w:val="14"/>
              <w:spacing w:before="105"/>
              <w:ind w:left="5"/>
              <w:jc w:val="center"/>
              <w:rPr>
                <w:rFonts w:ascii="Times New Roman"/>
                <w:sz w:val="21"/>
              </w:rPr>
            </w:pPr>
            <w:r>
              <w:rPr>
                <w:rFonts w:ascii="Times New Roman"/>
                <w:w w:val="99"/>
                <w:sz w:val="21"/>
              </w:rPr>
              <w:t>2</w:t>
            </w:r>
          </w:p>
        </w:tc>
        <w:tc>
          <w:tcPr>
            <w:tcW w:w="699" w:type="dxa"/>
          </w:tcPr>
          <w:p w14:paraId="728B619E">
            <w:pPr>
              <w:pStyle w:val="14"/>
              <w:spacing w:before="89"/>
              <w:ind w:left="8"/>
              <w:jc w:val="center"/>
              <w:rPr>
                <w:sz w:val="21"/>
              </w:rPr>
            </w:pPr>
            <w:r>
              <w:rPr>
                <w:w w:val="99"/>
                <w:sz w:val="21"/>
              </w:rPr>
              <w:t>台</w:t>
            </w:r>
          </w:p>
        </w:tc>
        <w:tc>
          <w:tcPr>
            <w:tcW w:w="1686" w:type="dxa"/>
          </w:tcPr>
          <w:p w14:paraId="090AB536">
            <w:pPr>
              <w:pStyle w:val="14"/>
              <w:rPr>
                <w:rFonts w:ascii="Times New Roman"/>
                <w:sz w:val="20"/>
              </w:rPr>
            </w:pPr>
          </w:p>
        </w:tc>
      </w:tr>
      <w:tr w14:paraId="20C29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562ED08">
            <w:pPr>
              <w:pStyle w:val="14"/>
              <w:spacing w:before="104"/>
              <w:ind w:left="86" w:right="78"/>
              <w:jc w:val="center"/>
              <w:rPr>
                <w:rFonts w:ascii="Times New Roman"/>
                <w:sz w:val="21"/>
              </w:rPr>
            </w:pPr>
            <w:r>
              <w:rPr>
                <w:rFonts w:ascii="Times New Roman"/>
                <w:sz w:val="21"/>
              </w:rPr>
              <w:t>13</w:t>
            </w:r>
          </w:p>
        </w:tc>
        <w:tc>
          <w:tcPr>
            <w:tcW w:w="2007" w:type="dxa"/>
          </w:tcPr>
          <w:p w14:paraId="427FF9AF">
            <w:pPr>
              <w:pStyle w:val="14"/>
              <w:spacing w:before="90"/>
              <w:ind w:left="132" w:right="127"/>
              <w:jc w:val="center"/>
              <w:rPr>
                <w:sz w:val="21"/>
              </w:rPr>
            </w:pPr>
            <w:r>
              <w:rPr>
                <w:sz w:val="21"/>
              </w:rPr>
              <w:t>手持式燎毛器</w:t>
            </w:r>
          </w:p>
        </w:tc>
        <w:tc>
          <w:tcPr>
            <w:tcW w:w="2808" w:type="dxa"/>
          </w:tcPr>
          <w:p w14:paraId="7EF4BDB4">
            <w:pPr>
              <w:pStyle w:val="14"/>
              <w:spacing w:before="104"/>
              <w:ind w:left="206" w:right="196"/>
              <w:jc w:val="center"/>
              <w:rPr>
                <w:rFonts w:ascii="Times New Roman"/>
                <w:sz w:val="21"/>
              </w:rPr>
            </w:pPr>
            <w:r>
              <w:rPr>
                <w:rFonts w:ascii="Times New Roman"/>
                <w:sz w:val="21"/>
              </w:rPr>
              <w:t>D100</w:t>
            </w:r>
          </w:p>
        </w:tc>
        <w:tc>
          <w:tcPr>
            <w:tcW w:w="684" w:type="dxa"/>
          </w:tcPr>
          <w:p w14:paraId="764DCF06">
            <w:pPr>
              <w:pStyle w:val="14"/>
              <w:spacing w:before="104"/>
              <w:ind w:left="110" w:right="100"/>
              <w:jc w:val="center"/>
              <w:rPr>
                <w:rFonts w:ascii="Times New Roman"/>
                <w:sz w:val="21"/>
              </w:rPr>
            </w:pPr>
            <w:r>
              <w:rPr>
                <w:rFonts w:ascii="Times New Roman"/>
                <w:sz w:val="21"/>
              </w:rPr>
              <w:t>10</w:t>
            </w:r>
          </w:p>
        </w:tc>
        <w:tc>
          <w:tcPr>
            <w:tcW w:w="699" w:type="dxa"/>
          </w:tcPr>
          <w:p w14:paraId="0788FC11">
            <w:pPr>
              <w:pStyle w:val="14"/>
              <w:spacing w:before="90"/>
              <w:ind w:left="8"/>
              <w:jc w:val="center"/>
              <w:rPr>
                <w:sz w:val="21"/>
              </w:rPr>
            </w:pPr>
            <w:r>
              <w:rPr>
                <w:w w:val="99"/>
                <w:sz w:val="21"/>
              </w:rPr>
              <w:t>件</w:t>
            </w:r>
          </w:p>
        </w:tc>
        <w:tc>
          <w:tcPr>
            <w:tcW w:w="1686" w:type="dxa"/>
          </w:tcPr>
          <w:p w14:paraId="47C88D4B">
            <w:pPr>
              <w:pStyle w:val="14"/>
              <w:rPr>
                <w:rFonts w:ascii="Times New Roman"/>
                <w:sz w:val="20"/>
              </w:rPr>
            </w:pPr>
          </w:p>
        </w:tc>
      </w:tr>
      <w:tr w14:paraId="16194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2F42C3A">
            <w:pPr>
              <w:pStyle w:val="14"/>
              <w:spacing w:before="104"/>
              <w:ind w:left="86" w:right="78"/>
              <w:jc w:val="center"/>
              <w:rPr>
                <w:rFonts w:ascii="Times New Roman"/>
                <w:sz w:val="21"/>
              </w:rPr>
            </w:pPr>
            <w:r>
              <w:rPr>
                <w:rFonts w:ascii="Times New Roman"/>
                <w:sz w:val="21"/>
              </w:rPr>
              <w:t>14</w:t>
            </w:r>
          </w:p>
        </w:tc>
        <w:tc>
          <w:tcPr>
            <w:tcW w:w="2007" w:type="dxa"/>
          </w:tcPr>
          <w:p w14:paraId="30683A12">
            <w:pPr>
              <w:pStyle w:val="14"/>
              <w:spacing w:before="90"/>
              <w:ind w:left="132" w:right="125"/>
              <w:jc w:val="center"/>
              <w:rPr>
                <w:sz w:val="21"/>
              </w:rPr>
            </w:pPr>
            <w:r>
              <w:rPr>
                <w:sz w:val="21"/>
              </w:rPr>
              <w:t>毛猪接收台</w:t>
            </w:r>
          </w:p>
        </w:tc>
        <w:tc>
          <w:tcPr>
            <w:tcW w:w="2808" w:type="dxa"/>
          </w:tcPr>
          <w:p w14:paraId="48A26BDF">
            <w:pPr>
              <w:pStyle w:val="14"/>
              <w:spacing w:before="90"/>
              <w:ind w:left="204" w:right="198"/>
              <w:jc w:val="center"/>
              <w:rPr>
                <w:sz w:val="21"/>
              </w:rPr>
            </w:pPr>
            <w:r>
              <w:rPr>
                <w:sz w:val="21"/>
              </w:rPr>
              <w:t>不锈钢面板</w:t>
            </w:r>
          </w:p>
        </w:tc>
        <w:tc>
          <w:tcPr>
            <w:tcW w:w="684" w:type="dxa"/>
          </w:tcPr>
          <w:p w14:paraId="3921BD83">
            <w:pPr>
              <w:pStyle w:val="14"/>
              <w:spacing w:before="104"/>
              <w:ind w:left="5"/>
              <w:jc w:val="center"/>
              <w:rPr>
                <w:rFonts w:ascii="Times New Roman"/>
                <w:sz w:val="21"/>
              </w:rPr>
            </w:pPr>
            <w:r>
              <w:rPr>
                <w:rFonts w:ascii="Times New Roman"/>
                <w:w w:val="99"/>
                <w:sz w:val="21"/>
              </w:rPr>
              <w:t>2</w:t>
            </w:r>
          </w:p>
        </w:tc>
        <w:tc>
          <w:tcPr>
            <w:tcW w:w="699" w:type="dxa"/>
          </w:tcPr>
          <w:p w14:paraId="21A8065D">
            <w:pPr>
              <w:pStyle w:val="14"/>
              <w:spacing w:before="90"/>
              <w:ind w:left="8"/>
              <w:jc w:val="center"/>
              <w:rPr>
                <w:sz w:val="21"/>
              </w:rPr>
            </w:pPr>
            <w:r>
              <w:rPr>
                <w:w w:val="99"/>
                <w:sz w:val="21"/>
              </w:rPr>
              <w:t>台</w:t>
            </w:r>
          </w:p>
        </w:tc>
        <w:tc>
          <w:tcPr>
            <w:tcW w:w="1686" w:type="dxa"/>
          </w:tcPr>
          <w:p w14:paraId="0EE85597">
            <w:pPr>
              <w:pStyle w:val="14"/>
              <w:rPr>
                <w:rFonts w:ascii="Times New Roman"/>
                <w:sz w:val="20"/>
              </w:rPr>
            </w:pPr>
          </w:p>
        </w:tc>
      </w:tr>
      <w:tr w14:paraId="1F0C4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5773283">
            <w:pPr>
              <w:pStyle w:val="14"/>
              <w:spacing w:before="105"/>
              <w:ind w:left="86" w:right="78"/>
              <w:jc w:val="center"/>
              <w:rPr>
                <w:rFonts w:ascii="Times New Roman"/>
                <w:sz w:val="21"/>
              </w:rPr>
            </w:pPr>
            <w:r>
              <w:rPr>
                <w:rFonts w:ascii="Times New Roman"/>
                <w:sz w:val="21"/>
              </w:rPr>
              <w:t>15</w:t>
            </w:r>
          </w:p>
        </w:tc>
        <w:tc>
          <w:tcPr>
            <w:tcW w:w="2007" w:type="dxa"/>
          </w:tcPr>
          <w:p w14:paraId="04428527">
            <w:pPr>
              <w:pStyle w:val="14"/>
              <w:spacing w:before="89"/>
              <w:ind w:left="132" w:right="125"/>
              <w:jc w:val="center"/>
              <w:rPr>
                <w:sz w:val="21"/>
              </w:rPr>
            </w:pPr>
            <w:r>
              <w:rPr>
                <w:sz w:val="21"/>
              </w:rPr>
              <w:t>开膛设备</w:t>
            </w:r>
          </w:p>
        </w:tc>
        <w:tc>
          <w:tcPr>
            <w:tcW w:w="2808" w:type="dxa"/>
          </w:tcPr>
          <w:p w14:paraId="648096AB">
            <w:pPr>
              <w:pStyle w:val="14"/>
              <w:spacing w:before="105"/>
              <w:ind w:left="206" w:right="197"/>
              <w:jc w:val="center"/>
              <w:rPr>
                <w:rFonts w:ascii="Times New Roman"/>
                <w:sz w:val="21"/>
              </w:rPr>
            </w:pPr>
            <w:r>
              <w:rPr>
                <w:rFonts w:ascii="Times New Roman"/>
                <w:sz w:val="21"/>
              </w:rPr>
              <w:t>GIESSER</w:t>
            </w:r>
          </w:p>
        </w:tc>
        <w:tc>
          <w:tcPr>
            <w:tcW w:w="684" w:type="dxa"/>
          </w:tcPr>
          <w:p w14:paraId="4669ABDE">
            <w:pPr>
              <w:pStyle w:val="14"/>
              <w:spacing w:before="105"/>
              <w:ind w:left="5"/>
              <w:jc w:val="center"/>
              <w:rPr>
                <w:rFonts w:ascii="Times New Roman"/>
                <w:sz w:val="21"/>
              </w:rPr>
            </w:pPr>
            <w:r>
              <w:rPr>
                <w:rFonts w:ascii="Times New Roman"/>
                <w:w w:val="99"/>
                <w:sz w:val="21"/>
              </w:rPr>
              <w:t>2</w:t>
            </w:r>
          </w:p>
        </w:tc>
        <w:tc>
          <w:tcPr>
            <w:tcW w:w="699" w:type="dxa"/>
          </w:tcPr>
          <w:p w14:paraId="6B1C2FEE">
            <w:pPr>
              <w:pStyle w:val="14"/>
              <w:spacing w:before="89"/>
              <w:ind w:left="8"/>
              <w:jc w:val="center"/>
              <w:rPr>
                <w:sz w:val="21"/>
              </w:rPr>
            </w:pPr>
            <w:r>
              <w:rPr>
                <w:w w:val="99"/>
                <w:sz w:val="21"/>
              </w:rPr>
              <w:t>把</w:t>
            </w:r>
          </w:p>
        </w:tc>
        <w:tc>
          <w:tcPr>
            <w:tcW w:w="1686" w:type="dxa"/>
          </w:tcPr>
          <w:p w14:paraId="6F91AD99">
            <w:pPr>
              <w:pStyle w:val="14"/>
              <w:rPr>
                <w:rFonts w:ascii="Times New Roman"/>
                <w:sz w:val="20"/>
              </w:rPr>
            </w:pPr>
          </w:p>
        </w:tc>
      </w:tr>
      <w:tr w14:paraId="05BB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72452286">
            <w:pPr>
              <w:pStyle w:val="14"/>
              <w:spacing w:before="104"/>
              <w:ind w:left="86" w:right="78"/>
              <w:jc w:val="center"/>
              <w:rPr>
                <w:rFonts w:ascii="Times New Roman"/>
                <w:sz w:val="21"/>
              </w:rPr>
            </w:pPr>
            <w:r>
              <w:rPr>
                <w:rFonts w:ascii="Times New Roman"/>
                <w:sz w:val="21"/>
              </w:rPr>
              <w:t>16</w:t>
            </w:r>
          </w:p>
        </w:tc>
        <w:tc>
          <w:tcPr>
            <w:tcW w:w="2007" w:type="dxa"/>
          </w:tcPr>
          <w:p w14:paraId="2B2DE2FF">
            <w:pPr>
              <w:pStyle w:val="14"/>
              <w:spacing w:before="91"/>
              <w:ind w:left="132" w:right="127"/>
              <w:jc w:val="center"/>
              <w:rPr>
                <w:sz w:val="21"/>
              </w:rPr>
            </w:pPr>
            <w:r>
              <w:rPr>
                <w:sz w:val="21"/>
              </w:rPr>
              <w:t>开片机</w:t>
            </w:r>
          </w:p>
        </w:tc>
        <w:tc>
          <w:tcPr>
            <w:tcW w:w="2808" w:type="dxa"/>
          </w:tcPr>
          <w:p w14:paraId="50D9DA60">
            <w:pPr>
              <w:pStyle w:val="14"/>
              <w:spacing w:before="104"/>
              <w:ind w:left="206" w:right="196"/>
              <w:jc w:val="center"/>
              <w:rPr>
                <w:rFonts w:ascii="Times New Roman"/>
                <w:sz w:val="21"/>
              </w:rPr>
            </w:pPr>
            <w:r>
              <w:rPr>
                <w:rFonts w:ascii="Times New Roman"/>
                <w:sz w:val="21"/>
              </w:rPr>
              <w:t>ZPB-160</w:t>
            </w:r>
          </w:p>
        </w:tc>
        <w:tc>
          <w:tcPr>
            <w:tcW w:w="684" w:type="dxa"/>
          </w:tcPr>
          <w:p w14:paraId="0AD18307">
            <w:pPr>
              <w:pStyle w:val="14"/>
              <w:spacing w:before="104"/>
              <w:ind w:left="5"/>
              <w:jc w:val="center"/>
              <w:rPr>
                <w:rFonts w:ascii="Times New Roman"/>
                <w:sz w:val="21"/>
              </w:rPr>
            </w:pPr>
            <w:r>
              <w:rPr>
                <w:rFonts w:ascii="Times New Roman"/>
                <w:w w:val="99"/>
                <w:sz w:val="21"/>
              </w:rPr>
              <w:t>1</w:t>
            </w:r>
          </w:p>
        </w:tc>
        <w:tc>
          <w:tcPr>
            <w:tcW w:w="699" w:type="dxa"/>
          </w:tcPr>
          <w:p w14:paraId="324005E2">
            <w:pPr>
              <w:pStyle w:val="14"/>
              <w:spacing w:before="91"/>
              <w:ind w:left="8"/>
              <w:jc w:val="center"/>
              <w:rPr>
                <w:sz w:val="21"/>
              </w:rPr>
            </w:pPr>
            <w:r>
              <w:rPr>
                <w:w w:val="99"/>
                <w:sz w:val="21"/>
              </w:rPr>
              <w:t>台</w:t>
            </w:r>
          </w:p>
        </w:tc>
        <w:tc>
          <w:tcPr>
            <w:tcW w:w="1686" w:type="dxa"/>
          </w:tcPr>
          <w:p w14:paraId="4511FF5D">
            <w:pPr>
              <w:pStyle w:val="14"/>
              <w:rPr>
                <w:rFonts w:ascii="Times New Roman"/>
                <w:sz w:val="20"/>
              </w:rPr>
            </w:pPr>
          </w:p>
        </w:tc>
      </w:tr>
      <w:tr w14:paraId="6FC11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38" w:type="dxa"/>
          </w:tcPr>
          <w:p w14:paraId="563CE644">
            <w:pPr>
              <w:pStyle w:val="14"/>
              <w:spacing w:before="104"/>
              <w:ind w:left="86" w:right="78"/>
              <w:jc w:val="center"/>
              <w:rPr>
                <w:rFonts w:ascii="Times New Roman"/>
                <w:sz w:val="21"/>
              </w:rPr>
            </w:pPr>
            <w:r>
              <w:rPr>
                <w:rFonts w:ascii="Times New Roman"/>
                <w:sz w:val="21"/>
              </w:rPr>
              <w:t>17</w:t>
            </w:r>
          </w:p>
        </w:tc>
        <w:tc>
          <w:tcPr>
            <w:tcW w:w="2007" w:type="dxa"/>
          </w:tcPr>
          <w:p w14:paraId="1CB8E0AC">
            <w:pPr>
              <w:pStyle w:val="14"/>
              <w:spacing w:before="90"/>
              <w:ind w:left="132" w:right="125"/>
              <w:jc w:val="center"/>
              <w:rPr>
                <w:sz w:val="21"/>
              </w:rPr>
            </w:pPr>
            <w:r>
              <w:rPr>
                <w:sz w:val="21"/>
              </w:rPr>
              <w:t>胴体接收槽</w:t>
            </w:r>
          </w:p>
        </w:tc>
        <w:tc>
          <w:tcPr>
            <w:tcW w:w="2808" w:type="dxa"/>
          </w:tcPr>
          <w:p w14:paraId="7FD3E1FC">
            <w:pPr>
              <w:pStyle w:val="14"/>
              <w:spacing w:before="90"/>
              <w:ind w:left="206" w:right="197"/>
              <w:jc w:val="center"/>
              <w:rPr>
                <w:sz w:val="21"/>
              </w:rPr>
            </w:pPr>
            <w:r>
              <w:rPr>
                <w:sz w:val="21"/>
              </w:rPr>
              <w:t>不锈钢</w:t>
            </w:r>
          </w:p>
        </w:tc>
        <w:tc>
          <w:tcPr>
            <w:tcW w:w="684" w:type="dxa"/>
          </w:tcPr>
          <w:p w14:paraId="4F87836E">
            <w:pPr>
              <w:pStyle w:val="14"/>
              <w:spacing w:before="104"/>
              <w:ind w:left="5"/>
              <w:jc w:val="center"/>
              <w:rPr>
                <w:rFonts w:ascii="Times New Roman"/>
                <w:sz w:val="21"/>
              </w:rPr>
            </w:pPr>
            <w:r>
              <w:rPr>
                <w:rFonts w:ascii="Times New Roman"/>
                <w:w w:val="99"/>
                <w:sz w:val="21"/>
              </w:rPr>
              <w:t>2</w:t>
            </w:r>
          </w:p>
        </w:tc>
        <w:tc>
          <w:tcPr>
            <w:tcW w:w="699" w:type="dxa"/>
          </w:tcPr>
          <w:p w14:paraId="50110348">
            <w:pPr>
              <w:pStyle w:val="14"/>
              <w:spacing w:before="90"/>
              <w:ind w:left="8"/>
              <w:jc w:val="center"/>
              <w:rPr>
                <w:sz w:val="21"/>
              </w:rPr>
            </w:pPr>
            <w:r>
              <w:rPr>
                <w:w w:val="99"/>
                <w:sz w:val="21"/>
              </w:rPr>
              <w:t>台</w:t>
            </w:r>
          </w:p>
        </w:tc>
        <w:tc>
          <w:tcPr>
            <w:tcW w:w="1686" w:type="dxa"/>
          </w:tcPr>
          <w:p w14:paraId="71D0ED23">
            <w:pPr>
              <w:pStyle w:val="14"/>
              <w:rPr>
                <w:rFonts w:ascii="Times New Roman"/>
                <w:sz w:val="20"/>
              </w:rPr>
            </w:pPr>
          </w:p>
        </w:tc>
      </w:tr>
    </w:tbl>
    <w:p w14:paraId="33458087">
      <w:pPr>
        <w:spacing w:after="0"/>
        <w:rPr>
          <w:rFonts w:ascii="Times New Roman"/>
          <w:sz w:val="20"/>
        </w:rPr>
        <w:sectPr>
          <w:pgSz w:w="11910" w:h="16840"/>
          <w:pgMar w:top="1360" w:right="1460" w:bottom="1400" w:left="1520" w:header="878" w:footer="1204" w:gutter="0"/>
          <w:cols w:space="720" w:num="1"/>
        </w:sectPr>
      </w:pPr>
    </w:p>
    <w:p w14:paraId="67495E55">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33212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FADE81D">
            <w:pPr>
              <w:pStyle w:val="14"/>
              <w:spacing w:before="107"/>
              <w:ind w:left="86" w:right="78"/>
              <w:jc w:val="center"/>
              <w:rPr>
                <w:rFonts w:ascii="Times New Roman"/>
                <w:sz w:val="21"/>
              </w:rPr>
            </w:pPr>
            <w:r>
              <w:rPr>
                <w:rFonts w:ascii="Times New Roman"/>
                <w:sz w:val="21"/>
              </w:rPr>
              <w:t>18</w:t>
            </w:r>
          </w:p>
        </w:tc>
        <w:tc>
          <w:tcPr>
            <w:tcW w:w="2007" w:type="dxa"/>
          </w:tcPr>
          <w:p w14:paraId="1407C153">
            <w:pPr>
              <w:pStyle w:val="14"/>
              <w:spacing w:before="91"/>
              <w:ind w:left="132" w:right="127"/>
              <w:jc w:val="center"/>
              <w:rPr>
                <w:sz w:val="21"/>
              </w:rPr>
            </w:pPr>
            <w:r>
              <w:rPr>
                <w:sz w:val="21"/>
              </w:rPr>
              <w:t>胴体坡式提升机</w:t>
            </w:r>
          </w:p>
        </w:tc>
        <w:tc>
          <w:tcPr>
            <w:tcW w:w="2808" w:type="dxa"/>
          </w:tcPr>
          <w:p w14:paraId="5B8F686F">
            <w:pPr>
              <w:pStyle w:val="14"/>
              <w:spacing w:before="107"/>
              <w:ind w:left="206" w:right="196"/>
              <w:jc w:val="center"/>
              <w:rPr>
                <w:rFonts w:ascii="Times New Roman"/>
                <w:sz w:val="21"/>
              </w:rPr>
            </w:pPr>
            <w:r>
              <w:rPr>
                <w:rFonts w:ascii="Times New Roman"/>
                <w:sz w:val="21"/>
              </w:rPr>
              <w:t>G615</w:t>
            </w:r>
          </w:p>
        </w:tc>
        <w:tc>
          <w:tcPr>
            <w:tcW w:w="684" w:type="dxa"/>
          </w:tcPr>
          <w:p w14:paraId="7E3F3212">
            <w:pPr>
              <w:pStyle w:val="14"/>
              <w:spacing w:before="107"/>
              <w:ind w:left="287"/>
              <w:rPr>
                <w:rFonts w:ascii="Times New Roman"/>
                <w:sz w:val="21"/>
              </w:rPr>
            </w:pPr>
            <w:r>
              <w:rPr>
                <w:rFonts w:ascii="Times New Roman"/>
                <w:w w:val="99"/>
                <w:sz w:val="21"/>
              </w:rPr>
              <w:t>2</w:t>
            </w:r>
          </w:p>
        </w:tc>
        <w:tc>
          <w:tcPr>
            <w:tcW w:w="699" w:type="dxa"/>
          </w:tcPr>
          <w:p w14:paraId="098CE9C6">
            <w:pPr>
              <w:pStyle w:val="14"/>
              <w:spacing w:before="91"/>
              <w:ind w:left="8"/>
              <w:jc w:val="center"/>
              <w:rPr>
                <w:sz w:val="21"/>
              </w:rPr>
            </w:pPr>
            <w:r>
              <w:rPr>
                <w:w w:val="99"/>
                <w:sz w:val="21"/>
              </w:rPr>
              <w:t>台</w:t>
            </w:r>
          </w:p>
        </w:tc>
        <w:tc>
          <w:tcPr>
            <w:tcW w:w="1686" w:type="dxa"/>
          </w:tcPr>
          <w:p w14:paraId="3190FE39">
            <w:pPr>
              <w:pStyle w:val="14"/>
              <w:rPr>
                <w:rFonts w:ascii="Times New Roman"/>
                <w:sz w:val="20"/>
              </w:rPr>
            </w:pPr>
          </w:p>
        </w:tc>
      </w:tr>
      <w:tr w14:paraId="436CA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0AB63C17">
            <w:pPr>
              <w:pStyle w:val="14"/>
              <w:spacing w:before="171"/>
              <w:ind w:left="86" w:right="78"/>
              <w:jc w:val="center"/>
              <w:rPr>
                <w:rFonts w:ascii="Times New Roman"/>
                <w:sz w:val="21"/>
              </w:rPr>
            </w:pPr>
            <w:r>
              <w:rPr>
                <w:rFonts w:ascii="Times New Roman"/>
                <w:sz w:val="21"/>
              </w:rPr>
              <w:t>19</w:t>
            </w:r>
          </w:p>
        </w:tc>
        <w:tc>
          <w:tcPr>
            <w:tcW w:w="2007" w:type="dxa"/>
          </w:tcPr>
          <w:p w14:paraId="659AE2B3">
            <w:pPr>
              <w:pStyle w:val="14"/>
              <w:spacing w:before="19" w:line="270" w:lineRule="atLeast"/>
              <w:ind w:left="897" w:right="153" w:hanging="735"/>
              <w:rPr>
                <w:sz w:val="21"/>
              </w:rPr>
            </w:pPr>
            <w:r>
              <w:rPr>
                <w:w w:val="95"/>
                <w:sz w:val="21"/>
              </w:rPr>
              <w:t>胴体自动加工输送</w:t>
            </w:r>
            <w:r>
              <w:rPr>
                <w:sz w:val="21"/>
              </w:rPr>
              <w:t>线</w:t>
            </w:r>
          </w:p>
        </w:tc>
        <w:tc>
          <w:tcPr>
            <w:tcW w:w="2808" w:type="dxa"/>
          </w:tcPr>
          <w:p w14:paraId="078FDFE1">
            <w:pPr>
              <w:pStyle w:val="14"/>
              <w:spacing w:before="171"/>
              <w:ind w:left="206" w:right="196"/>
              <w:jc w:val="center"/>
              <w:rPr>
                <w:rFonts w:ascii="Times New Roman"/>
                <w:sz w:val="21"/>
              </w:rPr>
            </w:pPr>
            <w:r>
              <w:rPr>
                <w:rFonts w:ascii="Times New Roman"/>
                <w:sz w:val="21"/>
              </w:rPr>
              <w:t>G245</w:t>
            </w:r>
          </w:p>
        </w:tc>
        <w:tc>
          <w:tcPr>
            <w:tcW w:w="684" w:type="dxa"/>
          </w:tcPr>
          <w:p w14:paraId="535228E8">
            <w:pPr>
              <w:pStyle w:val="14"/>
              <w:spacing w:before="171"/>
              <w:ind w:left="237"/>
              <w:rPr>
                <w:rFonts w:ascii="Times New Roman"/>
                <w:sz w:val="21"/>
              </w:rPr>
            </w:pPr>
            <w:r>
              <w:rPr>
                <w:rFonts w:ascii="Times New Roman"/>
                <w:sz w:val="21"/>
              </w:rPr>
              <w:t>30</w:t>
            </w:r>
          </w:p>
        </w:tc>
        <w:tc>
          <w:tcPr>
            <w:tcW w:w="699" w:type="dxa"/>
          </w:tcPr>
          <w:p w14:paraId="24BAA880">
            <w:pPr>
              <w:pStyle w:val="14"/>
              <w:spacing w:before="157"/>
              <w:ind w:left="8"/>
              <w:jc w:val="center"/>
              <w:rPr>
                <w:sz w:val="21"/>
              </w:rPr>
            </w:pPr>
            <w:r>
              <w:rPr>
                <w:w w:val="99"/>
                <w:sz w:val="21"/>
              </w:rPr>
              <w:t>米</w:t>
            </w:r>
          </w:p>
        </w:tc>
        <w:tc>
          <w:tcPr>
            <w:tcW w:w="1686" w:type="dxa"/>
          </w:tcPr>
          <w:p w14:paraId="2F344A9E">
            <w:pPr>
              <w:pStyle w:val="14"/>
              <w:rPr>
                <w:rFonts w:ascii="Times New Roman"/>
                <w:sz w:val="20"/>
              </w:rPr>
            </w:pPr>
          </w:p>
        </w:tc>
      </w:tr>
      <w:tr w14:paraId="5D45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5E6B835">
            <w:pPr>
              <w:pStyle w:val="14"/>
              <w:spacing w:before="104"/>
              <w:ind w:left="86" w:right="78"/>
              <w:jc w:val="center"/>
              <w:rPr>
                <w:rFonts w:ascii="Times New Roman"/>
                <w:sz w:val="21"/>
              </w:rPr>
            </w:pPr>
            <w:r>
              <w:rPr>
                <w:rFonts w:ascii="Times New Roman"/>
                <w:sz w:val="21"/>
              </w:rPr>
              <w:t>20</w:t>
            </w:r>
          </w:p>
        </w:tc>
        <w:tc>
          <w:tcPr>
            <w:tcW w:w="2007" w:type="dxa"/>
          </w:tcPr>
          <w:p w14:paraId="5D06E4D0">
            <w:pPr>
              <w:pStyle w:val="14"/>
              <w:spacing w:before="90"/>
              <w:ind w:left="132" w:right="125"/>
              <w:jc w:val="center"/>
              <w:rPr>
                <w:sz w:val="21"/>
              </w:rPr>
            </w:pPr>
            <w:r>
              <w:rPr>
                <w:sz w:val="21"/>
              </w:rPr>
              <w:t>白内脏检疫输送机</w:t>
            </w:r>
          </w:p>
        </w:tc>
        <w:tc>
          <w:tcPr>
            <w:tcW w:w="2808" w:type="dxa"/>
          </w:tcPr>
          <w:p w14:paraId="3B4FAE79">
            <w:pPr>
              <w:pStyle w:val="14"/>
              <w:spacing w:before="104"/>
              <w:ind w:left="206" w:right="196"/>
              <w:jc w:val="center"/>
              <w:rPr>
                <w:rFonts w:ascii="Times New Roman"/>
                <w:sz w:val="21"/>
              </w:rPr>
            </w:pPr>
            <w:r>
              <w:rPr>
                <w:rFonts w:ascii="Times New Roman"/>
                <w:sz w:val="21"/>
              </w:rPr>
              <w:t>WJY-600</w:t>
            </w:r>
          </w:p>
        </w:tc>
        <w:tc>
          <w:tcPr>
            <w:tcW w:w="684" w:type="dxa"/>
          </w:tcPr>
          <w:p w14:paraId="121E6B27">
            <w:pPr>
              <w:pStyle w:val="14"/>
              <w:spacing w:before="104"/>
              <w:ind w:left="287"/>
              <w:rPr>
                <w:rFonts w:ascii="Times New Roman"/>
                <w:sz w:val="21"/>
              </w:rPr>
            </w:pPr>
            <w:r>
              <w:rPr>
                <w:rFonts w:ascii="Times New Roman"/>
                <w:w w:val="99"/>
                <w:sz w:val="21"/>
              </w:rPr>
              <w:t>1</w:t>
            </w:r>
          </w:p>
        </w:tc>
        <w:tc>
          <w:tcPr>
            <w:tcW w:w="699" w:type="dxa"/>
          </w:tcPr>
          <w:p w14:paraId="32FCBD81">
            <w:pPr>
              <w:pStyle w:val="14"/>
              <w:spacing w:before="90"/>
              <w:ind w:left="8"/>
              <w:jc w:val="center"/>
              <w:rPr>
                <w:sz w:val="21"/>
              </w:rPr>
            </w:pPr>
            <w:r>
              <w:rPr>
                <w:w w:val="99"/>
                <w:sz w:val="21"/>
              </w:rPr>
              <w:t>套</w:t>
            </w:r>
          </w:p>
        </w:tc>
        <w:tc>
          <w:tcPr>
            <w:tcW w:w="1686" w:type="dxa"/>
          </w:tcPr>
          <w:p w14:paraId="0C5CDEEF">
            <w:pPr>
              <w:pStyle w:val="14"/>
              <w:rPr>
                <w:rFonts w:ascii="Times New Roman"/>
                <w:sz w:val="20"/>
              </w:rPr>
            </w:pPr>
          </w:p>
        </w:tc>
      </w:tr>
      <w:tr w14:paraId="79D2F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38" w:type="dxa"/>
          </w:tcPr>
          <w:p w14:paraId="59B26819">
            <w:pPr>
              <w:pStyle w:val="14"/>
              <w:spacing w:before="170"/>
              <w:ind w:left="86" w:right="78"/>
              <w:jc w:val="center"/>
              <w:rPr>
                <w:rFonts w:ascii="Times New Roman"/>
                <w:sz w:val="21"/>
              </w:rPr>
            </w:pPr>
            <w:r>
              <w:rPr>
                <w:rFonts w:ascii="Times New Roman"/>
                <w:sz w:val="21"/>
              </w:rPr>
              <w:t>21</w:t>
            </w:r>
          </w:p>
        </w:tc>
        <w:tc>
          <w:tcPr>
            <w:tcW w:w="2007" w:type="dxa"/>
          </w:tcPr>
          <w:p w14:paraId="1C60E384">
            <w:pPr>
              <w:pStyle w:val="14"/>
              <w:spacing w:before="19" w:line="242" w:lineRule="auto"/>
              <w:ind w:left="792" w:right="153" w:hanging="629"/>
              <w:rPr>
                <w:sz w:val="21"/>
              </w:rPr>
            </w:pPr>
            <w:r>
              <w:rPr>
                <w:w w:val="95"/>
                <w:sz w:val="21"/>
              </w:rPr>
              <w:t>红内脏同步检疫输</w:t>
            </w:r>
            <w:r>
              <w:rPr>
                <w:sz w:val="21"/>
              </w:rPr>
              <w:t>送机</w:t>
            </w:r>
          </w:p>
        </w:tc>
        <w:tc>
          <w:tcPr>
            <w:tcW w:w="2808" w:type="dxa"/>
          </w:tcPr>
          <w:p w14:paraId="2750686B">
            <w:pPr>
              <w:pStyle w:val="14"/>
              <w:spacing w:before="170"/>
              <w:ind w:left="206" w:right="198"/>
              <w:jc w:val="center"/>
              <w:rPr>
                <w:rFonts w:ascii="Times New Roman"/>
                <w:sz w:val="21"/>
              </w:rPr>
            </w:pPr>
            <w:r>
              <w:rPr>
                <w:rFonts w:ascii="Times New Roman"/>
                <w:sz w:val="21"/>
              </w:rPr>
              <w:t>GJY-600</w:t>
            </w:r>
          </w:p>
        </w:tc>
        <w:tc>
          <w:tcPr>
            <w:tcW w:w="684" w:type="dxa"/>
          </w:tcPr>
          <w:p w14:paraId="5C4764DA">
            <w:pPr>
              <w:pStyle w:val="14"/>
              <w:spacing w:before="170"/>
              <w:ind w:left="287"/>
              <w:rPr>
                <w:rFonts w:ascii="Times New Roman"/>
                <w:sz w:val="21"/>
              </w:rPr>
            </w:pPr>
            <w:r>
              <w:rPr>
                <w:rFonts w:ascii="Times New Roman"/>
                <w:w w:val="99"/>
                <w:sz w:val="21"/>
              </w:rPr>
              <w:t>1</w:t>
            </w:r>
          </w:p>
        </w:tc>
        <w:tc>
          <w:tcPr>
            <w:tcW w:w="699" w:type="dxa"/>
          </w:tcPr>
          <w:p w14:paraId="42D1E084">
            <w:pPr>
              <w:pStyle w:val="14"/>
              <w:spacing w:before="154"/>
              <w:ind w:left="8"/>
              <w:jc w:val="center"/>
              <w:rPr>
                <w:sz w:val="21"/>
              </w:rPr>
            </w:pPr>
            <w:r>
              <w:rPr>
                <w:w w:val="99"/>
                <w:sz w:val="21"/>
              </w:rPr>
              <w:t>套</w:t>
            </w:r>
          </w:p>
        </w:tc>
        <w:tc>
          <w:tcPr>
            <w:tcW w:w="1686" w:type="dxa"/>
          </w:tcPr>
          <w:p w14:paraId="29D263AE">
            <w:pPr>
              <w:pStyle w:val="14"/>
              <w:rPr>
                <w:rFonts w:ascii="Times New Roman"/>
                <w:sz w:val="20"/>
              </w:rPr>
            </w:pPr>
          </w:p>
        </w:tc>
      </w:tr>
      <w:tr w14:paraId="2EBC5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F51C356">
            <w:pPr>
              <w:pStyle w:val="14"/>
              <w:spacing w:before="107"/>
              <w:ind w:left="86" w:right="78"/>
              <w:jc w:val="center"/>
              <w:rPr>
                <w:rFonts w:ascii="Times New Roman"/>
                <w:sz w:val="21"/>
              </w:rPr>
            </w:pPr>
            <w:r>
              <w:rPr>
                <w:rFonts w:ascii="Times New Roman"/>
                <w:sz w:val="21"/>
              </w:rPr>
              <w:t>22</w:t>
            </w:r>
          </w:p>
        </w:tc>
        <w:tc>
          <w:tcPr>
            <w:tcW w:w="2007" w:type="dxa"/>
          </w:tcPr>
          <w:p w14:paraId="5DE52047">
            <w:pPr>
              <w:pStyle w:val="14"/>
              <w:spacing w:before="90"/>
              <w:ind w:left="132" w:right="125"/>
              <w:jc w:val="center"/>
              <w:rPr>
                <w:sz w:val="21"/>
              </w:rPr>
            </w:pPr>
            <w:r>
              <w:rPr>
                <w:sz w:val="21"/>
              </w:rPr>
              <w:t>内脏滑槽</w:t>
            </w:r>
          </w:p>
        </w:tc>
        <w:tc>
          <w:tcPr>
            <w:tcW w:w="2808" w:type="dxa"/>
          </w:tcPr>
          <w:p w14:paraId="47ADFBEA">
            <w:pPr>
              <w:pStyle w:val="14"/>
              <w:spacing w:before="90"/>
              <w:ind w:left="206" w:right="197"/>
              <w:jc w:val="center"/>
              <w:rPr>
                <w:sz w:val="21"/>
              </w:rPr>
            </w:pPr>
            <w:r>
              <w:rPr>
                <w:sz w:val="21"/>
              </w:rPr>
              <w:t>不锈钢</w:t>
            </w:r>
          </w:p>
        </w:tc>
        <w:tc>
          <w:tcPr>
            <w:tcW w:w="684" w:type="dxa"/>
          </w:tcPr>
          <w:p w14:paraId="1495D391">
            <w:pPr>
              <w:pStyle w:val="14"/>
              <w:spacing w:before="107"/>
              <w:ind w:left="287"/>
              <w:rPr>
                <w:rFonts w:ascii="Times New Roman"/>
                <w:sz w:val="21"/>
              </w:rPr>
            </w:pPr>
            <w:r>
              <w:rPr>
                <w:rFonts w:ascii="Times New Roman"/>
                <w:w w:val="99"/>
                <w:sz w:val="21"/>
              </w:rPr>
              <w:t>1</w:t>
            </w:r>
          </w:p>
        </w:tc>
        <w:tc>
          <w:tcPr>
            <w:tcW w:w="699" w:type="dxa"/>
          </w:tcPr>
          <w:p w14:paraId="0B93D1CA">
            <w:pPr>
              <w:pStyle w:val="14"/>
              <w:spacing w:before="90"/>
              <w:ind w:left="8"/>
              <w:jc w:val="center"/>
              <w:rPr>
                <w:sz w:val="21"/>
              </w:rPr>
            </w:pPr>
            <w:r>
              <w:rPr>
                <w:w w:val="99"/>
                <w:sz w:val="21"/>
              </w:rPr>
              <w:t>个</w:t>
            </w:r>
          </w:p>
        </w:tc>
        <w:tc>
          <w:tcPr>
            <w:tcW w:w="1686" w:type="dxa"/>
          </w:tcPr>
          <w:p w14:paraId="6420ECCD">
            <w:pPr>
              <w:pStyle w:val="14"/>
              <w:rPr>
                <w:rFonts w:ascii="Times New Roman"/>
                <w:sz w:val="20"/>
              </w:rPr>
            </w:pPr>
          </w:p>
        </w:tc>
      </w:tr>
      <w:tr w14:paraId="60CA0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3210C676">
            <w:pPr>
              <w:pStyle w:val="14"/>
              <w:spacing w:before="171"/>
              <w:ind w:left="86" w:right="78"/>
              <w:jc w:val="center"/>
              <w:rPr>
                <w:rFonts w:ascii="Times New Roman"/>
                <w:sz w:val="21"/>
              </w:rPr>
            </w:pPr>
            <w:r>
              <w:rPr>
                <w:rFonts w:ascii="Times New Roman"/>
                <w:sz w:val="21"/>
              </w:rPr>
              <w:t>23</w:t>
            </w:r>
          </w:p>
        </w:tc>
        <w:tc>
          <w:tcPr>
            <w:tcW w:w="2007" w:type="dxa"/>
          </w:tcPr>
          <w:p w14:paraId="7D3A2157">
            <w:pPr>
              <w:pStyle w:val="14"/>
              <w:spacing w:before="19" w:line="270" w:lineRule="atLeast"/>
              <w:ind w:left="792" w:right="153" w:hanging="629"/>
              <w:rPr>
                <w:sz w:val="21"/>
              </w:rPr>
            </w:pPr>
            <w:r>
              <w:rPr>
                <w:w w:val="95"/>
                <w:sz w:val="21"/>
              </w:rPr>
              <w:t>白内脏盘消洗消毒</w:t>
            </w:r>
            <w:r>
              <w:rPr>
                <w:sz w:val="21"/>
              </w:rPr>
              <w:t>装置</w:t>
            </w:r>
          </w:p>
        </w:tc>
        <w:tc>
          <w:tcPr>
            <w:tcW w:w="2808" w:type="dxa"/>
          </w:tcPr>
          <w:p w14:paraId="77011097">
            <w:pPr>
              <w:pStyle w:val="14"/>
              <w:spacing w:before="171"/>
              <w:ind w:left="206" w:right="196"/>
              <w:jc w:val="center"/>
              <w:rPr>
                <w:rFonts w:ascii="Times New Roman"/>
                <w:sz w:val="21"/>
              </w:rPr>
            </w:pPr>
            <w:r>
              <w:rPr>
                <w:rFonts w:ascii="Times New Roman"/>
                <w:sz w:val="21"/>
              </w:rPr>
              <w:t>WJY-600</w:t>
            </w:r>
          </w:p>
        </w:tc>
        <w:tc>
          <w:tcPr>
            <w:tcW w:w="684" w:type="dxa"/>
          </w:tcPr>
          <w:p w14:paraId="24387AB4">
            <w:pPr>
              <w:pStyle w:val="14"/>
              <w:spacing w:before="171"/>
              <w:ind w:left="287"/>
              <w:rPr>
                <w:rFonts w:ascii="Times New Roman"/>
                <w:sz w:val="21"/>
              </w:rPr>
            </w:pPr>
            <w:r>
              <w:rPr>
                <w:rFonts w:ascii="Times New Roman"/>
                <w:w w:val="99"/>
                <w:sz w:val="21"/>
              </w:rPr>
              <w:t>1</w:t>
            </w:r>
          </w:p>
        </w:tc>
        <w:tc>
          <w:tcPr>
            <w:tcW w:w="699" w:type="dxa"/>
          </w:tcPr>
          <w:p w14:paraId="6C49FAEC">
            <w:pPr>
              <w:pStyle w:val="14"/>
              <w:spacing w:before="157"/>
              <w:ind w:left="8"/>
              <w:jc w:val="center"/>
              <w:rPr>
                <w:sz w:val="21"/>
              </w:rPr>
            </w:pPr>
            <w:r>
              <w:rPr>
                <w:w w:val="99"/>
                <w:sz w:val="21"/>
              </w:rPr>
              <w:t>个</w:t>
            </w:r>
          </w:p>
        </w:tc>
        <w:tc>
          <w:tcPr>
            <w:tcW w:w="1686" w:type="dxa"/>
          </w:tcPr>
          <w:p w14:paraId="13DF4796">
            <w:pPr>
              <w:pStyle w:val="14"/>
              <w:rPr>
                <w:rFonts w:ascii="Times New Roman"/>
                <w:sz w:val="20"/>
              </w:rPr>
            </w:pPr>
          </w:p>
        </w:tc>
      </w:tr>
      <w:tr w14:paraId="083D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4ABECC4F">
            <w:pPr>
              <w:pStyle w:val="14"/>
              <w:spacing w:before="171"/>
              <w:ind w:left="86" w:right="78"/>
              <w:jc w:val="center"/>
              <w:rPr>
                <w:rFonts w:ascii="Times New Roman"/>
                <w:sz w:val="21"/>
              </w:rPr>
            </w:pPr>
            <w:r>
              <w:rPr>
                <w:rFonts w:ascii="Times New Roman"/>
                <w:sz w:val="21"/>
              </w:rPr>
              <w:t>24</w:t>
            </w:r>
          </w:p>
        </w:tc>
        <w:tc>
          <w:tcPr>
            <w:tcW w:w="2007" w:type="dxa"/>
          </w:tcPr>
          <w:p w14:paraId="59A3E8E0">
            <w:pPr>
              <w:pStyle w:val="14"/>
              <w:spacing w:before="19" w:line="270" w:lineRule="atLeast"/>
              <w:ind w:left="686" w:right="153" w:hanging="524"/>
              <w:rPr>
                <w:sz w:val="21"/>
              </w:rPr>
            </w:pPr>
            <w:r>
              <w:rPr>
                <w:w w:val="95"/>
                <w:sz w:val="21"/>
              </w:rPr>
              <w:t>红内脏挂钩洁洗消</w:t>
            </w:r>
            <w:r>
              <w:rPr>
                <w:sz w:val="21"/>
              </w:rPr>
              <w:t>毒装置</w:t>
            </w:r>
          </w:p>
        </w:tc>
        <w:tc>
          <w:tcPr>
            <w:tcW w:w="2808" w:type="dxa"/>
          </w:tcPr>
          <w:p w14:paraId="16AF10C2">
            <w:pPr>
              <w:pStyle w:val="14"/>
              <w:spacing w:before="171"/>
              <w:ind w:left="206" w:right="198"/>
              <w:jc w:val="center"/>
              <w:rPr>
                <w:rFonts w:ascii="Times New Roman"/>
                <w:sz w:val="21"/>
              </w:rPr>
            </w:pPr>
            <w:r>
              <w:rPr>
                <w:rFonts w:ascii="Times New Roman"/>
                <w:sz w:val="21"/>
              </w:rPr>
              <w:t>GJY-600</w:t>
            </w:r>
          </w:p>
        </w:tc>
        <w:tc>
          <w:tcPr>
            <w:tcW w:w="684" w:type="dxa"/>
          </w:tcPr>
          <w:p w14:paraId="763BF633">
            <w:pPr>
              <w:pStyle w:val="14"/>
              <w:spacing w:before="171"/>
              <w:ind w:left="287"/>
              <w:rPr>
                <w:rFonts w:ascii="Times New Roman"/>
                <w:sz w:val="21"/>
              </w:rPr>
            </w:pPr>
            <w:r>
              <w:rPr>
                <w:rFonts w:ascii="Times New Roman"/>
                <w:w w:val="99"/>
                <w:sz w:val="21"/>
              </w:rPr>
              <w:t>1</w:t>
            </w:r>
          </w:p>
        </w:tc>
        <w:tc>
          <w:tcPr>
            <w:tcW w:w="699" w:type="dxa"/>
          </w:tcPr>
          <w:p w14:paraId="393DC13A">
            <w:pPr>
              <w:pStyle w:val="14"/>
              <w:spacing w:before="157"/>
              <w:ind w:left="8"/>
              <w:jc w:val="center"/>
              <w:rPr>
                <w:sz w:val="21"/>
              </w:rPr>
            </w:pPr>
            <w:r>
              <w:rPr>
                <w:w w:val="99"/>
                <w:sz w:val="21"/>
              </w:rPr>
              <w:t>个</w:t>
            </w:r>
          </w:p>
        </w:tc>
        <w:tc>
          <w:tcPr>
            <w:tcW w:w="1686" w:type="dxa"/>
          </w:tcPr>
          <w:p w14:paraId="5CF21F8E">
            <w:pPr>
              <w:pStyle w:val="14"/>
              <w:rPr>
                <w:rFonts w:ascii="Times New Roman"/>
                <w:sz w:val="20"/>
              </w:rPr>
            </w:pPr>
          </w:p>
        </w:tc>
      </w:tr>
      <w:tr w14:paraId="6D984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6B078AB">
            <w:pPr>
              <w:pStyle w:val="14"/>
              <w:spacing w:before="104"/>
              <w:ind w:left="86" w:right="78"/>
              <w:jc w:val="center"/>
              <w:rPr>
                <w:rFonts w:ascii="Times New Roman"/>
                <w:sz w:val="21"/>
              </w:rPr>
            </w:pPr>
            <w:r>
              <w:rPr>
                <w:rFonts w:ascii="Times New Roman"/>
                <w:sz w:val="21"/>
              </w:rPr>
              <w:t>25</w:t>
            </w:r>
          </w:p>
        </w:tc>
        <w:tc>
          <w:tcPr>
            <w:tcW w:w="2007" w:type="dxa"/>
          </w:tcPr>
          <w:p w14:paraId="2FC431A1">
            <w:pPr>
              <w:pStyle w:val="14"/>
              <w:spacing w:before="90"/>
              <w:ind w:left="132" w:right="127"/>
              <w:jc w:val="center"/>
              <w:rPr>
                <w:sz w:val="21"/>
              </w:rPr>
            </w:pPr>
            <w:r>
              <w:rPr>
                <w:sz w:val="21"/>
              </w:rPr>
              <w:t>胴体轨道电子秤</w:t>
            </w:r>
          </w:p>
        </w:tc>
        <w:tc>
          <w:tcPr>
            <w:tcW w:w="2808" w:type="dxa"/>
          </w:tcPr>
          <w:p w14:paraId="7DFB2D06">
            <w:pPr>
              <w:pStyle w:val="14"/>
              <w:spacing w:before="90"/>
              <w:ind w:left="206" w:right="197"/>
              <w:jc w:val="center"/>
              <w:rPr>
                <w:sz w:val="21"/>
              </w:rPr>
            </w:pPr>
            <w:r>
              <w:rPr>
                <w:sz w:val="21"/>
              </w:rPr>
              <w:t>梅特勒托利多</w:t>
            </w:r>
          </w:p>
        </w:tc>
        <w:tc>
          <w:tcPr>
            <w:tcW w:w="684" w:type="dxa"/>
          </w:tcPr>
          <w:p w14:paraId="66AC16D8">
            <w:pPr>
              <w:pStyle w:val="14"/>
              <w:spacing w:before="104"/>
              <w:ind w:left="287"/>
              <w:rPr>
                <w:rFonts w:ascii="Times New Roman"/>
                <w:sz w:val="21"/>
              </w:rPr>
            </w:pPr>
            <w:r>
              <w:rPr>
                <w:rFonts w:ascii="Times New Roman"/>
                <w:w w:val="99"/>
                <w:sz w:val="21"/>
              </w:rPr>
              <w:t>2</w:t>
            </w:r>
          </w:p>
        </w:tc>
        <w:tc>
          <w:tcPr>
            <w:tcW w:w="699" w:type="dxa"/>
          </w:tcPr>
          <w:p w14:paraId="126678D7">
            <w:pPr>
              <w:pStyle w:val="14"/>
              <w:spacing w:before="90"/>
              <w:ind w:left="8"/>
              <w:jc w:val="center"/>
              <w:rPr>
                <w:sz w:val="21"/>
              </w:rPr>
            </w:pPr>
            <w:r>
              <w:rPr>
                <w:w w:val="99"/>
                <w:sz w:val="21"/>
              </w:rPr>
              <w:t>套</w:t>
            </w:r>
          </w:p>
        </w:tc>
        <w:tc>
          <w:tcPr>
            <w:tcW w:w="1686" w:type="dxa"/>
          </w:tcPr>
          <w:p w14:paraId="12C498B1">
            <w:pPr>
              <w:pStyle w:val="14"/>
              <w:rPr>
                <w:rFonts w:ascii="Times New Roman"/>
                <w:sz w:val="20"/>
              </w:rPr>
            </w:pPr>
          </w:p>
        </w:tc>
      </w:tr>
      <w:tr w14:paraId="3F858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38" w:type="dxa"/>
          </w:tcPr>
          <w:p w14:paraId="68375928">
            <w:pPr>
              <w:pStyle w:val="14"/>
              <w:spacing w:before="170"/>
              <w:ind w:left="86" w:right="78"/>
              <w:jc w:val="center"/>
              <w:rPr>
                <w:rFonts w:ascii="Times New Roman"/>
                <w:sz w:val="21"/>
              </w:rPr>
            </w:pPr>
            <w:r>
              <w:rPr>
                <w:rFonts w:ascii="Times New Roman"/>
                <w:sz w:val="21"/>
              </w:rPr>
              <w:t>26</w:t>
            </w:r>
          </w:p>
        </w:tc>
        <w:tc>
          <w:tcPr>
            <w:tcW w:w="2007" w:type="dxa"/>
          </w:tcPr>
          <w:p w14:paraId="5A2F1F92">
            <w:pPr>
              <w:pStyle w:val="14"/>
              <w:spacing w:before="20" w:line="242" w:lineRule="auto"/>
              <w:ind w:left="897" w:right="153" w:hanging="735"/>
              <w:rPr>
                <w:sz w:val="21"/>
              </w:rPr>
            </w:pPr>
            <w:r>
              <w:rPr>
                <w:w w:val="95"/>
                <w:sz w:val="21"/>
              </w:rPr>
              <w:t>返回滑轮叉挡提升</w:t>
            </w:r>
            <w:r>
              <w:rPr>
                <w:sz w:val="21"/>
              </w:rPr>
              <w:t>机</w:t>
            </w:r>
          </w:p>
        </w:tc>
        <w:tc>
          <w:tcPr>
            <w:tcW w:w="2808" w:type="dxa"/>
          </w:tcPr>
          <w:p w14:paraId="3EDE492B">
            <w:pPr>
              <w:pStyle w:val="14"/>
              <w:spacing w:before="170"/>
              <w:ind w:left="203" w:right="198"/>
              <w:jc w:val="center"/>
              <w:rPr>
                <w:rFonts w:ascii="Times New Roman"/>
                <w:sz w:val="21"/>
              </w:rPr>
            </w:pPr>
            <w:r>
              <w:rPr>
                <w:rFonts w:ascii="Times New Roman"/>
                <w:sz w:val="21"/>
              </w:rPr>
              <w:t>LGTS-600</w:t>
            </w:r>
          </w:p>
        </w:tc>
        <w:tc>
          <w:tcPr>
            <w:tcW w:w="684" w:type="dxa"/>
          </w:tcPr>
          <w:p w14:paraId="6060691A">
            <w:pPr>
              <w:pStyle w:val="14"/>
              <w:spacing w:before="170"/>
              <w:ind w:left="287"/>
              <w:rPr>
                <w:rFonts w:ascii="Times New Roman"/>
                <w:sz w:val="21"/>
              </w:rPr>
            </w:pPr>
            <w:r>
              <w:rPr>
                <w:rFonts w:ascii="Times New Roman"/>
                <w:w w:val="99"/>
                <w:sz w:val="21"/>
              </w:rPr>
              <w:t>2</w:t>
            </w:r>
          </w:p>
        </w:tc>
        <w:tc>
          <w:tcPr>
            <w:tcW w:w="699" w:type="dxa"/>
          </w:tcPr>
          <w:p w14:paraId="422CF1EE">
            <w:pPr>
              <w:pStyle w:val="14"/>
              <w:spacing w:before="154"/>
              <w:ind w:left="8"/>
              <w:jc w:val="center"/>
              <w:rPr>
                <w:sz w:val="21"/>
              </w:rPr>
            </w:pPr>
            <w:r>
              <w:rPr>
                <w:w w:val="99"/>
                <w:sz w:val="21"/>
              </w:rPr>
              <w:t>台</w:t>
            </w:r>
          </w:p>
        </w:tc>
        <w:tc>
          <w:tcPr>
            <w:tcW w:w="1686" w:type="dxa"/>
          </w:tcPr>
          <w:p w14:paraId="120EB1CF">
            <w:pPr>
              <w:pStyle w:val="14"/>
              <w:rPr>
                <w:rFonts w:ascii="Times New Roman"/>
                <w:sz w:val="20"/>
              </w:rPr>
            </w:pPr>
          </w:p>
        </w:tc>
      </w:tr>
      <w:tr w14:paraId="1048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79CB8714">
            <w:pPr>
              <w:pStyle w:val="14"/>
              <w:spacing w:before="171"/>
              <w:ind w:left="86" w:right="78"/>
              <w:jc w:val="center"/>
              <w:rPr>
                <w:rFonts w:ascii="Times New Roman"/>
                <w:sz w:val="21"/>
              </w:rPr>
            </w:pPr>
            <w:r>
              <w:rPr>
                <w:rFonts w:ascii="Times New Roman"/>
                <w:sz w:val="21"/>
              </w:rPr>
              <w:t>27</w:t>
            </w:r>
          </w:p>
        </w:tc>
        <w:tc>
          <w:tcPr>
            <w:tcW w:w="2007" w:type="dxa"/>
          </w:tcPr>
          <w:p w14:paraId="3C4AF429">
            <w:pPr>
              <w:pStyle w:val="14"/>
              <w:spacing w:before="21" w:line="242" w:lineRule="auto"/>
              <w:ind w:left="583" w:right="153" w:hanging="420"/>
              <w:rPr>
                <w:sz w:val="21"/>
              </w:rPr>
            </w:pPr>
            <w:r>
              <w:rPr>
                <w:w w:val="95"/>
                <w:sz w:val="21"/>
              </w:rPr>
              <w:t>返回滑轮叉挡清洗</w:t>
            </w:r>
            <w:r>
              <w:rPr>
                <w:sz w:val="21"/>
              </w:rPr>
              <w:t>消毒装置</w:t>
            </w:r>
          </w:p>
        </w:tc>
        <w:tc>
          <w:tcPr>
            <w:tcW w:w="2808" w:type="dxa"/>
          </w:tcPr>
          <w:p w14:paraId="393AF3A3">
            <w:pPr>
              <w:pStyle w:val="14"/>
              <w:spacing w:before="171"/>
              <w:ind w:left="203" w:right="198"/>
              <w:jc w:val="center"/>
              <w:rPr>
                <w:rFonts w:ascii="Times New Roman"/>
                <w:sz w:val="21"/>
              </w:rPr>
            </w:pPr>
            <w:r>
              <w:rPr>
                <w:rFonts w:ascii="Times New Roman"/>
                <w:sz w:val="21"/>
              </w:rPr>
              <w:t>LGTS-600</w:t>
            </w:r>
          </w:p>
        </w:tc>
        <w:tc>
          <w:tcPr>
            <w:tcW w:w="684" w:type="dxa"/>
          </w:tcPr>
          <w:p w14:paraId="74CF95BD">
            <w:pPr>
              <w:pStyle w:val="14"/>
              <w:spacing w:before="171"/>
              <w:ind w:left="287"/>
              <w:rPr>
                <w:rFonts w:ascii="Times New Roman"/>
                <w:sz w:val="21"/>
              </w:rPr>
            </w:pPr>
            <w:r>
              <w:rPr>
                <w:rFonts w:ascii="Times New Roman"/>
                <w:w w:val="99"/>
                <w:sz w:val="21"/>
              </w:rPr>
              <w:t>1</w:t>
            </w:r>
          </w:p>
        </w:tc>
        <w:tc>
          <w:tcPr>
            <w:tcW w:w="699" w:type="dxa"/>
          </w:tcPr>
          <w:p w14:paraId="73350637">
            <w:pPr>
              <w:pStyle w:val="14"/>
              <w:spacing w:before="155"/>
              <w:ind w:left="8"/>
              <w:jc w:val="center"/>
              <w:rPr>
                <w:sz w:val="21"/>
              </w:rPr>
            </w:pPr>
            <w:r>
              <w:rPr>
                <w:w w:val="99"/>
                <w:sz w:val="21"/>
              </w:rPr>
              <w:t>台</w:t>
            </w:r>
          </w:p>
        </w:tc>
        <w:tc>
          <w:tcPr>
            <w:tcW w:w="1686" w:type="dxa"/>
          </w:tcPr>
          <w:p w14:paraId="3B260561">
            <w:pPr>
              <w:pStyle w:val="14"/>
              <w:rPr>
                <w:rFonts w:ascii="Times New Roman"/>
                <w:sz w:val="20"/>
              </w:rPr>
            </w:pPr>
          </w:p>
        </w:tc>
      </w:tr>
      <w:tr w14:paraId="71964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24C3A2A">
            <w:pPr>
              <w:pStyle w:val="14"/>
              <w:spacing w:before="107"/>
              <w:ind w:left="86" w:right="78"/>
              <w:jc w:val="center"/>
              <w:rPr>
                <w:rFonts w:ascii="Times New Roman"/>
                <w:sz w:val="21"/>
              </w:rPr>
            </w:pPr>
            <w:r>
              <w:rPr>
                <w:rFonts w:ascii="Times New Roman"/>
                <w:sz w:val="21"/>
              </w:rPr>
              <w:t>28</w:t>
            </w:r>
          </w:p>
        </w:tc>
        <w:tc>
          <w:tcPr>
            <w:tcW w:w="2007" w:type="dxa"/>
          </w:tcPr>
          <w:p w14:paraId="50A99987">
            <w:pPr>
              <w:pStyle w:val="14"/>
              <w:spacing w:before="90"/>
              <w:ind w:left="132" w:right="125"/>
              <w:jc w:val="center"/>
              <w:rPr>
                <w:sz w:val="21"/>
              </w:rPr>
            </w:pPr>
            <w:r>
              <w:rPr>
                <w:sz w:val="21"/>
              </w:rPr>
              <w:t>人工燎毛工作站台</w:t>
            </w:r>
          </w:p>
        </w:tc>
        <w:tc>
          <w:tcPr>
            <w:tcW w:w="2808" w:type="dxa"/>
          </w:tcPr>
          <w:p w14:paraId="04ABBE2C">
            <w:pPr>
              <w:pStyle w:val="14"/>
              <w:spacing w:before="90"/>
              <w:ind w:left="206" w:right="197"/>
              <w:jc w:val="center"/>
              <w:rPr>
                <w:sz w:val="21"/>
              </w:rPr>
            </w:pPr>
            <w:r>
              <w:rPr>
                <w:sz w:val="21"/>
              </w:rPr>
              <w:t>不锈钢框架加树脂面板</w:t>
            </w:r>
          </w:p>
        </w:tc>
        <w:tc>
          <w:tcPr>
            <w:tcW w:w="684" w:type="dxa"/>
          </w:tcPr>
          <w:p w14:paraId="4FE41B90">
            <w:pPr>
              <w:pStyle w:val="14"/>
              <w:spacing w:before="107"/>
              <w:ind w:left="287"/>
              <w:rPr>
                <w:rFonts w:ascii="Times New Roman"/>
                <w:sz w:val="21"/>
              </w:rPr>
            </w:pPr>
            <w:r>
              <w:rPr>
                <w:rFonts w:ascii="Times New Roman"/>
                <w:w w:val="99"/>
                <w:sz w:val="21"/>
              </w:rPr>
              <w:t>4</w:t>
            </w:r>
          </w:p>
        </w:tc>
        <w:tc>
          <w:tcPr>
            <w:tcW w:w="699" w:type="dxa"/>
          </w:tcPr>
          <w:p w14:paraId="0D0252B3">
            <w:pPr>
              <w:pStyle w:val="14"/>
              <w:spacing w:before="90"/>
              <w:ind w:left="8"/>
              <w:jc w:val="center"/>
              <w:rPr>
                <w:sz w:val="21"/>
              </w:rPr>
            </w:pPr>
            <w:r>
              <w:rPr>
                <w:w w:val="99"/>
                <w:sz w:val="21"/>
              </w:rPr>
              <w:t>台</w:t>
            </w:r>
          </w:p>
        </w:tc>
        <w:tc>
          <w:tcPr>
            <w:tcW w:w="1686" w:type="dxa"/>
          </w:tcPr>
          <w:p w14:paraId="7A34C656">
            <w:pPr>
              <w:pStyle w:val="14"/>
              <w:rPr>
                <w:rFonts w:ascii="Times New Roman"/>
                <w:sz w:val="20"/>
              </w:rPr>
            </w:pPr>
          </w:p>
        </w:tc>
      </w:tr>
      <w:tr w14:paraId="691A8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77A93E1D">
            <w:pPr>
              <w:pStyle w:val="14"/>
              <w:spacing w:before="106"/>
              <w:ind w:left="86" w:right="78"/>
              <w:jc w:val="center"/>
              <w:rPr>
                <w:rFonts w:ascii="Times New Roman"/>
                <w:sz w:val="21"/>
              </w:rPr>
            </w:pPr>
            <w:r>
              <w:rPr>
                <w:rFonts w:ascii="Times New Roman"/>
                <w:sz w:val="21"/>
              </w:rPr>
              <w:t>29</w:t>
            </w:r>
          </w:p>
        </w:tc>
        <w:tc>
          <w:tcPr>
            <w:tcW w:w="2007" w:type="dxa"/>
          </w:tcPr>
          <w:p w14:paraId="536B3B16">
            <w:pPr>
              <w:pStyle w:val="14"/>
              <w:spacing w:before="90"/>
              <w:ind w:left="132" w:right="127"/>
              <w:jc w:val="center"/>
              <w:rPr>
                <w:sz w:val="21"/>
              </w:rPr>
            </w:pPr>
            <w:r>
              <w:rPr>
                <w:sz w:val="21"/>
              </w:rPr>
              <w:t>其他工作站台</w:t>
            </w:r>
          </w:p>
        </w:tc>
        <w:tc>
          <w:tcPr>
            <w:tcW w:w="2808" w:type="dxa"/>
          </w:tcPr>
          <w:p w14:paraId="76FDE60B">
            <w:pPr>
              <w:pStyle w:val="14"/>
              <w:spacing w:before="90"/>
              <w:ind w:left="206" w:right="197"/>
              <w:jc w:val="center"/>
              <w:rPr>
                <w:sz w:val="21"/>
              </w:rPr>
            </w:pPr>
            <w:r>
              <w:rPr>
                <w:sz w:val="21"/>
              </w:rPr>
              <w:t>不锈钢框架加树脂面板</w:t>
            </w:r>
          </w:p>
        </w:tc>
        <w:tc>
          <w:tcPr>
            <w:tcW w:w="684" w:type="dxa"/>
          </w:tcPr>
          <w:p w14:paraId="0CD98E82">
            <w:pPr>
              <w:pStyle w:val="14"/>
              <w:spacing w:before="106"/>
              <w:ind w:left="287"/>
              <w:rPr>
                <w:rFonts w:ascii="Times New Roman"/>
                <w:sz w:val="21"/>
              </w:rPr>
            </w:pPr>
            <w:r>
              <w:rPr>
                <w:rFonts w:ascii="Times New Roman"/>
                <w:w w:val="99"/>
                <w:sz w:val="21"/>
              </w:rPr>
              <w:t>4</w:t>
            </w:r>
          </w:p>
        </w:tc>
        <w:tc>
          <w:tcPr>
            <w:tcW w:w="699" w:type="dxa"/>
          </w:tcPr>
          <w:p w14:paraId="07355B56">
            <w:pPr>
              <w:pStyle w:val="14"/>
              <w:spacing w:before="90"/>
              <w:ind w:left="8"/>
              <w:jc w:val="center"/>
              <w:rPr>
                <w:sz w:val="21"/>
              </w:rPr>
            </w:pPr>
            <w:r>
              <w:rPr>
                <w:w w:val="99"/>
                <w:sz w:val="21"/>
              </w:rPr>
              <w:t>套</w:t>
            </w:r>
          </w:p>
        </w:tc>
        <w:tc>
          <w:tcPr>
            <w:tcW w:w="1686" w:type="dxa"/>
          </w:tcPr>
          <w:p w14:paraId="1C5F5E5B">
            <w:pPr>
              <w:pStyle w:val="14"/>
              <w:rPr>
                <w:rFonts w:ascii="Times New Roman"/>
                <w:sz w:val="20"/>
              </w:rPr>
            </w:pPr>
          </w:p>
        </w:tc>
      </w:tr>
      <w:tr w14:paraId="62415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C71380A">
            <w:pPr>
              <w:pStyle w:val="14"/>
              <w:spacing w:before="105"/>
              <w:ind w:left="86" w:right="78"/>
              <w:jc w:val="center"/>
              <w:rPr>
                <w:rFonts w:ascii="Times New Roman"/>
                <w:sz w:val="21"/>
              </w:rPr>
            </w:pPr>
            <w:r>
              <w:rPr>
                <w:rFonts w:ascii="Times New Roman"/>
                <w:sz w:val="21"/>
              </w:rPr>
              <w:t>30</w:t>
            </w:r>
          </w:p>
        </w:tc>
        <w:tc>
          <w:tcPr>
            <w:tcW w:w="2007" w:type="dxa"/>
          </w:tcPr>
          <w:p w14:paraId="76F76956">
            <w:pPr>
              <w:pStyle w:val="14"/>
              <w:spacing w:before="91"/>
              <w:ind w:left="132" w:right="125"/>
              <w:jc w:val="center"/>
              <w:rPr>
                <w:sz w:val="21"/>
              </w:rPr>
            </w:pPr>
            <w:r>
              <w:rPr>
                <w:sz w:val="21"/>
              </w:rPr>
              <w:t>装卸提升机</w:t>
            </w:r>
          </w:p>
        </w:tc>
        <w:tc>
          <w:tcPr>
            <w:tcW w:w="2808" w:type="dxa"/>
          </w:tcPr>
          <w:p w14:paraId="4822A27B">
            <w:pPr>
              <w:pStyle w:val="14"/>
              <w:spacing w:before="105"/>
              <w:ind w:left="206" w:right="196"/>
              <w:jc w:val="center"/>
              <w:rPr>
                <w:rFonts w:ascii="Times New Roman"/>
                <w:sz w:val="21"/>
              </w:rPr>
            </w:pPr>
            <w:r>
              <w:rPr>
                <w:rFonts w:ascii="Times New Roman"/>
                <w:sz w:val="21"/>
              </w:rPr>
              <w:t>G165</w:t>
            </w:r>
          </w:p>
        </w:tc>
        <w:tc>
          <w:tcPr>
            <w:tcW w:w="684" w:type="dxa"/>
          </w:tcPr>
          <w:p w14:paraId="40A14896">
            <w:pPr>
              <w:pStyle w:val="14"/>
              <w:spacing w:before="105"/>
              <w:ind w:left="287"/>
              <w:rPr>
                <w:rFonts w:ascii="Times New Roman"/>
                <w:sz w:val="21"/>
              </w:rPr>
            </w:pPr>
            <w:r>
              <w:rPr>
                <w:rFonts w:ascii="Times New Roman"/>
                <w:w w:val="99"/>
                <w:sz w:val="21"/>
              </w:rPr>
              <w:t>3</w:t>
            </w:r>
          </w:p>
        </w:tc>
        <w:tc>
          <w:tcPr>
            <w:tcW w:w="699" w:type="dxa"/>
          </w:tcPr>
          <w:p w14:paraId="40147BD0">
            <w:pPr>
              <w:pStyle w:val="14"/>
              <w:spacing w:before="91"/>
              <w:ind w:left="8"/>
              <w:jc w:val="center"/>
              <w:rPr>
                <w:sz w:val="21"/>
              </w:rPr>
            </w:pPr>
            <w:r>
              <w:rPr>
                <w:w w:val="99"/>
                <w:sz w:val="21"/>
              </w:rPr>
              <w:t>台</w:t>
            </w:r>
          </w:p>
        </w:tc>
        <w:tc>
          <w:tcPr>
            <w:tcW w:w="1686" w:type="dxa"/>
          </w:tcPr>
          <w:p w14:paraId="3290DEFF">
            <w:pPr>
              <w:pStyle w:val="14"/>
              <w:rPr>
                <w:rFonts w:ascii="Times New Roman"/>
                <w:sz w:val="20"/>
              </w:rPr>
            </w:pPr>
          </w:p>
        </w:tc>
      </w:tr>
      <w:tr w14:paraId="1E60A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36310276">
            <w:pPr>
              <w:pStyle w:val="14"/>
              <w:spacing w:before="107"/>
              <w:ind w:left="86" w:right="78"/>
              <w:jc w:val="center"/>
              <w:rPr>
                <w:rFonts w:ascii="Times New Roman"/>
                <w:sz w:val="21"/>
              </w:rPr>
            </w:pPr>
            <w:r>
              <w:rPr>
                <w:rFonts w:ascii="Times New Roman"/>
                <w:sz w:val="21"/>
              </w:rPr>
              <w:t>31</w:t>
            </w:r>
          </w:p>
        </w:tc>
        <w:tc>
          <w:tcPr>
            <w:tcW w:w="2007" w:type="dxa"/>
          </w:tcPr>
          <w:p w14:paraId="530FC711">
            <w:pPr>
              <w:pStyle w:val="14"/>
              <w:spacing w:before="90"/>
              <w:ind w:left="132" w:right="125"/>
              <w:jc w:val="center"/>
              <w:rPr>
                <w:sz w:val="21"/>
              </w:rPr>
            </w:pPr>
            <w:r>
              <w:rPr>
                <w:sz w:val="21"/>
              </w:rPr>
              <w:t>高压清洗机</w:t>
            </w:r>
          </w:p>
        </w:tc>
        <w:tc>
          <w:tcPr>
            <w:tcW w:w="2808" w:type="dxa"/>
          </w:tcPr>
          <w:p w14:paraId="0E754EA7">
            <w:pPr>
              <w:pStyle w:val="14"/>
              <w:spacing w:before="107"/>
              <w:ind w:left="206" w:right="196"/>
              <w:jc w:val="center"/>
              <w:rPr>
                <w:rFonts w:ascii="Times New Roman"/>
                <w:sz w:val="21"/>
              </w:rPr>
            </w:pPr>
            <w:r>
              <w:rPr>
                <w:rFonts w:ascii="Times New Roman"/>
                <w:sz w:val="21"/>
              </w:rPr>
              <w:t>HDS12/18</w:t>
            </w:r>
          </w:p>
        </w:tc>
        <w:tc>
          <w:tcPr>
            <w:tcW w:w="684" w:type="dxa"/>
          </w:tcPr>
          <w:p w14:paraId="1964B829">
            <w:pPr>
              <w:pStyle w:val="14"/>
              <w:spacing w:before="107"/>
              <w:ind w:left="287"/>
              <w:rPr>
                <w:rFonts w:ascii="Times New Roman"/>
                <w:sz w:val="21"/>
              </w:rPr>
            </w:pPr>
            <w:r>
              <w:rPr>
                <w:rFonts w:ascii="Times New Roman"/>
                <w:w w:val="99"/>
                <w:sz w:val="21"/>
              </w:rPr>
              <w:t>2</w:t>
            </w:r>
          </w:p>
        </w:tc>
        <w:tc>
          <w:tcPr>
            <w:tcW w:w="699" w:type="dxa"/>
          </w:tcPr>
          <w:p w14:paraId="0239C595">
            <w:pPr>
              <w:pStyle w:val="14"/>
              <w:spacing w:before="90"/>
              <w:ind w:left="8"/>
              <w:jc w:val="center"/>
              <w:rPr>
                <w:sz w:val="21"/>
              </w:rPr>
            </w:pPr>
            <w:r>
              <w:rPr>
                <w:w w:val="99"/>
                <w:sz w:val="21"/>
              </w:rPr>
              <w:t>台</w:t>
            </w:r>
          </w:p>
        </w:tc>
        <w:tc>
          <w:tcPr>
            <w:tcW w:w="1686" w:type="dxa"/>
          </w:tcPr>
          <w:p w14:paraId="5E2D3155">
            <w:pPr>
              <w:pStyle w:val="14"/>
              <w:rPr>
                <w:rFonts w:ascii="Times New Roman"/>
                <w:sz w:val="20"/>
              </w:rPr>
            </w:pPr>
          </w:p>
        </w:tc>
      </w:tr>
      <w:tr w14:paraId="65C08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36EA49F2">
            <w:pPr>
              <w:pStyle w:val="14"/>
              <w:spacing w:before="106"/>
              <w:ind w:left="86" w:right="78"/>
              <w:jc w:val="center"/>
              <w:rPr>
                <w:rFonts w:ascii="Times New Roman"/>
                <w:sz w:val="21"/>
              </w:rPr>
            </w:pPr>
            <w:r>
              <w:rPr>
                <w:rFonts w:ascii="Times New Roman"/>
                <w:sz w:val="21"/>
              </w:rPr>
              <w:t>32</w:t>
            </w:r>
          </w:p>
        </w:tc>
        <w:tc>
          <w:tcPr>
            <w:tcW w:w="2007" w:type="dxa"/>
          </w:tcPr>
          <w:p w14:paraId="792EBD58">
            <w:pPr>
              <w:pStyle w:val="14"/>
              <w:spacing w:before="90"/>
              <w:ind w:left="132" w:right="127"/>
              <w:jc w:val="center"/>
              <w:rPr>
                <w:sz w:val="21"/>
              </w:rPr>
            </w:pPr>
            <w:r>
              <w:rPr>
                <w:sz w:val="21"/>
              </w:rPr>
              <w:t>超声波清洗机</w:t>
            </w:r>
          </w:p>
        </w:tc>
        <w:tc>
          <w:tcPr>
            <w:tcW w:w="2808" w:type="dxa"/>
          </w:tcPr>
          <w:p w14:paraId="0CD95FAF">
            <w:pPr>
              <w:pStyle w:val="14"/>
              <w:spacing w:before="106"/>
              <w:ind w:left="203" w:right="198"/>
              <w:jc w:val="center"/>
              <w:rPr>
                <w:rFonts w:ascii="Times New Roman"/>
                <w:sz w:val="21"/>
              </w:rPr>
            </w:pPr>
            <w:r>
              <w:rPr>
                <w:rFonts w:ascii="Times New Roman"/>
                <w:sz w:val="21"/>
              </w:rPr>
              <w:t>CSBX-2400</w:t>
            </w:r>
          </w:p>
        </w:tc>
        <w:tc>
          <w:tcPr>
            <w:tcW w:w="684" w:type="dxa"/>
          </w:tcPr>
          <w:p w14:paraId="5C7486DA">
            <w:pPr>
              <w:pStyle w:val="14"/>
              <w:spacing w:before="106"/>
              <w:ind w:left="287"/>
              <w:rPr>
                <w:rFonts w:ascii="Times New Roman"/>
                <w:sz w:val="21"/>
              </w:rPr>
            </w:pPr>
            <w:r>
              <w:rPr>
                <w:rFonts w:ascii="Times New Roman"/>
                <w:w w:val="99"/>
                <w:sz w:val="21"/>
              </w:rPr>
              <w:t>1</w:t>
            </w:r>
          </w:p>
        </w:tc>
        <w:tc>
          <w:tcPr>
            <w:tcW w:w="699" w:type="dxa"/>
          </w:tcPr>
          <w:p w14:paraId="06392370">
            <w:pPr>
              <w:pStyle w:val="14"/>
              <w:spacing w:before="90"/>
              <w:ind w:left="8"/>
              <w:jc w:val="center"/>
              <w:rPr>
                <w:sz w:val="21"/>
              </w:rPr>
            </w:pPr>
            <w:r>
              <w:rPr>
                <w:w w:val="99"/>
                <w:sz w:val="21"/>
              </w:rPr>
              <w:t>台</w:t>
            </w:r>
          </w:p>
        </w:tc>
        <w:tc>
          <w:tcPr>
            <w:tcW w:w="1686" w:type="dxa"/>
          </w:tcPr>
          <w:p w14:paraId="117D49A2">
            <w:pPr>
              <w:pStyle w:val="14"/>
              <w:rPr>
                <w:rFonts w:ascii="Times New Roman"/>
                <w:sz w:val="20"/>
              </w:rPr>
            </w:pPr>
          </w:p>
        </w:tc>
      </w:tr>
      <w:tr w14:paraId="42BA9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0ACB8B6">
            <w:pPr>
              <w:pStyle w:val="14"/>
              <w:spacing w:before="105"/>
              <w:ind w:left="86" w:right="78"/>
              <w:jc w:val="center"/>
              <w:rPr>
                <w:rFonts w:ascii="Times New Roman"/>
                <w:sz w:val="21"/>
              </w:rPr>
            </w:pPr>
            <w:r>
              <w:rPr>
                <w:rFonts w:ascii="Times New Roman"/>
                <w:sz w:val="21"/>
              </w:rPr>
              <w:t>33</w:t>
            </w:r>
          </w:p>
        </w:tc>
        <w:tc>
          <w:tcPr>
            <w:tcW w:w="2007" w:type="dxa"/>
          </w:tcPr>
          <w:p w14:paraId="19793A58">
            <w:pPr>
              <w:pStyle w:val="14"/>
              <w:spacing w:before="91"/>
              <w:ind w:left="132" w:right="125"/>
              <w:jc w:val="center"/>
              <w:rPr>
                <w:sz w:val="21"/>
              </w:rPr>
            </w:pPr>
            <w:r>
              <w:rPr>
                <w:sz w:val="21"/>
              </w:rPr>
              <w:t>后臀尖移送传送机</w:t>
            </w:r>
          </w:p>
        </w:tc>
        <w:tc>
          <w:tcPr>
            <w:tcW w:w="2808" w:type="dxa"/>
          </w:tcPr>
          <w:p w14:paraId="1B62F1DB">
            <w:pPr>
              <w:pStyle w:val="14"/>
              <w:spacing w:before="105"/>
              <w:ind w:left="206" w:right="198"/>
              <w:jc w:val="center"/>
              <w:rPr>
                <w:rFonts w:ascii="Times New Roman"/>
                <w:sz w:val="21"/>
              </w:rPr>
            </w:pPr>
            <w:r>
              <w:rPr>
                <w:rFonts w:ascii="Times New Roman"/>
                <w:sz w:val="21"/>
              </w:rPr>
              <w:t>FSJ-3</w:t>
            </w:r>
          </w:p>
        </w:tc>
        <w:tc>
          <w:tcPr>
            <w:tcW w:w="684" w:type="dxa"/>
          </w:tcPr>
          <w:p w14:paraId="2834F8AD">
            <w:pPr>
              <w:pStyle w:val="14"/>
              <w:spacing w:before="105"/>
              <w:ind w:left="287"/>
              <w:rPr>
                <w:rFonts w:ascii="Times New Roman"/>
                <w:sz w:val="21"/>
              </w:rPr>
            </w:pPr>
            <w:r>
              <w:rPr>
                <w:rFonts w:ascii="Times New Roman"/>
                <w:w w:val="99"/>
                <w:sz w:val="21"/>
              </w:rPr>
              <w:t>1</w:t>
            </w:r>
          </w:p>
        </w:tc>
        <w:tc>
          <w:tcPr>
            <w:tcW w:w="699" w:type="dxa"/>
          </w:tcPr>
          <w:p w14:paraId="58078924">
            <w:pPr>
              <w:pStyle w:val="14"/>
              <w:spacing w:before="91"/>
              <w:ind w:left="8"/>
              <w:jc w:val="center"/>
              <w:rPr>
                <w:sz w:val="21"/>
              </w:rPr>
            </w:pPr>
            <w:r>
              <w:rPr>
                <w:w w:val="99"/>
                <w:sz w:val="21"/>
              </w:rPr>
              <w:t>台</w:t>
            </w:r>
          </w:p>
        </w:tc>
        <w:tc>
          <w:tcPr>
            <w:tcW w:w="1686" w:type="dxa"/>
          </w:tcPr>
          <w:p w14:paraId="624444AC">
            <w:pPr>
              <w:pStyle w:val="14"/>
              <w:rPr>
                <w:rFonts w:ascii="Times New Roman"/>
                <w:sz w:val="20"/>
              </w:rPr>
            </w:pPr>
          </w:p>
        </w:tc>
      </w:tr>
      <w:tr w14:paraId="380D6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A9B0CB2">
            <w:pPr>
              <w:pStyle w:val="14"/>
              <w:spacing w:before="107"/>
              <w:ind w:left="86" w:right="78"/>
              <w:jc w:val="center"/>
              <w:rPr>
                <w:rFonts w:ascii="Times New Roman"/>
                <w:sz w:val="21"/>
              </w:rPr>
            </w:pPr>
            <w:r>
              <w:rPr>
                <w:rFonts w:ascii="Times New Roman"/>
                <w:sz w:val="21"/>
              </w:rPr>
              <w:t>34</w:t>
            </w:r>
          </w:p>
        </w:tc>
        <w:tc>
          <w:tcPr>
            <w:tcW w:w="2007" w:type="dxa"/>
          </w:tcPr>
          <w:p w14:paraId="4F25F2B9">
            <w:pPr>
              <w:pStyle w:val="14"/>
              <w:spacing w:before="90"/>
              <w:ind w:left="132" w:right="125"/>
              <w:jc w:val="center"/>
              <w:rPr>
                <w:sz w:val="21"/>
              </w:rPr>
            </w:pPr>
            <w:r>
              <w:rPr>
                <w:sz w:val="21"/>
              </w:rPr>
              <w:t>前臀尖移送传送机</w:t>
            </w:r>
          </w:p>
        </w:tc>
        <w:tc>
          <w:tcPr>
            <w:tcW w:w="2808" w:type="dxa"/>
          </w:tcPr>
          <w:p w14:paraId="2ED11442">
            <w:pPr>
              <w:pStyle w:val="14"/>
              <w:spacing w:before="107"/>
              <w:ind w:left="206" w:right="198"/>
              <w:jc w:val="center"/>
              <w:rPr>
                <w:rFonts w:ascii="Times New Roman"/>
                <w:sz w:val="21"/>
              </w:rPr>
            </w:pPr>
            <w:r>
              <w:rPr>
                <w:rFonts w:ascii="Times New Roman"/>
                <w:sz w:val="21"/>
              </w:rPr>
              <w:t>FSJ-3</w:t>
            </w:r>
          </w:p>
        </w:tc>
        <w:tc>
          <w:tcPr>
            <w:tcW w:w="684" w:type="dxa"/>
          </w:tcPr>
          <w:p w14:paraId="64E90FC3">
            <w:pPr>
              <w:pStyle w:val="14"/>
              <w:spacing w:before="107"/>
              <w:ind w:left="287"/>
              <w:rPr>
                <w:rFonts w:ascii="Times New Roman"/>
                <w:sz w:val="21"/>
              </w:rPr>
            </w:pPr>
            <w:r>
              <w:rPr>
                <w:rFonts w:ascii="Times New Roman"/>
                <w:w w:val="99"/>
                <w:sz w:val="21"/>
              </w:rPr>
              <w:t>1</w:t>
            </w:r>
          </w:p>
        </w:tc>
        <w:tc>
          <w:tcPr>
            <w:tcW w:w="699" w:type="dxa"/>
          </w:tcPr>
          <w:p w14:paraId="38F5F0F9">
            <w:pPr>
              <w:pStyle w:val="14"/>
              <w:spacing w:before="90"/>
              <w:ind w:left="8"/>
              <w:jc w:val="center"/>
              <w:rPr>
                <w:sz w:val="21"/>
              </w:rPr>
            </w:pPr>
            <w:r>
              <w:rPr>
                <w:w w:val="99"/>
                <w:sz w:val="21"/>
              </w:rPr>
              <w:t>台</w:t>
            </w:r>
          </w:p>
        </w:tc>
        <w:tc>
          <w:tcPr>
            <w:tcW w:w="1686" w:type="dxa"/>
          </w:tcPr>
          <w:p w14:paraId="028451AB">
            <w:pPr>
              <w:pStyle w:val="14"/>
              <w:rPr>
                <w:rFonts w:ascii="Times New Roman"/>
                <w:sz w:val="20"/>
              </w:rPr>
            </w:pPr>
          </w:p>
        </w:tc>
      </w:tr>
      <w:tr w14:paraId="0C298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15D279F2">
            <w:pPr>
              <w:pStyle w:val="14"/>
              <w:spacing w:before="171"/>
              <w:ind w:left="86" w:right="78"/>
              <w:jc w:val="center"/>
              <w:rPr>
                <w:rFonts w:ascii="Times New Roman"/>
                <w:sz w:val="21"/>
              </w:rPr>
            </w:pPr>
            <w:r>
              <w:rPr>
                <w:rFonts w:ascii="Times New Roman"/>
                <w:sz w:val="21"/>
              </w:rPr>
              <w:t>35</w:t>
            </w:r>
          </w:p>
        </w:tc>
        <w:tc>
          <w:tcPr>
            <w:tcW w:w="2007" w:type="dxa"/>
          </w:tcPr>
          <w:p w14:paraId="25F1116E">
            <w:pPr>
              <w:pStyle w:val="14"/>
              <w:spacing w:before="19" w:line="270" w:lineRule="atLeast"/>
              <w:ind w:left="686" w:right="153" w:hanging="524"/>
              <w:rPr>
                <w:sz w:val="21"/>
              </w:rPr>
            </w:pPr>
            <w:r>
              <w:rPr>
                <w:w w:val="95"/>
                <w:sz w:val="21"/>
              </w:rPr>
              <w:t>前臀尖腹部肉移送</w:t>
            </w:r>
            <w:r>
              <w:rPr>
                <w:sz w:val="21"/>
              </w:rPr>
              <w:t>传送机</w:t>
            </w:r>
          </w:p>
        </w:tc>
        <w:tc>
          <w:tcPr>
            <w:tcW w:w="2808" w:type="dxa"/>
          </w:tcPr>
          <w:p w14:paraId="42860723">
            <w:pPr>
              <w:pStyle w:val="14"/>
              <w:spacing w:before="171"/>
              <w:ind w:left="206" w:right="198"/>
              <w:jc w:val="center"/>
              <w:rPr>
                <w:rFonts w:ascii="Times New Roman"/>
                <w:sz w:val="21"/>
              </w:rPr>
            </w:pPr>
            <w:r>
              <w:rPr>
                <w:rFonts w:ascii="Times New Roman"/>
                <w:sz w:val="21"/>
              </w:rPr>
              <w:t>FSJ-3</w:t>
            </w:r>
          </w:p>
        </w:tc>
        <w:tc>
          <w:tcPr>
            <w:tcW w:w="684" w:type="dxa"/>
          </w:tcPr>
          <w:p w14:paraId="563D6B0C">
            <w:pPr>
              <w:pStyle w:val="14"/>
              <w:spacing w:before="171"/>
              <w:ind w:left="287"/>
              <w:rPr>
                <w:rFonts w:ascii="Times New Roman"/>
                <w:sz w:val="21"/>
              </w:rPr>
            </w:pPr>
            <w:r>
              <w:rPr>
                <w:rFonts w:ascii="Times New Roman"/>
                <w:w w:val="99"/>
                <w:sz w:val="21"/>
              </w:rPr>
              <w:t>1</w:t>
            </w:r>
          </w:p>
        </w:tc>
        <w:tc>
          <w:tcPr>
            <w:tcW w:w="699" w:type="dxa"/>
          </w:tcPr>
          <w:p w14:paraId="545DE933">
            <w:pPr>
              <w:pStyle w:val="14"/>
              <w:spacing w:before="157"/>
              <w:ind w:left="8"/>
              <w:jc w:val="center"/>
              <w:rPr>
                <w:sz w:val="21"/>
              </w:rPr>
            </w:pPr>
            <w:r>
              <w:rPr>
                <w:w w:val="99"/>
                <w:sz w:val="21"/>
              </w:rPr>
              <w:t>台</w:t>
            </w:r>
          </w:p>
        </w:tc>
        <w:tc>
          <w:tcPr>
            <w:tcW w:w="1686" w:type="dxa"/>
          </w:tcPr>
          <w:p w14:paraId="64DB69DF">
            <w:pPr>
              <w:pStyle w:val="14"/>
              <w:rPr>
                <w:rFonts w:ascii="Times New Roman"/>
                <w:sz w:val="20"/>
              </w:rPr>
            </w:pPr>
          </w:p>
        </w:tc>
      </w:tr>
      <w:tr w14:paraId="60476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261B114">
            <w:pPr>
              <w:pStyle w:val="14"/>
              <w:spacing w:before="104"/>
              <w:ind w:left="86" w:right="78"/>
              <w:jc w:val="center"/>
              <w:rPr>
                <w:rFonts w:ascii="Times New Roman"/>
                <w:sz w:val="21"/>
              </w:rPr>
            </w:pPr>
            <w:r>
              <w:rPr>
                <w:rFonts w:ascii="Times New Roman"/>
                <w:sz w:val="21"/>
              </w:rPr>
              <w:t>36</w:t>
            </w:r>
          </w:p>
        </w:tc>
        <w:tc>
          <w:tcPr>
            <w:tcW w:w="2007" w:type="dxa"/>
          </w:tcPr>
          <w:p w14:paraId="6596854F">
            <w:pPr>
              <w:pStyle w:val="14"/>
              <w:spacing w:before="90"/>
              <w:ind w:left="132" w:right="125"/>
              <w:jc w:val="center"/>
              <w:rPr>
                <w:sz w:val="21"/>
              </w:rPr>
            </w:pPr>
            <w:r>
              <w:rPr>
                <w:sz w:val="21"/>
              </w:rPr>
              <w:t>腹部肉移送传送机</w:t>
            </w:r>
          </w:p>
        </w:tc>
        <w:tc>
          <w:tcPr>
            <w:tcW w:w="2808" w:type="dxa"/>
          </w:tcPr>
          <w:p w14:paraId="0CE533DF">
            <w:pPr>
              <w:pStyle w:val="14"/>
              <w:spacing w:before="104"/>
              <w:ind w:left="206" w:right="198"/>
              <w:jc w:val="center"/>
              <w:rPr>
                <w:rFonts w:ascii="Times New Roman"/>
                <w:sz w:val="21"/>
              </w:rPr>
            </w:pPr>
            <w:r>
              <w:rPr>
                <w:rFonts w:ascii="Times New Roman"/>
                <w:sz w:val="21"/>
              </w:rPr>
              <w:t>FSJ-3</w:t>
            </w:r>
          </w:p>
        </w:tc>
        <w:tc>
          <w:tcPr>
            <w:tcW w:w="684" w:type="dxa"/>
          </w:tcPr>
          <w:p w14:paraId="3492F51A">
            <w:pPr>
              <w:pStyle w:val="14"/>
              <w:spacing w:before="104"/>
              <w:ind w:left="287"/>
              <w:rPr>
                <w:rFonts w:ascii="Times New Roman"/>
                <w:sz w:val="21"/>
              </w:rPr>
            </w:pPr>
            <w:r>
              <w:rPr>
                <w:rFonts w:ascii="Times New Roman"/>
                <w:w w:val="99"/>
                <w:sz w:val="21"/>
              </w:rPr>
              <w:t>1</w:t>
            </w:r>
          </w:p>
        </w:tc>
        <w:tc>
          <w:tcPr>
            <w:tcW w:w="699" w:type="dxa"/>
          </w:tcPr>
          <w:p w14:paraId="00818CC8">
            <w:pPr>
              <w:pStyle w:val="14"/>
              <w:spacing w:before="90"/>
              <w:ind w:left="8"/>
              <w:jc w:val="center"/>
              <w:rPr>
                <w:sz w:val="21"/>
              </w:rPr>
            </w:pPr>
            <w:r>
              <w:rPr>
                <w:w w:val="99"/>
                <w:sz w:val="21"/>
              </w:rPr>
              <w:t>台</w:t>
            </w:r>
          </w:p>
        </w:tc>
        <w:tc>
          <w:tcPr>
            <w:tcW w:w="1686" w:type="dxa"/>
          </w:tcPr>
          <w:p w14:paraId="3A6EA2CF">
            <w:pPr>
              <w:pStyle w:val="14"/>
              <w:rPr>
                <w:rFonts w:ascii="Times New Roman"/>
                <w:sz w:val="20"/>
              </w:rPr>
            </w:pPr>
          </w:p>
        </w:tc>
      </w:tr>
      <w:tr w14:paraId="5A12A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92095FF">
            <w:pPr>
              <w:pStyle w:val="14"/>
              <w:spacing w:before="105"/>
              <w:ind w:left="86" w:right="78"/>
              <w:jc w:val="center"/>
              <w:rPr>
                <w:rFonts w:ascii="Times New Roman"/>
                <w:sz w:val="21"/>
              </w:rPr>
            </w:pPr>
            <w:r>
              <w:rPr>
                <w:rFonts w:ascii="Times New Roman"/>
                <w:sz w:val="21"/>
              </w:rPr>
              <w:t>37</w:t>
            </w:r>
          </w:p>
        </w:tc>
        <w:tc>
          <w:tcPr>
            <w:tcW w:w="2007" w:type="dxa"/>
          </w:tcPr>
          <w:p w14:paraId="6D294A64">
            <w:pPr>
              <w:pStyle w:val="14"/>
              <w:spacing w:before="89"/>
              <w:ind w:left="132" w:right="127"/>
              <w:jc w:val="center"/>
              <w:rPr>
                <w:sz w:val="21"/>
              </w:rPr>
            </w:pPr>
            <w:r>
              <w:rPr>
                <w:sz w:val="21"/>
              </w:rPr>
              <w:t>修整线输送系统</w:t>
            </w:r>
          </w:p>
        </w:tc>
        <w:tc>
          <w:tcPr>
            <w:tcW w:w="2808" w:type="dxa"/>
          </w:tcPr>
          <w:p w14:paraId="7CA94644">
            <w:pPr>
              <w:pStyle w:val="14"/>
              <w:spacing w:before="105"/>
              <w:ind w:left="206" w:right="198"/>
              <w:jc w:val="center"/>
              <w:rPr>
                <w:rFonts w:ascii="Times New Roman"/>
                <w:sz w:val="21"/>
              </w:rPr>
            </w:pPr>
            <w:r>
              <w:rPr>
                <w:rFonts w:ascii="Times New Roman"/>
                <w:sz w:val="21"/>
              </w:rPr>
              <w:t>FSJ-3</w:t>
            </w:r>
          </w:p>
        </w:tc>
        <w:tc>
          <w:tcPr>
            <w:tcW w:w="684" w:type="dxa"/>
          </w:tcPr>
          <w:p w14:paraId="27E8166E">
            <w:pPr>
              <w:pStyle w:val="14"/>
              <w:spacing w:before="105"/>
              <w:ind w:left="287"/>
              <w:rPr>
                <w:rFonts w:ascii="Times New Roman"/>
                <w:sz w:val="21"/>
              </w:rPr>
            </w:pPr>
            <w:r>
              <w:rPr>
                <w:rFonts w:ascii="Times New Roman"/>
                <w:w w:val="99"/>
                <w:sz w:val="21"/>
              </w:rPr>
              <w:t>1</w:t>
            </w:r>
          </w:p>
        </w:tc>
        <w:tc>
          <w:tcPr>
            <w:tcW w:w="699" w:type="dxa"/>
          </w:tcPr>
          <w:p w14:paraId="1E2702EA">
            <w:pPr>
              <w:pStyle w:val="14"/>
              <w:spacing w:before="89"/>
              <w:ind w:left="8"/>
              <w:jc w:val="center"/>
              <w:rPr>
                <w:sz w:val="21"/>
              </w:rPr>
            </w:pPr>
            <w:r>
              <w:rPr>
                <w:w w:val="99"/>
                <w:sz w:val="21"/>
              </w:rPr>
              <w:t>套</w:t>
            </w:r>
          </w:p>
        </w:tc>
        <w:tc>
          <w:tcPr>
            <w:tcW w:w="1686" w:type="dxa"/>
          </w:tcPr>
          <w:p w14:paraId="4C959E8F">
            <w:pPr>
              <w:pStyle w:val="14"/>
              <w:rPr>
                <w:rFonts w:ascii="Times New Roman"/>
                <w:sz w:val="20"/>
              </w:rPr>
            </w:pPr>
          </w:p>
        </w:tc>
      </w:tr>
      <w:tr w14:paraId="5F28E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391F432B">
            <w:pPr>
              <w:pStyle w:val="14"/>
              <w:spacing w:before="169"/>
              <w:ind w:left="86" w:right="78"/>
              <w:jc w:val="center"/>
              <w:rPr>
                <w:rFonts w:ascii="Times New Roman"/>
                <w:sz w:val="21"/>
              </w:rPr>
            </w:pPr>
            <w:r>
              <w:rPr>
                <w:rFonts w:ascii="Times New Roman"/>
                <w:sz w:val="21"/>
              </w:rPr>
              <w:t>38</w:t>
            </w:r>
          </w:p>
        </w:tc>
        <w:tc>
          <w:tcPr>
            <w:tcW w:w="2007" w:type="dxa"/>
          </w:tcPr>
          <w:p w14:paraId="301BE7F6">
            <w:pPr>
              <w:pStyle w:val="14"/>
              <w:spacing w:before="18" w:line="270" w:lineRule="atLeast"/>
              <w:ind w:left="792" w:right="153" w:hanging="629"/>
              <w:rPr>
                <w:sz w:val="21"/>
              </w:rPr>
            </w:pPr>
            <w:r>
              <w:rPr>
                <w:w w:val="95"/>
                <w:sz w:val="21"/>
              </w:rPr>
              <w:t>分割肉移送斜面输</w:t>
            </w:r>
            <w:r>
              <w:rPr>
                <w:sz w:val="21"/>
              </w:rPr>
              <w:t>送机</w:t>
            </w:r>
          </w:p>
        </w:tc>
        <w:tc>
          <w:tcPr>
            <w:tcW w:w="2808" w:type="dxa"/>
          </w:tcPr>
          <w:p w14:paraId="05AA3AE1">
            <w:pPr>
              <w:pStyle w:val="14"/>
              <w:spacing w:before="169"/>
              <w:ind w:left="206" w:right="198"/>
              <w:jc w:val="center"/>
              <w:rPr>
                <w:rFonts w:ascii="Times New Roman"/>
                <w:sz w:val="21"/>
              </w:rPr>
            </w:pPr>
            <w:r>
              <w:rPr>
                <w:rFonts w:ascii="Times New Roman"/>
                <w:sz w:val="21"/>
              </w:rPr>
              <w:t>FSJ-3</w:t>
            </w:r>
          </w:p>
        </w:tc>
        <w:tc>
          <w:tcPr>
            <w:tcW w:w="684" w:type="dxa"/>
          </w:tcPr>
          <w:p w14:paraId="73ECFB78">
            <w:pPr>
              <w:pStyle w:val="14"/>
              <w:spacing w:before="169"/>
              <w:ind w:left="287"/>
              <w:rPr>
                <w:rFonts w:ascii="Times New Roman"/>
                <w:sz w:val="21"/>
              </w:rPr>
            </w:pPr>
            <w:r>
              <w:rPr>
                <w:rFonts w:ascii="Times New Roman"/>
                <w:w w:val="99"/>
                <w:sz w:val="21"/>
              </w:rPr>
              <w:t>3</w:t>
            </w:r>
          </w:p>
        </w:tc>
        <w:tc>
          <w:tcPr>
            <w:tcW w:w="699" w:type="dxa"/>
          </w:tcPr>
          <w:p w14:paraId="516F1678">
            <w:pPr>
              <w:pStyle w:val="14"/>
              <w:spacing w:before="156"/>
              <w:ind w:left="8"/>
              <w:jc w:val="center"/>
              <w:rPr>
                <w:sz w:val="21"/>
              </w:rPr>
            </w:pPr>
            <w:r>
              <w:rPr>
                <w:w w:val="99"/>
                <w:sz w:val="21"/>
              </w:rPr>
              <w:t>台</w:t>
            </w:r>
          </w:p>
        </w:tc>
        <w:tc>
          <w:tcPr>
            <w:tcW w:w="1686" w:type="dxa"/>
          </w:tcPr>
          <w:p w14:paraId="4338F386">
            <w:pPr>
              <w:pStyle w:val="14"/>
              <w:rPr>
                <w:rFonts w:ascii="Times New Roman"/>
                <w:sz w:val="20"/>
              </w:rPr>
            </w:pPr>
          </w:p>
        </w:tc>
      </w:tr>
      <w:tr w14:paraId="359E2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159F9DD">
            <w:pPr>
              <w:pStyle w:val="14"/>
              <w:spacing w:before="105"/>
              <w:ind w:left="86" w:right="78"/>
              <w:jc w:val="center"/>
              <w:rPr>
                <w:rFonts w:ascii="Times New Roman"/>
                <w:sz w:val="21"/>
              </w:rPr>
            </w:pPr>
            <w:r>
              <w:rPr>
                <w:rFonts w:ascii="Times New Roman"/>
                <w:sz w:val="21"/>
              </w:rPr>
              <w:t>39</w:t>
            </w:r>
          </w:p>
        </w:tc>
        <w:tc>
          <w:tcPr>
            <w:tcW w:w="2007" w:type="dxa"/>
          </w:tcPr>
          <w:p w14:paraId="14A290E7">
            <w:pPr>
              <w:pStyle w:val="14"/>
              <w:spacing w:before="91"/>
              <w:ind w:left="132" w:right="125"/>
              <w:jc w:val="center"/>
              <w:rPr>
                <w:sz w:val="21"/>
              </w:rPr>
            </w:pPr>
            <w:r>
              <w:rPr>
                <w:sz w:val="21"/>
              </w:rPr>
              <w:t>分割肉移送输送机</w:t>
            </w:r>
          </w:p>
        </w:tc>
        <w:tc>
          <w:tcPr>
            <w:tcW w:w="2808" w:type="dxa"/>
          </w:tcPr>
          <w:p w14:paraId="240A71BE">
            <w:pPr>
              <w:pStyle w:val="14"/>
              <w:spacing w:before="105"/>
              <w:ind w:left="206" w:right="198"/>
              <w:jc w:val="center"/>
              <w:rPr>
                <w:rFonts w:ascii="Times New Roman"/>
                <w:sz w:val="21"/>
              </w:rPr>
            </w:pPr>
            <w:r>
              <w:rPr>
                <w:rFonts w:ascii="Times New Roman"/>
                <w:sz w:val="21"/>
              </w:rPr>
              <w:t>FSJ-3</w:t>
            </w:r>
          </w:p>
        </w:tc>
        <w:tc>
          <w:tcPr>
            <w:tcW w:w="684" w:type="dxa"/>
          </w:tcPr>
          <w:p w14:paraId="0442B41E">
            <w:pPr>
              <w:pStyle w:val="14"/>
              <w:spacing w:before="105"/>
              <w:ind w:left="287"/>
              <w:rPr>
                <w:rFonts w:ascii="Times New Roman"/>
                <w:sz w:val="21"/>
              </w:rPr>
            </w:pPr>
            <w:r>
              <w:rPr>
                <w:rFonts w:ascii="Times New Roman"/>
                <w:w w:val="99"/>
                <w:sz w:val="21"/>
              </w:rPr>
              <w:t>3</w:t>
            </w:r>
          </w:p>
        </w:tc>
        <w:tc>
          <w:tcPr>
            <w:tcW w:w="699" w:type="dxa"/>
          </w:tcPr>
          <w:p w14:paraId="72586800">
            <w:pPr>
              <w:pStyle w:val="14"/>
              <w:spacing w:before="91"/>
              <w:ind w:left="8"/>
              <w:jc w:val="center"/>
              <w:rPr>
                <w:sz w:val="21"/>
              </w:rPr>
            </w:pPr>
            <w:r>
              <w:rPr>
                <w:w w:val="99"/>
                <w:sz w:val="21"/>
              </w:rPr>
              <w:t>台</w:t>
            </w:r>
          </w:p>
        </w:tc>
        <w:tc>
          <w:tcPr>
            <w:tcW w:w="1686" w:type="dxa"/>
          </w:tcPr>
          <w:p w14:paraId="325A48C7">
            <w:pPr>
              <w:pStyle w:val="14"/>
              <w:rPr>
                <w:rFonts w:ascii="Times New Roman"/>
                <w:sz w:val="20"/>
              </w:rPr>
            </w:pPr>
          </w:p>
        </w:tc>
      </w:tr>
      <w:tr w14:paraId="1FFA4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30AC11C">
            <w:pPr>
              <w:pStyle w:val="14"/>
              <w:spacing w:before="104"/>
              <w:ind w:left="86" w:right="78"/>
              <w:jc w:val="center"/>
              <w:rPr>
                <w:rFonts w:ascii="Times New Roman"/>
                <w:sz w:val="21"/>
              </w:rPr>
            </w:pPr>
            <w:r>
              <w:rPr>
                <w:rFonts w:ascii="Times New Roman"/>
                <w:sz w:val="21"/>
              </w:rPr>
              <w:t>40</w:t>
            </w:r>
          </w:p>
        </w:tc>
        <w:tc>
          <w:tcPr>
            <w:tcW w:w="2007" w:type="dxa"/>
          </w:tcPr>
          <w:p w14:paraId="18E9171A">
            <w:pPr>
              <w:pStyle w:val="14"/>
              <w:spacing w:before="90"/>
              <w:ind w:left="132" w:right="125"/>
              <w:jc w:val="center"/>
              <w:rPr>
                <w:sz w:val="21"/>
              </w:rPr>
            </w:pPr>
            <w:r>
              <w:rPr>
                <w:sz w:val="21"/>
              </w:rPr>
              <w:t>冷藏肉移送输送机</w:t>
            </w:r>
          </w:p>
        </w:tc>
        <w:tc>
          <w:tcPr>
            <w:tcW w:w="2808" w:type="dxa"/>
          </w:tcPr>
          <w:p w14:paraId="0648B431">
            <w:pPr>
              <w:pStyle w:val="14"/>
              <w:spacing w:before="104"/>
              <w:ind w:left="206" w:right="198"/>
              <w:jc w:val="center"/>
              <w:rPr>
                <w:rFonts w:ascii="Times New Roman"/>
                <w:sz w:val="21"/>
              </w:rPr>
            </w:pPr>
            <w:r>
              <w:rPr>
                <w:rFonts w:ascii="Times New Roman"/>
                <w:sz w:val="21"/>
              </w:rPr>
              <w:t>FSJ-1</w:t>
            </w:r>
          </w:p>
        </w:tc>
        <w:tc>
          <w:tcPr>
            <w:tcW w:w="684" w:type="dxa"/>
          </w:tcPr>
          <w:p w14:paraId="0ED5DC1D">
            <w:pPr>
              <w:pStyle w:val="14"/>
              <w:spacing w:before="104"/>
              <w:ind w:left="287"/>
              <w:rPr>
                <w:rFonts w:ascii="Times New Roman"/>
                <w:sz w:val="21"/>
              </w:rPr>
            </w:pPr>
            <w:r>
              <w:rPr>
                <w:rFonts w:ascii="Times New Roman"/>
                <w:w w:val="99"/>
                <w:sz w:val="21"/>
              </w:rPr>
              <w:t>3</w:t>
            </w:r>
          </w:p>
        </w:tc>
        <w:tc>
          <w:tcPr>
            <w:tcW w:w="699" w:type="dxa"/>
          </w:tcPr>
          <w:p w14:paraId="5AAEAC6E">
            <w:pPr>
              <w:pStyle w:val="14"/>
              <w:spacing w:before="90"/>
              <w:ind w:left="8"/>
              <w:jc w:val="center"/>
              <w:rPr>
                <w:sz w:val="21"/>
              </w:rPr>
            </w:pPr>
            <w:r>
              <w:rPr>
                <w:w w:val="99"/>
                <w:sz w:val="21"/>
              </w:rPr>
              <w:t>台</w:t>
            </w:r>
          </w:p>
        </w:tc>
        <w:tc>
          <w:tcPr>
            <w:tcW w:w="1686" w:type="dxa"/>
          </w:tcPr>
          <w:p w14:paraId="0DFA2CD8">
            <w:pPr>
              <w:pStyle w:val="14"/>
              <w:rPr>
                <w:rFonts w:ascii="Times New Roman"/>
                <w:sz w:val="20"/>
              </w:rPr>
            </w:pPr>
          </w:p>
        </w:tc>
      </w:tr>
      <w:tr w14:paraId="09B99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38" w:type="dxa"/>
          </w:tcPr>
          <w:p w14:paraId="1FAFE924">
            <w:pPr>
              <w:pStyle w:val="14"/>
              <w:spacing w:before="170"/>
              <w:ind w:left="86" w:right="78"/>
              <w:jc w:val="center"/>
              <w:rPr>
                <w:rFonts w:ascii="Times New Roman"/>
                <w:sz w:val="21"/>
              </w:rPr>
            </w:pPr>
            <w:r>
              <w:rPr>
                <w:rFonts w:ascii="Times New Roman"/>
                <w:sz w:val="21"/>
              </w:rPr>
              <w:t>41</w:t>
            </w:r>
          </w:p>
        </w:tc>
        <w:tc>
          <w:tcPr>
            <w:tcW w:w="2007" w:type="dxa"/>
          </w:tcPr>
          <w:p w14:paraId="6B68DF5A">
            <w:pPr>
              <w:pStyle w:val="14"/>
              <w:spacing w:before="20" w:line="242" w:lineRule="auto"/>
              <w:ind w:left="792" w:right="153" w:hanging="629"/>
              <w:rPr>
                <w:sz w:val="21"/>
              </w:rPr>
            </w:pPr>
            <w:r>
              <w:rPr>
                <w:w w:val="95"/>
                <w:sz w:val="21"/>
              </w:rPr>
              <w:t>冷冻肉移送滚轮输</w:t>
            </w:r>
            <w:r>
              <w:rPr>
                <w:sz w:val="21"/>
              </w:rPr>
              <w:t>送机</w:t>
            </w:r>
          </w:p>
        </w:tc>
        <w:tc>
          <w:tcPr>
            <w:tcW w:w="2808" w:type="dxa"/>
          </w:tcPr>
          <w:p w14:paraId="29A03867">
            <w:pPr>
              <w:pStyle w:val="14"/>
              <w:spacing w:before="170"/>
              <w:ind w:left="206" w:right="198"/>
              <w:jc w:val="center"/>
              <w:rPr>
                <w:rFonts w:ascii="Times New Roman"/>
                <w:sz w:val="21"/>
              </w:rPr>
            </w:pPr>
            <w:r>
              <w:rPr>
                <w:rFonts w:ascii="Times New Roman"/>
                <w:sz w:val="21"/>
              </w:rPr>
              <w:t>FSJ-1</w:t>
            </w:r>
          </w:p>
        </w:tc>
        <w:tc>
          <w:tcPr>
            <w:tcW w:w="684" w:type="dxa"/>
          </w:tcPr>
          <w:p w14:paraId="6ED40BF3">
            <w:pPr>
              <w:pStyle w:val="14"/>
              <w:spacing w:before="170"/>
              <w:ind w:left="287"/>
              <w:rPr>
                <w:rFonts w:ascii="Times New Roman"/>
                <w:sz w:val="21"/>
              </w:rPr>
            </w:pPr>
            <w:r>
              <w:rPr>
                <w:rFonts w:ascii="Times New Roman"/>
                <w:w w:val="99"/>
                <w:sz w:val="21"/>
              </w:rPr>
              <w:t>3</w:t>
            </w:r>
          </w:p>
        </w:tc>
        <w:tc>
          <w:tcPr>
            <w:tcW w:w="699" w:type="dxa"/>
          </w:tcPr>
          <w:p w14:paraId="1A52ECD0">
            <w:pPr>
              <w:pStyle w:val="14"/>
              <w:spacing w:before="154"/>
              <w:ind w:left="8"/>
              <w:jc w:val="center"/>
              <w:rPr>
                <w:sz w:val="21"/>
              </w:rPr>
            </w:pPr>
            <w:r>
              <w:rPr>
                <w:w w:val="99"/>
                <w:sz w:val="21"/>
              </w:rPr>
              <w:t>台</w:t>
            </w:r>
          </w:p>
        </w:tc>
        <w:tc>
          <w:tcPr>
            <w:tcW w:w="1686" w:type="dxa"/>
          </w:tcPr>
          <w:p w14:paraId="24CC651A">
            <w:pPr>
              <w:pStyle w:val="14"/>
              <w:rPr>
                <w:rFonts w:ascii="Times New Roman"/>
                <w:sz w:val="20"/>
              </w:rPr>
            </w:pPr>
          </w:p>
        </w:tc>
      </w:tr>
      <w:tr w14:paraId="1537D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54325819">
            <w:pPr>
              <w:pStyle w:val="14"/>
              <w:spacing w:before="172"/>
              <w:ind w:left="86" w:right="78"/>
              <w:jc w:val="center"/>
              <w:rPr>
                <w:rFonts w:ascii="Times New Roman"/>
                <w:sz w:val="21"/>
              </w:rPr>
            </w:pPr>
            <w:r>
              <w:rPr>
                <w:rFonts w:ascii="Times New Roman"/>
                <w:sz w:val="21"/>
              </w:rPr>
              <w:t>42</w:t>
            </w:r>
          </w:p>
        </w:tc>
        <w:tc>
          <w:tcPr>
            <w:tcW w:w="2007" w:type="dxa"/>
          </w:tcPr>
          <w:p w14:paraId="4210A756">
            <w:pPr>
              <w:pStyle w:val="14"/>
              <w:spacing w:before="21" w:line="242" w:lineRule="auto"/>
              <w:ind w:left="686" w:right="153" w:hanging="524"/>
              <w:rPr>
                <w:sz w:val="21"/>
              </w:rPr>
            </w:pPr>
            <w:r>
              <w:rPr>
                <w:w w:val="95"/>
                <w:sz w:val="21"/>
              </w:rPr>
              <w:t>冷冻肉箱移送滚轮</w:t>
            </w:r>
            <w:r>
              <w:rPr>
                <w:sz w:val="21"/>
              </w:rPr>
              <w:t>输送机</w:t>
            </w:r>
          </w:p>
        </w:tc>
        <w:tc>
          <w:tcPr>
            <w:tcW w:w="2808" w:type="dxa"/>
          </w:tcPr>
          <w:p w14:paraId="29733580">
            <w:pPr>
              <w:pStyle w:val="14"/>
              <w:spacing w:before="172"/>
              <w:ind w:left="206" w:right="198"/>
              <w:jc w:val="center"/>
              <w:rPr>
                <w:rFonts w:ascii="Times New Roman"/>
                <w:sz w:val="21"/>
              </w:rPr>
            </w:pPr>
            <w:r>
              <w:rPr>
                <w:rFonts w:ascii="Times New Roman"/>
                <w:sz w:val="21"/>
              </w:rPr>
              <w:t>FSJ-1</w:t>
            </w:r>
          </w:p>
        </w:tc>
        <w:tc>
          <w:tcPr>
            <w:tcW w:w="684" w:type="dxa"/>
          </w:tcPr>
          <w:p w14:paraId="4CC0B74D">
            <w:pPr>
              <w:pStyle w:val="14"/>
              <w:spacing w:before="172"/>
              <w:ind w:left="287"/>
              <w:rPr>
                <w:rFonts w:ascii="Times New Roman"/>
                <w:sz w:val="21"/>
              </w:rPr>
            </w:pPr>
            <w:r>
              <w:rPr>
                <w:rFonts w:ascii="Times New Roman"/>
                <w:w w:val="99"/>
                <w:sz w:val="21"/>
              </w:rPr>
              <w:t>3</w:t>
            </w:r>
          </w:p>
        </w:tc>
        <w:tc>
          <w:tcPr>
            <w:tcW w:w="699" w:type="dxa"/>
          </w:tcPr>
          <w:p w14:paraId="76384136">
            <w:pPr>
              <w:pStyle w:val="14"/>
              <w:spacing w:before="155"/>
              <w:ind w:left="8"/>
              <w:jc w:val="center"/>
              <w:rPr>
                <w:sz w:val="21"/>
              </w:rPr>
            </w:pPr>
            <w:r>
              <w:rPr>
                <w:w w:val="99"/>
                <w:sz w:val="21"/>
              </w:rPr>
              <w:t>台</w:t>
            </w:r>
          </w:p>
        </w:tc>
        <w:tc>
          <w:tcPr>
            <w:tcW w:w="1686" w:type="dxa"/>
          </w:tcPr>
          <w:p w14:paraId="6931B807">
            <w:pPr>
              <w:pStyle w:val="14"/>
              <w:rPr>
                <w:rFonts w:ascii="Times New Roman"/>
                <w:sz w:val="20"/>
              </w:rPr>
            </w:pPr>
          </w:p>
        </w:tc>
      </w:tr>
      <w:tr w14:paraId="1BA76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638" w:type="dxa"/>
          </w:tcPr>
          <w:p w14:paraId="66AB1108">
            <w:pPr>
              <w:pStyle w:val="14"/>
              <w:spacing w:before="169"/>
              <w:ind w:left="86" w:right="78"/>
              <w:jc w:val="center"/>
              <w:rPr>
                <w:rFonts w:ascii="Times New Roman"/>
                <w:sz w:val="21"/>
              </w:rPr>
            </w:pPr>
            <w:r>
              <w:rPr>
                <w:rFonts w:ascii="Times New Roman"/>
                <w:sz w:val="21"/>
              </w:rPr>
              <w:t>43</w:t>
            </w:r>
          </w:p>
        </w:tc>
        <w:tc>
          <w:tcPr>
            <w:tcW w:w="2007" w:type="dxa"/>
          </w:tcPr>
          <w:p w14:paraId="5917BFA7">
            <w:pPr>
              <w:pStyle w:val="14"/>
              <w:spacing w:before="18" w:line="270" w:lineRule="atLeast"/>
              <w:ind w:left="583" w:right="153" w:hanging="420"/>
              <w:rPr>
                <w:sz w:val="21"/>
              </w:rPr>
            </w:pPr>
            <w:r>
              <w:rPr>
                <w:w w:val="95"/>
                <w:sz w:val="21"/>
              </w:rPr>
              <w:t>冷冻肉用箱回收滚</w:t>
            </w:r>
            <w:r>
              <w:rPr>
                <w:sz w:val="21"/>
              </w:rPr>
              <w:t>轮输送机</w:t>
            </w:r>
          </w:p>
        </w:tc>
        <w:tc>
          <w:tcPr>
            <w:tcW w:w="2808" w:type="dxa"/>
          </w:tcPr>
          <w:p w14:paraId="04D85CF2">
            <w:pPr>
              <w:pStyle w:val="14"/>
              <w:spacing w:before="169"/>
              <w:ind w:left="206" w:right="198"/>
              <w:jc w:val="center"/>
              <w:rPr>
                <w:rFonts w:ascii="Times New Roman"/>
                <w:sz w:val="21"/>
              </w:rPr>
            </w:pPr>
            <w:r>
              <w:rPr>
                <w:rFonts w:ascii="Times New Roman"/>
                <w:sz w:val="21"/>
              </w:rPr>
              <w:t>FSJ-1</w:t>
            </w:r>
          </w:p>
        </w:tc>
        <w:tc>
          <w:tcPr>
            <w:tcW w:w="684" w:type="dxa"/>
          </w:tcPr>
          <w:p w14:paraId="3FB06FD6">
            <w:pPr>
              <w:pStyle w:val="14"/>
              <w:spacing w:before="169"/>
              <w:ind w:left="287"/>
              <w:rPr>
                <w:rFonts w:ascii="Times New Roman"/>
                <w:sz w:val="21"/>
              </w:rPr>
            </w:pPr>
            <w:r>
              <w:rPr>
                <w:rFonts w:ascii="Times New Roman"/>
                <w:w w:val="99"/>
                <w:sz w:val="21"/>
              </w:rPr>
              <w:t>1</w:t>
            </w:r>
          </w:p>
        </w:tc>
        <w:tc>
          <w:tcPr>
            <w:tcW w:w="699" w:type="dxa"/>
          </w:tcPr>
          <w:p w14:paraId="7AFECEDF">
            <w:pPr>
              <w:pStyle w:val="14"/>
              <w:spacing w:before="156"/>
              <w:ind w:left="8"/>
              <w:jc w:val="center"/>
              <w:rPr>
                <w:sz w:val="21"/>
              </w:rPr>
            </w:pPr>
            <w:r>
              <w:rPr>
                <w:w w:val="99"/>
                <w:sz w:val="21"/>
              </w:rPr>
              <w:t>台</w:t>
            </w:r>
          </w:p>
        </w:tc>
        <w:tc>
          <w:tcPr>
            <w:tcW w:w="1686" w:type="dxa"/>
          </w:tcPr>
          <w:p w14:paraId="22250F4F">
            <w:pPr>
              <w:pStyle w:val="14"/>
              <w:rPr>
                <w:rFonts w:ascii="Times New Roman"/>
                <w:sz w:val="20"/>
              </w:rPr>
            </w:pPr>
          </w:p>
        </w:tc>
      </w:tr>
    </w:tbl>
    <w:p w14:paraId="4DAC0F1A">
      <w:pPr>
        <w:spacing w:after="0"/>
        <w:rPr>
          <w:rFonts w:ascii="Times New Roman"/>
          <w:sz w:val="20"/>
        </w:rPr>
        <w:sectPr>
          <w:pgSz w:w="11910" w:h="16840"/>
          <w:pgMar w:top="1360" w:right="1460" w:bottom="1400" w:left="1520" w:header="878" w:footer="1204" w:gutter="0"/>
          <w:cols w:space="720" w:num="1"/>
        </w:sectPr>
      </w:pPr>
    </w:p>
    <w:p w14:paraId="38B69775">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7703A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383DECC5">
            <w:pPr>
              <w:pStyle w:val="14"/>
              <w:spacing w:before="172"/>
              <w:ind w:left="86" w:right="78"/>
              <w:jc w:val="center"/>
              <w:rPr>
                <w:rFonts w:ascii="Times New Roman"/>
                <w:sz w:val="21"/>
              </w:rPr>
            </w:pPr>
            <w:r>
              <w:rPr>
                <w:rFonts w:ascii="Times New Roman"/>
                <w:sz w:val="21"/>
              </w:rPr>
              <w:t>44</w:t>
            </w:r>
          </w:p>
        </w:tc>
        <w:tc>
          <w:tcPr>
            <w:tcW w:w="2007" w:type="dxa"/>
          </w:tcPr>
          <w:p w14:paraId="757EA68E">
            <w:pPr>
              <w:pStyle w:val="14"/>
              <w:spacing w:before="21" w:line="242" w:lineRule="auto"/>
              <w:ind w:left="583" w:right="153" w:hanging="420"/>
              <w:rPr>
                <w:sz w:val="21"/>
              </w:rPr>
            </w:pPr>
            <w:r>
              <w:rPr>
                <w:w w:val="95"/>
                <w:sz w:val="21"/>
              </w:rPr>
              <w:t>冷冻肉用箱回收斜</w:t>
            </w:r>
            <w:r>
              <w:rPr>
                <w:sz w:val="21"/>
              </w:rPr>
              <w:t>面输送机</w:t>
            </w:r>
          </w:p>
        </w:tc>
        <w:tc>
          <w:tcPr>
            <w:tcW w:w="2808" w:type="dxa"/>
          </w:tcPr>
          <w:p w14:paraId="51B0F6B6">
            <w:pPr>
              <w:pStyle w:val="14"/>
              <w:spacing w:before="172"/>
              <w:ind w:left="206" w:right="198"/>
              <w:jc w:val="center"/>
              <w:rPr>
                <w:rFonts w:ascii="Times New Roman"/>
                <w:sz w:val="21"/>
              </w:rPr>
            </w:pPr>
            <w:r>
              <w:rPr>
                <w:rFonts w:ascii="Times New Roman"/>
                <w:sz w:val="21"/>
              </w:rPr>
              <w:t>FSJ-1</w:t>
            </w:r>
          </w:p>
        </w:tc>
        <w:tc>
          <w:tcPr>
            <w:tcW w:w="684" w:type="dxa"/>
          </w:tcPr>
          <w:p w14:paraId="3CBE48DC">
            <w:pPr>
              <w:pStyle w:val="14"/>
              <w:spacing w:before="172"/>
              <w:ind w:left="287"/>
              <w:rPr>
                <w:rFonts w:ascii="Times New Roman"/>
                <w:sz w:val="21"/>
              </w:rPr>
            </w:pPr>
            <w:r>
              <w:rPr>
                <w:rFonts w:ascii="Times New Roman"/>
                <w:w w:val="99"/>
                <w:sz w:val="21"/>
              </w:rPr>
              <w:t>1</w:t>
            </w:r>
          </w:p>
        </w:tc>
        <w:tc>
          <w:tcPr>
            <w:tcW w:w="699" w:type="dxa"/>
          </w:tcPr>
          <w:p w14:paraId="357FAD10">
            <w:pPr>
              <w:pStyle w:val="14"/>
              <w:spacing w:before="155"/>
              <w:ind w:left="8"/>
              <w:jc w:val="center"/>
              <w:rPr>
                <w:sz w:val="21"/>
              </w:rPr>
            </w:pPr>
            <w:r>
              <w:rPr>
                <w:w w:val="99"/>
                <w:sz w:val="21"/>
              </w:rPr>
              <w:t>台</w:t>
            </w:r>
          </w:p>
        </w:tc>
        <w:tc>
          <w:tcPr>
            <w:tcW w:w="1686" w:type="dxa"/>
          </w:tcPr>
          <w:p w14:paraId="1B83A72E">
            <w:pPr>
              <w:pStyle w:val="14"/>
              <w:rPr>
                <w:rFonts w:ascii="Times New Roman"/>
                <w:sz w:val="20"/>
              </w:rPr>
            </w:pPr>
          </w:p>
        </w:tc>
      </w:tr>
      <w:tr w14:paraId="650D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38" w:type="dxa"/>
          </w:tcPr>
          <w:p w14:paraId="34D946DC">
            <w:pPr>
              <w:pStyle w:val="14"/>
              <w:spacing w:before="153"/>
              <w:ind w:left="86" w:right="78"/>
              <w:jc w:val="center"/>
              <w:rPr>
                <w:rFonts w:ascii="Times New Roman"/>
                <w:sz w:val="21"/>
              </w:rPr>
            </w:pPr>
            <w:r>
              <w:rPr>
                <w:rFonts w:ascii="Times New Roman"/>
                <w:sz w:val="21"/>
              </w:rPr>
              <w:t>45</w:t>
            </w:r>
          </w:p>
        </w:tc>
        <w:tc>
          <w:tcPr>
            <w:tcW w:w="2007" w:type="dxa"/>
          </w:tcPr>
          <w:p w14:paraId="50221080">
            <w:pPr>
              <w:pStyle w:val="14"/>
              <w:spacing w:before="139"/>
              <w:ind w:left="132" w:right="127"/>
              <w:jc w:val="center"/>
              <w:rPr>
                <w:sz w:val="21"/>
              </w:rPr>
            </w:pPr>
            <w:r>
              <w:rPr>
                <w:sz w:val="21"/>
              </w:rPr>
              <w:t>冷却排酸轨道</w:t>
            </w:r>
          </w:p>
        </w:tc>
        <w:tc>
          <w:tcPr>
            <w:tcW w:w="2808" w:type="dxa"/>
          </w:tcPr>
          <w:p w14:paraId="3E7D7A81">
            <w:pPr>
              <w:pStyle w:val="14"/>
              <w:spacing w:before="18"/>
              <w:ind w:left="206" w:right="197"/>
              <w:jc w:val="center"/>
              <w:rPr>
                <w:rFonts w:ascii="Times New Roman"/>
                <w:sz w:val="21"/>
              </w:rPr>
            </w:pPr>
            <w:r>
              <w:rPr>
                <w:rFonts w:ascii="Times New Roman"/>
                <w:sz w:val="21"/>
              </w:rPr>
              <w:t>KLSJ-</w:t>
            </w:r>
          </w:p>
          <w:p w14:paraId="2FAF2530">
            <w:pPr>
              <w:pStyle w:val="14"/>
              <w:spacing w:before="2"/>
              <w:ind w:left="206" w:right="197"/>
              <w:jc w:val="center"/>
              <w:rPr>
                <w:sz w:val="21"/>
              </w:rPr>
            </w:pPr>
            <w:r>
              <w:rPr>
                <w:sz w:val="21"/>
              </w:rPr>
              <w:t>挂钩式</w:t>
            </w:r>
          </w:p>
        </w:tc>
        <w:tc>
          <w:tcPr>
            <w:tcW w:w="684" w:type="dxa"/>
          </w:tcPr>
          <w:p w14:paraId="299F1742">
            <w:pPr>
              <w:pStyle w:val="14"/>
              <w:spacing w:before="153"/>
              <w:ind w:left="287"/>
              <w:rPr>
                <w:rFonts w:ascii="Times New Roman"/>
                <w:sz w:val="21"/>
              </w:rPr>
            </w:pPr>
            <w:r>
              <w:rPr>
                <w:rFonts w:ascii="Times New Roman"/>
                <w:w w:val="99"/>
                <w:sz w:val="21"/>
              </w:rPr>
              <w:t>4</w:t>
            </w:r>
          </w:p>
        </w:tc>
        <w:tc>
          <w:tcPr>
            <w:tcW w:w="699" w:type="dxa"/>
          </w:tcPr>
          <w:p w14:paraId="0A960F15">
            <w:pPr>
              <w:pStyle w:val="14"/>
              <w:spacing w:before="139"/>
              <w:ind w:left="8"/>
              <w:jc w:val="center"/>
              <w:rPr>
                <w:sz w:val="21"/>
              </w:rPr>
            </w:pPr>
            <w:r>
              <w:rPr>
                <w:w w:val="99"/>
                <w:sz w:val="21"/>
              </w:rPr>
              <w:t>套</w:t>
            </w:r>
          </w:p>
        </w:tc>
        <w:tc>
          <w:tcPr>
            <w:tcW w:w="1686" w:type="dxa"/>
          </w:tcPr>
          <w:p w14:paraId="0461162F">
            <w:pPr>
              <w:pStyle w:val="14"/>
              <w:rPr>
                <w:rFonts w:ascii="Times New Roman"/>
                <w:sz w:val="20"/>
              </w:rPr>
            </w:pPr>
          </w:p>
        </w:tc>
      </w:tr>
      <w:tr w14:paraId="671BE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1DAD1245">
            <w:pPr>
              <w:pStyle w:val="14"/>
              <w:spacing w:before="105"/>
              <w:ind w:left="86" w:right="78"/>
              <w:jc w:val="center"/>
              <w:rPr>
                <w:rFonts w:ascii="Times New Roman"/>
                <w:sz w:val="21"/>
              </w:rPr>
            </w:pPr>
            <w:r>
              <w:rPr>
                <w:rFonts w:ascii="Times New Roman"/>
                <w:sz w:val="21"/>
              </w:rPr>
              <w:t>46</w:t>
            </w:r>
          </w:p>
        </w:tc>
        <w:tc>
          <w:tcPr>
            <w:tcW w:w="2007" w:type="dxa"/>
          </w:tcPr>
          <w:p w14:paraId="38EEC3B0">
            <w:pPr>
              <w:pStyle w:val="14"/>
              <w:spacing w:before="91"/>
              <w:ind w:left="132" w:right="125"/>
              <w:jc w:val="center"/>
              <w:rPr>
                <w:sz w:val="21"/>
              </w:rPr>
            </w:pPr>
            <w:r>
              <w:rPr>
                <w:sz w:val="21"/>
              </w:rPr>
              <w:t>圆盘分检台</w:t>
            </w:r>
          </w:p>
        </w:tc>
        <w:tc>
          <w:tcPr>
            <w:tcW w:w="2808" w:type="dxa"/>
          </w:tcPr>
          <w:p w14:paraId="02815EF6">
            <w:pPr>
              <w:pStyle w:val="14"/>
              <w:spacing w:before="91"/>
              <w:ind w:left="206" w:right="197"/>
              <w:jc w:val="center"/>
              <w:rPr>
                <w:sz w:val="21"/>
              </w:rPr>
            </w:pPr>
            <w:r>
              <w:rPr>
                <w:sz w:val="21"/>
              </w:rPr>
              <w:t>不锈钢</w:t>
            </w:r>
          </w:p>
        </w:tc>
        <w:tc>
          <w:tcPr>
            <w:tcW w:w="684" w:type="dxa"/>
          </w:tcPr>
          <w:p w14:paraId="5A95E8E7">
            <w:pPr>
              <w:pStyle w:val="14"/>
              <w:spacing w:before="105"/>
              <w:ind w:left="287"/>
              <w:rPr>
                <w:rFonts w:ascii="Times New Roman"/>
                <w:sz w:val="21"/>
              </w:rPr>
            </w:pPr>
            <w:r>
              <w:rPr>
                <w:rFonts w:ascii="Times New Roman"/>
                <w:w w:val="99"/>
                <w:sz w:val="21"/>
              </w:rPr>
              <w:t>3</w:t>
            </w:r>
          </w:p>
        </w:tc>
        <w:tc>
          <w:tcPr>
            <w:tcW w:w="699" w:type="dxa"/>
          </w:tcPr>
          <w:p w14:paraId="72825776">
            <w:pPr>
              <w:pStyle w:val="14"/>
              <w:spacing w:before="91"/>
              <w:ind w:left="8"/>
              <w:jc w:val="center"/>
              <w:rPr>
                <w:sz w:val="21"/>
              </w:rPr>
            </w:pPr>
            <w:r>
              <w:rPr>
                <w:w w:val="99"/>
                <w:sz w:val="21"/>
              </w:rPr>
              <w:t>批</w:t>
            </w:r>
          </w:p>
        </w:tc>
        <w:tc>
          <w:tcPr>
            <w:tcW w:w="1686" w:type="dxa"/>
          </w:tcPr>
          <w:p w14:paraId="048D7A18">
            <w:pPr>
              <w:pStyle w:val="14"/>
              <w:rPr>
                <w:rFonts w:ascii="Times New Roman"/>
                <w:sz w:val="20"/>
              </w:rPr>
            </w:pPr>
          </w:p>
        </w:tc>
      </w:tr>
      <w:tr w14:paraId="58679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D1CF9FF">
            <w:pPr>
              <w:pStyle w:val="14"/>
              <w:spacing w:before="104"/>
              <w:ind w:left="86" w:right="78"/>
              <w:jc w:val="center"/>
              <w:rPr>
                <w:rFonts w:ascii="Times New Roman"/>
                <w:sz w:val="21"/>
              </w:rPr>
            </w:pPr>
            <w:r>
              <w:rPr>
                <w:rFonts w:ascii="Times New Roman"/>
                <w:sz w:val="21"/>
              </w:rPr>
              <w:t>47</w:t>
            </w:r>
          </w:p>
        </w:tc>
        <w:tc>
          <w:tcPr>
            <w:tcW w:w="2007" w:type="dxa"/>
          </w:tcPr>
          <w:p w14:paraId="25D7D14F">
            <w:pPr>
              <w:pStyle w:val="14"/>
              <w:spacing w:before="90"/>
              <w:ind w:left="132" w:right="127"/>
              <w:jc w:val="center"/>
              <w:rPr>
                <w:sz w:val="21"/>
              </w:rPr>
            </w:pPr>
            <w:r>
              <w:rPr>
                <w:sz w:val="21"/>
              </w:rPr>
              <w:t>打毛机</w:t>
            </w:r>
          </w:p>
        </w:tc>
        <w:tc>
          <w:tcPr>
            <w:tcW w:w="2808" w:type="dxa"/>
          </w:tcPr>
          <w:p w14:paraId="399A1B14">
            <w:pPr>
              <w:pStyle w:val="14"/>
              <w:spacing w:before="104"/>
              <w:ind w:left="205" w:right="198"/>
              <w:jc w:val="center"/>
              <w:rPr>
                <w:rFonts w:ascii="Times New Roman"/>
                <w:sz w:val="21"/>
              </w:rPr>
            </w:pPr>
            <w:r>
              <w:rPr>
                <w:rFonts w:ascii="Times New Roman"/>
                <w:sz w:val="21"/>
              </w:rPr>
              <w:t>ZBT-500</w:t>
            </w:r>
          </w:p>
        </w:tc>
        <w:tc>
          <w:tcPr>
            <w:tcW w:w="684" w:type="dxa"/>
          </w:tcPr>
          <w:p w14:paraId="05D9A0B7">
            <w:pPr>
              <w:pStyle w:val="14"/>
              <w:spacing w:before="104"/>
              <w:ind w:left="287"/>
              <w:rPr>
                <w:rFonts w:ascii="Times New Roman"/>
                <w:sz w:val="21"/>
              </w:rPr>
            </w:pPr>
            <w:r>
              <w:rPr>
                <w:rFonts w:ascii="Times New Roman"/>
                <w:w w:val="99"/>
                <w:sz w:val="21"/>
              </w:rPr>
              <w:t>1</w:t>
            </w:r>
          </w:p>
        </w:tc>
        <w:tc>
          <w:tcPr>
            <w:tcW w:w="699" w:type="dxa"/>
          </w:tcPr>
          <w:p w14:paraId="0BEE3772">
            <w:pPr>
              <w:pStyle w:val="14"/>
              <w:spacing w:before="90"/>
              <w:ind w:left="8"/>
              <w:jc w:val="center"/>
              <w:rPr>
                <w:sz w:val="21"/>
              </w:rPr>
            </w:pPr>
            <w:r>
              <w:rPr>
                <w:w w:val="99"/>
                <w:sz w:val="21"/>
              </w:rPr>
              <w:t>套</w:t>
            </w:r>
          </w:p>
        </w:tc>
        <w:tc>
          <w:tcPr>
            <w:tcW w:w="1686" w:type="dxa"/>
          </w:tcPr>
          <w:p w14:paraId="3F167DC4">
            <w:pPr>
              <w:pStyle w:val="14"/>
              <w:rPr>
                <w:rFonts w:ascii="Times New Roman"/>
                <w:sz w:val="20"/>
              </w:rPr>
            </w:pPr>
          </w:p>
        </w:tc>
      </w:tr>
      <w:tr w14:paraId="5ED7D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638" w:type="dxa"/>
          </w:tcPr>
          <w:p w14:paraId="427C1CD7">
            <w:pPr>
              <w:pStyle w:val="14"/>
              <w:spacing w:before="139"/>
              <w:ind w:left="86" w:right="78"/>
              <w:jc w:val="center"/>
              <w:rPr>
                <w:rFonts w:ascii="Times New Roman"/>
                <w:sz w:val="21"/>
              </w:rPr>
            </w:pPr>
            <w:r>
              <w:rPr>
                <w:rFonts w:ascii="Times New Roman"/>
                <w:sz w:val="21"/>
              </w:rPr>
              <w:t>48</w:t>
            </w:r>
          </w:p>
        </w:tc>
        <w:tc>
          <w:tcPr>
            <w:tcW w:w="2007" w:type="dxa"/>
          </w:tcPr>
          <w:p w14:paraId="691C30DE">
            <w:pPr>
              <w:pStyle w:val="14"/>
              <w:spacing w:before="123"/>
              <w:ind w:left="132" w:right="127"/>
              <w:jc w:val="center"/>
              <w:rPr>
                <w:sz w:val="21"/>
              </w:rPr>
            </w:pPr>
            <w:r>
              <w:rPr>
                <w:sz w:val="21"/>
              </w:rPr>
              <w:t>胃容物风送系统</w:t>
            </w:r>
          </w:p>
        </w:tc>
        <w:tc>
          <w:tcPr>
            <w:tcW w:w="2808" w:type="dxa"/>
          </w:tcPr>
          <w:p w14:paraId="4F5C0B65">
            <w:pPr>
              <w:pStyle w:val="14"/>
              <w:spacing w:before="19"/>
              <w:ind w:left="1065" w:right="1056"/>
              <w:jc w:val="center"/>
              <w:rPr>
                <w:rFonts w:ascii="Times New Roman"/>
                <w:sz w:val="21"/>
              </w:rPr>
            </w:pPr>
            <w:r>
              <w:rPr>
                <w:rFonts w:ascii="Times New Roman"/>
                <w:w w:val="95"/>
                <w:sz w:val="21"/>
              </w:rPr>
              <w:t xml:space="preserve">NWCS- </w:t>
            </w:r>
            <w:r>
              <w:rPr>
                <w:rFonts w:ascii="Times New Roman"/>
                <w:sz w:val="21"/>
              </w:rPr>
              <w:t>500</w:t>
            </w:r>
          </w:p>
        </w:tc>
        <w:tc>
          <w:tcPr>
            <w:tcW w:w="684" w:type="dxa"/>
          </w:tcPr>
          <w:p w14:paraId="1BE0A2B5">
            <w:pPr>
              <w:pStyle w:val="14"/>
              <w:spacing w:before="139"/>
              <w:ind w:left="287"/>
              <w:rPr>
                <w:rFonts w:ascii="Times New Roman"/>
                <w:sz w:val="21"/>
              </w:rPr>
            </w:pPr>
            <w:r>
              <w:rPr>
                <w:rFonts w:ascii="Times New Roman"/>
                <w:w w:val="99"/>
                <w:sz w:val="21"/>
              </w:rPr>
              <w:t>1</w:t>
            </w:r>
          </w:p>
        </w:tc>
        <w:tc>
          <w:tcPr>
            <w:tcW w:w="699" w:type="dxa"/>
          </w:tcPr>
          <w:p w14:paraId="6D423BD6">
            <w:pPr>
              <w:pStyle w:val="14"/>
              <w:spacing w:before="123"/>
              <w:ind w:left="8"/>
              <w:jc w:val="center"/>
              <w:rPr>
                <w:sz w:val="21"/>
              </w:rPr>
            </w:pPr>
            <w:r>
              <w:rPr>
                <w:w w:val="99"/>
                <w:sz w:val="21"/>
              </w:rPr>
              <w:t>套</w:t>
            </w:r>
          </w:p>
        </w:tc>
        <w:tc>
          <w:tcPr>
            <w:tcW w:w="1686" w:type="dxa"/>
          </w:tcPr>
          <w:p w14:paraId="0698D877">
            <w:pPr>
              <w:pStyle w:val="14"/>
              <w:rPr>
                <w:rFonts w:ascii="Times New Roman"/>
                <w:sz w:val="20"/>
              </w:rPr>
            </w:pPr>
          </w:p>
        </w:tc>
      </w:tr>
      <w:tr w14:paraId="06FB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3C32C578">
            <w:pPr>
              <w:pStyle w:val="14"/>
              <w:spacing w:before="106"/>
              <w:ind w:left="86" w:right="78"/>
              <w:jc w:val="center"/>
              <w:rPr>
                <w:rFonts w:ascii="Times New Roman"/>
                <w:sz w:val="21"/>
              </w:rPr>
            </w:pPr>
            <w:r>
              <w:rPr>
                <w:rFonts w:ascii="Times New Roman"/>
                <w:sz w:val="21"/>
              </w:rPr>
              <w:t>49</w:t>
            </w:r>
          </w:p>
        </w:tc>
        <w:tc>
          <w:tcPr>
            <w:tcW w:w="2007" w:type="dxa"/>
          </w:tcPr>
          <w:p w14:paraId="3749D301">
            <w:pPr>
              <w:pStyle w:val="14"/>
              <w:spacing w:before="90"/>
              <w:ind w:left="132" w:right="127"/>
              <w:jc w:val="center"/>
              <w:rPr>
                <w:sz w:val="21"/>
              </w:rPr>
            </w:pPr>
            <w:r>
              <w:rPr>
                <w:sz w:val="21"/>
              </w:rPr>
              <w:t>洗肠机</w:t>
            </w:r>
          </w:p>
        </w:tc>
        <w:tc>
          <w:tcPr>
            <w:tcW w:w="2808" w:type="dxa"/>
          </w:tcPr>
          <w:p w14:paraId="0151E24F">
            <w:pPr>
              <w:pStyle w:val="14"/>
              <w:spacing w:before="106"/>
              <w:ind w:left="203" w:right="198"/>
              <w:jc w:val="center"/>
              <w:rPr>
                <w:rFonts w:ascii="Times New Roman"/>
                <w:sz w:val="21"/>
              </w:rPr>
            </w:pPr>
            <w:r>
              <w:rPr>
                <w:rFonts w:ascii="Times New Roman"/>
                <w:sz w:val="21"/>
              </w:rPr>
              <w:t>XC257</w:t>
            </w:r>
          </w:p>
        </w:tc>
        <w:tc>
          <w:tcPr>
            <w:tcW w:w="684" w:type="dxa"/>
          </w:tcPr>
          <w:p w14:paraId="6509CF1E">
            <w:pPr>
              <w:pStyle w:val="14"/>
              <w:spacing w:before="106"/>
              <w:ind w:left="287"/>
              <w:rPr>
                <w:rFonts w:ascii="Times New Roman"/>
                <w:sz w:val="21"/>
              </w:rPr>
            </w:pPr>
            <w:r>
              <w:rPr>
                <w:rFonts w:ascii="Times New Roman"/>
                <w:w w:val="99"/>
                <w:sz w:val="21"/>
              </w:rPr>
              <w:t>5</w:t>
            </w:r>
          </w:p>
        </w:tc>
        <w:tc>
          <w:tcPr>
            <w:tcW w:w="699" w:type="dxa"/>
          </w:tcPr>
          <w:p w14:paraId="658DC821">
            <w:pPr>
              <w:pStyle w:val="14"/>
              <w:spacing w:before="90"/>
              <w:ind w:left="8"/>
              <w:jc w:val="center"/>
              <w:rPr>
                <w:sz w:val="21"/>
              </w:rPr>
            </w:pPr>
            <w:r>
              <w:rPr>
                <w:w w:val="99"/>
                <w:sz w:val="21"/>
              </w:rPr>
              <w:t>台</w:t>
            </w:r>
          </w:p>
        </w:tc>
        <w:tc>
          <w:tcPr>
            <w:tcW w:w="1686" w:type="dxa"/>
          </w:tcPr>
          <w:p w14:paraId="3D521D21">
            <w:pPr>
              <w:pStyle w:val="14"/>
              <w:rPr>
                <w:rFonts w:ascii="Times New Roman"/>
                <w:sz w:val="20"/>
              </w:rPr>
            </w:pPr>
          </w:p>
        </w:tc>
      </w:tr>
      <w:tr w14:paraId="5F924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6DD5CD1">
            <w:pPr>
              <w:pStyle w:val="14"/>
              <w:spacing w:before="105"/>
              <w:ind w:left="86" w:right="78"/>
              <w:jc w:val="center"/>
              <w:rPr>
                <w:rFonts w:ascii="Times New Roman"/>
                <w:sz w:val="21"/>
              </w:rPr>
            </w:pPr>
            <w:r>
              <w:rPr>
                <w:rFonts w:ascii="Times New Roman"/>
                <w:sz w:val="21"/>
              </w:rPr>
              <w:t>50</w:t>
            </w:r>
          </w:p>
        </w:tc>
        <w:tc>
          <w:tcPr>
            <w:tcW w:w="2007" w:type="dxa"/>
          </w:tcPr>
          <w:p w14:paraId="5D87E684">
            <w:pPr>
              <w:pStyle w:val="14"/>
              <w:spacing w:before="92"/>
              <w:ind w:left="132" w:right="127"/>
              <w:jc w:val="center"/>
              <w:rPr>
                <w:sz w:val="21"/>
              </w:rPr>
            </w:pPr>
            <w:r>
              <w:rPr>
                <w:sz w:val="21"/>
              </w:rPr>
              <w:t>洗箱机</w:t>
            </w:r>
          </w:p>
        </w:tc>
        <w:tc>
          <w:tcPr>
            <w:tcW w:w="2808" w:type="dxa"/>
          </w:tcPr>
          <w:p w14:paraId="7A4C5012">
            <w:pPr>
              <w:pStyle w:val="14"/>
              <w:spacing w:before="105"/>
              <w:ind w:left="206" w:right="198"/>
              <w:jc w:val="center"/>
              <w:rPr>
                <w:rFonts w:ascii="Times New Roman"/>
                <w:sz w:val="21"/>
              </w:rPr>
            </w:pPr>
            <w:r>
              <w:rPr>
                <w:rFonts w:ascii="Times New Roman"/>
                <w:sz w:val="21"/>
              </w:rPr>
              <w:t>RMK-460</w:t>
            </w:r>
          </w:p>
        </w:tc>
        <w:tc>
          <w:tcPr>
            <w:tcW w:w="684" w:type="dxa"/>
          </w:tcPr>
          <w:p w14:paraId="1A0AB30C">
            <w:pPr>
              <w:pStyle w:val="14"/>
              <w:spacing w:before="105"/>
              <w:ind w:left="287"/>
              <w:rPr>
                <w:rFonts w:ascii="Times New Roman"/>
                <w:sz w:val="21"/>
              </w:rPr>
            </w:pPr>
            <w:r>
              <w:rPr>
                <w:rFonts w:ascii="Times New Roman"/>
                <w:w w:val="99"/>
                <w:sz w:val="21"/>
              </w:rPr>
              <w:t>1</w:t>
            </w:r>
          </w:p>
        </w:tc>
        <w:tc>
          <w:tcPr>
            <w:tcW w:w="699" w:type="dxa"/>
          </w:tcPr>
          <w:p w14:paraId="14A7269A">
            <w:pPr>
              <w:pStyle w:val="14"/>
              <w:spacing w:before="92"/>
              <w:ind w:left="8"/>
              <w:jc w:val="center"/>
              <w:rPr>
                <w:sz w:val="21"/>
              </w:rPr>
            </w:pPr>
            <w:r>
              <w:rPr>
                <w:w w:val="99"/>
                <w:sz w:val="21"/>
              </w:rPr>
              <w:t>台</w:t>
            </w:r>
          </w:p>
        </w:tc>
        <w:tc>
          <w:tcPr>
            <w:tcW w:w="1686" w:type="dxa"/>
          </w:tcPr>
          <w:p w14:paraId="6620FA62">
            <w:pPr>
              <w:pStyle w:val="14"/>
              <w:rPr>
                <w:rFonts w:ascii="Times New Roman"/>
                <w:sz w:val="20"/>
              </w:rPr>
            </w:pPr>
          </w:p>
        </w:tc>
      </w:tr>
      <w:tr w14:paraId="72FA4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AD83341">
            <w:pPr>
              <w:pStyle w:val="14"/>
              <w:spacing w:before="105"/>
              <w:ind w:left="86" w:right="78"/>
              <w:jc w:val="center"/>
              <w:rPr>
                <w:rFonts w:ascii="Times New Roman"/>
                <w:sz w:val="21"/>
              </w:rPr>
            </w:pPr>
            <w:r>
              <w:rPr>
                <w:rFonts w:ascii="Times New Roman"/>
                <w:sz w:val="21"/>
              </w:rPr>
              <w:t>51</w:t>
            </w:r>
          </w:p>
        </w:tc>
        <w:tc>
          <w:tcPr>
            <w:tcW w:w="2007" w:type="dxa"/>
          </w:tcPr>
          <w:p w14:paraId="6321155E">
            <w:pPr>
              <w:pStyle w:val="14"/>
              <w:spacing w:before="91"/>
              <w:ind w:left="132" w:right="125"/>
              <w:jc w:val="center"/>
              <w:rPr>
                <w:sz w:val="21"/>
              </w:rPr>
            </w:pPr>
            <w:r>
              <w:rPr>
                <w:sz w:val="21"/>
              </w:rPr>
              <w:t>通风设备</w:t>
            </w:r>
          </w:p>
        </w:tc>
        <w:tc>
          <w:tcPr>
            <w:tcW w:w="2808" w:type="dxa"/>
          </w:tcPr>
          <w:p w14:paraId="5E19E422">
            <w:pPr>
              <w:pStyle w:val="14"/>
              <w:spacing w:before="91"/>
              <w:ind w:left="206" w:right="197"/>
              <w:jc w:val="center"/>
              <w:rPr>
                <w:sz w:val="21"/>
              </w:rPr>
            </w:pPr>
            <w:r>
              <w:rPr>
                <w:sz w:val="21"/>
              </w:rPr>
              <w:t>国产</w:t>
            </w:r>
          </w:p>
        </w:tc>
        <w:tc>
          <w:tcPr>
            <w:tcW w:w="684" w:type="dxa"/>
          </w:tcPr>
          <w:p w14:paraId="4E863BC2">
            <w:pPr>
              <w:pStyle w:val="14"/>
              <w:spacing w:before="105"/>
              <w:ind w:left="237"/>
              <w:rPr>
                <w:rFonts w:ascii="Times New Roman"/>
                <w:sz w:val="21"/>
              </w:rPr>
            </w:pPr>
            <w:r>
              <w:rPr>
                <w:rFonts w:ascii="Times New Roman"/>
                <w:sz w:val="21"/>
              </w:rPr>
              <w:t>20</w:t>
            </w:r>
          </w:p>
        </w:tc>
        <w:tc>
          <w:tcPr>
            <w:tcW w:w="699" w:type="dxa"/>
          </w:tcPr>
          <w:p w14:paraId="07867643">
            <w:pPr>
              <w:pStyle w:val="14"/>
              <w:spacing w:before="91"/>
              <w:ind w:left="8"/>
              <w:jc w:val="center"/>
              <w:rPr>
                <w:sz w:val="21"/>
              </w:rPr>
            </w:pPr>
            <w:r>
              <w:rPr>
                <w:w w:val="99"/>
                <w:sz w:val="21"/>
              </w:rPr>
              <w:t>套</w:t>
            </w:r>
          </w:p>
        </w:tc>
        <w:tc>
          <w:tcPr>
            <w:tcW w:w="1686" w:type="dxa"/>
          </w:tcPr>
          <w:p w14:paraId="0B662374">
            <w:pPr>
              <w:pStyle w:val="14"/>
              <w:rPr>
                <w:rFonts w:ascii="Times New Roman"/>
                <w:sz w:val="20"/>
              </w:rPr>
            </w:pPr>
          </w:p>
        </w:tc>
      </w:tr>
      <w:tr w14:paraId="516FA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37A5933">
            <w:pPr>
              <w:pStyle w:val="14"/>
              <w:spacing w:before="106"/>
              <w:ind w:left="86" w:right="78"/>
              <w:jc w:val="center"/>
              <w:rPr>
                <w:rFonts w:ascii="Times New Roman"/>
                <w:sz w:val="21"/>
              </w:rPr>
            </w:pPr>
            <w:r>
              <w:rPr>
                <w:rFonts w:ascii="Times New Roman"/>
                <w:sz w:val="21"/>
              </w:rPr>
              <w:t>52</w:t>
            </w:r>
          </w:p>
        </w:tc>
        <w:tc>
          <w:tcPr>
            <w:tcW w:w="2007" w:type="dxa"/>
          </w:tcPr>
          <w:p w14:paraId="669C401E">
            <w:pPr>
              <w:pStyle w:val="14"/>
              <w:spacing w:before="90"/>
              <w:ind w:left="132" w:right="125"/>
              <w:jc w:val="center"/>
              <w:rPr>
                <w:sz w:val="21"/>
              </w:rPr>
            </w:pPr>
            <w:r>
              <w:rPr>
                <w:sz w:val="21"/>
              </w:rPr>
              <w:t>杀菌设备</w:t>
            </w:r>
          </w:p>
        </w:tc>
        <w:tc>
          <w:tcPr>
            <w:tcW w:w="2808" w:type="dxa"/>
          </w:tcPr>
          <w:p w14:paraId="567899C9">
            <w:pPr>
              <w:pStyle w:val="14"/>
              <w:spacing w:before="106"/>
              <w:ind w:left="206" w:right="197"/>
              <w:jc w:val="center"/>
              <w:rPr>
                <w:rFonts w:ascii="Times New Roman"/>
                <w:sz w:val="21"/>
              </w:rPr>
            </w:pPr>
            <w:r>
              <w:rPr>
                <w:rFonts w:ascii="Times New Roman"/>
                <w:sz w:val="21"/>
              </w:rPr>
              <w:t>UVC15W</w:t>
            </w:r>
          </w:p>
        </w:tc>
        <w:tc>
          <w:tcPr>
            <w:tcW w:w="684" w:type="dxa"/>
          </w:tcPr>
          <w:p w14:paraId="016FC51F">
            <w:pPr>
              <w:pStyle w:val="14"/>
              <w:spacing w:before="106"/>
              <w:ind w:left="287"/>
              <w:rPr>
                <w:rFonts w:ascii="Times New Roman"/>
                <w:sz w:val="21"/>
              </w:rPr>
            </w:pPr>
            <w:r>
              <w:rPr>
                <w:rFonts w:ascii="Times New Roman"/>
                <w:w w:val="99"/>
                <w:sz w:val="21"/>
              </w:rPr>
              <w:t>1</w:t>
            </w:r>
          </w:p>
        </w:tc>
        <w:tc>
          <w:tcPr>
            <w:tcW w:w="699" w:type="dxa"/>
          </w:tcPr>
          <w:p w14:paraId="129B063C">
            <w:pPr>
              <w:pStyle w:val="14"/>
              <w:spacing w:before="90"/>
              <w:ind w:left="8"/>
              <w:jc w:val="center"/>
              <w:rPr>
                <w:sz w:val="21"/>
              </w:rPr>
            </w:pPr>
            <w:r>
              <w:rPr>
                <w:w w:val="99"/>
                <w:sz w:val="21"/>
              </w:rPr>
              <w:t>台</w:t>
            </w:r>
          </w:p>
        </w:tc>
        <w:tc>
          <w:tcPr>
            <w:tcW w:w="1686" w:type="dxa"/>
          </w:tcPr>
          <w:p w14:paraId="61646ADD">
            <w:pPr>
              <w:pStyle w:val="14"/>
              <w:rPr>
                <w:rFonts w:ascii="Times New Roman"/>
                <w:sz w:val="20"/>
              </w:rPr>
            </w:pPr>
          </w:p>
        </w:tc>
      </w:tr>
      <w:tr w14:paraId="58BA4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B0EB1B6">
            <w:pPr>
              <w:pStyle w:val="14"/>
              <w:spacing w:before="105"/>
              <w:ind w:left="86" w:right="78"/>
              <w:jc w:val="center"/>
              <w:rPr>
                <w:rFonts w:ascii="Times New Roman"/>
                <w:sz w:val="21"/>
              </w:rPr>
            </w:pPr>
            <w:r>
              <w:rPr>
                <w:rFonts w:ascii="Times New Roman"/>
                <w:sz w:val="21"/>
              </w:rPr>
              <w:t>53</w:t>
            </w:r>
          </w:p>
        </w:tc>
        <w:tc>
          <w:tcPr>
            <w:tcW w:w="2007" w:type="dxa"/>
          </w:tcPr>
          <w:p w14:paraId="65986E2F">
            <w:pPr>
              <w:pStyle w:val="14"/>
              <w:spacing w:before="91"/>
              <w:ind w:left="132" w:right="127"/>
              <w:jc w:val="center"/>
              <w:rPr>
                <w:sz w:val="21"/>
              </w:rPr>
            </w:pPr>
            <w:r>
              <w:rPr>
                <w:sz w:val="21"/>
              </w:rPr>
              <w:t>磨刀机</w:t>
            </w:r>
          </w:p>
        </w:tc>
        <w:tc>
          <w:tcPr>
            <w:tcW w:w="2808" w:type="dxa"/>
          </w:tcPr>
          <w:p w14:paraId="7D8E08A0">
            <w:pPr>
              <w:pStyle w:val="14"/>
              <w:spacing w:before="105"/>
              <w:ind w:left="204" w:right="198"/>
              <w:jc w:val="center"/>
              <w:rPr>
                <w:rFonts w:ascii="Times New Roman"/>
                <w:sz w:val="21"/>
              </w:rPr>
            </w:pPr>
            <w:r>
              <w:rPr>
                <w:rFonts w:ascii="Times New Roman"/>
                <w:sz w:val="21"/>
              </w:rPr>
              <w:t>MDD-A</w:t>
            </w:r>
          </w:p>
        </w:tc>
        <w:tc>
          <w:tcPr>
            <w:tcW w:w="684" w:type="dxa"/>
          </w:tcPr>
          <w:p w14:paraId="30FA66A4">
            <w:pPr>
              <w:pStyle w:val="14"/>
              <w:spacing w:before="105"/>
              <w:ind w:left="287"/>
              <w:rPr>
                <w:rFonts w:ascii="Times New Roman"/>
                <w:sz w:val="21"/>
              </w:rPr>
            </w:pPr>
            <w:r>
              <w:rPr>
                <w:rFonts w:ascii="Times New Roman"/>
                <w:w w:val="99"/>
                <w:sz w:val="21"/>
              </w:rPr>
              <w:t>2</w:t>
            </w:r>
          </w:p>
        </w:tc>
        <w:tc>
          <w:tcPr>
            <w:tcW w:w="699" w:type="dxa"/>
          </w:tcPr>
          <w:p w14:paraId="38AF4868">
            <w:pPr>
              <w:pStyle w:val="14"/>
              <w:spacing w:before="91"/>
              <w:ind w:left="8"/>
              <w:jc w:val="center"/>
              <w:rPr>
                <w:sz w:val="21"/>
              </w:rPr>
            </w:pPr>
            <w:r>
              <w:rPr>
                <w:w w:val="99"/>
                <w:sz w:val="21"/>
              </w:rPr>
              <w:t>台</w:t>
            </w:r>
          </w:p>
        </w:tc>
        <w:tc>
          <w:tcPr>
            <w:tcW w:w="1686" w:type="dxa"/>
          </w:tcPr>
          <w:p w14:paraId="1F0E3152">
            <w:pPr>
              <w:pStyle w:val="14"/>
              <w:rPr>
                <w:rFonts w:ascii="Times New Roman"/>
                <w:sz w:val="20"/>
              </w:rPr>
            </w:pPr>
          </w:p>
        </w:tc>
      </w:tr>
      <w:tr w14:paraId="30A08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3F25C970">
            <w:pPr>
              <w:pStyle w:val="14"/>
              <w:spacing w:before="105"/>
              <w:ind w:left="86" w:right="78"/>
              <w:jc w:val="center"/>
              <w:rPr>
                <w:rFonts w:ascii="Times New Roman"/>
                <w:sz w:val="21"/>
              </w:rPr>
            </w:pPr>
            <w:r>
              <w:rPr>
                <w:rFonts w:ascii="Times New Roman"/>
                <w:sz w:val="21"/>
              </w:rPr>
              <w:t>54</w:t>
            </w:r>
          </w:p>
        </w:tc>
        <w:tc>
          <w:tcPr>
            <w:tcW w:w="2007" w:type="dxa"/>
          </w:tcPr>
          <w:p w14:paraId="49127653">
            <w:pPr>
              <w:pStyle w:val="14"/>
              <w:spacing w:before="91"/>
              <w:ind w:left="132" w:right="127"/>
              <w:jc w:val="center"/>
              <w:rPr>
                <w:sz w:val="21"/>
              </w:rPr>
            </w:pPr>
            <w:r>
              <w:rPr>
                <w:sz w:val="21"/>
              </w:rPr>
              <w:t>电脑控制系统</w:t>
            </w:r>
          </w:p>
        </w:tc>
        <w:tc>
          <w:tcPr>
            <w:tcW w:w="2808" w:type="dxa"/>
          </w:tcPr>
          <w:p w14:paraId="0859C14F">
            <w:pPr>
              <w:pStyle w:val="14"/>
              <w:spacing w:before="105"/>
              <w:ind w:left="204" w:right="198"/>
              <w:jc w:val="center"/>
              <w:rPr>
                <w:rFonts w:ascii="Times New Roman"/>
                <w:sz w:val="21"/>
              </w:rPr>
            </w:pPr>
            <w:r>
              <w:rPr>
                <w:rFonts w:ascii="Times New Roman"/>
                <w:sz w:val="21"/>
              </w:rPr>
              <w:t>PLC</w:t>
            </w:r>
          </w:p>
        </w:tc>
        <w:tc>
          <w:tcPr>
            <w:tcW w:w="684" w:type="dxa"/>
          </w:tcPr>
          <w:p w14:paraId="7D38BE4C">
            <w:pPr>
              <w:pStyle w:val="14"/>
              <w:spacing w:before="105"/>
              <w:ind w:left="287"/>
              <w:rPr>
                <w:rFonts w:ascii="Times New Roman"/>
                <w:sz w:val="21"/>
              </w:rPr>
            </w:pPr>
            <w:r>
              <w:rPr>
                <w:rFonts w:ascii="Times New Roman"/>
                <w:w w:val="99"/>
                <w:sz w:val="21"/>
              </w:rPr>
              <w:t>1</w:t>
            </w:r>
          </w:p>
        </w:tc>
        <w:tc>
          <w:tcPr>
            <w:tcW w:w="699" w:type="dxa"/>
          </w:tcPr>
          <w:p w14:paraId="00A284C9">
            <w:pPr>
              <w:pStyle w:val="14"/>
              <w:spacing w:before="91"/>
              <w:ind w:left="8"/>
              <w:jc w:val="center"/>
              <w:rPr>
                <w:sz w:val="21"/>
              </w:rPr>
            </w:pPr>
            <w:r>
              <w:rPr>
                <w:w w:val="99"/>
                <w:sz w:val="21"/>
              </w:rPr>
              <w:t>套</w:t>
            </w:r>
          </w:p>
        </w:tc>
        <w:tc>
          <w:tcPr>
            <w:tcW w:w="1686" w:type="dxa"/>
          </w:tcPr>
          <w:p w14:paraId="40D6EF64">
            <w:pPr>
              <w:pStyle w:val="14"/>
              <w:rPr>
                <w:rFonts w:ascii="Times New Roman"/>
                <w:sz w:val="20"/>
              </w:rPr>
            </w:pPr>
          </w:p>
        </w:tc>
      </w:tr>
      <w:tr w14:paraId="51AF0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22" w:type="dxa"/>
            <w:gridSpan w:val="6"/>
          </w:tcPr>
          <w:p w14:paraId="54D6E62F">
            <w:pPr>
              <w:pStyle w:val="14"/>
              <w:spacing w:before="90"/>
              <w:ind w:left="107"/>
              <w:rPr>
                <w:b/>
                <w:sz w:val="21"/>
              </w:rPr>
            </w:pPr>
            <w:r>
              <w:rPr>
                <w:b/>
                <w:sz w:val="21"/>
              </w:rPr>
              <w:t>二、屠宰产品包装设备</w:t>
            </w:r>
          </w:p>
        </w:tc>
      </w:tr>
      <w:tr w14:paraId="75378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4731F60">
            <w:pPr>
              <w:pStyle w:val="14"/>
              <w:spacing w:before="105"/>
              <w:ind w:left="8"/>
              <w:jc w:val="center"/>
              <w:rPr>
                <w:rFonts w:ascii="Times New Roman"/>
                <w:sz w:val="21"/>
              </w:rPr>
            </w:pPr>
            <w:r>
              <w:rPr>
                <w:rFonts w:ascii="Times New Roman"/>
                <w:w w:val="99"/>
                <w:sz w:val="21"/>
              </w:rPr>
              <w:t>1</w:t>
            </w:r>
          </w:p>
        </w:tc>
        <w:tc>
          <w:tcPr>
            <w:tcW w:w="2007" w:type="dxa"/>
          </w:tcPr>
          <w:p w14:paraId="6F07AD6F">
            <w:pPr>
              <w:pStyle w:val="14"/>
              <w:spacing w:before="91"/>
              <w:ind w:left="132" w:right="127"/>
              <w:jc w:val="center"/>
              <w:rPr>
                <w:sz w:val="21"/>
              </w:rPr>
            </w:pPr>
            <w:r>
              <w:rPr>
                <w:sz w:val="21"/>
              </w:rPr>
              <w:t>卸肉台</w:t>
            </w:r>
          </w:p>
        </w:tc>
        <w:tc>
          <w:tcPr>
            <w:tcW w:w="2808" w:type="dxa"/>
          </w:tcPr>
          <w:p w14:paraId="6A3A71C8">
            <w:pPr>
              <w:pStyle w:val="14"/>
              <w:spacing w:before="91"/>
              <w:ind w:left="204" w:right="198"/>
              <w:jc w:val="center"/>
              <w:rPr>
                <w:sz w:val="21"/>
              </w:rPr>
            </w:pPr>
            <w:r>
              <w:rPr>
                <w:sz w:val="21"/>
              </w:rPr>
              <w:t>不锈钢面板</w:t>
            </w:r>
          </w:p>
        </w:tc>
        <w:tc>
          <w:tcPr>
            <w:tcW w:w="684" w:type="dxa"/>
          </w:tcPr>
          <w:p w14:paraId="0421C3F6">
            <w:pPr>
              <w:pStyle w:val="14"/>
              <w:spacing w:before="105"/>
              <w:ind w:left="287"/>
              <w:rPr>
                <w:rFonts w:ascii="Times New Roman"/>
                <w:sz w:val="21"/>
              </w:rPr>
            </w:pPr>
            <w:r>
              <w:rPr>
                <w:rFonts w:ascii="Times New Roman"/>
                <w:w w:val="99"/>
                <w:sz w:val="21"/>
              </w:rPr>
              <w:t>5</w:t>
            </w:r>
          </w:p>
        </w:tc>
        <w:tc>
          <w:tcPr>
            <w:tcW w:w="699" w:type="dxa"/>
          </w:tcPr>
          <w:p w14:paraId="5FAEC067">
            <w:pPr>
              <w:pStyle w:val="14"/>
              <w:spacing w:before="91"/>
              <w:ind w:left="8"/>
              <w:jc w:val="center"/>
              <w:rPr>
                <w:sz w:val="21"/>
              </w:rPr>
            </w:pPr>
            <w:r>
              <w:rPr>
                <w:w w:val="99"/>
                <w:sz w:val="21"/>
              </w:rPr>
              <w:t>台</w:t>
            </w:r>
          </w:p>
        </w:tc>
        <w:tc>
          <w:tcPr>
            <w:tcW w:w="1686" w:type="dxa"/>
          </w:tcPr>
          <w:p w14:paraId="1E857BE6">
            <w:pPr>
              <w:pStyle w:val="14"/>
              <w:rPr>
                <w:rFonts w:ascii="Times New Roman"/>
                <w:sz w:val="20"/>
              </w:rPr>
            </w:pPr>
          </w:p>
        </w:tc>
      </w:tr>
      <w:tr w14:paraId="3F810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94997A6">
            <w:pPr>
              <w:pStyle w:val="14"/>
              <w:spacing w:before="105"/>
              <w:ind w:left="8"/>
              <w:jc w:val="center"/>
              <w:rPr>
                <w:rFonts w:ascii="Times New Roman"/>
                <w:sz w:val="21"/>
              </w:rPr>
            </w:pPr>
            <w:r>
              <w:rPr>
                <w:rFonts w:ascii="Times New Roman"/>
                <w:w w:val="99"/>
                <w:sz w:val="21"/>
              </w:rPr>
              <w:t>2</w:t>
            </w:r>
          </w:p>
        </w:tc>
        <w:tc>
          <w:tcPr>
            <w:tcW w:w="2007" w:type="dxa"/>
          </w:tcPr>
          <w:p w14:paraId="2EFB121D">
            <w:pPr>
              <w:pStyle w:val="14"/>
              <w:spacing w:before="91"/>
              <w:ind w:left="132" w:right="125"/>
              <w:jc w:val="center"/>
              <w:rPr>
                <w:sz w:val="21"/>
              </w:rPr>
            </w:pPr>
            <w:r>
              <w:rPr>
                <w:sz w:val="21"/>
              </w:rPr>
              <w:t>放箱工作台</w:t>
            </w:r>
          </w:p>
        </w:tc>
        <w:tc>
          <w:tcPr>
            <w:tcW w:w="2808" w:type="dxa"/>
          </w:tcPr>
          <w:p w14:paraId="01E2E527">
            <w:pPr>
              <w:pStyle w:val="14"/>
              <w:spacing w:before="91"/>
              <w:ind w:left="204" w:right="198"/>
              <w:jc w:val="center"/>
              <w:rPr>
                <w:sz w:val="21"/>
              </w:rPr>
            </w:pPr>
            <w:r>
              <w:rPr>
                <w:sz w:val="21"/>
              </w:rPr>
              <w:t>不锈钢面板</w:t>
            </w:r>
          </w:p>
        </w:tc>
        <w:tc>
          <w:tcPr>
            <w:tcW w:w="684" w:type="dxa"/>
          </w:tcPr>
          <w:p w14:paraId="46F45500">
            <w:pPr>
              <w:pStyle w:val="14"/>
              <w:spacing w:before="105"/>
              <w:ind w:left="237"/>
              <w:rPr>
                <w:rFonts w:ascii="Times New Roman"/>
                <w:sz w:val="21"/>
              </w:rPr>
            </w:pPr>
            <w:r>
              <w:rPr>
                <w:rFonts w:ascii="Times New Roman"/>
                <w:sz w:val="21"/>
              </w:rPr>
              <w:t>20</w:t>
            </w:r>
          </w:p>
        </w:tc>
        <w:tc>
          <w:tcPr>
            <w:tcW w:w="699" w:type="dxa"/>
          </w:tcPr>
          <w:p w14:paraId="0266234B">
            <w:pPr>
              <w:pStyle w:val="14"/>
              <w:spacing w:before="91"/>
              <w:ind w:left="8"/>
              <w:jc w:val="center"/>
              <w:rPr>
                <w:sz w:val="21"/>
              </w:rPr>
            </w:pPr>
            <w:r>
              <w:rPr>
                <w:w w:val="99"/>
                <w:sz w:val="21"/>
              </w:rPr>
              <w:t>台</w:t>
            </w:r>
          </w:p>
        </w:tc>
        <w:tc>
          <w:tcPr>
            <w:tcW w:w="1686" w:type="dxa"/>
          </w:tcPr>
          <w:p w14:paraId="0A5D60E4">
            <w:pPr>
              <w:pStyle w:val="14"/>
              <w:rPr>
                <w:rFonts w:ascii="Times New Roman"/>
                <w:sz w:val="20"/>
              </w:rPr>
            </w:pPr>
          </w:p>
        </w:tc>
      </w:tr>
      <w:tr w14:paraId="5B082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D95C42B">
            <w:pPr>
              <w:pStyle w:val="14"/>
              <w:spacing w:before="106"/>
              <w:ind w:left="8"/>
              <w:jc w:val="center"/>
              <w:rPr>
                <w:rFonts w:ascii="Times New Roman"/>
                <w:sz w:val="21"/>
              </w:rPr>
            </w:pPr>
            <w:r>
              <w:rPr>
                <w:rFonts w:ascii="Times New Roman"/>
                <w:w w:val="99"/>
                <w:sz w:val="21"/>
              </w:rPr>
              <w:t>3</w:t>
            </w:r>
          </w:p>
        </w:tc>
        <w:tc>
          <w:tcPr>
            <w:tcW w:w="2007" w:type="dxa"/>
          </w:tcPr>
          <w:p w14:paraId="743B6D85">
            <w:pPr>
              <w:pStyle w:val="14"/>
              <w:spacing w:before="90"/>
              <w:ind w:left="132" w:right="125"/>
              <w:jc w:val="center"/>
              <w:rPr>
                <w:sz w:val="21"/>
              </w:rPr>
            </w:pPr>
            <w:r>
              <w:rPr>
                <w:sz w:val="21"/>
              </w:rPr>
              <w:t>包装工作台</w:t>
            </w:r>
          </w:p>
        </w:tc>
        <w:tc>
          <w:tcPr>
            <w:tcW w:w="2808" w:type="dxa"/>
          </w:tcPr>
          <w:p w14:paraId="4854B3FD">
            <w:pPr>
              <w:pStyle w:val="14"/>
              <w:spacing w:before="90"/>
              <w:ind w:left="204" w:right="198"/>
              <w:jc w:val="center"/>
              <w:rPr>
                <w:sz w:val="21"/>
              </w:rPr>
            </w:pPr>
            <w:r>
              <w:rPr>
                <w:sz w:val="21"/>
              </w:rPr>
              <w:t>不锈钢面板</w:t>
            </w:r>
          </w:p>
        </w:tc>
        <w:tc>
          <w:tcPr>
            <w:tcW w:w="684" w:type="dxa"/>
          </w:tcPr>
          <w:p w14:paraId="6CAD9864">
            <w:pPr>
              <w:pStyle w:val="14"/>
              <w:spacing w:before="106"/>
              <w:ind w:left="287"/>
              <w:rPr>
                <w:rFonts w:ascii="Times New Roman"/>
                <w:sz w:val="21"/>
              </w:rPr>
            </w:pPr>
            <w:r>
              <w:rPr>
                <w:rFonts w:ascii="Times New Roman"/>
                <w:w w:val="99"/>
                <w:sz w:val="21"/>
              </w:rPr>
              <w:t>2</w:t>
            </w:r>
          </w:p>
        </w:tc>
        <w:tc>
          <w:tcPr>
            <w:tcW w:w="699" w:type="dxa"/>
          </w:tcPr>
          <w:p w14:paraId="021095B5">
            <w:pPr>
              <w:pStyle w:val="14"/>
              <w:spacing w:before="90"/>
              <w:ind w:left="8"/>
              <w:jc w:val="center"/>
              <w:rPr>
                <w:sz w:val="21"/>
              </w:rPr>
            </w:pPr>
            <w:r>
              <w:rPr>
                <w:w w:val="99"/>
                <w:sz w:val="21"/>
              </w:rPr>
              <w:t>台</w:t>
            </w:r>
          </w:p>
        </w:tc>
        <w:tc>
          <w:tcPr>
            <w:tcW w:w="1686" w:type="dxa"/>
          </w:tcPr>
          <w:p w14:paraId="6E716FFE">
            <w:pPr>
              <w:pStyle w:val="14"/>
              <w:rPr>
                <w:rFonts w:ascii="Times New Roman"/>
                <w:sz w:val="20"/>
              </w:rPr>
            </w:pPr>
          </w:p>
        </w:tc>
      </w:tr>
      <w:tr w14:paraId="4238E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89091B6">
            <w:pPr>
              <w:pStyle w:val="14"/>
              <w:spacing w:before="105"/>
              <w:ind w:left="8"/>
              <w:jc w:val="center"/>
              <w:rPr>
                <w:rFonts w:ascii="Times New Roman"/>
                <w:sz w:val="21"/>
              </w:rPr>
            </w:pPr>
            <w:r>
              <w:rPr>
                <w:rFonts w:ascii="Times New Roman"/>
                <w:w w:val="99"/>
                <w:sz w:val="21"/>
              </w:rPr>
              <w:t>4</w:t>
            </w:r>
          </w:p>
        </w:tc>
        <w:tc>
          <w:tcPr>
            <w:tcW w:w="2007" w:type="dxa"/>
          </w:tcPr>
          <w:p w14:paraId="4ED68AC7">
            <w:pPr>
              <w:pStyle w:val="14"/>
              <w:spacing w:before="92"/>
              <w:ind w:left="132" w:right="127"/>
              <w:jc w:val="center"/>
              <w:rPr>
                <w:sz w:val="21"/>
              </w:rPr>
            </w:pPr>
            <w:r>
              <w:rPr>
                <w:sz w:val="21"/>
              </w:rPr>
              <w:t>压缩打包计量机</w:t>
            </w:r>
          </w:p>
        </w:tc>
        <w:tc>
          <w:tcPr>
            <w:tcW w:w="2808" w:type="dxa"/>
          </w:tcPr>
          <w:p w14:paraId="20FDB8D9">
            <w:pPr>
              <w:pStyle w:val="14"/>
              <w:spacing w:before="92"/>
              <w:ind w:left="206" w:right="197"/>
              <w:jc w:val="center"/>
              <w:rPr>
                <w:sz w:val="21"/>
              </w:rPr>
            </w:pPr>
            <w:r>
              <w:rPr>
                <w:sz w:val="21"/>
              </w:rPr>
              <w:t>国产</w:t>
            </w:r>
          </w:p>
        </w:tc>
        <w:tc>
          <w:tcPr>
            <w:tcW w:w="684" w:type="dxa"/>
          </w:tcPr>
          <w:p w14:paraId="16F95200">
            <w:pPr>
              <w:pStyle w:val="14"/>
              <w:spacing w:before="105"/>
              <w:ind w:left="287"/>
              <w:rPr>
                <w:rFonts w:ascii="Times New Roman"/>
                <w:sz w:val="21"/>
              </w:rPr>
            </w:pPr>
            <w:r>
              <w:rPr>
                <w:rFonts w:ascii="Times New Roman"/>
                <w:w w:val="99"/>
                <w:sz w:val="21"/>
              </w:rPr>
              <w:t>5</w:t>
            </w:r>
          </w:p>
        </w:tc>
        <w:tc>
          <w:tcPr>
            <w:tcW w:w="699" w:type="dxa"/>
          </w:tcPr>
          <w:p w14:paraId="4D8C6595">
            <w:pPr>
              <w:pStyle w:val="14"/>
              <w:spacing w:before="92"/>
              <w:ind w:left="8"/>
              <w:jc w:val="center"/>
              <w:rPr>
                <w:sz w:val="21"/>
              </w:rPr>
            </w:pPr>
            <w:r>
              <w:rPr>
                <w:w w:val="99"/>
                <w:sz w:val="21"/>
              </w:rPr>
              <w:t>台</w:t>
            </w:r>
          </w:p>
        </w:tc>
        <w:tc>
          <w:tcPr>
            <w:tcW w:w="1686" w:type="dxa"/>
          </w:tcPr>
          <w:p w14:paraId="3F7BCFCB">
            <w:pPr>
              <w:pStyle w:val="14"/>
              <w:rPr>
                <w:rFonts w:ascii="Times New Roman"/>
                <w:sz w:val="20"/>
              </w:rPr>
            </w:pPr>
          </w:p>
        </w:tc>
      </w:tr>
      <w:tr w14:paraId="72320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693A74EE">
            <w:pPr>
              <w:pStyle w:val="14"/>
              <w:spacing w:before="105"/>
              <w:ind w:left="8"/>
              <w:jc w:val="center"/>
              <w:rPr>
                <w:rFonts w:ascii="Times New Roman"/>
                <w:sz w:val="21"/>
              </w:rPr>
            </w:pPr>
            <w:r>
              <w:rPr>
                <w:rFonts w:ascii="Times New Roman"/>
                <w:w w:val="99"/>
                <w:sz w:val="21"/>
              </w:rPr>
              <w:t>5</w:t>
            </w:r>
          </w:p>
        </w:tc>
        <w:tc>
          <w:tcPr>
            <w:tcW w:w="2007" w:type="dxa"/>
          </w:tcPr>
          <w:p w14:paraId="5076998C">
            <w:pPr>
              <w:pStyle w:val="14"/>
              <w:spacing w:before="91"/>
              <w:ind w:left="132" w:right="125"/>
              <w:jc w:val="center"/>
              <w:rPr>
                <w:sz w:val="21"/>
              </w:rPr>
            </w:pPr>
            <w:r>
              <w:rPr>
                <w:sz w:val="21"/>
              </w:rPr>
              <w:t>计量设备</w:t>
            </w:r>
          </w:p>
        </w:tc>
        <w:tc>
          <w:tcPr>
            <w:tcW w:w="2808" w:type="dxa"/>
          </w:tcPr>
          <w:p w14:paraId="112BBFF4">
            <w:pPr>
              <w:pStyle w:val="14"/>
              <w:spacing w:before="91"/>
              <w:ind w:left="206" w:right="197"/>
              <w:jc w:val="center"/>
              <w:rPr>
                <w:sz w:val="21"/>
              </w:rPr>
            </w:pPr>
            <w:r>
              <w:rPr>
                <w:sz w:val="21"/>
              </w:rPr>
              <w:t>梅特勒托利多</w:t>
            </w:r>
          </w:p>
        </w:tc>
        <w:tc>
          <w:tcPr>
            <w:tcW w:w="684" w:type="dxa"/>
          </w:tcPr>
          <w:p w14:paraId="4E06F8D3">
            <w:pPr>
              <w:pStyle w:val="14"/>
              <w:spacing w:before="105"/>
              <w:ind w:left="287"/>
              <w:rPr>
                <w:rFonts w:ascii="Times New Roman"/>
                <w:sz w:val="21"/>
              </w:rPr>
            </w:pPr>
            <w:r>
              <w:rPr>
                <w:rFonts w:ascii="Times New Roman"/>
                <w:w w:val="99"/>
                <w:sz w:val="21"/>
              </w:rPr>
              <w:t>5</w:t>
            </w:r>
          </w:p>
        </w:tc>
        <w:tc>
          <w:tcPr>
            <w:tcW w:w="699" w:type="dxa"/>
          </w:tcPr>
          <w:p w14:paraId="5050D76D">
            <w:pPr>
              <w:pStyle w:val="14"/>
              <w:spacing w:before="91"/>
              <w:ind w:left="8"/>
              <w:jc w:val="center"/>
              <w:rPr>
                <w:sz w:val="21"/>
              </w:rPr>
            </w:pPr>
            <w:r>
              <w:rPr>
                <w:w w:val="99"/>
                <w:sz w:val="21"/>
              </w:rPr>
              <w:t>台</w:t>
            </w:r>
          </w:p>
        </w:tc>
        <w:tc>
          <w:tcPr>
            <w:tcW w:w="1686" w:type="dxa"/>
          </w:tcPr>
          <w:p w14:paraId="18BC47E1">
            <w:pPr>
              <w:pStyle w:val="14"/>
              <w:rPr>
                <w:rFonts w:ascii="Times New Roman"/>
                <w:sz w:val="20"/>
              </w:rPr>
            </w:pPr>
          </w:p>
        </w:tc>
      </w:tr>
      <w:tr w14:paraId="40AE7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31BC55FE">
            <w:pPr>
              <w:pStyle w:val="14"/>
              <w:spacing w:before="90"/>
              <w:ind w:left="107"/>
              <w:rPr>
                <w:b/>
                <w:sz w:val="21"/>
              </w:rPr>
            </w:pPr>
            <w:r>
              <w:rPr>
                <w:b/>
                <w:sz w:val="21"/>
              </w:rPr>
              <w:t>三、猪冷库设备</w:t>
            </w:r>
          </w:p>
        </w:tc>
      </w:tr>
      <w:tr w14:paraId="37BE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38" w:type="dxa"/>
          </w:tcPr>
          <w:p w14:paraId="16B44A98">
            <w:pPr>
              <w:pStyle w:val="14"/>
              <w:spacing w:before="170"/>
              <w:ind w:left="8"/>
              <w:jc w:val="center"/>
              <w:rPr>
                <w:rFonts w:ascii="Times New Roman"/>
                <w:sz w:val="21"/>
              </w:rPr>
            </w:pPr>
            <w:r>
              <w:rPr>
                <w:rFonts w:ascii="Times New Roman"/>
                <w:w w:val="99"/>
                <w:sz w:val="21"/>
              </w:rPr>
              <w:t>1</w:t>
            </w:r>
          </w:p>
        </w:tc>
        <w:tc>
          <w:tcPr>
            <w:tcW w:w="2007" w:type="dxa"/>
          </w:tcPr>
          <w:p w14:paraId="69CBD5B9">
            <w:pPr>
              <w:pStyle w:val="14"/>
              <w:spacing w:before="21" w:line="270" w:lineRule="atLeast"/>
              <w:ind w:left="792" w:right="153" w:hanging="629"/>
              <w:rPr>
                <w:sz w:val="21"/>
              </w:rPr>
            </w:pPr>
            <w:r>
              <w:rPr>
                <w:w w:val="95"/>
                <w:sz w:val="21"/>
              </w:rPr>
              <w:t>双级变频低温螺杆</w:t>
            </w:r>
            <w:r>
              <w:rPr>
                <w:sz w:val="21"/>
              </w:rPr>
              <w:t>机组</w:t>
            </w:r>
          </w:p>
        </w:tc>
        <w:tc>
          <w:tcPr>
            <w:tcW w:w="2808" w:type="dxa"/>
          </w:tcPr>
          <w:p w14:paraId="336AAAC1">
            <w:pPr>
              <w:pStyle w:val="14"/>
              <w:spacing w:before="170"/>
              <w:ind w:left="206" w:right="198"/>
              <w:jc w:val="center"/>
              <w:rPr>
                <w:rFonts w:ascii="Times New Roman"/>
                <w:sz w:val="21"/>
              </w:rPr>
            </w:pPr>
            <w:r>
              <w:rPr>
                <w:rFonts w:ascii="Times New Roman"/>
                <w:sz w:val="21"/>
              </w:rPr>
              <w:t>LCU-1801KLSMPJ</w:t>
            </w:r>
          </w:p>
        </w:tc>
        <w:tc>
          <w:tcPr>
            <w:tcW w:w="684" w:type="dxa"/>
          </w:tcPr>
          <w:p w14:paraId="3F5D5E8B">
            <w:pPr>
              <w:pStyle w:val="14"/>
              <w:spacing w:before="170"/>
              <w:ind w:left="287"/>
              <w:rPr>
                <w:rFonts w:ascii="Times New Roman"/>
                <w:sz w:val="21"/>
              </w:rPr>
            </w:pPr>
            <w:r>
              <w:rPr>
                <w:rFonts w:ascii="Times New Roman"/>
                <w:w w:val="99"/>
                <w:sz w:val="21"/>
              </w:rPr>
              <w:t>2</w:t>
            </w:r>
          </w:p>
        </w:tc>
        <w:tc>
          <w:tcPr>
            <w:tcW w:w="699" w:type="dxa"/>
          </w:tcPr>
          <w:p w14:paraId="79EB84EB">
            <w:pPr>
              <w:pStyle w:val="14"/>
              <w:spacing w:before="156"/>
              <w:ind w:left="8"/>
              <w:jc w:val="center"/>
              <w:rPr>
                <w:sz w:val="21"/>
              </w:rPr>
            </w:pPr>
            <w:r>
              <w:rPr>
                <w:w w:val="99"/>
                <w:sz w:val="21"/>
              </w:rPr>
              <w:t>套</w:t>
            </w:r>
          </w:p>
        </w:tc>
        <w:tc>
          <w:tcPr>
            <w:tcW w:w="1686" w:type="dxa"/>
          </w:tcPr>
          <w:p w14:paraId="553E460C">
            <w:pPr>
              <w:pStyle w:val="14"/>
              <w:spacing w:before="156"/>
              <w:ind w:right="378"/>
              <w:jc w:val="right"/>
              <w:rPr>
                <w:sz w:val="21"/>
              </w:rPr>
            </w:pPr>
            <w:r>
              <w:rPr>
                <w:rFonts w:ascii="Times New Roman" w:hAnsi="Times New Roman" w:eastAsia="Times New Roman"/>
                <w:w w:val="95"/>
                <w:sz w:val="21"/>
              </w:rPr>
              <w:t>-45</w:t>
            </w:r>
            <w:r>
              <w:rPr>
                <w:w w:val="95"/>
                <w:sz w:val="21"/>
              </w:rPr>
              <w:t>℃系统</w:t>
            </w:r>
          </w:p>
        </w:tc>
      </w:tr>
      <w:tr w14:paraId="1DB66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7F63F399">
            <w:pPr>
              <w:pStyle w:val="14"/>
              <w:spacing w:before="170"/>
              <w:ind w:left="8"/>
              <w:jc w:val="center"/>
              <w:rPr>
                <w:rFonts w:ascii="Times New Roman"/>
                <w:sz w:val="21"/>
              </w:rPr>
            </w:pPr>
            <w:r>
              <w:rPr>
                <w:rFonts w:ascii="Times New Roman"/>
                <w:w w:val="99"/>
                <w:sz w:val="21"/>
              </w:rPr>
              <w:t>2</w:t>
            </w:r>
          </w:p>
        </w:tc>
        <w:tc>
          <w:tcPr>
            <w:tcW w:w="2007" w:type="dxa"/>
          </w:tcPr>
          <w:p w14:paraId="50AC330F">
            <w:pPr>
              <w:pStyle w:val="14"/>
              <w:spacing w:before="19" w:line="270" w:lineRule="atLeast"/>
              <w:ind w:left="792" w:right="153" w:hanging="629"/>
              <w:rPr>
                <w:sz w:val="21"/>
              </w:rPr>
            </w:pPr>
            <w:r>
              <w:rPr>
                <w:w w:val="95"/>
                <w:sz w:val="21"/>
              </w:rPr>
              <w:t>双级变频低温螺杆</w:t>
            </w:r>
            <w:r>
              <w:rPr>
                <w:sz w:val="21"/>
              </w:rPr>
              <w:t>机组</w:t>
            </w:r>
          </w:p>
        </w:tc>
        <w:tc>
          <w:tcPr>
            <w:tcW w:w="2808" w:type="dxa"/>
          </w:tcPr>
          <w:p w14:paraId="697BEEDA">
            <w:pPr>
              <w:pStyle w:val="14"/>
              <w:spacing w:before="170"/>
              <w:ind w:left="206" w:right="198"/>
              <w:jc w:val="center"/>
              <w:rPr>
                <w:rFonts w:ascii="Times New Roman"/>
                <w:sz w:val="21"/>
              </w:rPr>
            </w:pPr>
            <w:r>
              <w:rPr>
                <w:rFonts w:ascii="Times New Roman"/>
                <w:sz w:val="21"/>
              </w:rPr>
              <w:t>LCU-2401KVSMPJ</w:t>
            </w:r>
          </w:p>
        </w:tc>
        <w:tc>
          <w:tcPr>
            <w:tcW w:w="684" w:type="dxa"/>
          </w:tcPr>
          <w:p w14:paraId="5A332314">
            <w:pPr>
              <w:pStyle w:val="14"/>
              <w:spacing w:before="170"/>
              <w:ind w:left="287"/>
              <w:rPr>
                <w:rFonts w:ascii="Times New Roman"/>
                <w:sz w:val="21"/>
              </w:rPr>
            </w:pPr>
            <w:r>
              <w:rPr>
                <w:rFonts w:ascii="Times New Roman"/>
                <w:w w:val="99"/>
                <w:sz w:val="21"/>
              </w:rPr>
              <w:t>1</w:t>
            </w:r>
          </w:p>
        </w:tc>
        <w:tc>
          <w:tcPr>
            <w:tcW w:w="699" w:type="dxa"/>
          </w:tcPr>
          <w:p w14:paraId="69AC6512">
            <w:pPr>
              <w:pStyle w:val="14"/>
              <w:spacing w:before="157"/>
              <w:ind w:left="8"/>
              <w:jc w:val="center"/>
              <w:rPr>
                <w:sz w:val="21"/>
              </w:rPr>
            </w:pPr>
            <w:r>
              <w:rPr>
                <w:w w:val="99"/>
                <w:sz w:val="21"/>
              </w:rPr>
              <w:t>套</w:t>
            </w:r>
          </w:p>
        </w:tc>
        <w:tc>
          <w:tcPr>
            <w:tcW w:w="1686" w:type="dxa"/>
          </w:tcPr>
          <w:p w14:paraId="7C5FF7D2">
            <w:pPr>
              <w:pStyle w:val="14"/>
              <w:spacing w:before="157"/>
              <w:ind w:right="378"/>
              <w:jc w:val="right"/>
              <w:rPr>
                <w:sz w:val="21"/>
              </w:rPr>
            </w:pPr>
            <w:r>
              <w:rPr>
                <w:rFonts w:ascii="Times New Roman" w:hAnsi="Times New Roman" w:eastAsia="Times New Roman"/>
                <w:w w:val="95"/>
                <w:sz w:val="21"/>
              </w:rPr>
              <w:t>-33</w:t>
            </w:r>
            <w:r>
              <w:rPr>
                <w:w w:val="95"/>
                <w:sz w:val="21"/>
              </w:rPr>
              <w:t>℃系统</w:t>
            </w:r>
          </w:p>
        </w:tc>
      </w:tr>
      <w:tr w14:paraId="01D16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41EFA32A">
            <w:pPr>
              <w:pStyle w:val="14"/>
              <w:spacing w:before="171"/>
              <w:ind w:left="8"/>
              <w:jc w:val="center"/>
              <w:rPr>
                <w:rFonts w:ascii="Times New Roman"/>
                <w:sz w:val="21"/>
              </w:rPr>
            </w:pPr>
            <w:r>
              <w:rPr>
                <w:rFonts w:ascii="Times New Roman"/>
                <w:w w:val="99"/>
                <w:sz w:val="21"/>
              </w:rPr>
              <w:t>3</w:t>
            </w:r>
          </w:p>
        </w:tc>
        <w:tc>
          <w:tcPr>
            <w:tcW w:w="2007" w:type="dxa"/>
          </w:tcPr>
          <w:p w14:paraId="3B7EBE99">
            <w:pPr>
              <w:pStyle w:val="14"/>
              <w:spacing w:before="20" w:line="242" w:lineRule="auto"/>
              <w:ind w:left="266" w:right="153" w:hanging="104"/>
              <w:rPr>
                <w:sz w:val="21"/>
              </w:rPr>
            </w:pPr>
            <w:r>
              <w:rPr>
                <w:w w:val="95"/>
                <w:sz w:val="21"/>
              </w:rPr>
              <w:t>室内型分体式中央</w:t>
            </w:r>
            <w:r>
              <w:rPr>
                <w:sz w:val="21"/>
              </w:rPr>
              <w:t>机组（低温型）</w:t>
            </w:r>
          </w:p>
        </w:tc>
        <w:tc>
          <w:tcPr>
            <w:tcW w:w="2808" w:type="dxa"/>
          </w:tcPr>
          <w:p w14:paraId="290BA7DB">
            <w:pPr>
              <w:pStyle w:val="14"/>
              <w:spacing w:before="171"/>
              <w:ind w:left="204" w:right="198"/>
              <w:jc w:val="center"/>
              <w:rPr>
                <w:rFonts w:ascii="Times New Roman"/>
                <w:sz w:val="21"/>
              </w:rPr>
            </w:pPr>
            <w:r>
              <w:rPr>
                <w:rFonts w:ascii="Times New Roman"/>
                <w:sz w:val="21"/>
              </w:rPr>
              <w:t>LCU-800LMPJ</w:t>
            </w:r>
          </w:p>
        </w:tc>
        <w:tc>
          <w:tcPr>
            <w:tcW w:w="684" w:type="dxa"/>
          </w:tcPr>
          <w:p w14:paraId="4DEBCDB9">
            <w:pPr>
              <w:pStyle w:val="14"/>
              <w:spacing w:before="171"/>
              <w:ind w:left="287"/>
              <w:rPr>
                <w:rFonts w:ascii="Times New Roman"/>
                <w:sz w:val="21"/>
              </w:rPr>
            </w:pPr>
            <w:r>
              <w:rPr>
                <w:rFonts w:ascii="Times New Roman"/>
                <w:w w:val="99"/>
                <w:sz w:val="21"/>
              </w:rPr>
              <w:t>1</w:t>
            </w:r>
          </w:p>
        </w:tc>
        <w:tc>
          <w:tcPr>
            <w:tcW w:w="699" w:type="dxa"/>
          </w:tcPr>
          <w:p w14:paraId="3A8B61CB">
            <w:pPr>
              <w:pStyle w:val="14"/>
              <w:spacing w:before="154"/>
              <w:ind w:left="8"/>
              <w:jc w:val="center"/>
              <w:rPr>
                <w:sz w:val="21"/>
              </w:rPr>
            </w:pPr>
            <w:r>
              <w:rPr>
                <w:w w:val="99"/>
                <w:sz w:val="21"/>
              </w:rPr>
              <w:t>套</w:t>
            </w:r>
          </w:p>
        </w:tc>
        <w:tc>
          <w:tcPr>
            <w:tcW w:w="1686" w:type="dxa"/>
          </w:tcPr>
          <w:p w14:paraId="6FE89C9B">
            <w:pPr>
              <w:pStyle w:val="14"/>
              <w:spacing w:before="154"/>
              <w:ind w:right="378"/>
              <w:jc w:val="right"/>
              <w:rPr>
                <w:sz w:val="21"/>
              </w:rPr>
            </w:pPr>
            <w:r>
              <w:rPr>
                <w:rFonts w:ascii="Times New Roman" w:hAnsi="Times New Roman" w:eastAsia="Times New Roman"/>
                <w:w w:val="95"/>
                <w:sz w:val="21"/>
              </w:rPr>
              <w:t>-28</w:t>
            </w:r>
            <w:r>
              <w:rPr>
                <w:w w:val="95"/>
                <w:sz w:val="21"/>
              </w:rPr>
              <w:t>℃系统</w:t>
            </w:r>
          </w:p>
        </w:tc>
      </w:tr>
      <w:tr w14:paraId="44F06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38" w:type="dxa"/>
          </w:tcPr>
          <w:p w14:paraId="468DABB9">
            <w:pPr>
              <w:pStyle w:val="14"/>
              <w:spacing w:before="171"/>
              <w:ind w:left="8"/>
              <w:jc w:val="center"/>
              <w:rPr>
                <w:rFonts w:ascii="Times New Roman"/>
                <w:sz w:val="21"/>
              </w:rPr>
            </w:pPr>
            <w:r>
              <w:rPr>
                <w:rFonts w:ascii="Times New Roman"/>
                <w:w w:val="99"/>
                <w:sz w:val="21"/>
              </w:rPr>
              <w:t>4</w:t>
            </w:r>
          </w:p>
        </w:tc>
        <w:tc>
          <w:tcPr>
            <w:tcW w:w="2007" w:type="dxa"/>
          </w:tcPr>
          <w:p w14:paraId="151A6ED4">
            <w:pPr>
              <w:pStyle w:val="14"/>
              <w:spacing w:before="20" w:line="242" w:lineRule="auto"/>
              <w:ind w:left="266" w:right="153" w:hanging="104"/>
              <w:rPr>
                <w:sz w:val="21"/>
              </w:rPr>
            </w:pPr>
            <w:r>
              <w:rPr>
                <w:w w:val="95"/>
                <w:sz w:val="21"/>
              </w:rPr>
              <w:t>室内型分体式中央</w:t>
            </w:r>
            <w:r>
              <w:rPr>
                <w:sz w:val="21"/>
              </w:rPr>
              <w:t>机组（中温型）</w:t>
            </w:r>
          </w:p>
        </w:tc>
        <w:tc>
          <w:tcPr>
            <w:tcW w:w="2808" w:type="dxa"/>
          </w:tcPr>
          <w:p w14:paraId="516B0D77">
            <w:pPr>
              <w:pStyle w:val="14"/>
              <w:spacing w:before="171"/>
              <w:ind w:left="204" w:right="198"/>
              <w:jc w:val="center"/>
              <w:rPr>
                <w:rFonts w:ascii="Times New Roman"/>
                <w:sz w:val="21"/>
              </w:rPr>
            </w:pPr>
            <w:r>
              <w:rPr>
                <w:rFonts w:ascii="Times New Roman"/>
                <w:sz w:val="21"/>
              </w:rPr>
              <w:t>LCU-1200MPJ</w:t>
            </w:r>
          </w:p>
        </w:tc>
        <w:tc>
          <w:tcPr>
            <w:tcW w:w="684" w:type="dxa"/>
          </w:tcPr>
          <w:p w14:paraId="600B8A44">
            <w:pPr>
              <w:pStyle w:val="14"/>
              <w:spacing w:before="171"/>
              <w:ind w:left="287"/>
              <w:rPr>
                <w:rFonts w:ascii="Times New Roman"/>
                <w:sz w:val="21"/>
              </w:rPr>
            </w:pPr>
            <w:r>
              <w:rPr>
                <w:rFonts w:ascii="Times New Roman"/>
                <w:w w:val="99"/>
                <w:sz w:val="21"/>
              </w:rPr>
              <w:t>3</w:t>
            </w:r>
          </w:p>
        </w:tc>
        <w:tc>
          <w:tcPr>
            <w:tcW w:w="699" w:type="dxa"/>
          </w:tcPr>
          <w:p w14:paraId="27A64DE2">
            <w:pPr>
              <w:pStyle w:val="14"/>
              <w:spacing w:before="155"/>
              <w:ind w:left="8"/>
              <w:jc w:val="center"/>
              <w:rPr>
                <w:sz w:val="21"/>
              </w:rPr>
            </w:pPr>
            <w:r>
              <w:rPr>
                <w:w w:val="99"/>
                <w:sz w:val="21"/>
              </w:rPr>
              <w:t>套</w:t>
            </w:r>
          </w:p>
        </w:tc>
        <w:tc>
          <w:tcPr>
            <w:tcW w:w="1686" w:type="dxa"/>
          </w:tcPr>
          <w:p w14:paraId="775EDB91">
            <w:pPr>
              <w:pStyle w:val="14"/>
              <w:spacing w:before="155"/>
              <w:ind w:right="431"/>
              <w:jc w:val="right"/>
              <w:rPr>
                <w:sz w:val="21"/>
              </w:rPr>
            </w:pPr>
            <w:r>
              <w:rPr>
                <w:rFonts w:ascii="Times New Roman" w:hAnsi="Times New Roman" w:eastAsia="Times New Roman"/>
                <w:w w:val="95"/>
                <w:sz w:val="21"/>
              </w:rPr>
              <w:t>-5</w:t>
            </w:r>
            <w:r>
              <w:rPr>
                <w:w w:val="95"/>
                <w:sz w:val="21"/>
              </w:rPr>
              <w:t>℃系统</w:t>
            </w:r>
          </w:p>
        </w:tc>
      </w:tr>
      <w:tr w14:paraId="3D8DE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357A860">
            <w:pPr>
              <w:pStyle w:val="14"/>
              <w:spacing w:before="105"/>
              <w:ind w:left="8"/>
              <w:jc w:val="center"/>
              <w:rPr>
                <w:rFonts w:ascii="Times New Roman"/>
                <w:sz w:val="21"/>
              </w:rPr>
            </w:pPr>
            <w:r>
              <w:rPr>
                <w:rFonts w:ascii="Times New Roman"/>
                <w:w w:val="99"/>
                <w:sz w:val="21"/>
              </w:rPr>
              <w:t>5</w:t>
            </w:r>
          </w:p>
        </w:tc>
        <w:tc>
          <w:tcPr>
            <w:tcW w:w="2007" w:type="dxa"/>
          </w:tcPr>
          <w:p w14:paraId="3AEE2F62">
            <w:pPr>
              <w:pStyle w:val="14"/>
              <w:spacing w:before="91"/>
              <w:ind w:left="132" w:right="127"/>
              <w:jc w:val="center"/>
              <w:rPr>
                <w:sz w:val="21"/>
              </w:rPr>
            </w:pPr>
            <w:r>
              <w:rPr>
                <w:sz w:val="21"/>
              </w:rPr>
              <w:t>蒸发式冷凝器</w:t>
            </w:r>
          </w:p>
        </w:tc>
        <w:tc>
          <w:tcPr>
            <w:tcW w:w="2808" w:type="dxa"/>
          </w:tcPr>
          <w:p w14:paraId="296927EC">
            <w:pPr>
              <w:pStyle w:val="14"/>
              <w:spacing w:before="105"/>
              <w:ind w:left="206" w:right="196"/>
              <w:jc w:val="center"/>
              <w:rPr>
                <w:rFonts w:ascii="Times New Roman"/>
                <w:sz w:val="21"/>
              </w:rPr>
            </w:pPr>
            <w:r>
              <w:rPr>
                <w:rFonts w:ascii="Times New Roman"/>
                <w:sz w:val="21"/>
              </w:rPr>
              <w:t>CXV-184</w:t>
            </w:r>
          </w:p>
        </w:tc>
        <w:tc>
          <w:tcPr>
            <w:tcW w:w="684" w:type="dxa"/>
          </w:tcPr>
          <w:p w14:paraId="6AC84F91">
            <w:pPr>
              <w:pStyle w:val="14"/>
              <w:spacing w:before="105"/>
              <w:ind w:left="287"/>
              <w:rPr>
                <w:rFonts w:ascii="Times New Roman"/>
                <w:sz w:val="21"/>
              </w:rPr>
            </w:pPr>
            <w:r>
              <w:rPr>
                <w:rFonts w:ascii="Times New Roman"/>
                <w:w w:val="99"/>
                <w:sz w:val="21"/>
              </w:rPr>
              <w:t>2</w:t>
            </w:r>
          </w:p>
        </w:tc>
        <w:tc>
          <w:tcPr>
            <w:tcW w:w="699" w:type="dxa"/>
          </w:tcPr>
          <w:p w14:paraId="57504661">
            <w:pPr>
              <w:pStyle w:val="14"/>
              <w:spacing w:before="91"/>
              <w:ind w:left="8"/>
              <w:jc w:val="center"/>
              <w:rPr>
                <w:sz w:val="21"/>
              </w:rPr>
            </w:pPr>
            <w:r>
              <w:rPr>
                <w:w w:val="99"/>
                <w:sz w:val="21"/>
              </w:rPr>
              <w:t>套</w:t>
            </w:r>
          </w:p>
        </w:tc>
        <w:tc>
          <w:tcPr>
            <w:tcW w:w="1686" w:type="dxa"/>
          </w:tcPr>
          <w:p w14:paraId="4A4DB3C5">
            <w:pPr>
              <w:pStyle w:val="14"/>
              <w:spacing w:before="91"/>
              <w:ind w:right="378"/>
              <w:jc w:val="right"/>
              <w:rPr>
                <w:sz w:val="21"/>
              </w:rPr>
            </w:pPr>
            <w:r>
              <w:rPr>
                <w:rFonts w:ascii="Times New Roman" w:hAnsi="Times New Roman" w:eastAsia="Times New Roman"/>
                <w:w w:val="95"/>
                <w:sz w:val="21"/>
              </w:rPr>
              <w:t>-45</w:t>
            </w:r>
            <w:r>
              <w:rPr>
                <w:w w:val="95"/>
                <w:sz w:val="21"/>
              </w:rPr>
              <w:t>℃系统</w:t>
            </w:r>
          </w:p>
        </w:tc>
      </w:tr>
      <w:tr w14:paraId="2E39F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1D17142">
            <w:pPr>
              <w:pStyle w:val="14"/>
              <w:spacing w:before="106"/>
              <w:ind w:left="8"/>
              <w:jc w:val="center"/>
              <w:rPr>
                <w:rFonts w:ascii="Times New Roman"/>
                <w:sz w:val="21"/>
              </w:rPr>
            </w:pPr>
            <w:r>
              <w:rPr>
                <w:rFonts w:ascii="Times New Roman"/>
                <w:w w:val="99"/>
                <w:sz w:val="21"/>
              </w:rPr>
              <w:t>6</w:t>
            </w:r>
          </w:p>
        </w:tc>
        <w:tc>
          <w:tcPr>
            <w:tcW w:w="2007" w:type="dxa"/>
          </w:tcPr>
          <w:p w14:paraId="5637BDFD">
            <w:pPr>
              <w:pStyle w:val="14"/>
              <w:spacing w:before="90"/>
              <w:ind w:left="132" w:right="127"/>
              <w:jc w:val="center"/>
              <w:rPr>
                <w:sz w:val="21"/>
              </w:rPr>
            </w:pPr>
            <w:r>
              <w:rPr>
                <w:sz w:val="21"/>
              </w:rPr>
              <w:t>蒸发式冷凝器</w:t>
            </w:r>
          </w:p>
        </w:tc>
        <w:tc>
          <w:tcPr>
            <w:tcW w:w="2808" w:type="dxa"/>
          </w:tcPr>
          <w:p w14:paraId="77754175">
            <w:pPr>
              <w:pStyle w:val="14"/>
              <w:spacing w:before="106"/>
              <w:ind w:left="206" w:right="196"/>
              <w:jc w:val="center"/>
              <w:rPr>
                <w:rFonts w:ascii="Times New Roman"/>
                <w:sz w:val="21"/>
              </w:rPr>
            </w:pPr>
            <w:r>
              <w:rPr>
                <w:rFonts w:ascii="Times New Roman"/>
                <w:sz w:val="21"/>
              </w:rPr>
              <w:t>CXV-229</w:t>
            </w:r>
          </w:p>
        </w:tc>
        <w:tc>
          <w:tcPr>
            <w:tcW w:w="684" w:type="dxa"/>
          </w:tcPr>
          <w:p w14:paraId="35E9188F">
            <w:pPr>
              <w:pStyle w:val="14"/>
              <w:spacing w:before="106"/>
              <w:ind w:left="287"/>
              <w:rPr>
                <w:rFonts w:ascii="Times New Roman"/>
                <w:sz w:val="21"/>
              </w:rPr>
            </w:pPr>
            <w:r>
              <w:rPr>
                <w:rFonts w:ascii="Times New Roman"/>
                <w:w w:val="99"/>
                <w:sz w:val="21"/>
              </w:rPr>
              <w:t>1</w:t>
            </w:r>
          </w:p>
        </w:tc>
        <w:tc>
          <w:tcPr>
            <w:tcW w:w="699" w:type="dxa"/>
          </w:tcPr>
          <w:p w14:paraId="06272C00">
            <w:pPr>
              <w:pStyle w:val="14"/>
              <w:spacing w:before="90"/>
              <w:ind w:left="8"/>
              <w:jc w:val="center"/>
              <w:rPr>
                <w:sz w:val="21"/>
              </w:rPr>
            </w:pPr>
            <w:r>
              <w:rPr>
                <w:w w:val="99"/>
                <w:sz w:val="21"/>
              </w:rPr>
              <w:t>台</w:t>
            </w:r>
          </w:p>
        </w:tc>
        <w:tc>
          <w:tcPr>
            <w:tcW w:w="1686" w:type="dxa"/>
          </w:tcPr>
          <w:p w14:paraId="5F751E55">
            <w:pPr>
              <w:pStyle w:val="14"/>
              <w:spacing w:before="90"/>
              <w:ind w:right="378"/>
              <w:jc w:val="right"/>
              <w:rPr>
                <w:sz w:val="21"/>
              </w:rPr>
            </w:pPr>
            <w:r>
              <w:rPr>
                <w:rFonts w:ascii="Times New Roman" w:hAnsi="Times New Roman" w:eastAsia="Times New Roman"/>
                <w:w w:val="95"/>
                <w:sz w:val="21"/>
              </w:rPr>
              <w:t>-33</w:t>
            </w:r>
            <w:r>
              <w:rPr>
                <w:w w:val="95"/>
                <w:sz w:val="21"/>
              </w:rPr>
              <w:t>℃系统</w:t>
            </w:r>
          </w:p>
        </w:tc>
      </w:tr>
      <w:tr w14:paraId="5473F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0AB8D04">
            <w:pPr>
              <w:pStyle w:val="14"/>
              <w:spacing w:before="106"/>
              <w:ind w:left="8"/>
              <w:jc w:val="center"/>
              <w:rPr>
                <w:rFonts w:ascii="Times New Roman"/>
                <w:sz w:val="21"/>
              </w:rPr>
            </w:pPr>
            <w:r>
              <w:rPr>
                <w:rFonts w:ascii="Times New Roman"/>
                <w:w w:val="99"/>
                <w:sz w:val="21"/>
              </w:rPr>
              <w:t>7</w:t>
            </w:r>
          </w:p>
        </w:tc>
        <w:tc>
          <w:tcPr>
            <w:tcW w:w="2007" w:type="dxa"/>
          </w:tcPr>
          <w:p w14:paraId="41750475">
            <w:pPr>
              <w:pStyle w:val="14"/>
              <w:spacing w:before="92"/>
              <w:ind w:left="132" w:right="127"/>
              <w:jc w:val="center"/>
              <w:rPr>
                <w:sz w:val="21"/>
              </w:rPr>
            </w:pPr>
            <w:r>
              <w:rPr>
                <w:sz w:val="21"/>
              </w:rPr>
              <w:t>蒸发式冷凝器</w:t>
            </w:r>
          </w:p>
        </w:tc>
        <w:tc>
          <w:tcPr>
            <w:tcW w:w="2808" w:type="dxa"/>
          </w:tcPr>
          <w:p w14:paraId="201592F0">
            <w:pPr>
              <w:pStyle w:val="14"/>
              <w:spacing w:before="106"/>
              <w:ind w:left="203" w:right="198"/>
              <w:jc w:val="center"/>
              <w:rPr>
                <w:rFonts w:ascii="Times New Roman"/>
                <w:sz w:val="21"/>
              </w:rPr>
            </w:pPr>
            <w:r>
              <w:rPr>
                <w:rFonts w:ascii="Times New Roman"/>
                <w:sz w:val="21"/>
              </w:rPr>
              <w:t>CXV-74</w:t>
            </w:r>
          </w:p>
        </w:tc>
        <w:tc>
          <w:tcPr>
            <w:tcW w:w="684" w:type="dxa"/>
          </w:tcPr>
          <w:p w14:paraId="3DA7D305">
            <w:pPr>
              <w:pStyle w:val="14"/>
              <w:spacing w:before="106"/>
              <w:ind w:left="287"/>
              <w:rPr>
                <w:rFonts w:ascii="Times New Roman"/>
                <w:sz w:val="21"/>
              </w:rPr>
            </w:pPr>
            <w:r>
              <w:rPr>
                <w:rFonts w:ascii="Times New Roman"/>
                <w:w w:val="99"/>
                <w:sz w:val="21"/>
              </w:rPr>
              <w:t>1</w:t>
            </w:r>
          </w:p>
        </w:tc>
        <w:tc>
          <w:tcPr>
            <w:tcW w:w="699" w:type="dxa"/>
          </w:tcPr>
          <w:p w14:paraId="2F24CF47">
            <w:pPr>
              <w:pStyle w:val="14"/>
              <w:spacing w:before="92"/>
              <w:ind w:left="8"/>
              <w:jc w:val="center"/>
              <w:rPr>
                <w:sz w:val="21"/>
              </w:rPr>
            </w:pPr>
            <w:r>
              <w:rPr>
                <w:w w:val="99"/>
                <w:sz w:val="21"/>
              </w:rPr>
              <w:t>台</w:t>
            </w:r>
          </w:p>
        </w:tc>
        <w:tc>
          <w:tcPr>
            <w:tcW w:w="1686" w:type="dxa"/>
          </w:tcPr>
          <w:p w14:paraId="4B8DFEA2">
            <w:pPr>
              <w:pStyle w:val="14"/>
              <w:spacing w:before="92"/>
              <w:ind w:right="378"/>
              <w:jc w:val="right"/>
              <w:rPr>
                <w:sz w:val="21"/>
              </w:rPr>
            </w:pPr>
            <w:r>
              <w:rPr>
                <w:rFonts w:ascii="Times New Roman" w:hAnsi="Times New Roman" w:eastAsia="Times New Roman"/>
                <w:w w:val="95"/>
                <w:sz w:val="21"/>
              </w:rPr>
              <w:t>-28</w:t>
            </w:r>
            <w:r>
              <w:rPr>
                <w:w w:val="95"/>
                <w:sz w:val="21"/>
              </w:rPr>
              <w:t>℃系统</w:t>
            </w:r>
          </w:p>
        </w:tc>
      </w:tr>
      <w:tr w14:paraId="03C00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FB56BE5">
            <w:pPr>
              <w:pStyle w:val="14"/>
              <w:spacing w:before="105"/>
              <w:ind w:left="8"/>
              <w:jc w:val="center"/>
              <w:rPr>
                <w:rFonts w:ascii="Times New Roman"/>
                <w:sz w:val="21"/>
              </w:rPr>
            </w:pPr>
            <w:r>
              <w:rPr>
                <w:rFonts w:ascii="Times New Roman"/>
                <w:w w:val="99"/>
                <w:sz w:val="21"/>
              </w:rPr>
              <w:t>8</w:t>
            </w:r>
          </w:p>
        </w:tc>
        <w:tc>
          <w:tcPr>
            <w:tcW w:w="2007" w:type="dxa"/>
          </w:tcPr>
          <w:p w14:paraId="54CCD632">
            <w:pPr>
              <w:pStyle w:val="14"/>
              <w:spacing w:before="91"/>
              <w:ind w:left="132" w:right="127"/>
              <w:jc w:val="center"/>
              <w:rPr>
                <w:sz w:val="21"/>
              </w:rPr>
            </w:pPr>
            <w:r>
              <w:rPr>
                <w:sz w:val="21"/>
              </w:rPr>
              <w:t>蒸发式冷凝器</w:t>
            </w:r>
          </w:p>
        </w:tc>
        <w:tc>
          <w:tcPr>
            <w:tcW w:w="2808" w:type="dxa"/>
          </w:tcPr>
          <w:p w14:paraId="2CEF8905">
            <w:pPr>
              <w:pStyle w:val="14"/>
              <w:spacing w:before="105"/>
              <w:ind w:left="206" w:right="196"/>
              <w:jc w:val="center"/>
              <w:rPr>
                <w:rFonts w:ascii="Times New Roman"/>
                <w:sz w:val="21"/>
              </w:rPr>
            </w:pPr>
            <w:r>
              <w:rPr>
                <w:rFonts w:ascii="Times New Roman"/>
                <w:sz w:val="21"/>
              </w:rPr>
              <w:t>CXV-184</w:t>
            </w:r>
          </w:p>
        </w:tc>
        <w:tc>
          <w:tcPr>
            <w:tcW w:w="684" w:type="dxa"/>
          </w:tcPr>
          <w:p w14:paraId="63ADD9E8">
            <w:pPr>
              <w:pStyle w:val="14"/>
              <w:spacing w:before="105"/>
              <w:ind w:left="287"/>
              <w:rPr>
                <w:rFonts w:ascii="Times New Roman"/>
                <w:sz w:val="21"/>
              </w:rPr>
            </w:pPr>
            <w:r>
              <w:rPr>
                <w:rFonts w:ascii="Times New Roman"/>
                <w:w w:val="99"/>
                <w:sz w:val="21"/>
              </w:rPr>
              <w:t>3</w:t>
            </w:r>
          </w:p>
        </w:tc>
        <w:tc>
          <w:tcPr>
            <w:tcW w:w="699" w:type="dxa"/>
          </w:tcPr>
          <w:p w14:paraId="1AA5A689">
            <w:pPr>
              <w:pStyle w:val="14"/>
              <w:spacing w:before="91"/>
              <w:ind w:left="8"/>
              <w:jc w:val="center"/>
              <w:rPr>
                <w:sz w:val="21"/>
              </w:rPr>
            </w:pPr>
            <w:r>
              <w:rPr>
                <w:w w:val="99"/>
                <w:sz w:val="21"/>
              </w:rPr>
              <w:t>套</w:t>
            </w:r>
          </w:p>
        </w:tc>
        <w:tc>
          <w:tcPr>
            <w:tcW w:w="1686" w:type="dxa"/>
          </w:tcPr>
          <w:p w14:paraId="14CF89AD">
            <w:pPr>
              <w:pStyle w:val="14"/>
              <w:spacing w:before="91"/>
              <w:ind w:right="431"/>
              <w:jc w:val="right"/>
              <w:rPr>
                <w:sz w:val="21"/>
              </w:rPr>
            </w:pPr>
            <w:r>
              <w:rPr>
                <w:rFonts w:ascii="Times New Roman" w:hAnsi="Times New Roman" w:eastAsia="Times New Roman"/>
                <w:w w:val="95"/>
                <w:sz w:val="21"/>
              </w:rPr>
              <w:t>-5</w:t>
            </w:r>
            <w:r>
              <w:rPr>
                <w:w w:val="95"/>
                <w:sz w:val="21"/>
              </w:rPr>
              <w:t>℃系统</w:t>
            </w:r>
          </w:p>
        </w:tc>
      </w:tr>
      <w:tr w14:paraId="03716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31DD803">
            <w:pPr>
              <w:pStyle w:val="14"/>
              <w:spacing w:before="106"/>
              <w:ind w:left="8"/>
              <w:jc w:val="center"/>
              <w:rPr>
                <w:rFonts w:ascii="Times New Roman"/>
                <w:sz w:val="21"/>
              </w:rPr>
            </w:pPr>
            <w:r>
              <w:rPr>
                <w:rFonts w:ascii="Times New Roman"/>
                <w:w w:val="99"/>
                <w:sz w:val="21"/>
              </w:rPr>
              <w:t>9</w:t>
            </w:r>
          </w:p>
        </w:tc>
        <w:tc>
          <w:tcPr>
            <w:tcW w:w="2007" w:type="dxa"/>
          </w:tcPr>
          <w:p w14:paraId="53371452">
            <w:pPr>
              <w:pStyle w:val="14"/>
              <w:spacing w:before="90"/>
              <w:ind w:left="132" w:right="127"/>
              <w:jc w:val="center"/>
              <w:rPr>
                <w:sz w:val="21"/>
              </w:rPr>
            </w:pPr>
            <w:r>
              <w:rPr>
                <w:sz w:val="21"/>
              </w:rPr>
              <w:t>冷风机</w:t>
            </w:r>
          </w:p>
        </w:tc>
        <w:tc>
          <w:tcPr>
            <w:tcW w:w="2808" w:type="dxa"/>
          </w:tcPr>
          <w:p w14:paraId="0BB2A22E">
            <w:pPr>
              <w:pStyle w:val="14"/>
              <w:spacing w:before="106"/>
              <w:ind w:left="206" w:right="198"/>
              <w:jc w:val="center"/>
              <w:rPr>
                <w:rFonts w:ascii="Times New Roman"/>
                <w:sz w:val="21"/>
              </w:rPr>
            </w:pPr>
            <w:r>
              <w:rPr>
                <w:rFonts w:ascii="Times New Roman"/>
                <w:sz w:val="21"/>
              </w:rPr>
              <w:t>DJ-300</w:t>
            </w:r>
          </w:p>
        </w:tc>
        <w:tc>
          <w:tcPr>
            <w:tcW w:w="684" w:type="dxa"/>
          </w:tcPr>
          <w:p w14:paraId="0429754C">
            <w:pPr>
              <w:pStyle w:val="14"/>
              <w:spacing w:before="106"/>
              <w:ind w:left="237"/>
              <w:rPr>
                <w:rFonts w:ascii="Times New Roman"/>
                <w:sz w:val="21"/>
              </w:rPr>
            </w:pPr>
            <w:r>
              <w:rPr>
                <w:rFonts w:ascii="Times New Roman"/>
                <w:sz w:val="21"/>
              </w:rPr>
              <w:t>12</w:t>
            </w:r>
          </w:p>
        </w:tc>
        <w:tc>
          <w:tcPr>
            <w:tcW w:w="699" w:type="dxa"/>
          </w:tcPr>
          <w:p w14:paraId="0DC66495">
            <w:pPr>
              <w:pStyle w:val="14"/>
              <w:spacing w:before="90"/>
              <w:ind w:left="8"/>
              <w:jc w:val="center"/>
              <w:rPr>
                <w:sz w:val="21"/>
              </w:rPr>
            </w:pPr>
            <w:r>
              <w:rPr>
                <w:w w:val="99"/>
                <w:sz w:val="21"/>
              </w:rPr>
              <w:t>台</w:t>
            </w:r>
          </w:p>
        </w:tc>
        <w:tc>
          <w:tcPr>
            <w:tcW w:w="1686" w:type="dxa"/>
          </w:tcPr>
          <w:p w14:paraId="755682AE">
            <w:pPr>
              <w:pStyle w:val="14"/>
              <w:spacing w:before="90"/>
              <w:ind w:left="526"/>
              <w:rPr>
                <w:sz w:val="21"/>
              </w:rPr>
            </w:pPr>
            <w:r>
              <w:rPr>
                <w:sz w:val="21"/>
              </w:rPr>
              <w:t>冻结间</w:t>
            </w:r>
          </w:p>
        </w:tc>
      </w:tr>
      <w:tr w14:paraId="1F69C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38" w:type="dxa"/>
          </w:tcPr>
          <w:p w14:paraId="15BDC241">
            <w:pPr>
              <w:pStyle w:val="14"/>
              <w:spacing w:before="106"/>
              <w:ind w:left="86" w:right="78"/>
              <w:jc w:val="center"/>
              <w:rPr>
                <w:rFonts w:ascii="Times New Roman"/>
                <w:sz w:val="21"/>
              </w:rPr>
            </w:pPr>
            <w:r>
              <w:rPr>
                <w:rFonts w:ascii="Times New Roman"/>
                <w:sz w:val="21"/>
              </w:rPr>
              <w:t>10</w:t>
            </w:r>
          </w:p>
        </w:tc>
        <w:tc>
          <w:tcPr>
            <w:tcW w:w="2007" w:type="dxa"/>
          </w:tcPr>
          <w:p w14:paraId="3122F883">
            <w:pPr>
              <w:pStyle w:val="14"/>
              <w:spacing w:before="92"/>
              <w:ind w:left="132" w:right="127"/>
              <w:jc w:val="center"/>
              <w:rPr>
                <w:sz w:val="21"/>
              </w:rPr>
            </w:pPr>
            <w:r>
              <w:rPr>
                <w:sz w:val="21"/>
              </w:rPr>
              <w:t>冷风机</w:t>
            </w:r>
          </w:p>
        </w:tc>
        <w:tc>
          <w:tcPr>
            <w:tcW w:w="2808" w:type="dxa"/>
          </w:tcPr>
          <w:p w14:paraId="73B71A8F">
            <w:pPr>
              <w:pStyle w:val="14"/>
              <w:spacing w:before="106"/>
              <w:ind w:left="206" w:right="196"/>
              <w:jc w:val="center"/>
              <w:rPr>
                <w:rFonts w:ascii="Times New Roman"/>
                <w:sz w:val="21"/>
              </w:rPr>
            </w:pPr>
            <w:r>
              <w:rPr>
                <w:rFonts w:ascii="Times New Roman"/>
                <w:sz w:val="21"/>
              </w:rPr>
              <w:t>DD-100</w:t>
            </w:r>
          </w:p>
        </w:tc>
        <w:tc>
          <w:tcPr>
            <w:tcW w:w="684" w:type="dxa"/>
          </w:tcPr>
          <w:p w14:paraId="26C291F3">
            <w:pPr>
              <w:pStyle w:val="14"/>
              <w:spacing w:before="106"/>
              <w:ind w:left="237"/>
              <w:rPr>
                <w:rFonts w:ascii="Times New Roman"/>
                <w:sz w:val="21"/>
              </w:rPr>
            </w:pPr>
            <w:r>
              <w:rPr>
                <w:rFonts w:ascii="Times New Roman"/>
                <w:sz w:val="21"/>
              </w:rPr>
              <w:t>12</w:t>
            </w:r>
          </w:p>
        </w:tc>
        <w:tc>
          <w:tcPr>
            <w:tcW w:w="699" w:type="dxa"/>
          </w:tcPr>
          <w:p w14:paraId="61FDE878">
            <w:pPr>
              <w:pStyle w:val="14"/>
              <w:spacing w:before="92"/>
              <w:ind w:left="8"/>
              <w:jc w:val="center"/>
              <w:rPr>
                <w:sz w:val="21"/>
              </w:rPr>
            </w:pPr>
            <w:r>
              <w:rPr>
                <w:w w:val="99"/>
                <w:sz w:val="21"/>
              </w:rPr>
              <w:t>台</w:t>
            </w:r>
          </w:p>
        </w:tc>
        <w:tc>
          <w:tcPr>
            <w:tcW w:w="1686" w:type="dxa"/>
          </w:tcPr>
          <w:p w14:paraId="39952FC8">
            <w:pPr>
              <w:pStyle w:val="14"/>
              <w:spacing w:before="92"/>
              <w:ind w:left="526"/>
              <w:rPr>
                <w:sz w:val="21"/>
              </w:rPr>
            </w:pPr>
            <w:r>
              <w:rPr>
                <w:sz w:val="21"/>
              </w:rPr>
              <w:t>冷藏间</w:t>
            </w:r>
          </w:p>
        </w:tc>
      </w:tr>
    </w:tbl>
    <w:p w14:paraId="12D14537">
      <w:pPr>
        <w:spacing w:after="0"/>
        <w:rPr>
          <w:sz w:val="21"/>
        </w:rPr>
        <w:sectPr>
          <w:pgSz w:w="11910" w:h="16840"/>
          <w:pgMar w:top="1360" w:right="1460" w:bottom="1400" w:left="1520" w:header="878" w:footer="1204" w:gutter="0"/>
          <w:cols w:space="720" w:num="1"/>
        </w:sectPr>
      </w:pPr>
    </w:p>
    <w:p w14:paraId="038CE932">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0C1D8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6417B374">
            <w:pPr>
              <w:pStyle w:val="14"/>
              <w:spacing w:before="107"/>
              <w:ind w:left="86" w:right="78"/>
              <w:jc w:val="center"/>
              <w:rPr>
                <w:rFonts w:ascii="Times New Roman"/>
                <w:sz w:val="21"/>
              </w:rPr>
            </w:pPr>
            <w:r>
              <w:rPr>
                <w:rFonts w:ascii="Times New Roman"/>
                <w:sz w:val="21"/>
              </w:rPr>
              <w:t>11</w:t>
            </w:r>
          </w:p>
        </w:tc>
        <w:tc>
          <w:tcPr>
            <w:tcW w:w="2007" w:type="dxa"/>
          </w:tcPr>
          <w:p w14:paraId="31BD153B">
            <w:pPr>
              <w:pStyle w:val="14"/>
              <w:spacing w:before="91"/>
              <w:ind w:left="132" w:right="127"/>
              <w:jc w:val="center"/>
              <w:rPr>
                <w:sz w:val="21"/>
              </w:rPr>
            </w:pPr>
            <w:r>
              <w:rPr>
                <w:sz w:val="21"/>
              </w:rPr>
              <w:t>冷风机</w:t>
            </w:r>
          </w:p>
        </w:tc>
        <w:tc>
          <w:tcPr>
            <w:tcW w:w="2808" w:type="dxa"/>
          </w:tcPr>
          <w:p w14:paraId="067E33F7">
            <w:pPr>
              <w:pStyle w:val="14"/>
              <w:spacing w:before="107"/>
              <w:ind w:left="206" w:right="196"/>
              <w:jc w:val="center"/>
              <w:rPr>
                <w:rFonts w:ascii="Times New Roman"/>
                <w:sz w:val="21"/>
              </w:rPr>
            </w:pPr>
            <w:r>
              <w:rPr>
                <w:rFonts w:ascii="Times New Roman"/>
                <w:sz w:val="21"/>
              </w:rPr>
              <w:t>DD-310</w:t>
            </w:r>
          </w:p>
        </w:tc>
        <w:tc>
          <w:tcPr>
            <w:tcW w:w="684" w:type="dxa"/>
          </w:tcPr>
          <w:p w14:paraId="527C2AEF">
            <w:pPr>
              <w:pStyle w:val="14"/>
              <w:spacing w:before="107"/>
              <w:ind w:left="287"/>
              <w:rPr>
                <w:rFonts w:ascii="Times New Roman"/>
                <w:sz w:val="21"/>
              </w:rPr>
            </w:pPr>
            <w:r>
              <w:rPr>
                <w:rFonts w:ascii="Times New Roman"/>
                <w:w w:val="99"/>
                <w:sz w:val="21"/>
              </w:rPr>
              <w:t>5</w:t>
            </w:r>
          </w:p>
        </w:tc>
        <w:tc>
          <w:tcPr>
            <w:tcW w:w="699" w:type="dxa"/>
          </w:tcPr>
          <w:p w14:paraId="3A718541">
            <w:pPr>
              <w:pStyle w:val="14"/>
              <w:spacing w:before="91"/>
              <w:ind w:left="8"/>
              <w:jc w:val="center"/>
              <w:rPr>
                <w:sz w:val="21"/>
              </w:rPr>
            </w:pPr>
            <w:r>
              <w:rPr>
                <w:w w:val="99"/>
                <w:sz w:val="21"/>
              </w:rPr>
              <w:t>台</w:t>
            </w:r>
          </w:p>
        </w:tc>
        <w:tc>
          <w:tcPr>
            <w:tcW w:w="1686" w:type="dxa"/>
          </w:tcPr>
          <w:p w14:paraId="7DBEE25D">
            <w:pPr>
              <w:pStyle w:val="14"/>
              <w:spacing w:before="91"/>
              <w:ind w:left="86" w:right="77"/>
              <w:jc w:val="center"/>
              <w:rPr>
                <w:sz w:val="21"/>
              </w:rPr>
            </w:pPr>
            <w:r>
              <w:rPr>
                <w:sz w:val="21"/>
              </w:rPr>
              <w:t>小冷却间</w:t>
            </w:r>
          </w:p>
        </w:tc>
      </w:tr>
      <w:tr w14:paraId="77C9A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708855C">
            <w:pPr>
              <w:pStyle w:val="14"/>
              <w:spacing w:before="106"/>
              <w:ind w:left="86" w:right="78"/>
              <w:jc w:val="center"/>
              <w:rPr>
                <w:rFonts w:ascii="Times New Roman"/>
                <w:sz w:val="21"/>
              </w:rPr>
            </w:pPr>
            <w:r>
              <w:rPr>
                <w:rFonts w:ascii="Times New Roman"/>
                <w:sz w:val="21"/>
              </w:rPr>
              <w:t>12</w:t>
            </w:r>
          </w:p>
        </w:tc>
        <w:tc>
          <w:tcPr>
            <w:tcW w:w="2007" w:type="dxa"/>
          </w:tcPr>
          <w:p w14:paraId="254AFCEB">
            <w:pPr>
              <w:pStyle w:val="14"/>
              <w:spacing w:before="90"/>
              <w:ind w:left="132" w:right="127"/>
              <w:jc w:val="center"/>
              <w:rPr>
                <w:sz w:val="21"/>
              </w:rPr>
            </w:pPr>
            <w:r>
              <w:rPr>
                <w:sz w:val="21"/>
              </w:rPr>
              <w:t>冷风机</w:t>
            </w:r>
          </w:p>
        </w:tc>
        <w:tc>
          <w:tcPr>
            <w:tcW w:w="2808" w:type="dxa"/>
          </w:tcPr>
          <w:p w14:paraId="32839546">
            <w:pPr>
              <w:pStyle w:val="14"/>
              <w:spacing w:before="106"/>
              <w:ind w:left="206" w:right="196"/>
              <w:jc w:val="center"/>
              <w:rPr>
                <w:rFonts w:ascii="Times New Roman"/>
                <w:sz w:val="21"/>
              </w:rPr>
            </w:pPr>
            <w:r>
              <w:rPr>
                <w:rFonts w:ascii="Times New Roman"/>
                <w:sz w:val="21"/>
              </w:rPr>
              <w:t>DD-310</w:t>
            </w:r>
          </w:p>
        </w:tc>
        <w:tc>
          <w:tcPr>
            <w:tcW w:w="684" w:type="dxa"/>
          </w:tcPr>
          <w:p w14:paraId="3D66D4C0">
            <w:pPr>
              <w:pStyle w:val="14"/>
              <w:spacing w:before="106"/>
              <w:ind w:left="237"/>
              <w:rPr>
                <w:rFonts w:ascii="Times New Roman"/>
                <w:sz w:val="21"/>
              </w:rPr>
            </w:pPr>
            <w:r>
              <w:rPr>
                <w:rFonts w:ascii="Times New Roman"/>
                <w:sz w:val="21"/>
              </w:rPr>
              <w:t>20</w:t>
            </w:r>
          </w:p>
        </w:tc>
        <w:tc>
          <w:tcPr>
            <w:tcW w:w="699" w:type="dxa"/>
          </w:tcPr>
          <w:p w14:paraId="191FB95A">
            <w:pPr>
              <w:pStyle w:val="14"/>
              <w:spacing w:before="90"/>
              <w:ind w:left="8"/>
              <w:jc w:val="center"/>
              <w:rPr>
                <w:sz w:val="21"/>
              </w:rPr>
            </w:pPr>
            <w:r>
              <w:rPr>
                <w:w w:val="99"/>
                <w:sz w:val="21"/>
              </w:rPr>
              <w:t>台</w:t>
            </w:r>
          </w:p>
        </w:tc>
        <w:tc>
          <w:tcPr>
            <w:tcW w:w="1686" w:type="dxa"/>
          </w:tcPr>
          <w:p w14:paraId="36CD3990">
            <w:pPr>
              <w:pStyle w:val="14"/>
              <w:spacing w:before="90"/>
              <w:ind w:left="86" w:right="80"/>
              <w:jc w:val="center"/>
              <w:rPr>
                <w:sz w:val="21"/>
              </w:rPr>
            </w:pPr>
            <w:r>
              <w:rPr>
                <w:sz w:val="21"/>
              </w:rPr>
              <w:t>冷却间</w:t>
            </w:r>
          </w:p>
        </w:tc>
      </w:tr>
      <w:tr w14:paraId="45119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925AE67">
            <w:pPr>
              <w:pStyle w:val="14"/>
              <w:spacing w:before="105"/>
              <w:ind w:left="86" w:right="78"/>
              <w:jc w:val="center"/>
              <w:rPr>
                <w:rFonts w:ascii="Times New Roman"/>
                <w:sz w:val="21"/>
              </w:rPr>
            </w:pPr>
            <w:r>
              <w:rPr>
                <w:rFonts w:ascii="Times New Roman"/>
                <w:sz w:val="21"/>
              </w:rPr>
              <w:t>13</w:t>
            </w:r>
          </w:p>
        </w:tc>
        <w:tc>
          <w:tcPr>
            <w:tcW w:w="2007" w:type="dxa"/>
          </w:tcPr>
          <w:p w14:paraId="35A181C1">
            <w:pPr>
              <w:pStyle w:val="14"/>
              <w:spacing w:before="91"/>
              <w:ind w:left="132" w:right="127"/>
              <w:jc w:val="center"/>
              <w:rPr>
                <w:sz w:val="21"/>
              </w:rPr>
            </w:pPr>
            <w:r>
              <w:rPr>
                <w:sz w:val="21"/>
              </w:rPr>
              <w:t>冷风机</w:t>
            </w:r>
          </w:p>
        </w:tc>
        <w:tc>
          <w:tcPr>
            <w:tcW w:w="2808" w:type="dxa"/>
          </w:tcPr>
          <w:p w14:paraId="5E52D617">
            <w:pPr>
              <w:pStyle w:val="14"/>
              <w:spacing w:before="105"/>
              <w:ind w:left="206" w:right="196"/>
              <w:jc w:val="center"/>
              <w:rPr>
                <w:rFonts w:ascii="Times New Roman"/>
                <w:sz w:val="21"/>
              </w:rPr>
            </w:pPr>
            <w:r>
              <w:rPr>
                <w:rFonts w:ascii="Times New Roman"/>
                <w:sz w:val="21"/>
              </w:rPr>
              <w:t>DD-100</w:t>
            </w:r>
          </w:p>
        </w:tc>
        <w:tc>
          <w:tcPr>
            <w:tcW w:w="684" w:type="dxa"/>
          </w:tcPr>
          <w:p w14:paraId="5D7B6540">
            <w:pPr>
              <w:pStyle w:val="14"/>
              <w:spacing w:before="105"/>
              <w:ind w:left="287"/>
              <w:rPr>
                <w:rFonts w:ascii="Times New Roman"/>
                <w:sz w:val="21"/>
              </w:rPr>
            </w:pPr>
            <w:r>
              <w:rPr>
                <w:rFonts w:ascii="Times New Roman"/>
                <w:w w:val="99"/>
                <w:sz w:val="21"/>
              </w:rPr>
              <w:t>2</w:t>
            </w:r>
          </w:p>
        </w:tc>
        <w:tc>
          <w:tcPr>
            <w:tcW w:w="699" w:type="dxa"/>
          </w:tcPr>
          <w:p w14:paraId="3A09DCA6">
            <w:pPr>
              <w:pStyle w:val="14"/>
              <w:spacing w:before="91"/>
              <w:ind w:left="8"/>
              <w:jc w:val="center"/>
              <w:rPr>
                <w:sz w:val="21"/>
              </w:rPr>
            </w:pPr>
            <w:r>
              <w:rPr>
                <w:w w:val="99"/>
                <w:sz w:val="21"/>
              </w:rPr>
              <w:t>台</w:t>
            </w:r>
          </w:p>
        </w:tc>
        <w:tc>
          <w:tcPr>
            <w:tcW w:w="1686" w:type="dxa"/>
          </w:tcPr>
          <w:p w14:paraId="1376F1F9">
            <w:pPr>
              <w:pStyle w:val="14"/>
              <w:spacing w:before="91"/>
              <w:ind w:left="86" w:right="80"/>
              <w:jc w:val="center"/>
              <w:rPr>
                <w:sz w:val="21"/>
              </w:rPr>
            </w:pPr>
            <w:r>
              <w:rPr>
                <w:sz w:val="21"/>
              </w:rPr>
              <w:t>分割产品发货间</w:t>
            </w:r>
          </w:p>
        </w:tc>
      </w:tr>
      <w:tr w14:paraId="7A297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D8F3038">
            <w:pPr>
              <w:pStyle w:val="14"/>
              <w:spacing w:before="107"/>
              <w:ind w:left="86" w:right="78"/>
              <w:jc w:val="center"/>
              <w:rPr>
                <w:rFonts w:ascii="Times New Roman"/>
                <w:sz w:val="21"/>
              </w:rPr>
            </w:pPr>
            <w:r>
              <w:rPr>
                <w:rFonts w:ascii="Times New Roman"/>
                <w:sz w:val="21"/>
              </w:rPr>
              <w:t>14</w:t>
            </w:r>
          </w:p>
        </w:tc>
        <w:tc>
          <w:tcPr>
            <w:tcW w:w="2007" w:type="dxa"/>
          </w:tcPr>
          <w:p w14:paraId="000ECDA3">
            <w:pPr>
              <w:pStyle w:val="14"/>
              <w:spacing w:before="90"/>
              <w:ind w:left="132" w:right="127"/>
              <w:jc w:val="center"/>
              <w:rPr>
                <w:sz w:val="21"/>
              </w:rPr>
            </w:pPr>
            <w:r>
              <w:rPr>
                <w:sz w:val="21"/>
              </w:rPr>
              <w:t>冷风机</w:t>
            </w:r>
          </w:p>
        </w:tc>
        <w:tc>
          <w:tcPr>
            <w:tcW w:w="2808" w:type="dxa"/>
          </w:tcPr>
          <w:p w14:paraId="6EB156B8">
            <w:pPr>
              <w:pStyle w:val="14"/>
              <w:spacing w:before="107"/>
              <w:ind w:left="206" w:right="196"/>
              <w:jc w:val="center"/>
              <w:rPr>
                <w:rFonts w:ascii="Times New Roman"/>
                <w:sz w:val="21"/>
              </w:rPr>
            </w:pPr>
            <w:r>
              <w:rPr>
                <w:rFonts w:ascii="Times New Roman"/>
                <w:sz w:val="21"/>
              </w:rPr>
              <w:t>DD-310</w:t>
            </w:r>
          </w:p>
        </w:tc>
        <w:tc>
          <w:tcPr>
            <w:tcW w:w="684" w:type="dxa"/>
          </w:tcPr>
          <w:p w14:paraId="34563F91">
            <w:pPr>
              <w:pStyle w:val="14"/>
              <w:spacing w:before="107"/>
              <w:ind w:left="287"/>
              <w:rPr>
                <w:rFonts w:ascii="Times New Roman"/>
                <w:sz w:val="21"/>
              </w:rPr>
            </w:pPr>
            <w:r>
              <w:rPr>
                <w:rFonts w:ascii="Times New Roman"/>
                <w:w w:val="99"/>
                <w:sz w:val="21"/>
              </w:rPr>
              <w:t>9</w:t>
            </w:r>
          </w:p>
        </w:tc>
        <w:tc>
          <w:tcPr>
            <w:tcW w:w="699" w:type="dxa"/>
          </w:tcPr>
          <w:p w14:paraId="7FF73D03">
            <w:pPr>
              <w:pStyle w:val="14"/>
              <w:spacing w:before="90"/>
              <w:ind w:left="8"/>
              <w:jc w:val="center"/>
              <w:rPr>
                <w:sz w:val="21"/>
              </w:rPr>
            </w:pPr>
            <w:r>
              <w:rPr>
                <w:w w:val="99"/>
                <w:sz w:val="21"/>
              </w:rPr>
              <w:t>台</w:t>
            </w:r>
          </w:p>
        </w:tc>
        <w:tc>
          <w:tcPr>
            <w:tcW w:w="1686" w:type="dxa"/>
          </w:tcPr>
          <w:p w14:paraId="26FAB40C">
            <w:pPr>
              <w:pStyle w:val="14"/>
              <w:spacing w:before="90"/>
              <w:ind w:left="86" w:right="80"/>
              <w:jc w:val="center"/>
              <w:rPr>
                <w:sz w:val="21"/>
              </w:rPr>
            </w:pPr>
            <w:r>
              <w:rPr>
                <w:sz w:val="21"/>
              </w:rPr>
              <w:t>副产品冷却间</w:t>
            </w:r>
          </w:p>
        </w:tc>
      </w:tr>
      <w:tr w14:paraId="29F99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6E4FE671">
            <w:pPr>
              <w:pStyle w:val="14"/>
              <w:spacing w:before="106"/>
              <w:ind w:left="86" w:right="78"/>
              <w:jc w:val="center"/>
              <w:rPr>
                <w:rFonts w:ascii="Times New Roman"/>
                <w:sz w:val="21"/>
              </w:rPr>
            </w:pPr>
            <w:r>
              <w:rPr>
                <w:rFonts w:ascii="Times New Roman"/>
                <w:sz w:val="21"/>
              </w:rPr>
              <w:t>15</w:t>
            </w:r>
          </w:p>
        </w:tc>
        <w:tc>
          <w:tcPr>
            <w:tcW w:w="2007" w:type="dxa"/>
          </w:tcPr>
          <w:p w14:paraId="1B5E64D7">
            <w:pPr>
              <w:pStyle w:val="14"/>
              <w:spacing w:before="90"/>
              <w:ind w:left="132" w:right="127"/>
              <w:jc w:val="center"/>
              <w:rPr>
                <w:sz w:val="21"/>
              </w:rPr>
            </w:pPr>
            <w:r>
              <w:rPr>
                <w:sz w:val="21"/>
              </w:rPr>
              <w:t>冷风机</w:t>
            </w:r>
          </w:p>
        </w:tc>
        <w:tc>
          <w:tcPr>
            <w:tcW w:w="2808" w:type="dxa"/>
          </w:tcPr>
          <w:p w14:paraId="3A25ED53">
            <w:pPr>
              <w:pStyle w:val="14"/>
              <w:spacing w:before="106"/>
              <w:ind w:left="206" w:right="198"/>
              <w:jc w:val="center"/>
              <w:rPr>
                <w:rFonts w:ascii="Times New Roman"/>
                <w:sz w:val="21"/>
              </w:rPr>
            </w:pPr>
            <w:r>
              <w:rPr>
                <w:rFonts w:ascii="Times New Roman"/>
                <w:sz w:val="21"/>
              </w:rPr>
              <w:t>DJ-300</w:t>
            </w:r>
          </w:p>
        </w:tc>
        <w:tc>
          <w:tcPr>
            <w:tcW w:w="684" w:type="dxa"/>
          </w:tcPr>
          <w:p w14:paraId="52FE70CA">
            <w:pPr>
              <w:pStyle w:val="14"/>
              <w:spacing w:before="106"/>
              <w:ind w:left="287"/>
              <w:rPr>
                <w:rFonts w:ascii="Times New Roman"/>
                <w:sz w:val="21"/>
              </w:rPr>
            </w:pPr>
            <w:r>
              <w:rPr>
                <w:rFonts w:ascii="Times New Roman"/>
                <w:w w:val="99"/>
                <w:sz w:val="21"/>
              </w:rPr>
              <w:t>4</w:t>
            </w:r>
          </w:p>
        </w:tc>
        <w:tc>
          <w:tcPr>
            <w:tcW w:w="699" w:type="dxa"/>
          </w:tcPr>
          <w:p w14:paraId="1AF9F0AB">
            <w:pPr>
              <w:pStyle w:val="14"/>
              <w:spacing w:before="90"/>
              <w:ind w:left="8"/>
              <w:jc w:val="center"/>
              <w:rPr>
                <w:sz w:val="21"/>
              </w:rPr>
            </w:pPr>
            <w:r>
              <w:rPr>
                <w:w w:val="99"/>
                <w:sz w:val="21"/>
              </w:rPr>
              <w:t>台</w:t>
            </w:r>
          </w:p>
        </w:tc>
        <w:tc>
          <w:tcPr>
            <w:tcW w:w="1686" w:type="dxa"/>
          </w:tcPr>
          <w:p w14:paraId="014AAA5B">
            <w:pPr>
              <w:pStyle w:val="14"/>
              <w:spacing w:before="90"/>
              <w:ind w:left="86" w:right="80"/>
              <w:jc w:val="center"/>
              <w:rPr>
                <w:sz w:val="21"/>
              </w:rPr>
            </w:pPr>
            <w:r>
              <w:rPr>
                <w:sz w:val="21"/>
              </w:rPr>
              <w:t>副产品冻结间</w:t>
            </w:r>
          </w:p>
        </w:tc>
      </w:tr>
      <w:tr w14:paraId="17FD4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C6FD0BC">
            <w:pPr>
              <w:pStyle w:val="14"/>
              <w:spacing w:before="105"/>
              <w:ind w:left="86" w:right="78"/>
              <w:jc w:val="center"/>
              <w:rPr>
                <w:rFonts w:ascii="Times New Roman"/>
                <w:sz w:val="21"/>
              </w:rPr>
            </w:pPr>
            <w:r>
              <w:rPr>
                <w:rFonts w:ascii="Times New Roman"/>
                <w:sz w:val="21"/>
              </w:rPr>
              <w:t>16</w:t>
            </w:r>
          </w:p>
        </w:tc>
        <w:tc>
          <w:tcPr>
            <w:tcW w:w="2007" w:type="dxa"/>
          </w:tcPr>
          <w:p w14:paraId="03B4C380">
            <w:pPr>
              <w:pStyle w:val="14"/>
              <w:spacing w:before="91"/>
              <w:ind w:left="132" w:right="127"/>
              <w:jc w:val="center"/>
              <w:rPr>
                <w:sz w:val="21"/>
              </w:rPr>
            </w:pPr>
            <w:r>
              <w:rPr>
                <w:sz w:val="21"/>
              </w:rPr>
              <w:t>冷风机</w:t>
            </w:r>
          </w:p>
        </w:tc>
        <w:tc>
          <w:tcPr>
            <w:tcW w:w="2808" w:type="dxa"/>
          </w:tcPr>
          <w:p w14:paraId="08E16768">
            <w:pPr>
              <w:pStyle w:val="14"/>
              <w:spacing w:before="105"/>
              <w:ind w:left="206" w:right="198"/>
              <w:jc w:val="center"/>
              <w:rPr>
                <w:rFonts w:ascii="Times New Roman"/>
                <w:sz w:val="21"/>
              </w:rPr>
            </w:pPr>
            <w:r>
              <w:rPr>
                <w:rFonts w:ascii="Times New Roman"/>
                <w:sz w:val="21"/>
              </w:rPr>
              <w:t>DJ-300</w:t>
            </w:r>
          </w:p>
        </w:tc>
        <w:tc>
          <w:tcPr>
            <w:tcW w:w="684" w:type="dxa"/>
          </w:tcPr>
          <w:p w14:paraId="06160769">
            <w:pPr>
              <w:pStyle w:val="14"/>
              <w:spacing w:before="105"/>
              <w:ind w:left="287"/>
              <w:rPr>
                <w:rFonts w:ascii="Times New Roman"/>
                <w:sz w:val="21"/>
              </w:rPr>
            </w:pPr>
            <w:r>
              <w:rPr>
                <w:rFonts w:ascii="Times New Roman"/>
                <w:w w:val="99"/>
                <w:sz w:val="21"/>
              </w:rPr>
              <w:t>8</w:t>
            </w:r>
          </w:p>
        </w:tc>
        <w:tc>
          <w:tcPr>
            <w:tcW w:w="699" w:type="dxa"/>
          </w:tcPr>
          <w:p w14:paraId="25A6FF41">
            <w:pPr>
              <w:pStyle w:val="14"/>
              <w:spacing w:before="91"/>
              <w:ind w:left="8"/>
              <w:jc w:val="center"/>
              <w:rPr>
                <w:sz w:val="21"/>
              </w:rPr>
            </w:pPr>
            <w:r>
              <w:rPr>
                <w:w w:val="99"/>
                <w:sz w:val="21"/>
              </w:rPr>
              <w:t>台</w:t>
            </w:r>
          </w:p>
        </w:tc>
        <w:tc>
          <w:tcPr>
            <w:tcW w:w="1686" w:type="dxa"/>
          </w:tcPr>
          <w:p w14:paraId="00CD6F5E">
            <w:pPr>
              <w:pStyle w:val="14"/>
              <w:spacing w:before="91"/>
              <w:ind w:left="86" w:right="77"/>
              <w:jc w:val="center"/>
              <w:rPr>
                <w:sz w:val="21"/>
              </w:rPr>
            </w:pPr>
            <w:r>
              <w:rPr>
                <w:sz w:val="21"/>
              </w:rPr>
              <w:t>快速冷却间</w:t>
            </w:r>
          </w:p>
        </w:tc>
      </w:tr>
      <w:tr w14:paraId="40A5D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DE40F45">
            <w:pPr>
              <w:pStyle w:val="14"/>
              <w:spacing w:before="107"/>
              <w:ind w:left="86" w:right="78"/>
              <w:jc w:val="center"/>
              <w:rPr>
                <w:rFonts w:ascii="Times New Roman"/>
                <w:sz w:val="21"/>
              </w:rPr>
            </w:pPr>
            <w:r>
              <w:rPr>
                <w:rFonts w:ascii="Times New Roman"/>
                <w:sz w:val="21"/>
              </w:rPr>
              <w:t>17</w:t>
            </w:r>
          </w:p>
        </w:tc>
        <w:tc>
          <w:tcPr>
            <w:tcW w:w="2007" w:type="dxa"/>
          </w:tcPr>
          <w:p w14:paraId="433F19D6">
            <w:pPr>
              <w:pStyle w:val="14"/>
              <w:spacing w:before="91"/>
              <w:ind w:left="132" w:right="127"/>
              <w:jc w:val="center"/>
              <w:rPr>
                <w:sz w:val="21"/>
              </w:rPr>
            </w:pPr>
            <w:r>
              <w:rPr>
                <w:sz w:val="21"/>
              </w:rPr>
              <w:t>电脑控制系统</w:t>
            </w:r>
          </w:p>
        </w:tc>
        <w:tc>
          <w:tcPr>
            <w:tcW w:w="2808" w:type="dxa"/>
          </w:tcPr>
          <w:p w14:paraId="66CAC3DE">
            <w:pPr>
              <w:pStyle w:val="14"/>
              <w:spacing w:before="107"/>
              <w:ind w:left="203" w:right="198"/>
              <w:jc w:val="center"/>
              <w:rPr>
                <w:rFonts w:ascii="Times New Roman"/>
                <w:sz w:val="21"/>
              </w:rPr>
            </w:pPr>
            <w:r>
              <w:rPr>
                <w:rFonts w:ascii="Times New Roman"/>
                <w:sz w:val="21"/>
              </w:rPr>
              <w:t>ZWDK-100</w:t>
            </w:r>
          </w:p>
        </w:tc>
        <w:tc>
          <w:tcPr>
            <w:tcW w:w="684" w:type="dxa"/>
          </w:tcPr>
          <w:p w14:paraId="3D0927F1">
            <w:pPr>
              <w:pStyle w:val="14"/>
              <w:spacing w:before="107"/>
              <w:ind w:left="287"/>
              <w:rPr>
                <w:rFonts w:ascii="Times New Roman"/>
                <w:sz w:val="21"/>
              </w:rPr>
            </w:pPr>
            <w:r>
              <w:rPr>
                <w:rFonts w:ascii="Times New Roman"/>
                <w:w w:val="99"/>
                <w:sz w:val="21"/>
              </w:rPr>
              <w:t>1</w:t>
            </w:r>
          </w:p>
        </w:tc>
        <w:tc>
          <w:tcPr>
            <w:tcW w:w="699" w:type="dxa"/>
          </w:tcPr>
          <w:p w14:paraId="11CCC43C">
            <w:pPr>
              <w:pStyle w:val="14"/>
              <w:spacing w:before="91"/>
              <w:ind w:left="8"/>
              <w:jc w:val="center"/>
              <w:rPr>
                <w:sz w:val="21"/>
              </w:rPr>
            </w:pPr>
            <w:r>
              <w:rPr>
                <w:w w:val="99"/>
                <w:sz w:val="21"/>
              </w:rPr>
              <w:t>套</w:t>
            </w:r>
          </w:p>
        </w:tc>
        <w:tc>
          <w:tcPr>
            <w:tcW w:w="1686" w:type="dxa"/>
          </w:tcPr>
          <w:p w14:paraId="2065DA38">
            <w:pPr>
              <w:pStyle w:val="14"/>
              <w:rPr>
                <w:rFonts w:ascii="Times New Roman"/>
                <w:sz w:val="20"/>
              </w:rPr>
            </w:pPr>
          </w:p>
        </w:tc>
      </w:tr>
      <w:tr w14:paraId="60C23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4D51B0C3">
            <w:pPr>
              <w:pStyle w:val="14"/>
              <w:spacing w:before="90"/>
              <w:ind w:left="107"/>
              <w:rPr>
                <w:b/>
                <w:sz w:val="21"/>
              </w:rPr>
            </w:pPr>
            <w:r>
              <w:rPr>
                <w:b/>
                <w:sz w:val="21"/>
              </w:rPr>
              <w:t>四、营销及物流设备（猪屠宰加工间）</w:t>
            </w:r>
          </w:p>
        </w:tc>
      </w:tr>
      <w:tr w14:paraId="1D17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6F330B82">
            <w:pPr>
              <w:pStyle w:val="14"/>
              <w:spacing w:before="170"/>
              <w:ind w:left="8"/>
              <w:jc w:val="center"/>
              <w:rPr>
                <w:rFonts w:ascii="Times New Roman"/>
                <w:sz w:val="21"/>
              </w:rPr>
            </w:pPr>
            <w:r>
              <w:rPr>
                <w:rFonts w:ascii="Times New Roman"/>
                <w:w w:val="99"/>
                <w:sz w:val="21"/>
              </w:rPr>
              <w:t>1</w:t>
            </w:r>
          </w:p>
        </w:tc>
        <w:tc>
          <w:tcPr>
            <w:tcW w:w="2007" w:type="dxa"/>
          </w:tcPr>
          <w:p w14:paraId="2B206221">
            <w:pPr>
              <w:pStyle w:val="14"/>
              <w:spacing w:before="21" w:line="270" w:lineRule="atLeast"/>
              <w:ind w:left="897" w:right="153" w:hanging="735"/>
              <w:rPr>
                <w:sz w:val="21"/>
              </w:rPr>
            </w:pPr>
            <w:r>
              <w:rPr>
                <w:w w:val="95"/>
                <w:sz w:val="21"/>
              </w:rPr>
              <w:t>营销及展示展销设</w:t>
            </w:r>
            <w:r>
              <w:rPr>
                <w:sz w:val="21"/>
              </w:rPr>
              <w:t>备</w:t>
            </w:r>
          </w:p>
        </w:tc>
        <w:tc>
          <w:tcPr>
            <w:tcW w:w="2808" w:type="dxa"/>
          </w:tcPr>
          <w:p w14:paraId="6A66D74C">
            <w:pPr>
              <w:pStyle w:val="14"/>
              <w:spacing w:before="156"/>
              <w:ind w:left="206" w:right="197"/>
              <w:jc w:val="center"/>
              <w:rPr>
                <w:sz w:val="21"/>
              </w:rPr>
            </w:pPr>
            <w:r>
              <w:rPr>
                <w:sz w:val="21"/>
              </w:rPr>
              <w:t>国产</w:t>
            </w:r>
          </w:p>
        </w:tc>
        <w:tc>
          <w:tcPr>
            <w:tcW w:w="684" w:type="dxa"/>
          </w:tcPr>
          <w:p w14:paraId="0E5A97C9">
            <w:pPr>
              <w:pStyle w:val="14"/>
              <w:spacing w:before="170"/>
              <w:ind w:left="287"/>
              <w:rPr>
                <w:rFonts w:ascii="Times New Roman"/>
                <w:sz w:val="21"/>
              </w:rPr>
            </w:pPr>
            <w:r>
              <w:rPr>
                <w:rFonts w:ascii="Times New Roman"/>
                <w:w w:val="99"/>
                <w:sz w:val="21"/>
              </w:rPr>
              <w:t>1</w:t>
            </w:r>
          </w:p>
        </w:tc>
        <w:tc>
          <w:tcPr>
            <w:tcW w:w="699" w:type="dxa"/>
          </w:tcPr>
          <w:p w14:paraId="2E057412">
            <w:pPr>
              <w:pStyle w:val="14"/>
              <w:spacing w:before="156"/>
              <w:ind w:left="8"/>
              <w:jc w:val="center"/>
              <w:rPr>
                <w:sz w:val="21"/>
              </w:rPr>
            </w:pPr>
            <w:r>
              <w:rPr>
                <w:w w:val="99"/>
                <w:sz w:val="21"/>
              </w:rPr>
              <w:t>套</w:t>
            </w:r>
          </w:p>
        </w:tc>
        <w:tc>
          <w:tcPr>
            <w:tcW w:w="1686" w:type="dxa"/>
          </w:tcPr>
          <w:p w14:paraId="211D2465">
            <w:pPr>
              <w:pStyle w:val="14"/>
              <w:rPr>
                <w:rFonts w:ascii="Times New Roman"/>
                <w:sz w:val="20"/>
              </w:rPr>
            </w:pPr>
          </w:p>
        </w:tc>
      </w:tr>
      <w:tr w14:paraId="4E6CE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2CF744D">
            <w:pPr>
              <w:pStyle w:val="14"/>
              <w:spacing w:before="105"/>
              <w:ind w:left="8"/>
              <w:jc w:val="center"/>
              <w:rPr>
                <w:rFonts w:ascii="Times New Roman"/>
                <w:sz w:val="21"/>
              </w:rPr>
            </w:pPr>
            <w:r>
              <w:rPr>
                <w:rFonts w:ascii="Times New Roman"/>
                <w:w w:val="99"/>
                <w:sz w:val="21"/>
              </w:rPr>
              <w:t>2</w:t>
            </w:r>
          </w:p>
        </w:tc>
        <w:tc>
          <w:tcPr>
            <w:tcW w:w="2007" w:type="dxa"/>
          </w:tcPr>
          <w:p w14:paraId="4CF6792C">
            <w:pPr>
              <w:pStyle w:val="14"/>
              <w:spacing w:before="89"/>
              <w:ind w:left="132" w:right="125"/>
              <w:jc w:val="center"/>
              <w:rPr>
                <w:sz w:val="21"/>
              </w:rPr>
            </w:pPr>
            <w:r>
              <w:rPr>
                <w:sz w:val="21"/>
              </w:rPr>
              <w:t>冷藏运输车</w:t>
            </w:r>
          </w:p>
        </w:tc>
        <w:tc>
          <w:tcPr>
            <w:tcW w:w="2808" w:type="dxa"/>
          </w:tcPr>
          <w:p w14:paraId="22EB3DE9">
            <w:pPr>
              <w:pStyle w:val="14"/>
              <w:spacing w:before="89"/>
              <w:ind w:left="206" w:right="197"/>
              <w:jc w:val="center"/>
              <w:rPr>
                <w:sz w:val="21"/>
              </w:rPr>
            </w:pPr>
            <w:r>
              <w:rPr>
                <w:rFonts w:ascii="Times New Roman" w:eastAsia="Times New Roman"/>
                <w:sz w:val="21"/>
              </w:rPr>
              <w:t xml:space="preserve">18 </w:t>
            </w:r>
            <w:r>
              <w:rPr>
                <w:sz w:val="21"/>
              </w:rPr>
              <w:t>米</w:t>
            </w:r>
          </w:p>
        </w:tc>
        <w:tc>
          <w:tcPr>
            <w:tcW w:w="684" w:type="dxa"/>
          </w:tcPr>
          <w:p w14:paraId="11CD0D81">
            <w:pPr>
              <w:pStyle w:val="14"/>
              <w:spacing w:before="105"/>
              <w:ind w:left="237"/>
              <w:rPr>
                <w:rFonts w:ascii="Times New Roman"/>
                <w:sz w:val="21"/>
              </w:rPr>
            </w:pPr>
            <w:r>
              <w:rPr>
                <w:rFonts w:ascii="Times New Roman"/>
                <w:sz w:val="21"/>
              </w:rPr>
              <w:t>40</w:t>
            </w:r>
          </w:p>
        </w:tc>
        <w:tc>
          <w:tcPr>
            <w:tcW w:w="699" w:type="dxa"/>
          </w:tcPr>
          <w:p w14:paraId="691B5C47">
            <w:pPr>
              <w:pStyle w:val="14"/>
              <w:spacing w:before="89"/>
              <w:ind w:left="8"/>
              <w:jc w:val="center"/>
              <w:rPr>
                <w:sz w:val="21"/>
              </w:rPr>
            </w:pPr>
            <w:r>
              <w:rPr>
                <w:w w:val="99"/>
                <w:sz w:val="21"/>
              </w:rPr>
              <w:t>辆</w:t>
            </w:r>
          </w:p>
        </w:tc>
        <w:tc>
          <w:tcPr>
            <w:tcW w:w="1686" w:type="dxa"/>
          </w:tcPr>
          <w:p w14:paraId="06CC5136">
            <w:pPr>
              <w:pStyle w:val="14"/>
              <w:rPr>
                <w:rFonts w:ascii="Times New Roman"/>
                <w:sz w:val="20"/>
              </w:rPr>
            </w:pPr>
          </w:p>
        </w:tc>
      </w:tr>
      <w:tr w14:paraId="0D7A5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7B1BAA04">
            <w:pPr>
              <w:pStyle w:val="14"/>
              <w:spacing w:before="105"/>
              <w:ind w:left="8"/>
              <w:jc w:val="center"/>
              <w:rPr>
                <w:rFonts w:ascii="Times New Roman"/>
                <w:sz w:val="21"/>
              </w:rPr>
            </w:pPr>
            <w:r>
              <w:rPr>
                <w:rFonts w:ascii="Times New Roman"/>
                <w:w w:val="99"/>
                <w:sz w:val="21"/>
              </w:rPr>
              <w:t>3</w:t>
            </w:r>
          </w:p>
        </w:tc>
        <w:tc>
          <w:tcPr>
            <w:tcW w:w="2007" w:type="dxa"/>
          </w:tcPr>
          <w:p w14:paraId="1E922A25">
            <w:pPr>
              <w:pStyle w:val="14"/>
              <w:spacing w:before="91"/>
              <w:ind w:left="132" w:right="125"/>
              <w:jc w:val="center"/>
              <w:rPr>
                <w:sz w:val="21"/>
              </w:rPr>
            </w:pPr>
            <w:r>
              <w:rPr>
                <w:sz w:val="21"/>
              </w:rPr>
              <w:t>全封闭活畜运输车</w:t>
            </w:r>
          </w:p>
        </w:tc>
        <w:tc>
          <w:tcPr>
            <w:tcW w:w="2808" w:type="dxa"/>
          </w:tcPr>
          <w:p w14:paraId="36BCA9AD">
            <w:pPr>
              <w:pStyle w:val="14"/>
              <w:spacing w:before="91"/>
              <w:ind w:left="206" w:right="197"/>
              <w:jc w:val="center"/>
              <w:rPr>
                <w:sz w:val="21"/>
              </w:rPr>
            </w:pPr>
            <w:r>
              <w:rPr>
                <w:rFonts w:ascii="Times New Roman" w:eastAsia="Times New Roman"/>
                <w:sz w:val="21"/>
              </w:rPr>
              <w:t xml:space="preserve">18 </w:t>
            </w:r>
            <w:r>
              <w:rPr>
                <w:sz w:val="21"/>
              </w:rPr>
              <w:t>米</w:t>
            </w:r>
          </w:p>
        </w:tc>
        <w:tc>
          <w:tcPr>
            <w:tcW w:w="684" w:type="dxa"/>
          </w:tcPr>
          <w:p w14:paraId="4CC1EC83">
            <w:pPr>
              <w:pStyle w:val="14"/>
              <w:spacing w:before="105"/>
              <w:ind w:left="237"/>
              <w:rPr>
                <w:rFonts w:ascii="Times New Roman"/>
                <w:sz w:val="21"/>
              </w:rPr>
            </w:pPr>
            <w:r>
              <w:rPr>
                <w:rFonts w:ascii="Times New Roman"/>
                <w:sz w:val="21"/>
              </w:rPr>
              <w:t>20</w:t>
            </w:r>
          </w:p>
        </w:tc>
        <w:tc>
          <w:tcPr>
            <w:tcW w:w="699" w:type="dxa"/>
          </w:tcPr>
          <w:p w14:paraId="795A8174">
            <w:pPr>
              <w:pStyle w:val="14"/>
              <w:spacing w:before="91"/>
              <w:ind w:left="8"/>
              <w:jc w:val="center"/>
              <w:rPr>
                <w:sz w:val="21"/>
              </w:rPr>
            </w:pPr>
            <w:r>
              <w:rPr>
                <w:w w:val="99"/>
                <w:sz w:val="21"/>
              </w:rPr>
              <w:t>辆</w:t>
            </w:r>
          </w:p>
        </w:tc>
        <w:tc>
          <w:tcPr>
            <w:tcW w:w="1686" w:type="dxa"/>
          </w:tcPr>
          <w:p w14:paraId="6DCA0014">
            <w:pPr>
              <w:pStyle w:val="14"/>
              <w:rPr>
                <w:rFonts w:ascii="Times New Roman"/>
                <w:sz w:val="20"/>
              </w:rPr>
            </w:pPr>
          </w:p>
        </w:tc>
      </w:tr>
      <w:tr w14:paraId="08144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3577282D">
            <w:pPr>
              <w:pStyle w:val="14"/>
              <w:spacing w:before="104"/>
              <w:ind w:left="8"/>
              <w:jc w:val="center"/>
              <w:rPr>
                <w:rFonts w:ascii="Times New Roman"/>
                <w:sz w:val="21"/>
              </w:rPr>
            </w:pPr>
            <w:r>
              <w:rPr>
                <w:rFonts w:ascii="Times New Roman"/>
                <w:w w:val="99"/>
                <w:sz w:val="21"/>
              </w:rPr>
              <w:t>4</w:t>
            </w:r>
          </w:p>
        </w:tc>
        <w:tc>
          <w:tcPr>
            <w:tcW w:w="2007" w:type="dxa"/>
          </w:tcPr>
          <w:p w14:paraId="5371618A">
            <w:pPr>
              <w:pStyle w:val="14"/>
              <w:spacing w:before="90"/>
              <w:ind w:left="132" w:right="127"/>
              <w:jc w:val="center"/>
              <w:rPr>
                <w:sz w:val="21"/>
              </w:rPr>
            </w:pPr>
            <w:r>
              <w:rPr>
                <w:sz w:val="21"/>
              </w:rPr>
              <w:t>叉车</w:t>
            </w:r>
          </w:p>
        </w:tc>
        <w:tc>
          <w:tcPr>
            <w:tcW w:w="2808" w:type="dxa"/>
          </w:tcPr>
          <w:p w14:paraId="22AEDC7D">
            <w:pPr>
              <w:pStyle w:val="14"/>
              <w:spacing w:before="104"/>
              <w:ind w:left="206" w:right="198"/>
              <w:jc w:val="center"/>
              <w:rPr>
                <w:rFonts w:ascii="Times New Roman"/>
                <w:sz w:val="21"/>
              </w:rPr>
            </w:pPr>
            <w:r>
              <w:rPr>
                <w:rFonts w:ascii="Times New Roman"/>
                <w:sz w:val="21"/>
              </w:rPr>
              <w:t>CDP-05</w:t>
            </w:r>
          </w:p>
        </w:tc>
        <w:tc>
          <w:tcPr>
            <w:tcW w:w="684" w:type="dxa"/>
          </w:tcPr>
          <w:p w14:paraId="5CBA415A">
            <w:pPr>
              <w:pStyle w:val="14"/>
              <w:spacing w:before="104"/>
              <w:ind w:left="237"/>
              <w:rPr>
                <w:rFonts w:ascii="Times New Roman"/>
                <w:sz w:val="21"/>
              </w:rPr>
            </w:pPr>
            <w:r>
              <w:rPr>
                <w:rFonts w:ascii="Times New Roman"/>
                <w:sz w:val="21"/>
              </w:rPr>
              <w:t>10</w:t>
            </w:r>
          </w:p>
        </w:tc>
        <w:tc>
          <w:tcPr>
            <w:tcW w:w="699" w:type="dxa"/>
          </w:tcPr>
          <w:p w14:paraId="1AEC84C3">
            <w:pPr>
              <w:pStyle w:val="14"/>
              <w:spacing w:before="90"/>
              <w:ind w:left="8"/>
              <w:jc w:val="center"/>
              <w:rPr>
                <w:sz w:val="21"/>
              </w:rPr>
            </w:pPr>
            <w:r>
              <w:rPr>
                <w:w w:val="99"/>
                <w:sz w:val="21"/>
              </w:rPr>
              <w:t>台</w:t>
            </w:r>
          </w:p>
        </w:tc>
        <w:tc>
          <w:tcPr>
            <w:tcW w:w="1686" w:type="dxa"/>
          </w:tcPr>
          <w:p w14:paraId="46C48AA9">
            <w:pPr>
              <w:pStyle w:val="14"/>
              <w:rPr>
                <w:rFonts w:ascii="Times New Roman"/>
                <w:sz w:val="20"/>
              </w:rPr>
            </w:pPr>
          </w:p>
        </w:tc>
      </w:tr>
      <w:tr w14:paraId="32A85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336B9864">
            <w:pPr>
              <w:pStyle w:val="14"/>
              <w:spacing w:before="105"/>
              <w:ind w:left="8"/>
              <w:jc w:val="center"/>
              <w:rPr>
                <w:rFonts w:ascii="Times New Roman"/>
                <w:sz w:val="21"/>
              </w:rPr>
            </w:pPr>
            <w:r>
              <w:rPr>
                <w:rFonts w:ascii="Times New Roman"/>
                <w:w w:val="99"/>
                <w:sz w:val="21"/>
              </w:rPr>
              <w:t>5</w:t>
            </w:r>
          </w:p>
        </w:tc>
        <w:tc>
          <w:tcPr>
            <w:tcW w:w="2007" w:type="dxa"/>
          </w:tcPr>
          <w:p w14:paraId="7BA6CE93">
            <w:pPr>
              <w:pStyle w:val="14"/>
              <w:spacing w:before="89"/>
              <w:ind w:left="132" w:right="127"/>
              <w:jc w:val="center"/>
              <w:rPr>
                <w:sz w:val="21"/>
              </w:rPr>
            </w:pPr>
            <w:r>
              <w:rPr>
                <w:sz w:val="21"/>
              </w:rPr>
              <w:t>小推车</w:t>
            </w:r>
          </w:p>
        </w:tc>
        <w:tc>
          <w:tcPr>
            <w:tcW w:w="2808" w:type="dxa"/>
          </w:tcPr>
          <w:p w14:paraId="36DC1989">
            <w:pPr>
              <w:pStyle w:val="14"/>
              <w:spacing w:before="105"/>
              <w:ind w:left="206" w:right="198"/>
              <w:jc w:val="center"/>
              <w:rPr>
                <w:rFonts w:ascii="Times New Roman"/>
                <w:sz w:val="21"/>
              </w:rPr>
            </w:pPr>
            <w:r>
              <w:rPr>
                <w:rFonts w:ascii="Times New Roman"/>
                <w:sz w:val="21"/>
              </w:rPr>
              <w:t>RS-003</w:t>
            </w:r>
          </w:p>
        </w:tc>
        <w:tc>
          <w:tcPr>
            <w:tcW w:w="684" w:type="dxa"/>
          </w:tcPr>
          <w:p w14:paraId="470DE324">
            <w:pPr>
              <w:pStyle w:val="14"/>
              <w:spacing w:before="105"/>
              <w:ind w:left="237"/>
              <w:rPr>
                <w:rFonts w:ascii="Times New Roman"/>
                <w:sz w:val="21"/>
              </w:rPr>
            </w:pPr>
            <w:r>
              <w:rPr>
                <w:rFonts w:ascii="Times New Roman"/>
                <w:sz w:val="21"/>
              </w:rPr>
              <w:t>40</w:t>
            </w:r>
          </w:p>
        </w:tc>
        <w:tc>
          <w:tcPr>
            <w:tcW w:w="699" w:type="dxa"/>
          </w:tcPr>
          <w:p w14:paraId="18F70364">
            <w:pPr>
              <w:pStyle w:val="14"/>
              <w:spacing w:before="89"/>
              <w:ind w:left="8"/>
              <w:jc w:val="center"/>
              <w:rPr>
                <w:sz w:val="21"/>
              </w:rPr>
            </w:pPr>
            <w:r>
              <w:rPr>
                <w:w w:val="99"/>
                <w:sz w:val="21"/>
              </w:rPr>
              <w:t>辆</w:t>
            </w:r>
          </w:p>
        </w:tc>
        <w:tc>
          <w:tcPr>
            <w:tcW w:w="1686" w:type="dxa"/>
          </w:tcPr>
          <w:p w14:paraId="40616AFB">
            <w:pPr>
              <w:pStyle w:val="14"/>
              <w:rPr>
                <w:rFonts w:ascii="Times New Roman"/>
                <w:sz w:val="20"/>
              </w:rPr>
            </w:pPr>
          </w:p>
        </w:tc>
      </w:tr>
      <w:tr w14:paraId="38C9C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6B87A644">
            <w:pPr>
              <w:pStyle w:val="14"/>
              <w:spacing w:before="105"/>
              <w:ind w:left="8"/>
              <w:jc w:val="center"/>
              <w:rPr>
                <w:rFonts w:ascii="Times New Roman"/>
                <w:sz w:val="21"/>
              </w:rPr>
            </w:pPr>
            <w:r>
              <w:rPr>
                <w:rFonts w:ascii="Times New Roman"/>
                <w:w w:val="99"/>
                <w:sz w:val="21"/>
              </w:rPr>
              <w:t>6</w:t>
            </w:r>
          </w:p>
        </w:tc>
        <w:tc>
          <w:tcPr>
            <w:tcW w:w="2007" w:type="dxa"/>
          </w:tcPr>
          <w:p w14:paraId="6DC1AA6C">
            <w:pPr>
              <w:pStyle w:val="14"/>
              <w:spacing w:before="91"/>
              <w:ind w:left="132" w:right="127"/>
              <w:jc w:val="center"/>
              <w:rPr>
                <w:sz w:val="21"/>
              </w:rPr>
            </w:pPr>
            <w:r>
              <w:rPr>
                <w:sz w:val="21"/>
              </w:rPr>
              <w:t>磅秤</w:t>
            </w:r>
          </w:p>
        </w:tc>
        <w:tc>
          <w:tcPr>
            <w:tcW w:w="2808" w:type="dxa"/>
          </w:tcPr>
          <w:p w14:paraId="11FBA2AD">
            <w:pPr>
              <w:pStyle w:val="14"/>
              <w:spacing w:before="105"/>
              <w:ind w:left="203" w:right="198"/>
              <w:jc w:val="center"/>
              <w:rPr>
                <w:rFonts w:ascii="Times New Roman"/>
                <w:sz w:val="21"/>
              </w:rPr>
            </w:pPr>
            <w:r>
              <w:rPr>
                <w:rFonts w:ascii="Times New Roman"/>
                <w:sz w:val="21"/>
              </w:rPr>
              <w:t>200kg</w:t>
            </w:r>
          </w:p>
        </w:tc>
        <w:tc>
          <w:tcPr>
            <w:tcW w:w="684" w:type="dxa"/>
          </w:tcPr>
          <w:p w14:paraId="3CEC0872">
            <w:pPr>
              <w:pStyle w:val="14"/>
              <w:spacing w:before="105"/>
              <w:ind w:left="237"/>
              <w:rPr>
                <w:rFonts w:ascii="Times New Roman"/>
                <w:sz w:val="21"/>
              </w:rPr>
            </w:pPr>
            <w:r>
              <w:rPr>
                <w:rFonts w:ascii="Times New Roman"/>
                <w:sz w:val="21"/>
              </w:rPr>
              <w:t>15</w:t>
            </w:r>
          </w:p>
        </w:tc>
        <w:tc>
          <w:tcPr>
            <w:tcW w:w="699" w:type="dxa"/>
          </w:tcPr>
          <w:p w14:paraId="12993962">
            <w:pPr>
              <w:pStyle w:val="14"/>
              <w:spacing w:before="91"/>
              <w:ind w:left="8"/>
              <w:jc w:val="center"/>
              <w:rPr>
                <w:sz w:val="21"/>
              </w:rPr>
            </w:pPr>
            <w:r>
              <w:rPr>
                <w:w w:val="99"/>
                <w:sz w:val="21"/>
              </w:rPr>
              <w:t>台</w:t>
            </w:r>
          </w:p>
        </w:tc>
        <w:tc>
          <w:tcPr>
            <w:tcW w:w="1686" w:type="dxa"/>
          </w:tcPr>
          <w:p w14:paraId="3B101327">
            <w:pPr>
              <w:pStyle w:val="14"/>
              <w:rPr>
                <w:rFonts w:ascii="Times New Roman"/>
                <w:sz w:val="20"/>
              </w:rPr>
            </w:pPr>
          </w:p>
        </w:tc>
      </w:tr>
      <w:tr w14:paraId="5A10B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1709C056">
            <w:pPr>
              <w:pStyle w:val="14"/>
              <w:spacing w:before="104"/>
              <w:ind w:left="8"/>
              <w:jc w:val="center"/>
              <w:rPr>
                <w:rFonts w:ascii="Times New Roman"/>
                <w:sz w:val="21"/>
              </w:rPr>
            </w:pPr>
            <w:r>
              <w:rPr>
                <w:rFonts w:ascii="Times New Roman"/>
                <w:w w:val="99"/>
                <w:sz w:val="21"/>
              </w:rPr>
              <w:t>7</w:t>
            </w:r>
          </w:p>
        </w:tc>
        <w:tc>
          <w:tcPr>
            <w:tcW w:w="2007" w:type="dxa"/>
          </w:tcPr>
          <w:p w14:paraId="104D8A3E">
            <w:pPr>
              <w:pStyle w:val="14"/>
              <w:spacing w:before="90"/>
              <w:ind w:left="132" w:right="127"/>
              <w:jc w:val="center"/>
              <w:rPr>
                <w:sz w:val="21"/>
              </w:rPr>
            </w:pPr>
            <w:r>
              <w:rPr>
                <w:sz w:val="21"/>
              </w:rPr>
              <w:t>电子秤</w:t>
            </w:r>
          </w:p>
        </w:tc>
        <w:tc>
          <w:tcPr>
            <w:tcW w:w="2808" w:type="dxa"/>
          </w:tcPr>
          <w:p w14:paraId="236A4A29">
            <w:pPr>
              <w:pStyle w:val="14"/>
              <w:spacing w:before="104"/>
              <w:ind w:left="206" w:right="196"/>
              <w:jc w:val="center"/>
              <w:rPr>
                <w:rFonts w:ascii="Times New Roman"/>
                <w:sz w:val="21"/>
              </w:rPr>
            </w:pPr>
            <w:r>
              <w:rPr>
                <w:rFonts w:ascii="Times New Roman"/>
                <w:sz w:val="21"/>
              </w:rPr>
              <w:t>50kg</w:t>
            </w:r>
          </w:p>
        </w:tc>
        <w:tc>
          <w:tcPr>
            <w:tcW w:w="684" w:type="dxa"/>
          </w:tcPr>
          <w:p w14:paraId="5D29E315">
            <w:pPr>
              <w:pStyle w:val="14"/>
              <w:spacing w:before="104"/>
              <w:ind w:left="237"/>
              <w:rPr>
                <w:rFonts w:ascii="Times New Roman"/>
                <w:sz w:val="21"/>
              </w:rPr>
            </w:pPr>
            <w:r>
              <w:rPr>
                <w:rFonts w:ascii="Times New Roman"/>
                <w:sz w:val="21"/>
              </w:rPr>
              <w:t>15</w:t>
            </w:r>
          </w:p>
        </w:tc>
        <w:tc>
          <w:tcPr>
            <w:tcW w:w="699" w:type="dxa"/>
          </w:tcPr>
          <w:p w14:paraId="4754EC23">
            <w:pPr>
              <w:pStyle w:val="14"/>
              <w:spacing w:before="90"/>
              <w:ind w:left="8"/>
              <w:jc w:val="center"/>
              <w:rPr>
                <w:sz w:val="21"/>
              </w:rPr>
            </w:pPr>
            <w:r>
              <w:rPr>
                <w:w w:val="99"/>
                <w:sz w:val="21"/>
              </w:rPr>
              <w:t>台</w:t>
            </w:r>
          </w:p>
        </w:tc>
        <w:tc>
          <w:tcPr>
            <w:tcW w:w="1686" w:type="dxa"/>
          </w:tcPr>
          <w:p w14:paraId="7573F317">
            <w:pPr>
              <w:pStyle w:val="14"/>
              <w:rPr>
                <w:rFonts w:ascii="Times New Roman"/>
                <w:sz w:val="20"/>
              </w:rPr>
            </w:pPr>
          </w:p>
        </w:tc>
      </w:tr>
      <w:tr w14:paraId="5531B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22" w:type="dxa"/>
            <w:gridSpan w:val="6"/>
          </w:tcPr>
          <w:p w14:paraId="31281405">
            <w:pPr>
              <w:pStyle w:val="14"/>
              <w:spacing w:before="89"/>
              <w:ind w:left="107"/>
              <w:rPr>
                <w:b/>
                <w:sz w:val="21"/>
              </w:rPr>
            </w:pPr>
            <w:r>
              <w:rPr>
                <w:b/>
                <w:sz w:val="21"/>
              </w:rPr>
              <w:t>五、检疫检测设备（急宰化制间）</w:t>
            </w:r>
          </w:p>
        </w:tc>
      </w:tr>
      <w:tr w14:paraId="3E7E3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38" w:type="dxa"/>
          </w:tcPr>
          <w:p w14:paraId="7F75EF39">
            <w:pPr>
              <w:pStyle w:val="14"/>
              <w:spacing w:before="169"/>
              <w:ind w:left="8"/>
              <w:jc w:val="center"/>
              <w:rPr>
                <w:rFonts w:ascii="Times New Roman"/>
                <w:sz w:val="21"/>
              </w:rPr>
            </w:pPr>
            <w:r>
              <w:rPr>
                <w:rFonts w:ascii="Times New Roman"/>
                <w:w w:val="99"/>
                <w:sz w:val="21"/>
              </w:rPr>
              <w:t>1</w:t>
            </w:r>
          </w:p>
        </w:tc>
        <w:tc>
          <w:tcPr>
            <w:tcW w:w="2007" w:type="dxa"/>
          </w:tcPr>
          <w:p w14:paraId="47E85E7E">
            <w:pPr>
              <w:pStyle w:val="14"/>
              <w:spacing w:before="18" w:line="270" w:lineRule="atLeast"/>
              <w:ind w:left="686" w:right="153" w:hanging="524"/>
              <w:rPr>
                <w:sz w:val="21"/>
              </w:rPr>
            </w:pPr>
            <w:r>
              <w:rPr>
                <w:w w:val="95"/>
                <w:sz w:val="21"/>
              </w:rPr>
              <w:t>微生物、致病菌鉴</w:t>
            </w:r>
            <w:r>
              <w:rPr>
                <w:sz w:val="21"/>
              </w:rPr>
              <w:t>定系统</w:t>
            </w:r>
          </w:p>
        </w:tc>
        <w:tc>
          <w:tcPr>
            <w:tcW w:w="2808" w:type="dxa"/>
          </w:tcPr>
          <w:p w14:paraId="0CD656D4">
            <w:pPr>
              <w:pStyle w:val="14"/>
              <w:spacing w:before="18"/>
              <w:ind w:left="204" w:right="198"/>
              <w:jc w:val="center"/>
              <w:rPr>
                <w:rFonts w:ascii="Times New Roman"/>
                <w:sz w:val="21"/>
              </w:rPr>
            </w:pPr>
            <w:r>
              <w:rPr>
                <w:rFonts w:ascii="Times New Roman"/>
                <w:sz w:val="21"/>
              </w:rPr>
              <w:t>ELX808BLG</w:t>
            </w:r>
          </w:p>
        </w:tc>
        <w:tc>
          <w:tcPr>
            <w:tcW w:w="684" w:type="dxa"/>
          </w:tcPr>
          <w:p w14:paraId="529AED49">
            <w:pPr>
              <w:pStyle w:val="14"/>
              <w:spacing w:before="169"/>
              <w:ind w:left="287"/>
              <w:rPr>
                <w:rFonts w:ascii="Times New Roman"/>
                <w:sz w:val="21"/>
              </w:rPr>
            </w:pPr>
            <w:r>
              <w:rPr>
                <w:rFonts w:ascii="Times New Roman"/>
                <w:w w:val="99"/>
                <w:sz w:val="21"/>
              </w:rPr>
              <w:t>1</w:t>
            </w:r>
          </w:p>
        </w:tc>
        <w:tc>
          <w:tcPr>
            <w:tcW w:w="699" w:type="dxa"/>
          </w:tcPr>
          <w:p w14:paraId="28DDE869">
            <w:pPr>
              <w:pStyle w:val="14"/>
              <w:spacing w:before="156"/>
              <w:ind w:left="8"/>
              <w:jc w:val="center"/>
              <w:rPr>
                <w:sz w:val="21"/>
              </w:rPr>
            </w:pPr>
            <w:r>
              <w:rPr>
                <w:w w:val="99"/>
                <w:sz w:val="21"/>
              </w:rPr>
              <w:t>台</w:t>
            </w:r>
          </w:p>
        </w:tc>
        <w:tc>
          <w:tcPr>
            <w:tcW w:w="1686" w:type="dxa"/>
          </w:tcPr>
          <w:p w14:paraId="1F25B28D">
            <w:pPr>
              <w:pStyle w:val="14"/>
              <w:rPr>
                <w:rFonts w:ascii="Times New Roman"/>
                <w:sz w:val="20"/>
              </w:rPr>
            </w:pPr>
          </w:p>
        </w:tc>
      </w:tr>
      <w:tr w14:paraId="5C3B7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71CE55C">
            <w:pPr>
              <w:pStyle w:val="14"/>
              <w:spacing w:before="106"/>
              <w:ind w:left="8"/>
              <w:jc w:val="center"/>
              <w:rPr>
                <w:rFonts w:ascii="Times New Roman"/>
                <w:sz w:val="21"/>
              </w:rPr>
            </w:pPr>
            <w:r>
              <w:rPr>
                <w:rFonts w:ascii="Times New Roman"/>
                <w:w w:val="99"/>
                <w:sz w:val="21"/>
              </w:rPr>
              <w:t>2</w:t>
            </w:r>
          </w:p>
        </w:tc>
        <w:tc>
          <w:tcPr>
            <w:tcW w:w="2007" w:type="dxa"/>
          </w:tcPr>
          <w:p w14:paraId="5A7C5659">
            <w:pPr>
              <w:pStyle w:val="14"/>
              <w:spacing w:before="92"/>
              <w:ind w:left="132" w:right="125"/>
              <w:jc w:val="center"/>
              <w:rPr>
                <w:sz w:val="21"/>
              </w:rPr>
            </w:pPr>
            <w:r>
              <w:rPr>
                <w:sz w:val="21"/>
              </w:rPr>
              <w:t>生化培养箱</w:t>
            </w:r>
          </w:p>
        </w:tc>
        <w:tc>
          <w:tcPr>
            <w:tcW w:w="2808" w:type="dxa"/>
          </w:tcPr>
          <w:p w14:paraId="275DBD2D">
            <w:pPr>
              <w:pStyle w:val="14"/>
              <w:spacing w:before="19"/>
              <w:ind w:left="206" w:right="198"/>
              <w:jc w:val="center"/>
              <w:rPr>
                <w:rFonts w:ascii="Times New Roman"/>
                <w:sz w:val="21"/>
              </w:rPr>
            </w:pPr>
            <w:r>
              <w:rPr>
                <w:rFonts w:ascii="Times New Roman"/>
                <w:sz w:val="21"/>
              </w:rPr>
              <w:t>HPX-300</w:t>
            </w:r>
          </w:p>
        </w:tc>
        <w:tc>
          <w:tcPr>
            <w:tcW w:w="684" w:type="dxa"/>
          </w:tcPr>
          <w:p w14:paraId="2D858969">
            <w:pPr>
              <w:pStyle w:val="14"/>
              <w:spacing w:before="106"/>
              <w:ind w:left="287"/>
              <w:rPr>
                <w:rFonts w:ascii="Times New Roman"/>
                <w:sz w:val="21"/>
              </w:rPr>
            </w:pPr>
            <w:r>
              <w:rPr>
                <w:rFonts w:ascii="Times New Roman"/>
                <w:w w:val="99"/>
                <w:sz w:val="21"/>
              </w:rPr>
              <w:t>2</w:t>
            </w:r>
          </w:p>
        </w:tc>
        <w:tc>
          <w:tcPr>
            <w:tcW w:w="699" w:type="dxa"/>
          </w:tcPr>
          <w:p w14:paraId="083FEDD6">
            <w:pPr>
              <w:pStyle w:val="14"/>
              <w:spacing w:before="92"/>
              <w:ind w:left="8"/>
              <w:jc w:val="center"/>
              <w:rPr>
                <w:sz w:val="21"/>
              </w:rPr>
            </w:pPr>
            <w:r>
              <w:rPr>
                <w:w w:val="99"/>
                <w:sz w:val="21"/>
              </w:rPr>
              <w:t>台</w:t>
            </w:r>
          </w:p>
        </w:tc>
        <w:tc>
          <w:tcPr>
            <w:tcW w:w="1686" w:type="dxa"/>
          </w:tcPr>
          <w:p w14:paraId="541A6D87">
            <w:pPr>
              <w:pStyle w:val="14"/>
              <w:rPr>
                <w:rFonts w:ascii="Times New Roman"/>
                <w:sz w:val="20"/>
              </w:rPr>
            </w:pPr>
          </w:p>
        </w:tc>
      </w:tr>
      <w:tr w14:paraId="7E0FD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38FE424">
            <w:pPr>
              <w:pStyle w:val="14"/>
              <w:spacing w:before="105"/>
              <w:ind w:left="8"/>
              <w:jc w:val="center"/>
              <w:rPr>
                <w:rFonts w:ascii="Times New Roman"/>
                <w:sz w:val="21"/>
              </w:rPr>
            </w:pPr>
            <w:r>
              <w:rPr>
                <w:rFonts w:ascii="Times New Roman"/>
                <w:w w:val="99"/>
                <w:sz w:val="21"/>
              </w:rPr>
              <w:t>3</w:t>
            </w:r>
          </w:p>
        </w:tc>
        <w:tc>
          <w:tcPr>
            <w:tcW w:w="2007" w:type="dxa"/>
          </w:tcPr>
          <w:p w14:paraId="71598E74">
            <w:pPr>
              <w:pStyle w:val="14"/>
              <w:spacing w:before="88"/>
              <w:ind w:left="132" w:right="125"/>
              <w:jc w:val="center"/>
              <w:rPr>
                <w:sz w:val="21"/>
              </w:rPr>
            </w:pPr>
            <w:r>
              <w:rPr>
                <w:rFonts w:ascii="Times New Roman" w:eastAsia="Times New Roman"/>
                <w:position w:val="2"/>
                <w:sz w:val="21"/>
              </w:rPr>
              <w:t>CO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培养箱</w:t>
            </w:r>
          </w:p>
        </w:tc>
        <w:tc>
          <w:tcPr>
            <w:tcW w:w="2808" w:type="dxa"/>
          </w:tcPr>
          <w:p w14:paraId="16E4A192">
            <w:pPr>
              <w:pStyle w:val="14"/>
              <w:spacing w:before="19"/>
              <w:ind w:left="203" w:right="198"/>
              <w:jc w:val="center"/>
              <w:rPr>
                <w:rFonts w:ascii="Times New Roman"/>
                <w:sz w:val="21"/>
              </w:rPr>
            </w:pPr>
            <w:r>
              <w:rPr>
                <w:rFonts w:ascii="Times New Roman"/>
                <w:sz w:val="21"/>
              </w:rPr>
              <w:t>HWJ-3-270</w:t>
            </w:r>
          </w:p>
        </w:tc>
        <w:tc>
          <w:tcPr>
            <w:tcW w:w="684" w:type="dxa"/>
          </w:tcPr>
          <w:p w14:paraId="7F442E01">
            <w:pPr>
              <w:pStyle w:val="14"/>
              <w:spacing w:before="105"/>
              <w:ind w:left="287"/>
              <w:rPr>
                <w:rFonts w:ascii="Times New Roman"/>
                <w:sz w:val="21"/>
              </w:rPr>
            </w:pPr>
            <w:r>
              <w:rPr>
                <w:rFonts w:ascii="Times New Roman"/>
                <w:w w:val="99"/>
                <w:sz w:val="21"/>
              </w:rPr>
              <w:t>1</w:t>
            </w:r>
          </w:p>
        </w:tc>
        <w:tc>
          <w:tcPr>
            <w:tcW w:w="699" w:type="dxa"/>
          </w:tcPr>
          <w:p w14:paraId="12609F92">
            <w:pPr>
              <w:pStyle w:val="14"/>
              <w:spacing w:before="91"/>
              <w:ind w:left="8"/>
              <w:jc w:val="center"/>
              <w:rPr>
                <w:sz w:val="21"/>
              </w:rPr>
            </w:pPr>
            <w:r>
              <w:rPr>
                <w:w w:val="99"/>
                <w:sz w:val="21"/>
              </w:rPr>
              <w:t>台</w:t>
            </w:r>
          </w:p>
        </w:tc>
        <w:tc>
          <w:tcPr>
            <w:tcW w:w="1686" w:type="dxa"/>
          </w:tcPr>
          <w:p w14:paraId="602D7CC6">
            <w:pPr>
              <w:pStyle w:val="14"/>
              <w:rPr>
                <w:rFonts w:ascii="Times New Roman"/>
                <w:sz w:val="20"/>
              </w:rPr>
            </w:pPr>
          </w:p>
        </w:tc>
      </w:tr>
      <w:tr w14:paraId="1DA67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109EF3B1">
            <w:pPr>
              <w:pStyle w:val="14"/>
              <w:spacing w:before="171"/>
              <w:ind w:left="8"/>
              <w:jc w:val="center"/>
              <w:rPr>
                <w:rFonts w:ascii="Times New Roman"/>
                <w:sz w:val="21"/>
              </w:rPr>
            </w:pPr>
            <w:r>
              <w:rPr>
                <w:rFonts w:ascii="Times New Roman"/>
                <w:w w:val="99"/>
                <w:sz w:val="21"/>
              </w:rPr>
              <w:t>4</w:t>
            </w:r>
          </w:p>
        </w:tc>
        <w:tc>
          <w:tcPr>
            <w:tcW w:w="2007" w:type="dxa"/>
          </w:tcPr>
          <w:p w14:paraId="7E3C838E">
            <w:pPr>
              <w:pStyle w:val="14"/>
              <w:spacing w:before="21" w:line="242" w:lineRule="auto"/>
              <w:ind w:left="792" w:right="259" w:hanging="526"/>
              <w:rPr>
                <w:sz w:val="21"/>
              </w:rPr>
            </w:pPr>
            <w:r>
              <w:rPr>
                <w:w w:val="95"/>
                <w:sz w:val="21"/>
              </w:rPr>
              <w:t>酶标仪（带洗板</w:t>
            </w:r>
            <w:r>
              <w:rPr>
                <w:sz w:val="21"/>
              </w:rPr>
              <w:t>机）</w:t>
            </w:r>
          </w:p>
        </w:tc>
        <w:tc>
          <w:tcPr>
            <w:tcW w:w="2808" w:type="dxa"/>
          </w:tcPr>
          <w:p w14:paraId="1693A7F4">
            <w:pPr>
              <w:pStyle w:val="14"/>
              <w:spacing w:before="20"/>
              <w:ind w:left="204" w:right="198"/>
              <w:jc w:val="center"/>
              <w:rPr>
                <w:rFonts w:ascii="Times New Roman"/>
                <w:sz w:val="21"/>
              </w:rPr>
            </w:pPr>
            <w:r>
              <w:rPr>
                <w:rFonts w:ascii="Times New Roman"/>
                <w:sz w:val="21"/>
              </w:rPr>
              <w:t>HBS-1096C</w:t>
            </w:r>
          </w:p>
        </w:tc>
        <w:tc>
          <w:tcPr>
            <w:tcW w:w="684" w:type="dxa"/>
          </w:tcPr>
          <w:p w14:paraId="5FD9FCB2">
            <w:pPr>
              <w:pStyle w:val="14"/>
              <w:spacing w:before="171"/>
              <w:ind w:left="287"/>
              <w:rPr>
                <w:rFonts w:ascii="Times New Roman"/>
                <w:sz w:val="21"/>
              </w:rPr>
            </w:pPr>
            <w:r>
              <w:rPr>
                <w:rFonts w:ascii="Times New Roman"/>
                <w:w w:val="99"/>
                <w:sz w:val="21"/>
              </w:rPr>
              <w:t>2</w:t>
            </w:r>
          </w:p>
        </w:tc>
        <w:tc>
          <w:tcPr>
            <w:tcW w:w="699" w:type="dxa"/>
          </w:tcPr>
          <w:p w14:paraId="65D8875C">
            <w:pPr>
              <w:pStyle w:val="14"/>
              <w:spacing w:before="155"/>
              <w:ind w:left="8"/>
              <w:jc w:val="center"/>
              <w:rPr>
                <w:sz w:val="21"/>
              </w:rPr>
            </w:pPr>
            <w:r>
              <w:rPr>
                <w:w w:val="99"/>
                <w:sz w:val="21"/>
              </w:rPr>
              <w:t>台</w:t>
            </w:r>
          </w:p>
        </w:tc>
        <w:tc>
          <w:tcPr>
            <w:tcW w:w="1686" w:type="dxa"/>
          </w:tcPr>
          <w:p w14:paraId="4410ED08">
            <w:pPr>
              <w:pStyle w:val="14"/>
              <w:rPr>
                <w:rFonts w:ascii="Times New Roman"/>
                <w:sz w:val="20"/>
              </w:rPr>
            </w:pPr>
          </w:p>
        </w:tc>
      </w:tr>
      <w:tr w14:paraId="3DCD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38" w:type="dxa"/>
          </w:tcPr>
          <w:p w14:paraId="12606330">
            <w:pPr>
              <w:pStyle w:val="14"/>
              <w:spacing w:before="172"/>
              <w:ind w:left="8"/>
              <w:jc w:val="center"/>
              <w:rPr>
                <w:rFonts w:ascii="Times New Roman"/>
                <w:sz w:val="21"/>
              </w:rPr>
            </w:pPr>
            <w:r>
              <w:rPr>
                <w:rFonts w:ascii="Times New Roman"/>
                <w:w w:val="99"/>
                <w:sz w:val="21"/>
              </w:rPr>
              <w:t>5</w:t>
            </w:r>
          </w:p>
        </w:tc>
        <w:tc>
          <w:tcPr>
            <w:tcW w:w="2007" w:type="dxa"/>
          </w:tcPr>
          <w:p w14:paraId="1B795E37">
            <w:pPr>
              <w:pStyle w:val="14"/>
              <w:spacing w:before="21"/>
              <w:ind w:left="132" w:right="127"/>
              <w:jc w:val="center"/>
              <w:rPr>
                <w:sz w:val="21"/>
              </w:rPr>
            </w:pPr>
            <w:r>
              <w:rPr>
                <w:sz w:val="21"/>
              </w:rPr>
              <w:t>紫外分光光度计</w:t>
            </w:r>
          </w:p>
          <w:p w14:paraId="101680F6">
            <w:pPr>
              <w:pStyle w:val="14"/>
              <w:spacing w:before="2"/>
              <w:ind w:left="132" w:right="125"/>
              <w:jc w:val="center"/>
              <w:rPr>
                <w:sz w:val="21"/>
              </w:rPr>
            </w:pPr>
            <w:r>
              <w:rPr>
                <w:sz w:val="21"/>
              </w:rPr>
              <w:t>（扫描）</w:t>
            </w:r>
          </w:p>
        </w:tc>
        <w:tc>
          <w:tcPr>
            <w:tcW w:w="2808" w:type="dxa"/>
          </w:tcPr>
          <w:p w14:paraId="0FBE3F10">
            <w:pPr>
              <w:pStyle w:val="14"/>
              <w:spacing w:before="20"/>
              <w:ind w:left="206" w:right="194"/>
              <w:jc w:val="center"/>
              <w:rPr>
                <w:rFonts w:ascii="Times New Roman"/>
                <w:sz w:val="21"/>
              </w:rPr>
            </w:pPr>
            <w:r>
              <w:rPr>
                <w:rFonts w:ascii="Times New Roman"/>
                <w:sz w:val="21"/>
              </w:rPr>
              <w:t>UV759CRT</w:t>
            </w:r>
          </w:p>
        </w:tc>
        <w:tc>
          <w:tcPr>
            <w:tcW w:w="684" w:type="dxa"/>
          </w:tcPr>
          <w:p w14:paraId="65A50E9B">
            <w:pPr>
              <w:pStyle w:val="14"/>
              <w:spacing w:before="172"/>
              <w:ind w:left="287"/>
              <w:rPr>
                <w:rFonts w:ascii="Times New Roman"/>
                <w:sz w:val="21"/>
              </w:rPr>
            </w:pPr>
            <w:r>
              <w:rPr>
                <w:rFonts w:ascii="Times New Roman"/>
                <w:w w:val="99"/>
                <w:sz w:val="21"/>
              </w:rPr>
              <w:t>1</w:t>
            </w:r>
          </w:p>
        </w:tc>
        <w:tc>
          <w:tcPr>
            <w:tcW w:w="699" w:type="dxa"/>
          </w:tcPr>
          <w:p w14:paraId="44A02678">
            <w:pPr>
              <w:pStyle w:val="14"/>
              <w:spacing w:before="155"/>
              <w:ind w:left="8"/>
              <w:jc w:val="center"/>
              <w:rPr>
                <w:sz w:val="21"/>
              </w:rPr>
            </w:pPr>
            <w:r>
              <w:rPr>
                <w:w w:val="99"/>
                <w:sz w:val="21"/>
              </w:rPr>
              <w:t>台</w:t>
            </w:r>
          </w:p>
        </w:tc>
        <w:tc>
          <w:tcPr>
            <w:tcW w:w="1686" w:type="dxa"/>
          </w:tcPr>
          <w:p w14:paraId="59F4B282">
            <w:pPr>
              <w:pStyle w:val="14"/>
              <w:rPr>
                <w:rFonts w:ascii="Times New Roman"/>
                <w:sz w:val="20"/>
              </w:rPr>
            </w:pPr>
          </w:p>
        </w:tc>
      </w:tr>
      <w:tr w14:paraId="7A243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D136006">
            <w:pPr>
              <w:pStyle w:val="14"/>
              <w:spacing w:before="105"/>
              <w:ind w:left="8"/>
              <w:jc w:val="center"/>
              <w:rPr>
                <w:rFonts w:ascii="Times New Roman"/>
                <w:sz w:val="21"/>
              </w:rPr>
            </w:pPr>
            <w:r>
              <w:rPr>
                <w:rFonts w:ascii="Times New Roman"/>
                <w:w w:val="99"/>
                <w:sz w:val="21"/>
              </w:rPr>
              <w:t>6</w:t>
            </w:r>
          </w:p>
        </w:tc>
        <w:tc>
          <w:tcPr>
            <w:tcW w:w="2007" w:type="dxa"/>
          </w:tcPr>
          <w:p w14:paraId="4BE01831">
            <w:pPr>
              <w:pStyle w:val="14"/>
              <w:spacing w:before="91"/>
              <w:ind w:left="132" w:right="125"/>
              <w:jc w:val="center"/>
              <w:rPr>
                <w:sz w:val="21"/>
              </w:rPr>
            </w:pPr>
            <w:r>
              <w:rPr>
                <w:sz w:val="21"/>
              </w:rPr>
              <w:t>大肠菌群快速检测</w:t>
            </w:r>
          </w:p>
        </w:tc>
        <w:tc>
          <w:tcPr>
            <w:tcW w:w="2808" w:type="dxa"/>
          </w:tcPr>
          <w:p w14:paraId="43D3F273">
            <w:pPr>
              <w:pStyle w:val="14"/>
              <w:spacing w:before="18"/>
              <w:ind w:left="206" w:right="196"/>
              <w:jc w:val="center"/>
              <w:rPr>
                <w:rFonts w:ascii="Times New Roman"/>
                <w:sz w:val="21"/>
              </w:rPr>
            </w:pPr>
            <w:r>
              <w:rPr>
                <w:rFonts w:ascii="Times New Roman"/>
                <w:sz w:val="21"/>
              </w:rPr>
              <w:t>TE-8010</w:t>
            </w:r>
          </w:p>
        </w:tc>
        <w:tc>
          <w:tcPr>
            <w:tcW w:w="684" w:type="dxa"/>
          </w:tcPr>
          <w:p w14:paraId="4AD23095">
            <w:pPr>
              <w:pStyle w:val="14"/>
              <w:spacing w:before="105"/>
              <w:ind w:left="287"/>
              <w:rPr>
                <w:rFonts w:ascii="Times New Roman"/>
                <w:sz w:val="21"/>
              </w:rPr>
            </w:pPr>
            <w:r>
              <w:rPr>
                <w:rFonts w:ascii="Times New Roman"/>
                <w:w w:val="99"/>
                <w:sz w:val="21"/>
              </w:rPr>
              <w:t>1</w:t>
            </w:r>
          </w:p>
        </w:tc>
        <w:tc>
          <w:tcPr>
            <w:tcW w:w="699" w:type="dxa"/>
          </w:tcPr>
          <w:p w14:paraId="2639390D">
            <w:pPr>
              <w:pStyle w:val="14"/>
              <w:spacing w:before="91"/>
              <w:ind w:left="8"/>
              <w:jc w:val="center"/>
              <w:rPr>
                <w:sz w:val="21"/>
              </w:rPr>
            </w:pPr>
            <w:r>
              <w:rPr>
                <w:w w:val="99"/>
                <w:sz w:val="21"/>
              </w:rPr>
              <w:t>台</w:t>
            </w:r>
          </w:p>
        </w:tc>
        <w:tc>
          <w:tcPr>
            <w:tcW w:w="1686" w:type="dxa"/>
          </w:tcPr>
          <w:p w14:paraId="2EC4D554">
            <w:pPr>
              <w:pStyle w:val="14"/>
              <w:rPr>
                <w:rFonts w:ascii="Times New Roman"/>
                <w:sz w:val="20"/>
              </w:rPr>
            </w:pPr>
          </w:p>
        </w:tc>
      </w:tr>
      <w:tr w14:paraId="35F34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F14CFF4">
            <w:pPr>
              <w:pStyle w:val="14"/>
              <w:spacing w:before="104"/>
              <w:ind w:left="8"/>
              <w:jc w:val="center"/>
              <w:rPr>
                <w:rFonts w:ascii="Times New Roman"/>
                <w:sz w:val="21"/>
              </w:rPr>
            </w:pPr>
            <w:r>
              <w:rPr>
                <w:rFonts w:ascii="Times New Roman"/>
                <w:w w:val="99"/>
                <w:sz w:val="21"/>
              </w:rPr>
              <w:t>7</w:t>
            </w:r>
          </w:p>
        </w:tc>
        <w:tc>
          <w:tcPr>
            <w:tcW w:w="2007" w:type="dxa"/>
          </w:tcPr>
          <w:p w14:paraId="2BE93D1A">
            <w:pPr>
              <w:pStyle w:val="14"/>
              <w:spacing w:before="90"/>
              <w:ind w:left="132" w:right="127"/>
              <w:jc w:val="center"/>
              <w:rPr>
                <w:sz w:val="21"/>
              </w:rPr>
            </w:pPr>
            <w:r>
              <w:rPr>
                <w:sz w:val="21"/>
              </w:rPr>
              <w:t>菌落总数测定仪</w:t>
            </w:r>
          </w:p>
        </w:tc>
        <w:tc>
          <w:tcPr>
            <w:tcW w:w="2808" w:type="dxa"/>
          </w:tcPr>
          <w:p w14:paraId="2A368C81">
            <w:pPr>
              <w:pStyle w:val="14"/>
              <w:spacing w:before="20"/>
              <w:ind w:left="203" w:right="198"/>
              <w:jc w:val="center"/>
              <w:rPr>
                <w:rFonts w:ascii="Times New Roman"/>
                <w:sz w:val="21"/>
              </w:rPr>
            </w:pPr>
            <w:r>
              <w:rPr>
                <w:rFonts w:ascii="Times New Roman"/>
                <w:sz w:val="21"/>
              </w:rPr>
              <w:t>QXC-30</w:t>
            </w:r>
          </w:p>
        </w:tc>
        <w:tc>
          <w:tcPr>
            <w:tcW w:w="684" w:type="dxa"/>
          </w:tcPr>
          <w:p w14:paraId="1F4AEBBA">
            <w:pPr>
              <w:pStyle w:val="14"/>
              <w:spacing w:before="104"/>
              <w:ind w:left="287"/>
              <w:rPr>
                <w:rFonts w:ascii="Times New Roman"/>
                <w:sz w:val="21"/>
              </w:rPr>
            </w:pPr>
            <w:r>
              <w:rPr>
                <w:rFonts w:ascii="Times New Roman"/>
                <w:w w:val="99"/>
                <w:sz w:val="21"/>
              </w:rPr>
              <w:t>1</w:t>
            </w:r>
          </w:p>
        </w:tc>
        <w:tc>
          <w:tcPr>
            <w:tcW w:w="699" w:type="dxa"/>
          </w:tcPr>
          <w:p w14:paraId="0B827915">
            <w:pPr>
              <w:pStyle w:val="14"/>
              <w:spacing w:before="90"/>
              <w:ind w:left="8"/>
              <w:jc w:val="center"/>
              <w:rPr>
                <w:sz w:val="21"/>
              </w:rPr>
            </w:pPr>
            <w:r>
              <w:rPr>
                <w:w w:val="99"/>
                <w:sz w:val="21"/>
              </w:rPr>
              <w:t>台</w:t>
            </w:r>
          </w:p>
        </w:tc>
        <w:tc>
          <w:tcPr>
            <w:tcW w:w="1686" w:type="dxa"/>
          </w:tcPr>
          <w:p w14:paraId="7DC1E859">
            <w:pPr>
              <w:pStyle w:val="14"/>
              <w:rPr>
                <w:rFonts w:ascii="Times New Roman"/>
                <w:sz w:val="20"/>
              </w:rPr>
            </w:pPr>
          </w:p>
        </w:tc>
      </w:tr>
      <w:tr w14:paraId="32332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B04513E">
            <w:pPr>
              <w:pStyle w:val="14"/>
              <w:spacing w:before="105"/>
              <w:ind w:left="8"/>
              <w:jc w:val="center"/>
              <w:rPr>
                <w:rFonts w:ascii="Times New Roman"/>
                <w:sz w:val="21"/>
              </w:rPr>
            </w:pPr>
            <w:r>
              <w:rPr>
                <w:rFonts w:ascii="Times New Roman"/>
                <w:w w:val="99"/>
                <w:sz w:val="21"/>
              </w:rPr>
              <w:t>8</w:t>
            </w:r>
          </w:p>
        </w:tc>
        <w:tc>
          <w:tcPr>
            <w:tcW w:w="2007" w:type="dxa"/>
          </w:tcPr>
          <w:p w14:paraId="65BD25CD">
            <w:pPr>
              <w:pStyle w:val="14"/>
              <w:spacing w:before="89"/>
              <w:ind w:left="132" w:right="127"/>
              <w:jc w:val="center"/>
              <w:rPr>
                <w:sz w:val="21"/>
              </w:rPr>
            </w:pPr>
            <w:r>
              <w:rPr>
                <w:sz w:val="21"/>
              </w:rPr>
              <w:t>酸度计</w:t>
            </w:r>
          </w:p>
        </w:tc>
        <w:tc>
          <w:tcPr>
            <w:tcW w:w="2808" w:type="dxa"/>
          </w:tcPr>
          <w:p w14:paraId="232F8CD4">
            <w:pPr>
              <w:pStyle w:val="14"/>
              <w:spacing w:before="19"/>
              <w:ind w:left="206" w:right="197"/>
              <w:jc w:val="center"/>
              <w:rPr>
                <w:rFonts w:ascii="Times New Roman"/>
                <w:sz w:val="21"/>
              </w:rPr>
            </w:pPr>
            <w:r>
              <w:rPr>
                <w:rFonts w:ascii="Times New Roman"/>
                <w:sz w:val="21"/>
              </w:rPr>
              <w:t>PHSJ-6L</w:t>
            </w:r>
          </w:p>
        </w:tc>
        <w:tc>
          <w:tcPr>
            <w:tcW w:w="684" w:type="dxa"/>
          </w:tcPr>
          <w:p w14:paraId="45DCF7B8">
            <w:pPr>
              <w:pStyle w:val="14"/>
              <w:spacing w:before="105"/>
              <w:ind w:left="287"/>
              <w:rPr>
                <w:rFonts w:ascii="Times New Roman"/>
                <w:sz w:val="21"/>
              </w:rPr>
            </w:pPr>
            <w:r>
              <w:rPr>
                <w:rFonts w:ascii="Times New Roman"/>
                <w:w w:val="99"/>
                <w:sz w:val="21"/>
              </w:rPr>
              <w:t>2</w:t>
            </w:r>
          </w:p>
        </w:tc>
        <w:tc>
          <w:tcPr>
            <w:tcW w:w="699" w:type="dxa"/>
          </w:tcPr>
          <w:p w14:paraId="1A4452FD">
            <w:pPr>
              <w:pStyle w:val="14"/>
              <w:spacing w:before="89"/>
              <w:ind w:left="8"/>
              <w:jc w:val="center"/>
              <w:rPr>
                <w:sz w:val="21"/>
              </w:rPr>
            </w:pPr>
            <w:r>
              <w:rPr>
                <w:w w:val="99"/>
                <w:sz w:val="21"/>
              </w:rPr>
              <w:t>台</w:t>
            </w:r>
          </w:p>
        </w:tc>
        <w:tc>
          <w:tcPr>
            <w:tcW w:w="1686" w:type="dxa"/>
          </w:tcPr>
          <w:p w14:paraId="39488BE9">
            <w:pPr>
              <w:pStyle w:val="14"/>
              <w:rPr>
                <w:rFonts w:ascii="Times New Roman"/>
                <w:sz w:val="20"/>
              </w:rPr>
            </w:pPr>
          </w:p>
        </w:tc>
      </w:tr>
      <w:tr w14:paraId="19A54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FD7EF3C">
            <w:pPr>
              <w:pStyle w:val="14"/>
              <w:spacing w:before="105"/>
              <w:ind w:left="8"/>
              <w:jc w:val="center"/>
              <w:rPr>
                <w:rFonts w:ascii="Times New Roman"/>
                <w:sz w:val="21"/>
              </w:rPr>
            </w:pPr>
            <w:r>
              <w:rPr>
                <w:rFonts w:ascii="Times New Roman"/>
                <w:w w:val="99"/>
                <w:sz w:val="21"/>
              </w:rPr>
              <w:t>9</w:t>
            </w:r>
          </w:p>
        </w:tc>
        <w:tc>
          <w:tcPr>
            <w:tcW w:w="2007" w:type="dxa"/>
          </w:tcPr>
          <w:p w14:paraId="269654B2">
            <w:pPr>
              <w:pStyle w:val="14"/>
              <w:spacing w:before="91"/>
              <w:ind w:left="132" w:right="127"/>
              <w:jc w:val="center"/>
              <w:rPr>
                <w:sz w:val="21"/>
              </w:rPr>
            </w:pPr>
            <w:r>
              <w:rPr>
                <w:sz w:val="21"/>
              </w:rPr>
              <w:t xml:space="preserve">荧光定量 </w:t>
            </w:r>
            <w:r>
              <w:rPr>
                <w:rFonts w:ascii="Times New Roman" w:eastAsia="Times New Roman"/>
                <w:sz w:val="21"/>
              </w:rPr>
              <w:t xml:space="preserve">PCR </w:t>
            </w:r>
            <w:r>
              <w:rPr>
                <w:sz w:val="21"/>
              </w:rPr>
              <w:t>仪</w:t>
            </w:r>
          </w:p>
        </w:tc>
        <w:tc>
          <w:tcPr>
            <w:tcW w:w="2808" w:type="dxa"/>
          </w:tcPr>
          <w:p w14:paraId="3187B374">
            <w:pPr>
              <w:pStyle w:val="14"/>
              <w:spacing w:before="18"/>
              <w:ind w:left="206" w:right="198"/>
              <w:jc w:val="center"/>
              <w:rPr>
                <w:rFonts w:ascii="Times New Roman"/>
                <w:sz w:val="21"/>
              </w:rPr>
            </w:pPr>
            <w:r>
              <w:rPr>
                <w:rFonts w:ascii="Times New Roman"/>
                <w:sz w:val="21"/>
              </w:rPr>
              <w:t>7500System</w:t>
            </w:r>
          </w:p>
        </w:tc>
        <w:tc>
          <w:tcPr>
            <w:tcW w:w="684" w:type="dxa"/>
          </w:tcPr>
          <w:p w14:paraId="533C63AE">
            <w:pPr>
              <w:pStyle w:val="14"/>
              <w:spacing w:before="105"/>
              <w:ind w:left="287"/>
              <w:rPr>
                <w:rFonts w:ascii="Times New Roman"/>
                <w:sz w:val="21"/>
              </w:rPr>
            </w:pPr>
            <w:r>
              <w:rPr>
                <w:rFonts w:ascii="Times New Roman"/>
                <w:w w:val="99"/>
                <w:sz w:val="21"/>
              </w:rPr>
              <w:t>1</w:t>
            </w:r>
          </w:p>
        </w:tc>
        <w:tc>
          <w:tcPr>
            <w:tcW w:w="699" w:type="dxa"/>
          </w:tcPr>
          <w:p w14:paraId="214FEA00">
            <w:pPr>
              <w:pStyle w:val="14"/>
              <w:spacing w:before="91"/>
              <w:ind w:left="8"/>
              <w:jc w:val="center"/>
              <w:rPr>
                <w:sz w:val="21"/>
              </w:rPr>
            </w:pPr>
            <w:r>
              <w:rPr>
                <w:w w:val="99"/>
                <w:sz w:val="21"/>
              </w:rPr>
              <w:t>台</w:t>
            </w:r>
          </w:p>
        </w:tc>
        <w:tc>
          <w:tcPr>
            <w:tcW w:w="1686" w:type="dxa"/>
          </w:tcPr>
          <w:p w14:paraId="0F74B56A">
            <w:pPr>
              <w:pStyle w:val="14"/>
              <w:rPr>
                <w:rFonts w:ascii="Times New Roman"/>
                <w:sz w:val="20"/>
              </w:rPr>
            </w:pPr>
          </w:p>
        </w:tc>
      </w:tr>
      <w:tr w14:paraId="4F347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314611BE">
            <w:pPr>
              <w:pStyle w:val="14"/>
              <w:spacing w:before="104"/>
              <w:ind w:left="86" w:right="78"/>
              <w:jc w:val="center"/>
              <w:rPr>
                <w:rFonts w:ascii="Times New Roman"/>
                <w:sz w:val="21"/>
              </w:rPr>
            </w:pPr>
            <w:r>
              <w:rPr>
                <w:rFonts w:ascii="Times New Roman"/>
                <w:sz w:val="21"/>
              </w:rPr>
              <w:t>10</w:t>
            </w:r>
          </w:p>
        </w:tc>
        <w:tc>
          <w:tcPr>
            <w:tcW w:w="2007" w:type="dxa"/>
          </w:tcPr>
          <w:p w14:paraId="777CC676">
            <w:pPr>
              <w:pStyle w:val="14"/>
              <w:spacing w:before="90"/>
              <w:ind w:left="132" w:right="127"/>
              <w:jc w:val="center"/>
              <w:rPr>
                <w:sz w:val="21"/>
              </w:rPr>
            </w:pPr>
            <w:r>
              <w:rPr>
                <w:sz w:val="21"/>
              </w:rPr>
              <w:t>凝胶成像系统</w:t>
            </w:r>
          </w:p>
        </w:tc>
        <w:tc>
          <w:tcPr>
            <w:tcW w:w="2808" w:type="dxa"/>
          </w:tcPr>
          <w:p w14:paraId="4BFCBCF2">
            <w:pPr>
              <w:pStyle w:val="14"/>
              <w:spacing w:before="20"/>
              <w:ind w:left="206" w:right="198"/>
              <w:jc w:val="center"/>
              <w:rPr>
                <w:rFonts w:ascii="Times New Roman"/>
                <w:sz w:val="21"/>
              </w:rPr>
            </w:pPr>
            <w:r>
              <w:rPr>
                <w:rFonts w:ascii="Times New Roman"/>
                <w:sz w:val="21"/>
              </w:rPr>
              <w:t>ZF-288</w:t>
            </w:r>
          </w:p>
        </w:tc>
        <w:tc>
          <w:tcPr>
            <w:tcW w:w="684" w:type="dxa"/>
          </w:tcPr>
          <w:p w14:paraId="11A601F6">
            <w:pPr>
              <w:pStyle w:val="14"/>
              <w:spacing w:before="104"/>
              <w:ind w:left="287"/>
              <w:rPr>
                <w:rFonts w:ascii="Times New Roman"/>
                <w:sz w:val="21"/>
              </w:rPr>
            </w:pPr>
            <w:r>
              <w:rPr>
                <w:rFonts w:ascii="Times New Roman"/>
                <w:w w:val="99"/>
                <w:sz w:val="21"/>
              </w:rPr>
              <w:t>1</w:t>
            </w:r>
          </w:p>
        </w:tc>
        <w:tc>
          <w:tcPr>
            <w:tcW w:w="699" w:type="dxa"/>
          </w:tcPr>
          <w:p w14:paraId="3AFB4AB0">
            <w:pPr>
              <w:pStyle w:val="14"/>
              <w:spacing w:before="90"/>
              <w:ind w:left="8"/>
              <w:jc w:val="center"/>
              <w:rPr>
                <w:sz w:val="21"/>
              </w:rPr>
            </w:pPr>
            <w:r>
              <w:rPr>
                <w:w w:val="99"/>
                <w:sz w:val="21"/>
              </w:rPr>
              <w:t>台</w:t>
            </w:r>
          </w:p>
        </w:tc>
        <w:tc>
          <w:tcPr>
            <w:tcW w:w="1686" w:type="dxa"/>
          </w:tcPr>
          <w:p w14:paraId="2B99ABE7">
            <w:pPr>
              <w:pStyle w:val="14"/>
              <w:rPr>
                <w:rFonts w:ascii="Times New Roman"/>
                <w:sz w:val="20"/>
              </w:rPr>
            </w:pPr>
          </w:p>
        </w:tc>
      </w:tr>
      <w:tr w14:paraId="380CE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53A2E20">
            <w:pPr>
              <w:pStyle w:val="14"/>
              <w:spacing w:before="105"/>
              <w:ind w:left="86" w:right="73"/>
              <w:jc w:val="center"/>
              <w:rPr>
                <w:rFonts w:ascii="Times New Roman"/>
                <w:sz w:val="21"/>
              </w:rPr>
            </w:pPr>
            <w:r>
              <w:rPr>
                <w:rFonts w:ascii="Times New Roman"/>
                <w:sz w:val="21"/>
              </w:rPr>
              <w:t>11</w:t>
            </w:r>
          </w:p>
        </w:tc>
        <w:tc>
          <w:tcPr>
            <w:tcW w:w="2007" w:type="dxa"/>
          </w:tcPr>
          <w:p w14:paraId="3B31DCF3">
            <w:pPr>
              <w:pStyle w:val="14"/>
              <w:spacing w:before="89"/>
              <w:ind w:left="132" w:right="122"/>
              <w:jc w:val="center"/>
              <w:rPr>
                <w:sz w:val="21"/>
              </w:rPr>
            </w:pPr>
            <w:r>
              <w:rPr>
                <w:rFonts w:ascii="Times New Roman" w:eastAsia="Times New Roman"/>
                <w:sz w:val="21"/>
              </w:rPr>
              <w:t xml:space="preserve">PCR </w:t>
            </w:r>
            <w:r>
              <w:rPr>
                <w:sz w:val="21"/>
              </w:rPr>
              <w:t>仪</w:t>
            </w:r>
          </w:p>
        </w:tc>
        <w:tc>
          <w:tcPr>
            <w:tcW w:w="2808" w:type="dxa"/>
          </w:tcPr>
          <w:p w14:paraId="7CE95668">
            <w:pPr>
              <w:pStyle w:val="14"/>
              <w:spacing w:before="19"/>
              <w:ind w:left="202" w:right="198"/>
              <w:jc w:val="center"/>
              <w:rPr>
                <w:rFonts w:ascii="Times New Roman"/>
                <w:sz w:val="21"/>
              </w:rPr>
            </w:pPr>
            <w:r>
              <w:rPr>
                <w:rFonts w:ascii="Times New Roman"/>
                <w:sz w:val="21"/>
              </w:rPr>
              <w:t>KS48+</w:t>
            </w:r>
          </w:p>
        </w:tc>
        <w:tc>
          <w:tcPr>
            <w:tcW w:w="684" w:type="dxa"/>
          </w:tcPr>
          <w:p w14:paraId="5B083DE0">
            <w:pPr>
              <w:pStyle w:val="14"/>
              <w:spacing w:before="105"/>
              <w:ind w:left="287"/>
              <w:rPr>
                <w:rFonts w:ascii="Times New Roman"/>
                <w:sz w:val="21"/>
              </w:rPr>
            </w:pPr>
            <w:r>
              <w:rPr>
                <w:rFonts w:ascii="Times New Roman"/>
                <w:w w:val="99"/>
                <w:sz w:val="21"/>
              </w:rPr>
              <w:t>1</w:t>
            </w:r>
          </w:p>
        </w:tc>
        <w:tc>
          <w:tcPr>
            <w:tcW w:w="699" w:type="dxa"/>
          </w:tcPr>
          <w:p w14:paraId="423DBCA8">
            <w:pPr>
              <w:pStyle w:val="14"/>
              <w:spacing w:before="89"/>
              <w:ind w:left="8"/>
              <w:jc w:val="center"/>
              <w:rPr>
                <w:sz w:val="21"/>
              </w:rPr>
            </w:pPr>
            <w:r>
              <w:rPr>
                <w:w w:val="99"/>
                <w:sz w:val="21"/>
              </w:rPr>
              <w:t>台</w:t>
            </w:r>
          </w:p>
        </w:tc>
        <w:tc>
          <w:tcPr>
            <w:tcW w:w="1686" w:type="dxa"/>
          </w:tcPr>
          <w:p w14:paraId="55B5816C">
            <w:pPr>
              <w:pStyle w:val="14"/>
              <w:rPr>
                <w:rFonts w:ascii="Times New Roman"/>
                <w:sz w:val="20"/>
              </w:rPr>
            </w:pPr>
          </w:p>
        </w:tc>
      </w:tr>
      <w:tr w14:paraId="7931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38" w:type="dxa"/>
          </w:tcPr>
          <w:p w14:paraId="6B99BD05">
            <w:pPr>
              <w:pStyle w:val="14"/>
              <w:spacing w:before="105"/>
              <w:ind w:left="86" w:right="78"/>
              <w:jc w:val="center"/>
              <w:rPr>
                <w:rFonts w:ascii="Times New Roman"/>
                <w:sz w:val="21"/>
              </w:rPr>
            </w:pPr>
            <w:r>
              <w:rPr>
                <w:rFonts w:ascii="Times New Roman"/>
                <w:sz w:val="21"/>
              </w:rPr>
              <w:t>12</w:t>
            </w:r>
          </w:p>
        </w:tc>
        <w:tc>
          <w:tcPr>
            <w:tcW w:w="2007" w:type="dxa"/>
          </w:tcPr>
          <w:p w14:paraId="0F14DAEE">
            <w:pPr>
              <w:pStyle w:val="14"/>
              <w:spacing w:before="91"/>
              <w:ind w:left="132" w:right="127"/>
              <w:jc w:val="center"/>
              <w:rPr>
                <w:sz w:val="21"/>
              </w:rPr>
            </w:pPr>
            <w:r>
              <w:rPr>
                <w:sz w:val="21"/>
              </w:rPr>
              <w:t>离心机</w:t>
            </w:r>
          </w:p>
        </w:tc>
        <w:tc>
          <w:tcPr>
            <w:tcW w:w="2808" w:type="dxa"/>
          </w:tcPr>
          <w:p w14:paraId="65B8A636">
            <w:pPr>
              <w:pStyle w:val="14"/>
              <w:spacing w:before="18"/>
              <w:ind w:left="202" w:right="198"/>
              <w:jc w:val="center"/>
              <w:rPr>
                <w:rFonts w:ascii="Times New Roman"/>
                <w:sz w:val="21"/>
              </w:rPr>
            </w:pPr>
            <w:r>
              <w:rPr>
                <w:rFonts w:ascii="Times New Roman"/>
                <w:sz w:val="21"/>
              </w:rPr>
              <w:t>2-16R</w:t>
            </w:r>
          </w:p>
        </w:tc>
        <w:tc>
          <w:tcPr>
            <w:tcW w:w="684" w:type="dxa"/>
          </w:tcPr>
          <w:p w14:paraId="4D0E09A4">
            <w:pPr>
              <w:pStyle w:val="14"/>
              <w:spacing w:before="105"/>
              <w:ind w:left="287"/>
              <w:rPr>
                <w:rFonts w:ascii="Times New Roman"/>
                <w:sz w:val="21"/>
              </w:rPr>
            </w:pPr>
            <w:r>
              <w:rPr>
                <w:rFonts w:ascii="Times New Roman"/>
                <w:w w:val="99"/>
                <w:sz w:val="21"/>
              </w:rPr>
              <w:t>5</w:t>
            </w:r>
          </w:p>
        </w:tc>
        <w:tc>
          <w:tcPr>
            <w:tcW w:w="699" w:type="dxa"/>
          </w:tcPr>
          <w:p w14:paraId="52349C5B">
            <w:pPr>
              <w:pStyle w:val="14"/>
              <w:spacing w:before="91"/>
              <w:ind w:left="8"/>
              <w:jc w:val="center"/>
              <w:rPr>
                <w:sz w:val="21"/>
              </w:rPr>
            </w:pPr>
            <w:r>
              <w:rPr>
                <w:w w:val="99"/>
                <w:sz w:val="21"/>
              </w:rPr>
              <w:t>台</w:t>
            </w:r>
          </w:p>
        </w:tc>
        <w:tc>
          <w:tcPr>
            <w:tcW w:w="1686" w:type="dxa"/>
          </w:tcPr>
          <w:p w14:paraId="4CE9F634">
            <w:pPr>
              <w:pStyle w:val="14"/>
              <w:rPr>
                <w:rFonts w:ascii="Times New Roman"/>
                <w:sz w:val="20"/>
              </w:rPr>
            </w:pPr>
          </w:p>
        </w:tc>
      </w:tr>
    </w:tbl>
    <w:p w14:paraId="192D475E">
      <w:pPr>
        <w:spacing w:after="0"/>
        <w:rPr>
          <w:rFonts w:ascii="Times New Roman"/>
          <w:sz w:val="20"/>
        </w:rPr>
        <w:sectPr>
          <w:pgSz w:w="11910" w:h="16840"/>
          <w:pgMar w:top="1360" w:right="1460" w:bottom="1400" w:left="1520" w:header="878" w:footer="1204" w:gutter="0"/>
          <w:cols w:space="720" w:num="1"/>
        </w:sectPr>
      </w:pPr>
    </w:p>
    <w:p w14:paraId="44110A68">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2E9F8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61173A4D">
            <w:pPr>
              <w:pStyle w:val="14"/>
              <w:spacing w:before="107"/>
              <w:ind w:left="86" w:right="78"/>
              <w:jc w:val="center"/>
              <w:rPr>
                <w:rFonts w:ascii="Times New Roman"/>
                <w:sz w:val="21"/>
              </w:rPr>
            </w:pPr>
            <w:r>
              <w:rPr>
                <w:rFonts w:ascii="Times New Roman"/>
                <w:sz w:val="21"/>
              </w:rPr>
              <w:t>13</w:t>
            </w:r>
          </w:p>
        </w:tc>
        <w:tc>
          <w:tcPr>
            <w:tcW w:w="2007" w:type="dxa"/>
          </w:tcPr>
          <w:p w14:paraId="32EADF65">
            <w:pPr>
              <w:pStyle w:val="14"/>
              <w:spacing w:before="91"/>
              <w:ind w:left="132" w:right="125"/>
              <w:jc w:val="center"/>
              <w:rPr>
                <w:sz w:val="21"/>
              </w:rPr>
            </w:pPr>
            <w:r>
              <w:rPr>
                <w:sz w:val="21"/>
              </w:rPr>
              <w:t>微量移液器</w:t>
            </w:r>
          </w:p>
        </w:tc>
        <w:tc>
          <w:tcPr>
            <w:tcW w:w="2808" w:type="dxa"/>
          </w:tcPr>
          <w:p w14:paraId="113CA4B8">
            <w:pPr>
              <w:pStyle w:val="14"/>
              <w:spacing w:before="20"/>
              <w:ind w:left="206" w:right="196"/>
              <w:jc w:val="center"/>
              <w:rPr>
                <w:rFonts w:ascii="Times New Roman"/>
                <w:sz w:val="21"/>
              </w:rPr>
            </w:pPr>
            <w:r>
              <w:rPr>
                <w:rFonts w:ascii="Times New Roman"/>
                <w:sz w:val="21"/>
              </w:rPr>
              <w:t>F1-ClipTip</w:t>
            </w:r>
          </w:p>
        </w:tc>
        <w:tc>
          <w:tcPr>
            <w:tcW w:w="684" w:type="dxa"/>
          </w:tcPr>
          <w:p w14:paraId="6250549E">
            <w:pPr>
              <w:pStyle w:val="14"/>
              <w:spacing w:before="107"/>
              <w:ind w:left="5"/>
              <w:jc w:val="center"/>
              <w:rPr>
                <w:rFonts w:ascii="Times New Roman"/>
                <w:sz w:val="21"/>
              </w:rPr>
            </w:pPr>
            <w:r>
              <w:rPr>
                <w:rFonts w:ascii="Times New Roman"/>
                <w:w w:val="99"/>
                <w:sz w:val="21"/>
              </w:rPr>
              <w:t>2</w:t>
            </w:r>
          </w:p>
        </w:tc>
        <w:tc>
          <w:tcPr>
            <w:tcW w:w="699" w:type="dxa"/>
          </w:tcPr>
          <w:p w14:paraId="53B22FFC">
            <w:pPr>
              <w:pStyle w:val="14"/>
              <w:spacing w:before="91"/>
              <w:ind w:left="8"/>
              <w:jc w:val="center"/>
              <w:rPr>
                <w:sz w:val="21"/>
              </w:rPr>
            </w:pPr>
            <w:r>
              <w:rPr>
                <w:w w:val="99"/>
                <w:sz w:val="21"/>
              </w:rPr>
              <w:t>台</w:t>
            </w:r>
          </w:p>
        </w:tc>
        <w:tc>
          <w:tcPr>
            <w:tcW w:w="1686" w:type="dxa"/>
          </w:tcPr>
          <w:p w14:paraId="32409294">
            <w:pPr>
              <w:pStyle w:val="14"/>
              <w:rPr>
                <w:rFonts w:ascii="Times New Roman"/>
                <w:sz w:val="20"/>
              </w:rPr>
            </w:pPr>
          </w:p>
        </w:tc>
      </w:tr>
      <w:tr w14:paraId="509AA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FD73CC6">
            <w:pPr>
              <w:pStyle w:val="14"/>
              <w:spacing w:before="106"/>
              <w:ind w:left="86" w:right="78"/>
              <w:jc w:val="center"/>
              <w:rPr>
                <w:rFonts w:ascii="Times New Roman"/>
                <w:sz w:val="21"/>
              </w:rPr>
            </w:pPr>
            <w:r>
              <w:rPr>
                <w:rFonts w:ascii="Times New Roman"/>
                <w:sz w:val="21"/>
              </w:rPr>
              <w:t>14</w:t>
            </w:r>
          </w:p>
        </w:tc>
        <w:tc>
          <w:tcPr>
            <w:tcW w:w="2007" w:type="dxa"/>
          </w:tcPr>
          <w:p w14:paraId="0BFBF658">
            <w:pPr>
              <w:pStyle w:val="14"/>
              <w:spacing w:before="90"/>
              <w:ind w:left="132" w:right="125"/>
              <w:jc w:val="center"/>
              <w:rPr>
                <w:sz w:val="21"/>
              </w:rPr>
            </w:pPr>
            <w:r>
              <w:rPr>
                <w:sz w:val="21"/>
              </w:rPr>
              <w:t>自动移液器</w:t>
            </w:r>
          </w:p>
        </w:tc>
        <w:tc>
          <w:tcPr>
            <w:tcW w:w="2808" w:type="dxa"/>
          </w:tcPr>
          <w:p w14:paraId="18A88EFE">
            <w:pPr>
              <w:pStyle w:val="14"/>
              <w:spacing w:before="20"/>
              <w:ind w:left="205" w:right="198"/>
              <w:jc w:val="center"/>
              <w:rPr>
                <w:rFonts w:ascii="Times New Roman"/>
                <w:sz w:val="21"/>
              </w:rPr>
            </w:pPr>
            <w:r>
              <w:rPr>
                <w:rFonts w:ascii="Times New Roman"/>
                <w:sz w:val="21"/>
              </w:rPr>
              <w:t>E4 XLS+</w:t>
            </w:r>
          </w:p>
        </w:tc>
        <w:tc>
          <w:tcPr>
            <w:tcW w:w="684" w:type="dxa"/>
          </w:tcPr>
          <w:p w14:paraId="28A4597A">
            <w:pPr>
              <w:pStyle w:val="14"/>
              <w:spacing w:before="106"/>
              <w:ind w:left="5"/>
              <w:jc w:val="center"/>
              <w:rPr>
                <w:rFonts w:ascii="Times New Roman"/>
                <w:sz w:val="21"/>
              </w:rPr>
            </w:pPr>
            <w:r>
              <w:rPr>
                <w:rFonts w:ascii="Times New Roman"/>
                <w:w w:val="99"/>
                <w:sz w:val="21"/>
              </w:rPr>
              <w:t>4</w:t>
            </w:r>
          </w:p>
        </w:tc>
        <w:tc>
          <w:tcPr>
            <w:tcW w:w="699" w:type="dxa"/>
          </w:tcPr>
          <w:p w14:paraId="1D74F0A6">
            <w:pPr>
              <w:pStyle w:val="14"/>
              <w:spacing w:before="90"/>
              <w:ind w:left="8"/>
              <w:jc w:val="center"/>
              <w:rPr>
                <w:sz w:val="21"/>
              </w:rPr>
            </w:pPr>
            <w:r>
              <w:rPr>
                <w:w w:val="99"/>
                <w:sz w:val="21"/>
              </w:rPr>
              <w:t>台</w:t>
            </w:r>
          </w:p>
        </w:tc>
        <w:tc>
          <w:tcPr>
            <w:tcW w:w="1686" w:type="dxa"/>
          </w:tcPr>
          <w:p w14:paraId="440A7D21">
            <w:pPr>
              <w:pStyle w:val="14"/>
              <w:rPr>
                <w:rFonts w:ascii="Times New Roman"/>
                <w:sz w:val="20"/>
              </w:rPr>
            </w:pPr>
          </w:p>
        </w:tc>
      </w:tr>
      <w:tr w14:paraId="21CBF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182A7CBE">
            <w:pPr>
              <w:pStyle w:val="14"/>
              <w:spacing w:before="105"/>
              <w:ind w:left="86" w:right="78"/>
              <w:jc w:val="center"/>
              <w:rPr>
                <w:rFonts w:ascii="Times New Roman"/>
                <w:sz w:val="21"/>
              </w:rPr>
            </w:pPr>
            <w:r>
              <w:rPr>
                <w:rFonts w:ascii="Times New Roman"/>
                <w:sz w:val="21"/>
              </w:rPr>
              <w:t>15</w:t>
            </w:r>
          </w:p>
        </w:tc>
        <w:tc>
          <w:tcPr>
            <w:tcW w:w="2007" w:type="dxa"/>
          </w:tcPr>
          <w:p w14:paraId="2ADA0E43">
            <w:pPr>
              <w:pStyle w:val="14"/>
              <w:spacing w:before="91"/>
              <w:ind w:left="132" w:right="125"/>
              <w:jc w:val="center"/>
              <w:rPr>
                <w:sz w:val="21"/>
              </w:rPr>
            </w:pPr>
            <w:r>
              <w:rPr>
                <w:sz w:val="21"/>
              </w:rPr>
              <w:t>纯水</w:t>
            </w:r>
            <w:r>
              <w:rPr>
                <w:rFonts w:ascii="Times New Roman" w:eastAsia="Times New Roman"/>
                <w:sz w:val="21"/>
              </w:rPr>
              <w:t>/</w:t>
            </w:r>
            <w:r>
              <w:rPr>
                <w:sz w:val="21"/>
              </w:rPr>
              <w:t>超纯水系统</w:t>
            </w:r>
          </w:p>
        </w:tc>
        <w:tc>
          <w:tcPr>
            <w:tcW w:w="2808" w:type="dxa"/>
          </w:tcPr>
          <w:p w14:paraId="3D70DEB9">
            <w:pPr>
              <w:pStyle w:val="14"/>
              <w:spacing w:before="19"/>
              <w:ind w:left="206" w:right="198"/>
              <w:jc w:val="center"/>
              <w:rPr>
                <w:rFonts w:ascii="Times New Roman" w:hAnsi="Times New Roman"/>
                <w:sz w:val="21"/>
              </w:rPr>
            </w:pPr>
            <w:r>
              <w:rPr>
                <w:rFonts w:ascii="Times New Roman" w:hAnsi="Times New Roman"/>
                <w:sz w:val="21"/>
              </w:rPr>
              <w:t>Milli-Q® IQ 7003/05/10/15</w:t>
            </w:r>
          </w:p>
        </w:tc>
        <w:tc>
          <w:tcPr>
            <w:tcW w:w="684" w:type="dxa"/>
          </w:tcPr>
          <w:p w14:paraId="4F06C63B">
            <w:pPr>
              <w:pStyle w:val="14"/>
              <w:spacing w:before="105"/>
              <w:ind w:left="5"/>
              <w:jc w:val="center"/>
              <w:rPr>
                <w:rFonts w:ascii="Times New Roman"/>
                <w:sz w:val="21"/>
              </w:rPr>
            </w:pPr>
            <w:r>
              <w:rPr>
                <w:rFonts w:ascii="Times New Roman"/>
                <w:w w:val="99"/>
                <w:sz w:val="21"/>
              </w:rPr>
              <w:t>1</w:t>
            </w:r>
          </w:p>
        </w:tc>
        <w:tc>
          <w:tcPr>
            <w:tcW w:w="699" w:type="dxa"/>
          </w:tcPr>
          <w:p w14:paraId="7F03CE28">
            <w:pPr>
              <w:pStyle w:val="14"/>
              <w:spacing w:before="91"/>
              <w:ind w:left="8"/>
              <w:jc w:val="center"/>
              <w:rPr>
                <w:sz w:val="21"/>
              </w:rPr>
            </w:pPr>
            <w:r>
              <w:rPr>
                <w:w w:val="99"/>
                <w:sz w:val="21"/>
              </w:rPr>
              <w:t>台</w:t>
            </w:r>
          </w:p>
        </w:tc>
        <w:tc>
          <w:tcPr>
            <w:tcW w:w="1686" w:type="dxa"/>
          </w:tcPr>
          <w:p w14:paraId="1862B542">
            <w:pPr>
              <w:pStyle w:val="14"/>
              <w:rPr>
                <w:rFonts w:ascii="Times New Roman"/>
                <w:sz w:val="20"/>
              </w:rPr>
            </w:pPr>
          </w:p>
        </w:tc>
      </w:tr>
      <w:tr w14:paraId="4485F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959A333">
            <w:pPr>
              <w:pStyle w:val="14"/>
              <w:spacing w:before="107"/>
              <w:ind w:left="86" w:right="78"/>
              <w:jc w:val="center"/>
              <w:rPr>
                <w:rFonts w:ascii="Times New Roman"/>
                <w:sz w:val="21"/>
              </w:rPr>
            </w:pPr>
            <w:r>
              <w:rPr>
                <w:rFonts w:ascii="Times New Roman"/>
                <w:sz w:val="21"/>
              </w:rPr>
              <w:t>16</w:t>
            </w:r>
          </w:p>
        </w:tc>
        <w:tc>
          <w:tcPr>
            <w:tcW w:w="2007" w:type="dxa"/>
          </w:tcPr>
          <w:p w14:paraId="2C1E8F5D">
            <w:pPr>
              <w:pStyle w:val="14"/>
              <w:spacing w:before="90"/>
              <w:ind w:left="132" w:right="125"/>
              <w:jc w:val="center"/>
              <w:rPr>
                <w:sz w:val="21"/>
              </w:rPr>
            </w:pPr>
            <w:r>
              <w:rPr>
                <w:sz w:val="21"/>
              </w:rPr>
              <w:t>电子天平</w:t>
            </w:r>
          </w:p>
        </w:tc>
        <w:tc>
          <w:tcPr>
            <w:tcW w:w="2808" w:type="dxa"/>
          </w:tcPr>
          <w:p w14:paraId="7B8CB0CB">
            <w:pPr>
              <w:pStyle w:val="14"/>
              <w:spacing w:before="20"/>
              <w:ind w:left="204" w:right="198"/>
              <w:jc w:val="center"/>
              <w:rPr>
                <w:rFonts w:ascii="Times New Roman"/>
                <w:sz w:val="21"/>
              </w:rPr>
            </w:pPr>
            <w:r>
              <w:rPr>
                <w:rFonts w:ascii="Times New Roman"/>
                <w:sz w:val="21"/>
              </w:rPr>
              <w:t>FA1004C</w:t>
            </w:r>
          </w:p>
        </w:tc>
        <w:tc>
          <w:tcPr>
            <w:tcW w:w="684" w:type="dxa"/>
          </w:tcPr>
          <w:p w14:paraId="71505B89">
            <w:pPr>
              <w:pStyle w:val="14"/>
              <w:spacing w:before="107"/>
              <w:ind w:left="5"/>
              <w:jc w:val="center"/>
              <w:rPr>
                <w:rFonts w:ascii="Times New Roman"/>
                <w:sz w:val="21"/>
              </w:rPr>
            </w:pPr>
            <w:r>
              <w:rPr>
                <w:rFonts w:ascii="Times New Roman"/>
                <w:w w:val="99"/>
                <w:sz w:val="21"/>
              </w:rPr>
              <w:t>1</w:t>
            </w:r>
          </w:p>
        </w:tc>
        <w:tc>
          <w:tcPr>
            <w:tcW w:w="699" w:type="dxa"/>
          </w:tcPr>
          <w:p w14:paraId="2DB5BCA9">
            <w:pPr>
              <w:pStyle w:val="14"/>
              <w:spacing w:before="90"/>
              <w:ind w:left="8"/>
              <w:jc w:val="center"/>
              <w:rPr>
                <w:sz w:val="21"/>
              </w:rPr>
            </w:pPr>
            <w:r>
              <w:rPr>
                <w:w w:val="99"/>
                <w:sz w:val="21"/>
              </w:rPr>
              <w:t>台</w:t>
            </w:r>
          </w:p>
        </w:tc>
        <w:tc>
          <w:tcPr>
            <w:tcW w:w="1686" w:type="dxa"/>
          </w:tcPr>
          <w:p w14:paraId="1BCC9E2A">
            <w:pPr>
              <w:pStyle w:val="14"/>
              <w:rPr>
                <w:rFonts w:ascii="Times New Roman"/>
                <w:sz w:val="20"/>
              </w:rPr>
            </w:pPr>
          </w:p>
        </w:tc>
      </w:tr>
      <w:tr w14:paraId="04963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E74CA61">
            <w:pPr>
              <w:pStyle w:val="14"/>
              <w:spacing w:before="106"/>
              <w:ind w:left="86" w:right="78"/>
              <w:jc w:val="center"/>
              <w:rPr>
                <w:rFonts w:ascii="Times New Roman"/>
                <w:sz w:val="21"/>
              </w:rPr>
            </w:pPr>
            <w:r>
              <w:rPr>
                <w:rFonts w:ascii="Times New Roman"/>
                <w:sz w:val="21"/>
              </w:rPr>
              <w:t>17</w:t>
            </w:r>
          </w:p>
        </w:tc>
        <w:tc>
          <w:tcPr>
            <w:tcW w:w="2007" w:type="dxa"/>
          </w:tcPr>
          <w:p w14:paraId="30BD2F17">
            <w:pPr>
              <w:pStyle w:val="14"/>
              <w:spacing w:before="90"/>
              <w:ind w:left="132" w:right="125"/>
              <w:jc w:val="center"/>
              <w:rPr>
                <w:sz w:val="21"/>
              </w:rPr>
            </w:pPr>
            <w:r>
              <w:rPr>
                <w:sz w:val="21"/>
              </w:rPr>
              <w:t>电热干燥箱</w:t>
            </w:r>
          </w:p>
        </w:tc>
        <w:tc>
          <w:tcPr>
            <w:tcW w:w="2808" w:type="dxa"/>
          </w:tcPr>
          <w:p w14:paraId="07920036">
            <w:pPr>
              <w:pStyle w:val="14"/>
              <w:spacing w:before="20"/>
              <w:ind w:left="203" w:right="198"/>
              <w:jc w:val="center"/>
              <w:rPr>
                <w:rFonts w:ascii="Times New Roman"/>
                <w:sz w:val="21"/>
              </w:rPr>
            </w:pPr>
            <w:r>
              <w:rPr>
                <w:rFonts w:ascii="Times New Roman"/>
                <w:sz w:val="21"/>
              </w:rPr>
              <w:t>101-A0</w:t>
            </w:r>
          </w:p>
        </w:tc>
        <w:tc>
          <w:tcPr>
            <w:tcW w:w="684" w:type="dxa"/>
          </w:tcPr>
          <w:p w14:paraId="3B885BD5">
            <w:pPr>
              <w:pStyle w:val="14"/>
              <w:spacing w:before="106"/>
              <w:ind w:left="5"/>
              <w:jc w:val="center"/>
              <w:rPr>
                <w:rFonts w:ascii="Times New Roman"/>
                <w:sz w:val="21"/>
              </w:rPr>
            </w:pPr>
            <w:r>
              <w:rPr>
                <w:rFonts w:ascii="Times New Roman"/>
                <w:w w:val="99"/>
                <w:sz w:val="21"/>
              </w:rPr>
              <w:t>2</w:t>
            </w:r>
          </w:p>
        </w:tc>
        <w:tc>
          <w:tcPr>
            <w:tcW w:w="699" w:type="dxa"/>
          </w:tcPr>
          <w:p w14:paraId="416B3407">
            <w:pPr>
              <w:pStyle w:val="14"/>
              <w:spacing w:before="90"/>
              <w:ind w:left="8"/>
              <w:jc w:val="center"/>
              <w:rPr>
                <w:sz w:val="21"/>
              </w:rPr>
            </w:pPr>
            <w:r>
              <w:rPr>
                <w:w w:val="99"/>
                <w:sz w:val="21"/>
              </w:rPr>
              <w:t>台</w:t>
            </w:r>
          </w:p>
        </w:tc>
        <w:tc>
          <w:tcPr>
            <w:tcW w:w="1686" w:type="dxa"/>
          </w:tcPr>
          <w:p w14:paraId="654144EA">
            <w:pPr>
              <w:pStyle w:val="14"/>
              <w:rPr>
                <w:rFonts w:ascii="Times New Roman"/>
                <w:sz w:val="20"/>
              </w:rPr>
            </w:pPr>
          </w:p>
        </w:tc>
      </w:tr>
      <w:tr w14:paraId="6F4F8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A25A666">
            <w:pPr>
              <w:pStyle w:val="14"/>
              <w:spacing w:before="105"/>
              <w:ind w:left="86" w:right="78"/>
              <w:jc w:val="center"/>
              <w:rPr>
                <w:rFonts w:ascii="Times New Roman"/>
                <w:sz w:val="21"/>
              </w:rPr>
            </w:pPr>
            <w:r>
              <w:rPr>
                <w:rFonts w:ascii="Times New Roman"/>
                <w:sz w:val="21"/>
              </w:rPr>
              <w:t>18</w:t>
            </w:r>
          </w:p>
        </w:tc>
        <w:tc>
          <w:tcPr>
            <w:tcW w:w="2007" w:type="dxa"/>
          </w:tcPr>
          <w:p w14:paraId="35A593F3">
            <w:pPr>
              <w:pStyle w:val="14"/>
              <w:spacing w:before="91"/>
              <w:ind w:left="132" w:right="125"/>
              <w:jc w:val="center"/>
              <w:rPr>
                <w:sz w:val="21"/>
              </w:rPr>
            </w:pPr>
            <w:r>
              <w:rPr>
                <w:sz w:val="21"/>
              </w:rPr>
              <w:t>恒温水浴锅</w:t>
            </w:r>
          </w:p>
        </w:tc>
        <w:tc>
          <w:tcPr>
            <w:tcW w:w="2808" w:type="dxa"/>
          </w:tcPr>
          <w:p w14:paraId="07BDD27A">
            <w:pPr>
              <w:pStyle w:val="14"/>
              <w:spacing w:before="19"/>
              <w:ind w:left="206" w:right="198"/>
              <w:jc w:val="center"/>
              <w:rPr>
                <w:rFonts w:ascii="Times New Roman"/>
                <w:sz w:val="21"/>
              </w:rPr>
            </w:pPr>
            <w:r>
              <w:rPr>
                <w:rFonts w:ascii="Times New Roman"/>
                <w:sz w:val="21"/>
              </w:rPr>
              <w:t>HH.S21-Ni4</w:t>
            </w:r>
          </w:p>
        </w:tc>
        <w:tc>
          <w:tcPr>
            <w:tcW w:w="684" w:type="dxa"/>
          </w:tcPr>
          <w:p w14:paraId="1A39A5C4">
            <w:pPr>
              <w:pStyle w:val="14"/>
              <w:spacing w:before="105"/>
              <w:ind w:left="5"/>
              <w:jc w:val="center"/>
              <w:rPr>
                <w:rFonts w:ascii="Times New Roman"/>
                <w:sz w:val="21"/>
              </w:rPr>
            </w:pPr>
            <w:r>
              <w:rPr>
                <w:rFonts w:ascii="Times New Roman"/>
                <w:w w:val="99"/>
                <w:sz w:val="21"/>
              </w:rPr>
              <w:t>1</w:t>
            </w:r>
          </w:p>
        </w:tc>
        <w:tc>
          <w:tcPr>
            <w:tcW w:w="699" w:type="dxa"/>
          </w:tcPr>
          <w:p w14:paraId="569170F2">
            <w:pPr>
              <w:pStyle w:val="14"/>
              <w:spacing w:before="91"/>
              <w:ind w:left="8"/>
              <w:jc w:val="center"/>
              <w:rPr>
                <w:sz w:val="21"/>
              </w:rPr>
            </w:pPr>
            <w:r>
              <w:rPr>
                <w:w w:val="99"/>
                <w:sz w:val="21"/>
              </w:rPr>
              <w:t>台</w:t>
            </w:r>
          </w:p>
        </w:tc>
        <w:tc>
          <w:tcPr>
            <w:tcW w:w="1686" w:type="dxa"/>
          </w:tcPr>
          <w:p w14:paraId="48A81274">
            <w:pPr>
              <w:pStyle w:val="14"/>
              <w:rPr>
                <w:rFonts w:ascii="Times New Roman"/>
                <w:sz w:val="20"/>
              </w:rPr>
            </w:pPr>
          </w:p>
        </w:tc>
      </w:tr>
      <w:tr w14:paraId="2FE0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642A180">
            <w:pPr>
              <w:pStyle w:val="14"/>
              <w:spacing w:before="107"/>
              <w:ind w:left="86" w:right="78"/>
              <w:jc w:val="center"/>
              <w:rPr>
                <w:rFonts w:ascii="Times New Roman"/>
                <w:sz w:val="21"/>
              </w:rPr>
            </w:pPr>
            <w:r>
              <w:rPr>
                <w:rFonts w:ascii="Times New Roman"/>
                <w:sz w:val="21"/>
              </w:rPr>
              <w:t>19</w:t>
            </w:r>
          </w:p>
        </w:tc>
        <w:tc>
          <w:tcPr>
            <w:tcW w:w="2007" w:type="dxa"/>
          </w:tcPr>
          <w:p w14:paraId="2A5A8D88">
            <w:pPr>
              <w:pStyle w:val="14"/>
              <w:spacing w:before="91"/>
              <w:ind w:left="132" w:right="125"/>
              <w:jc w:val="center"/>
              <w:rPr>
                <w:sz w:val="21"/>
              </w:rPr>
            </w:pPr>
            <w:r>
              <w:rPr>
                <w:sz w:val="21"/>
              </w:rPr>
              <w:t>高压消毒锅</w:t>
            </w:r>
          </w:p>
        </w:tc>
        <w:tc>
          <w:tcPr>
            <w:tcW w:w="2808" w:type="dxa"/>
          </w:tcPr>
          <w:p w14:paraId="3402196A">
            <w:pPr>
              <w:pStyle w:val="14"/>
              <w:spacing w:before="20"/>
              <w:ind w:left="206" w:right="197"/>
              <w:jc w:val="center"/>
              <w:rPr>
                <w:rFonts w:ascii="Times New Roman"/>
                <w:sz w:val="21"/>
              </w:rPr>
            </w:pPr>
            <w:r>
              <w:rPr>
                <w:rFonts w:ascii="Times New Roman"/>
                <w:sz w:val="21"/>
              </w:rPr>
              <w:t>FY-100L</w:t>
            </w:r>
          </w:p>
        </w:tc>
        <w:tc>
          <w:tcPr>
            <w:tcW w:w="684" w:type="dxa"/>
          </w:tcPr>
          <w:p w14:paraId="1F6E2EC2">
            <w:pPr>
              <w:pStyle w:val="14"/>
              <w:spacing w:before="107"/>
              <w:ind w:left="5"/>
              <w:jc w:val="center"/>
              <w:rPr>
                <w:rFonts w:ascii="Times New Roman"/>
                <w:sz w:val="21"/>
              </w:rPr>
            </w:pPr>
            <w:r>
              <w:rPr>
                <w:rFonts w:ascii="Times New Roman"/>
                <w:w w:val="99"/>
                <w:sz w:val="21"/>
              </w:rPr>
              <w:t>2</w:t>
            </w:r>
          </w:p>
        </w:tc>
        <w:tc>
          <w:tcPr>
            <w:tcW w:w="699" w:type="dxa"/>
          </w:tcPr>
          <w:p w14:paraId="0B14EDD5">
            <w:pPr>
              <w:pStyle w:val="14"/>
              <w:spacing w:before="91"/>
              <w:ind w:left="8"/>
              <w:jc w:val="center"/>
              <w:rPr>
                <w:sz w:val="21"/>
              </w:rPr>
            </w:pPr>
            <w:r>
              <w:rPr>
                <w:w w:val="99"/>
                <w:sz w:val="21"/>
              </w:rPr>
              <w:t>台</w:t>
            </w:r>
          </w:p>
        </w:tc>
        <w:tc>
          <w:tcPr>
            <w:tcW w:w="1686" w:type="dxa"/>
          </w:tcPr>
          <w:p w14:paraId="66F9F61D">
            <w:pPr>
              <w:pStyle w:val="14"/>
              <w:rPr>
                <w:rFonts w:ascii="Times New Roman"/>
                <w:sz w:val="20"/>
              </w:rPr>
            </w:pPr>
          </w:p>
        </w:tc>
      </w:tr>
      <w:tr w14:paraId="651E2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B9892E7">
            <w:pPr>
              <w:pStyle w:val="14"/>
              <w:spacing w:before="106"/>
              <w:ind w:left="86" w:right="78"/>
              <w:jc w:val="center"/>
              <w:rPr>
                <w:rFonts w:ascii="Times New Roman"/>
                <w:sz w:val="21"/>
              </w:rPr>
            </w:pPr>
            <w:r>
              <w:rPr>
                <w:rFonts w:ascii="Times New Roman"/>
                <w:sz w:val="21"/>
              </w:rPr>
              <w:t>20</w:t>
            </w:r>
          </w:p>
        </w:tc>
        <w:tc>
          <w:tcPr>
            <w:tcW w:w="2007" w:type="dxa"/>
          </w:tcPr>
          <w:p w14:paraId="60258FA7">
            <w:pPr>
              <w:pStyle w:val="14"/>
              <w:spacing w:before="90"/>
              <w:ind w:left="132" w:right="127"/>
              <w:jc w:val="center"/>
              <w:rPr>
                <w:sz w:val="21"/>
              </w:rPr>
            </w:pPr>
            <w:r>
              <w:rPr>
                <w:sz w:val="21"/>
              </w:rPr>
              <w:t>固相萃取装置</w:t>
            </w:r>
          </w:p>
        </w:tc>
        <w:tc>
          <w:tcPr>
            <w:tcW w:w="2808" w:type="dxa"/>
          </w:tcPr>
          <w:p w14:paraId="6391D9F9">
            <w:pPr>
              <w:pStyle w:val="14"/>
              <w:spacing w:before="20"/>
              <w:ind w:left="206" w:right="197"/>
              <w:jc w:val="center"/>
              <w:rPr>
                <w:rFonts w:ascii="Times New Roman"/>
                <w:sz w:val="21"/>
              </w:rPr>
            </w:pPr>
            <w:r>
              <w:rPr>
                <w:rFonts w:ascii="Times New Roman"/>
                <w:sz w:val="21"/>
              </w:rPr>
              <w:t>NAI-FXCQY-24B</w:t>
            </w:r>
          </w:p>
        </w:tc>
        <w:tc>
          <w:tcPr>
            <w:tcW w:w="684" w:type="dxa"/>
          </w:tcPr>
          <w:p w14:paraId="4CCC0E59">
            <w:pPr>
              <w:pStyle w:val="14"/>
              <w:spacing w:before="106"/>
              <w:ind w:left="5"/>
              <w:jc w:val="center"/>
              <w:rPr>
                <w:rFonts w:ascii="Times New Roman"/>
                <w:sz w:val="21"/>
              </w:rPr>
            </w:pPr>
            <w:r>
              <w:rPr>
                <w:rFonts w:ascii="Times New Roman"/>
                <w:w w:val="99"/>
                <w:sz w:val="21"/>
              </w:rPr>
              <w:t>1</w:t>
            </w:r>
          </w:p>
        </w:tc>
        <w:tc>
          <w:tcPr>
            <w:tcW w:w="699" w:type="dxa"/>
          </w:tcPr>
          <w:p w14:paraId="294552C6">
            <w:pPr>
              <w:pStyle w:val="14"/>
              <w:spacing w:before="90"/>
              <w:ind w:left="8"/>
              <w:jc w:val="center"/>
              <w:rPr>
                <w:sz w:val="21"/>
              </w:rPr>
            </w:pPr>
            <w:r>
              <w:rPr>
                <w:w w:val="99"/>
                <w:sz w:val="21"/>
              </w:rPr>
              <w:t>台</w:t>
            </w:r>
          </w:p>
        </w:tc>
        <w:tc>
          <w:tcPr>
            <w:tcW w:w="1686" w:type="dxa"/>
          </w:tcPr>
          <w:p w14:paraId="2D9B7F49">
            <w:pPr>
              <w:pStyle w:val="14"/>
              <w:rPr>
                <w:rFonts w:ascii="Times New Roman"/>
                <w:sz w:val="20"/>
              </w:rPr>
            </w:pPr>
          </w:p>
        </w:tc>
      </w:tr>
      <w:tr w14:paraId="36291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B4657FB">
            <w:pPr>
              <w:pStyle w:val="14"/>
              <w:spacing w:before="105"/>
              <w:ind w:left="86" w:right="78"/>
              <w:jc w:val="center"/>
              <w:rPr>
                <w:rFonts w:ascii="Times New Roman"/>
                <w:sz w:val="21"/>
              </w:rPr>
            </w:pPr>
            <w:r>
              <w:rPr>
                <w:rFonts w:ascii="Times New Roman"/>
                <w:sz w:val="21"/>
              </w:rPr>
              <w:t>21</w:t>
            </w:r>
          </w:p>
        </w:tc>
        <w:tc>
          <w:tcPr>
            <w:tcW w:w="2007" w:type="dxa"/>
          </w:tcPr>
          <w:p w14:paraId="03B2C4D8">
            <w:pPr>
              <w:pStyle w:val="14"/>
              <w:spacing w:before="91"/>
              <w:ind w:left="132" w:right="127"/>
              <w:jc w:val="center"/>
              <w:rPr>
                <w:sz w:val="21"/>
              </w:rPr>
            </w:pPr>
            <w:r>
              <w:rPr>
                <w:sz w:val="21"/>
              </w:rPr>
              <w:t>全自动滴定仪</w:t>
            </w:r>
          </w:p>
        </w:tc>
        <w:tc>
          <w:tcPr>
            <w:tcW w:w="2808" w:type="dxa"/>
          </w:tcPr>
          <w:p w14:paraId="2073592E">
            <w:pPr>
              <w:pStyle w:val="14"/>
              <w:spacing w:before="19"/>
              <w:ind w:left="203" w:right="198"/>
              <w:jc w:val="center"/>
              <w:rPr>
                <w:rFonts w:ascii="Times New Roman"/>
                <w:sz w:val="21"/>
              </w:rPr>
            </w:pPr>
            <w:r>
              <w:rPr>
                <w:rFonts w:ascii="Times New Roman"/>
                <w:sz w:val="21"/>
              </w:rPr>
              <w:t>BLH-8800</w:t>
            </w:r>
          </w:p>
        </w:tc>
        <w:tc>
          <w:tcPr>
            <w:tcW w:w="684" w:type="dxa"/>
          </w:tcPr>
          <w:p w14:paraId="79B3EED8">
            <w:pPr>
              <w:pStyle w:val="14"/>
              <w:spacing w:before="105"/>
              <w:ind w:left="5"/>
              <w:jc w:val="center"/>
              <w:rPr>
                <w:rFonts w:ascii="Times New Roman"/>
                <w:sz w:val="21"/>
              </w:rPr>
            </w:pPr>
            <w:r>
              <w:rPr>
                <w:rFonts w:ascii="Times New Roman"/>
                <w:w w:val="99"/>
                <w:sz w:val="21"/>
              </w:rPr>
              <w:t>1</w:t>
            </w:r>
          </w:p>
        </w:tc>
        <w:tc>
          <w:tcPr>
            <w:tcW w:w="699" w:type="dxa"/>
          </w:tcPr>
          <w:p w14:paraId="039D6287">
            <w:pPr>
              <w:pStyle w:val="14"/>
              <w:spacing w:before="91"/>
              <w:ind w:left="8"/>
              <w:jc w:val="center"/>
              <w:rPr>
                <w:sz w:val="21"/>
              </w:rPr>
            </w:pPr>
            <w:r>
              <w:rPr>
                <w:w w:val="99"/>
                <w:sz w:val="21"/>
              </w:rPr>
              <w:t>台</w:t>
            </w:r>
          </w:p>
        </w:tc>
        <w:tc>
          <w:tcPr>
            <w:tcW w:w="1686" w:type="dxa"/>
          </w:tcPr>
          <w:p w14:paraId="2DA9AEEB">
            <w:pPr>
              <w:pStyle w:val="14"/>
              <w:rPr>
                <w:rFonts w:ascii="Times New Roman"/>
                <w:sz w:val="20"/>
              </w:rPr>
            </w:pPr>
          </w:p>
        </w:tc>
      </w:tr>
      <w:tr w14:paraId="1BA8D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ACFCD56">
            <w:pPr>
              <w:pStyle w:val="14"/>
              <w:spacing w:before="107"/>
              <w:ind w:left="86" w:right="78"/>
              <w:jc w:val="center"/>
              <w:rPr>
                <w:rFonts w:ascii="Times New Roman"/>
                <w:sz w:val="21"/>
              </w:rPr>
            </w:pPr>
            <w:r>
              <w:rPr>
                <w:rFonts w:ascii="Times New Roman"/>
                <w:sz w:val="21"/>
              </w:rPr>
              <w:t>22</w:t>
            </w:r>
          </w:p>
        </w:tc>
        <w:tc>
          <w:tcPr>
            <w:tcW w:w="2007" w:type="dxa"/>
          </w:tcPr>
          <w:p w14:paraId="291DEED7">
            <w:pPr>
              <w:pStyle w:val="14"/>
              <w:spacing w:before="90"/>
              <w:ind w:left="132" w:right="127"/>
              <w:jc w:val="center"/>
              <w:rPr>
                <w:sz w:val="21"/>
              </w:rPr>
            </w:pPr>
            <w:r>
              <w:rPr>
                <w:sz w:val="21"/>
              </w:rPr>
              <w:t>超声波清洗器</w:t>
            </w:r>
          </w:p>
        </w:tc>
        <w:tc>
          <w:tcPr>
            <w:tcW w:w="2808" w:type="dxa"/>
          </w:tcPr>
          <w:p w14:paraId="7F1E5E1C">
            <w:pPr>
              <w:pStyle w:val="14"/>
              <w:spacing w:before="20"/>
              <w:ind w:left="206" w:right="198"/>
              <w:jc w:val="center"/>
              <w:rPr>
                <w:rFonts w:ascii="Times New Roman"/>
                <w:sz w:val="21"/>
              </w:rPr>
            </w:pPr>
            <w:r>
              <w:rPr>
                <w:rFonts w:ascii="Times New Roman"/>
                <w:sz w:val="21"/>
              </w:rPr>
              <w:t>TYHD-600</w:t>
            </w:r>
          </w:p>
        </w:tc>
        <w:tc>
          <w:tcPr>
            <w:tcW w:w="684" w:type="dxa"/>
          </w:tcPr>
          <w:p w14:paraId="13442231">
            <w:pPr>
              <w:pStyle w:val="14"/>
              <w:spacing w:before="107"/>
              <w:ind w:left="5"/>
              <w:jc w:val="center"/>
              <w:rPr>
                <w:rFonts w:ascii="Times New Roman"/>
                <w:sz w:val="21"/>
              </w:rPr>
            </w:pPr>
            <w:r>
              <w:rPr>
                <w:rFonts w:ascii="Times New Roman"/>
                <w:w w:val="99"/>
                <w:sz w:val="21"/>
              </w:rPr>
              <w:t>1</w:t>
            </w:r>
          </w:p>
        </w:tc>
        <w:tc>
          <w:tcPr>
            <w:tcW w:w="699" w:type="dxa"/>
          </w:tcPr>
          <w:p w14:paraId="0A78F932">
            <w:pPr>
              <w:pStyle w:val="14"/>
              <w:spacing w:before="90"/>
              <w:ind w:left="8"/>
              <w:jc w:val="center"/>
              <w:rPr>
                <w:sz w:val="21"/>
              </w:rPr>
            </w:pPr>
            <w:r>
              <w:rPr>
                <w:w w:val="99"/>
                <w:sz w:val="21"/>
              </w:rPr>
              <w:t>台</w:t>
            </w:r>
          </w:p>
        </w:tc>
        <w:tc>
          <w:tcPr>
            <w:tcW w:w="1686" w:type="dxa"/>
          </w:tcPr>
          <w:p w14:paraId="05811081">
            <w:pPr>
              <w:pStyle w:val="14"/>
              <w:rPr>
                <w:rFonts w:ascii="Times New Roman"/>
                <w:sz w:val="20"/>
              </w:rPr>
            </w:pPr>
          </w:p>
        </w:tc>
      </w:tr>
      <w:tr w14:paraId="37308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3EFA15C4">
            <w:pPr>
              <w:pStyle w:val="14"/>
              <w:spacing w:before="106"/>
              <w:ind w:left="86" w:right="78"/>
              <w:jc w:val="center"/>
              <w:rPr>
                <w:rFonts w:ascii="Times New Roman"/>
                <w:sz w:val="21"/>
              </w:rPr>
            </w:pPr>
            <w:r>
              <w:rPr>
                <w:rFonts w:ascii="Times New Roman"/>
                <w:sz w:val="21"/>
              </w:rPr>
              <w:t>23</w:t>
            </w:r>
          </w:p>
        </w:tc>
        <w:tc>
          <w:tcPr>
            <w:tcW w:w="2007" w:type="dxa"/>
          </w:tcPr>
          <w:p w14:paraId="37EE0AC3">
            <w:pPr>
              <w:pStyle w:val="14"/>
              <w:spacing w:before="90"/>
              <w:ind w:left="132" w:right="125"/>
              <w:jc w:val="center"/>
              <w:rPr>
                <w:sz w:val="21"/>
              </w:rPr>
            </w:pPr>
            <w:r>
              <w:rPr>
                <w:sz w:val="21"/>
              </w:rPr>
              <w:t>实验室台</w:t>
            </w:r>
          </w:p>
        </w:tc>
        <w:tc>
          <w:tcPr>
            <w:tcW w:w="2808" w:type="dxa"/>
          </w:tcPr>
          <w:p w14:paraId="0F35F89A">
            <w:pPr>
              <w:pStyle w:val="14"/>
              <w:spacing w:before="20"/>
              <w:ind w:left="203" w:right="198"/>
              <w:jc w:val="center"/>
              <w:rPr>
                <w:rFonts w:ascii="Times New Roman"/>
                <w:sz w:val="21"/>
              </w:rPr>
            </w:pPr>
            <w:r>
              <w:rPr>
                <w:rFonts w:ascii="Times New Roman"/>
                <w:sz w:val="21"/>
              </w:rPr>
              <w:t>LM-GMZ-001</w:t>
            </w:r>
          </w:p>
        </w:tc>
        <w:tc>
          <w:tcPr>
            <w:tcW w:w="684" w:type="dxa"/>
          </w:tcPr>
          <w:p w14:paraId="521DFB6C">
            <w:pPr>
              <w:pStyle w:val="14"/>
              <w:spacing w:before="106"/>
              <w:ind w:left="5"/>
              <w:jc w:val="center"/>
              <w:rPr>
                <w:rFonts w:ascii="Times New Roman"/>
                <w:sz w:val="21"/>
              </w:rPr>
            </w:pPr>
            <w:r>
              <w:rPr>
                <w:rFonts w:ascii="Times New Roman"/>
                <w:w w:val="99"/>
                <w:sz w:val="21"/>
              </w:rPr>
              <w:t>1</w:t>
            </w:r>
          </w:p>
        </w:tc>
        <w:tc>
          <w:tcPr>
            <w:tcW w:w="699" w:type="dxa"/>
          </w:tcPr>
          <w:p w14:paraId="2A4ACF6C">
            <w:pPr>
              <w:pStyle w:val="14"/>
              <w:spacing w:before="90"/>
              <w:ind w:left="8"/>
              <w:jc w:val="center"/>
              <w:rPr>
                <w:sz w:val="21"/>
              </w:rPr>
            </w:pPr>
            <w:r>
              <w:rPr>
                <w:w w:val="99"/>
                <w:sz w:val="21"/>
              </w:rPr>
              <w:t>台</w:t>
            </w:r>
          </w:p>
        </w:tc>
        <w:tc>
          <w:tcPr>
            <w:tcW w:w="1686" w:type="dxa"/>
          </w:tcPr>
          <w:p w14:paraId="0C2F5C0B">
            <w:pPr>
              <w:pStyle w:val="14"/>
              <w:rPr>
                <w:rFonts w:ascii="Times New Roman"/>
                <w:sz w:val="20"/>
              </w:rPr>
            </w:pPr>
          </w:p>
        </w:tc>
      </w:tr>
      <w:tr w14:paraId="2CB9D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C83BB3D">
            <w:pPr>
              <w:pStyle w:val="14"/>
              <w:spacing w:before="105"/>
              <w:ind w:left="86" w:right="78"/>
              <w:jc w:val="center"/>
              <w:rPr>
                <w:rFonts w:ascii="Times New Roman"/>
                <w:sz w:val="21"/>
              </w:rPr>
            </w:pPr>
            <w:r>
              <w:rPr>
                <w:rFonts w:ascii="Times New Roman"/>
                <w:sz w:val="21"/>
              </w:rPr>
              <w:t>24</w:t>
            </w:r>
          </w:p>
        </w:tc>
        <w:tc>
          <w:tcPr>
            <w:tcW w:w="2007" w:type="dxa"/>
          </w:tcPr>
          <w:p w14:paraId="05671701">
            <w:pPr>
              <w:pStyle w:val="14"/>
              <w:spacing w:before="91"/>
              <w:ind w:left="132" w:right="127"/>
              <w:jc w:val="center"/>
              <w:rPr>
                <w:sz w:val="21"/>
              </w:rPr>
            </w:pPr>
            <w:r>
              <w:rPr>
                <w:sz w:val="21"/>
              </w:rPr>
              <w:t>气瓶柜</w:t>
            </w:r>
          </w:p>
        </w:tc>
        <w:tc>
          <w:tcPr>
            <w:tcW w:w="2808" w:type="dxa"/>
          </w:tcPr>
          <w:p w14:paraId="4C8F6C0B">
            <w:pPr>
              <w:pStyle w:val="14"/>
              <w:spacing w:before="19"/>
              <w:ind w:left="205" w:right="198"/>
              <w:jc w:val="center"/>
              <w:rPr>
                <w:rFonts w:ascii="Times New Roman"/>
                <w:sz w:val="21"/>
              </w:rPr>
            </w:pPr>
            <w:r>
              <w:rPr>
                <w:rFonts w:ascii="Times New Roman"/>
                <w:sz w:val="21"/>
              </w:rPr>
              <w:t>LCQPG-1S</w:t>
            </w:r>
          </w:p>
        </w:tc>
        <w:tc>
          <w:tcPr>
            <w:tcW w:w="684" w:type="dxa"/>
          </w:tcPr>
          <w:p w14:paraId="7481A3A6">
            <w:pPr>
              <w:pStyle w:val="14"/>
              <w:spacing w:before="105"/>
              <w:ind w:left="5"/>
              <w:jc w:val="center"/>
              <w:rPr>
                <w:rFonts w:ascii="Times New Roman"/>
                <w:sz w:val="21"/>
              </w:rPr>
            </w:pPr>
            <w:r>
              <w:rPr>
                <w:rFonts w:ascii="Times New Roman"/>
                <w:w w:val="99"/>
                <w:sz w:val="21"/>
              </w:rPr>
              <w:t>3</w:t>
            </w:r>
          </w:p>
        </w:tc>
        <w:tc>
          <w:tcPr>
            <w:tcW w:w="699" w:type="dxa"/>
          </w:tcPr>
          <w:p w14:paraId="64B1820E">
            <w:pPr>
              <w:pStyle w:val="14"/>
              <w:spacing w:before="91"/>
              <w:ind w:left="8"/>
              <w:jc w:val="center"/>
              <w:rPr>
                <w:sz w:val="21"/>
              </w:rPr>
            </w:pPr>
            <w:r>
              <w:rPr>
                <w:w w:val="99"/>
                <w:sz w:val="21"/>
              </w:rPr>
              <w:t>台</w:t>
            </w:r>
          </w:p>
        </w:tc>
        <w:tc>
          <w:tcPr>
            <w:tcW w:w="1686" w:type="dxa"/>
          </w:tcPr>
          <w:p w14:paraId="327A186F">
            <w:pPr>
              <w:pStyle w:val="14"/>
              <w:rPr>
                <w:rFonts w:ascii="Times New Roman"/>
                <w:sz w:val="20"/>
              </w:rPr>
            </w:pPr>
          </w:p>
        </w:tc>
      </w:tr>
      <w:tr w14:paraId="5E6D2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AF7C267">
            <w:pPr>
              <w:pStyle w:val="14"/>
              <w:spacing w:before="107"/>
              <w:ind w:left="86" w:right="78"/>
              <w:jc w:val="center"/>
              <w:rPr>
                <w:rFonts w:ascii="Times New Roman"/>
                <w:sz w:val="21"/>
              </w:rPr>
            </w:pPr>
            <w:r>
              <w:rPr>
                <w:rFonts w:ascii="Times New Roman"/>
                <w:sz w:val="21"/>
              </w:rPr>
              <w:t>25</w:t>
            </w:r>
          </w:p>
        </w:tc>
        <w:tc>
          <w:tcPr>
            <w:tcW w:w="2007" w:type="dxa"/>
          </w:tcPr>
          <w:p w14:paraId="3BB7A8D3">
            <w:pPr>
              <w:pStyle w:val="14"/>
              <w:spacing w:before="90"/>
              <w:ind w:left="132" w:right="127"/>
              <w:jc w:val="center"/>
              <w:rPr>
                <w:sz w:val="21"/>
              </w:rPr>
            </w:pPr>
            <w:r>
              <w:rPr>
                <w:sz w:val="21"/>
              </w:rPr>
              <w:t>器皿柜</w:t>
            </w:r>
          </w:p>
        </w:tc>
        <w:tc>
          <w:tcPr>
            <w:tcW w:w="2808" w:type="dxa"/>
          </w:tcPr>
          <w:p w14:paraId="6D871F3B">
            <w:pPr>
              <w:pStyle w:val="14"/>
              <w:spacing w:before="20"/>
              <w:ind w:left="204" w:right="198"/>
              <w:jc w:val="center"/>
              <w:rPr>
                <w:rFonts w:ascii="Times New Roman"/>
                <w:sz w:val="21"/>
              </w:rPr>
            </w:pPr>
            <w:r>
              <w:rPr>
                <w:rFonts w:ascii="Times New Roman"/>
                <w:sz w:val="21"/>
              </w:rPr>
              <w:t>LCYPGG</w:t>
            </w:r>
          </w:p>
        </w:tc>
        <w:tc>
          <w:tcPr>
            <w:tcW w:w="684" w:type="dxa"/>
          </w:tcPr>
          <w:p w14:paraId="32D1DAD2">
            <w:pPr>
              <w:pStyle w:val="14"/>
              <w:spacing w:before="107"/>
              <w:ind w:left="5"/>
              <w:jc w:val="center"/>
              <w:rPr>
                <w:rFonts w:ascii="Times New Roman"/>
                <w:sz w:val="21"/>
              </w:rPr>
            </w:pPr>
            <w:r>
              <w:rPr>
                <w:rFonts w:ascii="Times New Roman"/>
                <w:w w:val="99"/>
                <w:sz w:val="21"/>
              </w:rPr>
              <w:t>8</w:t>
            </w:r>
          </w:p>
        </w:tc>
        <w:tc>
          <w:tcPr>
            <w:tcW w:w="699" w:type="dxa"/>
          </w:tcPr>
          <w:p w14:paraId="5E834310">
            <w:pPr>
              <w:pStyle w:val="14"/>
              <w:spacing w:before="90"/>
              <w:ind w:left="8"/>
              <w:jc w:val="center"/>
              <w:rPr>
                <w:sz w:val="21"/>
              </w:rPr>
            </w:pPr>
            <w:r>
              <w:rPr>
                <w:w w:val="99"/>
                <w:sz w:val="21"/>
              </w:rPr>
              <w:t>台</w:t>
            </w:r>
          </w:p>
        </w:tc>
        <w:tc>
          <w:tcPr>
            <w:tcW w:w="1686" w:type="dxa"/>
          </w:tcPr>
          <w:p w14:paraId="3870C788">
            <w:pPr>
              <w:pStyle w:val="14"/>
              <w:rPr>
                <w:rFonts w:ascii="Times New Roman"/>
                <w:sz w:val="20"/>
              </w:rPr>
            </w:pPr>
          </w:p>
        </w:tc>
      </w:tr>
      <w:tr w14:paraId="0BB9A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10BACA1">
            <w:pPr>
              <w:pStyle w:val="14"/>
              <w:spacing w:before="106"/>
              <w:ind w:left="86" w:right="78"/>
              <w:jc w:val="center"/>
              <w:rPr>
                <w:rFonts w:ascii="Times New Roman"/>
                <w:sz w:val="21"/>
              </w:rPr>
            </w:pPr>
            <w:r>
              <w:rPr>
                <w:rFonts w:ascii="Times New Roman"/>
                <w:sz w:val="21"/>
              </w:rPr>
              <w:t>26</w:t>
            </w:r>
          </w:p>
        </w:tc>
        <w:tc>
          <w:tcPr>
            <w:tcW w:w="2007" w:type="dxa"/>
          </w:tcPr>
          <w:p w14:paraId="49409374">
            <w:pPr>
              <w:pStyle w:val="14"/>
              <w:spacing w:before="90"/>
              <w:ind w:left="132" w:right="127"/>
              <w:jc w:val="center"/>
              <w:rPr>
                <w:sz w:val="21"/>
              </w:rPr>
            </w:pPr>
            <w:r>
              <w:rPr>
                <w:sz w:val="21"/>
              </w:rPr>
              <w:t>冰箱</w:t>
            </w:r>
          </w:p>
        </w:tc>
        <w:tc>
          <w:tcPr>
            <w:tcW w:w="2808" w:type="dxa"/>
          </w:tcPr>
          <w:p w14:paraId="79EBE84A">
            <w:pPr>
              <w:pStyle w:val="14"/>
              <w:spacing w:before="20"/>
              <w:ind w:left="202" w:right="198"/>
              <w:jc w:val="center"/>
              <w:rPr>
                <w:rFonts w:ascii="Times New Roman"/>
                <w:sz w:val="21"/>
              </w:rPr>
            </w:pPr>
            <w:r>
              <w:rPr>
                <w:rFonts w:ascii="Times New Roman"/>
                <w:sz w:val="21"/>
              </w:rPr>
              <w:t>BCD-480WBPT</w:t>
            </w:r>
          </w:p>
        </w:tc>
        <w:tc>
          <w:tcPr>
            <w:tcW w:w="684" w:type="dxa"/>
          </w:tcPr>
          <w:p w14:paraId="6B743F60">
            <w:pPr>
              <w:pStyle w:val="14"/>
              <w:spacing w:before="106"/>
              <w:ind w:left="5"/>
              <w:jc w:val="center"/>
              <w:rPr>
                <w:rFonts w:ascii="Times New Roman"/>
                <w:sz w:val="21"/>
              </w:rPr>
            </w:pPr>
            <w:r>
              <w:rPr>
                <w:rFonts w:ascii="Times New Roman"/>
                <w:w w:val="99"/>
                <w:sz w:val="21"/>
              </w:rPr>
              <w:t>4</w:t>
            </w:r>
          </w:p>
        </w:tc>
        <w:tc>
          <w:tcPr>
            <w:tcW w:w="699" w:type="dxa"/>
          </w:tcPr>
          <w:p w14:paraId="40C470C3">
            <w:pPr>
              <w:pStyle w:val="14"/>
              <w:spacing w:before="90"/>
              <w:ind w:left="8"/>
              <w:jc w:val="center"/>
              <w:rPr>
                <w:sz w:val="21"/>
              </w:rPr>
            </w:pPr>
            <w:r>
              <w:rPr>
                <w:w w:val="99"/>
                <w:sz w:val="21"/>
              </w:rPr>
              <w:t>台</w:t>
            </w:r>
          </w:p>
        </w:tc>
        <w:tc>
          <w:tcPr>
            <w:tcW w:w="1686" w:type="dxa"/>
          </w:tcPr>
          <w:p w14:paraId="165834DE">
            <w:pPr>
              <w:pStyle w:val="14"/>
              <w:rPr>
                <w:rFonts w:ascii="Times New Roman"/>
                <w:sz w:val="20"/>
              </w:rPr>
            </w:pPr>
          </w:p>
        </w:tc>
      </w:tr>
      <w:tr w14:paraId="11966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6103105E">
            <w:pPr>
              <w:pStyle w:val="14"/>
              <w:spacing w:before="105"/>
              <w:ind w:left="86" w:right="78"/>
              <w:jc w:val="center"/>
              <w:rPr>
                <w:rFonts w:ascii="Times New Roman"/>
                <w:sz w:val="21"/>
              </w:rPr>
            </w:pPr>
            <w:r>
              <w:rPr>
                <w:rFonts w:ascii="Times New Roman"/>
                <w:sz w:val="21"/>
              </w:rPr>
              <w:t>27</w:t>
            </w:r>
          </w:p>
        </w:tc>
        <w:tc>
          <w:tcPr>
            <w:tcW w:w="2007" w:type="dxa"/>
          </w:tcPr>
          <w:p w14:paraId="5ACF6E4C">
            <w:pPr>
              <w:pStyle w:val="14"/>
              <w:spacing w:before="91"/>
              <w:ind w:left="132" w:right="127"/>
              <w:jc w:val="center"/>
              <w:rPr>
                <w:sz w:val="21"/>
              </w:rPr>
            </w:pPr>
            <w:r>
              <w:rPr>
                <w:sz w:val="21"/>
              </w:rPr>
              <w:t>冰柜</w:t>
            </w:r>
          </w:p>
        </w:tc>
        <w:tc>
          <w:tcPr>
            <w:tcW w:w="2808" w:type="dxa"/>
          </w:tcPr>
          <w:p w14:paraId="5B20E3F9">
            <w:pPr>
              <w:pStyle w:val="14"/>
              <w:spacing w:before="19"/>
              <w:ind w:left="204" w:right="198"/>
              <w:jc w:val="center"/>
              <w:rPr>
                <w:rFonts w:ascii="Times New Roman"/>
                <w:sz w:val="21"/>
              </w:rPr>
            </w:pPr>
            <w:r>
              <w:rPr>
                <w:rFonts w:ascii="Times New Roman"/>
                <w:sz w:val="21"/>
              </w:rPr>
              <w:t>BC/BD-318HD</w:t>
            </w:r>
          </w:p>
        </w:tc>
        <w:tc>
          <w:tcPr>
            <w:tcW w:w="684" w:type="dxa"/>
          </w:tcPr>
          <w:p w14:paraId="11CF2E15">
            <w:pPr>
              <w:pStyle w:val="14"/>
              <w:spacing w:before="105"/>
              <w:ind w:left="5"/>
              <w:jc w:val="center"/>
              <w:rPr>
                <w:rFonts w:ascii="Times New Roman"/>
                <w:sz w:val="21"/>
              </w:rPr>
            </w:pPr>
            <w:r>
              <w:rPr>
                <w:rFonts w:ascii="Times New Roman"/>
                <w:w w:val="99"/>
                <w:sz w:val="21"/>
              </w:rPr>
              <w:t>4</w:t>
            </w:r>
          </w:p>
        </w:tc>
        <w:tc>
          <w:tcPr>
            <w:tcW w:w="699" w:type="dxa"/>
          </w:tcPr>
          <w:p w14:paraId="6766B4B9">
            <w:pPr>
              <w:pStyle w:val="14"/>
              <w:spacing w:before="91"/>
              <w:ind w:left="8"/>
              <w:jc w:val="center"/>
              <w:rPr>
                <w:sz w:val="21"/>
              </w:rPr>
            </w:pPr>
            <w:r>
              <w:rPr>
                <w:w w:val="99"/>
                <w:sz w:val="21"/>
              </w:rPr>
              <w:t>台</w:t>
            </w:r>
          </w:p>
        </w:tc>
        <w:tc>
          <w:tcPr>
            <w:tcW w:w="1686" w:type="dxa"/>
          </w:tcPr>
          <w:p w14:paraId="5D07EBEC">
            <w:pPr>
              <w:pStyle w:val="14"/>
              <w:rPr>
                <w:rFonts w:ascii="Times New Roman"/>
                <w:sz w:val="20"/>
              </w:rPr>
            </w:pPr>
          </w:p>
        </w:tc>
      </w:tr>
      <w:tr w14:paraId="59722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6C06D5B3">
            <w:pPr>
              <w:pStyle w:val="14"/>
              <w:spacing w:before="107"/>
              <w:ind w:left="86" w:right="78"/>
              <w:jc w:val="center"/>
              <w:rPr>
                <w:rFonts w:ascii="Times New Roman"/>
                <w:sz w:val="21"/>
              </w:rPr>
            </w:pPr>
            <w:r>
              <w:rPr>
                <w:rFonts w:ascii="Times New Roman"/>
                <w:sz w:val="21"/>
              </w:rPr>
              <w:t>28</w:t>
            </w:r>
          </w:p>
        </w:tc>
        <w:tc>
          <w:tcPr>
            <w:tcW w:w="2007" w:type="dxa"/>
          </w:tcPr>
          <w:p w14:paraId="06BE7586">
            <w:pPr>
              <w:pStyle w:val="14"/>
              <w:spacing w:before="91"/>
              <w:ind w:left="132" w:right="127"/>
              <w:jc w:val="center"/>
              <w:rPr>
                <w:sz w:val="21"/>
              </w:rPr>
            </w:pPr>
            <w:r>
              <w:rPr>
                <w:sz w:val="21"/>
              </w:rPr>
              <w:t>通风柜</w:t>
            </w:r>
          </w:p>
        </w:tc>
        <w:tc>
          <w:tcPr>
            <w:tcW w:w="2808" w:type="dxa"/>
          </w:tcPr>
          <w:p w14:paraId="6C15952D">
            <w:pPr>
              <w:pStyle w:val="14"/>
              <w:spacing w:before="20"/>
              <w:ind w:left="206" w:right="196"/>
              <w:jc w:val="center"/>
              <w:rPr>
                <w:rFonts w:ascii="Times New Roman"/>
                <w:sz w:val="21"/>
              </w:rPr>
            </w:pPr>
            <w:r>
              <w:rPr>
                <w:rFonts w:ascii="Times New Roman"/>
                <w:sz w:val="21"/>
              </w:rPr>
              <w:t>PFH-120</w:t>
            </w:r>
          </w:p>
        </w:tc>
        <w:tc>
          <w:tcPr>
            <w:tcW w:w="684" w:type="dxa"/>
          </w:tcPr>
          <w:p w14:paraId="23C1F911">
            <w:pPr>
              <w:pStyle w:val="14"/>
              <w:spacing w:before="107"/>
              <w:ind w:left="5"/>
              <w:jc w:val="center"/>
              <w:rPr>
                <w:rFonts w:ascii="Times New Roman"/>
                <w:sz w:val="21"/>
              </w:rPr>
            </w:pPr>
            <w:r>
              <w:rPr>
                <w:rFonts w:ascii="Times New Roman"/>
                <w:w w:val="99"/>
                <w:sz w:val="21"/>
              </w:rPr>
              <w:t>3</w:t>
            </w:r>
          </w:p>
        </w:tc>
        <w:tc>
          <w:tcPr>
            <w:tcW w:w="699" w:type="dxa"/>
          </w:tcPr>
          <w:p w14:paraId="7A828770">
            <w:pPr>
              <w:pStyle w:val="14"/>
              <w:spacing w:before="91"/>
              <w:ind w:left="8"/>
              <w:jc w:val="center"/>
              <w:rPr>
                <w:sz w:val="21"/>
              </w:rPr>
            </w:pPr>
            <w:r>
              <w:rPr>
                <w:w w:val="99"/>
                <w:sz w:val="21"/>
              </w:rPr>
              <w:t>台</w:t>
            </w:r>
          </w:p>
        </w:tc>
        <w:tc>
          <w:tcPr>
            <w:tcW w:w="1686" w:type="dxa"/>
          </w:tcPr>
          <w:p w14:paraId="0C85B425">
            <w:pPr>
              <w:pStyle w:val="14"/>
              <w:rPr>
                <w:rFonts w:ascii="Times New Roman"/>
                <w:sz w:val="20"/>
              </w:rPr>
            </w:pPr>
          </w:p>
        </w:tc>
      </w:tr>
      <w:tr w14:paraId="21BE4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3992696">
            <w:pPr>
              <w:pStyle w:val="14"/>
              <w:spacing w:before="106"/>
              <w:ind w:left="86" w:right="78"/>
              <w:jc w:val="center"/>
              <w:rPr>
                <w:rFonts w:ascii="Times New Roman"/>
                <w:sz w:val="21"/>
              </w:rPr>
            </w:pPr>
            <w:r>
              <w:rPr>
                <w:rFonts w:ascii="Times New Roman"/>
                <w:sz w:val="21"/>
              </w:rPr>
              <w:t>29</w:t>
            </w:r>
          </w:p>
        </w:tc>
        <w:tc>
          <w:tcPr>
            <w:tcW w:w="2007" w:type="dxa"/>
          </w:tcPr>
          <w:p w14:paraId="7E8B940B">
            <w:pPr>
              <w:pStyle w:val="14"/>
              <w:spacing w:before="90"/>
              <w:ind w:left="132" w:right="127"/>
              <w:jc w:val="center"/>
              <w:rPr>
                <w:sz w:val="21"/>
              </w:rPr>
            </w:pPr>
            <w:r>
              <w:rPr>
                <w:sz w:val="21"/>
              </w:rPr>
              <w:t>氮吹仪</w:t>
            </w:r>
          </w:p>
        </w:tc>
        <w:tc>
          <w:tcPr>
            <w:tcW w:w="2808" w:type="dxa"/>
          </w:tcPr>
          <w:p w14:paraId="439E958D">
            <w:pPr>
              <w:pStyle w:val="14"/>
              <w:spacing w:before="20"/>
              <w:ind w:left="205" w:right="198"/>
              <w:jc w:val="center"/>
              <w:rPr>
                <w:rFonts w:ascii="Times New Roman"/>
                <w:sz w:val="21"/>
              </w:rPr>
            </w:pPr>
            <w:r>
              <w:rPr>
                <w:rFonts w:ascii="Times New Roman"/>
                <w:sz w:val="21"/>
              </w:rPr>
              <w:t>YDCY-12AL</w:t>
            </w:r>
          </w:p>
        </w:tc>
        <w:tc>
          <w:tcPr>
            <w:tcW w:w="684" w:type="dxa"/>
          </w:tcPr>
          <w:p w14:paraId="67F0C19B">
            <w:pPr>
              <w:pStyle w:val="14"/>
              <w:spacing w:before="106"/>
              <w:ind w:left="5"/>
              <w:jc w:val="center"/>
              <w:rPr>
                <w:rFonts w:ascii="Times New Roman"/>
                <w:sz w:val="21"/>
              </w:rPr>
            </w:pPr>
            <w:r>
              <w:rPr>
                <w:rFonts w:ascii="Times New Roman"/>
                <w:w w:val="99"/>
                <w:sz w:val="21"/>
              </w:rPr>
              <w:t>1</w:t>
            </w:r>
          </w:p>
        </w:tc>
        <w:tc>
          <w:tcPr>
            <w:tcW w:w="699" w:type="dxa"/>
          </w:tcPr>
          <w:p w14:paraId="2484875F">
            <w:pPr>
              <w:pStyle w:val="14"/>
              <w:spacing w:before="90"/>
              <w:ind w:left="8"/>
              <w:jc w:val="center"/>
              <w:rPr>
                <w:sz w:val="21"/>
              </w:rPr>
            </w:pPr>
            <w:r>
              <w:rPr>
                <w:w w:val="99"/>
                <w:sz w:val="21"/>
              </w:rPr>
              <w:t>台</w:t>
            </w:r>
          </w:p>
        </w:tc>
        <w:tc>
          <w:tcPr>
            <w:tcW w:w="1686" w:type="dxa"/>
          </w:tcPr>
          <w:p w14:paraId="285575B3">
            <w:pPr>
              <w:pStyle w:val="14"/>
              <w:rPr>
                <w:rFonts w:ascii="Times New Roman"/>
                <w:sz w:val="20"/>
              </w:rPr>
            </w:pPr>
          </w:p>
        </w:tc>
      </w:tr>
      <w:tr w14:paraId="3E572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19B2D5C">
            <w:pPr>
              <w:pStyle w:val="14"/>
              <w:spacing w:before="105"/>
              <w:ind w:left="86" w:right="78"/>
              <w:jc w:val="center"/>
              <w:rPr>
                <w:rFonts w:ascii="Times New Roman"/>
                <w:sz w:val="21"/>
              </w:rPr>
            </w:pPr>
            <w:r>
              <w:rPr>
                <w:rFonts w:ascii="Times New Roman"/>
                <w:sz w:val="21"/>
              </w:rPr>
              <w:t>30</w:t>
            </w:r>
          </w:p>
        </w:tc>
        <w:tc>
          <w:tcPr>
            <w:tcW w:w="2007" w:type="dxa"/>
          </w:tcPr>
          <w:p w14:paraId="13F9F12A">
            <w:pPr>
              <w:pStyle w:val="14"/>
              <w:spacing w:before="91"/>
              <w:ind w:left="132" w:right="127"/>
              <w:jc w:val="center"/>
              <w:rPr>
                <w:sz w:val="21"/>
              </w:rPr>
            </w:pPr>
            <w:r>
              <w:rPr>
                <w:sz w:val="21"/>
              </w:rPr>
              <w:t>全自动定氮仪</w:t>
            </w:r>
          </w:p>
        </w:tc>
        <w:tc>
          <w:tcPr>
            <w:tcW w:w="2808" w:type="dxa"/>
          </w:tcPr>
          <w:p w14:paraId="4FFB60C2">
            <w:pPr>
              <w:pStyle w:val="14"/>
              <w:spacing w:before="19"/>
              <w:ind w:left="206" w:right="198"/>
              <w:jc w:val="center"/>
              <w:rPr>
                <w:rFonts w:ascii="Times New Roman"/>
                <w:sz w:val="21"/>
              </w:rPr>
            </w:pPr>
            <w:r>
              <w:rPr>
                <w:rFonts w:ascii="Times New Roman"/>
                <w:sz w:val="21"/>
              </w:rPr>
              <w:t>KN580</w:t>
            </w:r>
          </w:p>
        </w:tc>
        <w:tc>
          <w:tcPr>
            <w:tcW w:w="684" w:type="dxa"/>
          </w:tcPr>
          <w:p w14:paraId="3C269437">
            <w:pPr>
              <w:pStyle w:val="14"/>
              <w:spacing w:before="105"/>
              <w:ind w:left="5"/>
              <w:jc w:val="center"/>
              <w:rPr>
                <w:rFonts w:ascii="Times New Roman"/>
                <w:sz w:val="21"/>
              </w:rPr>
            </w:pPr>
            <w:r>
              <w:rPr>
                <w:rFonts w:ascii="Times New Roman"/>
                <w:w w:val="99"/>
                <w:sz w:val="21"/>
              </w:rPr>
              <w:t>1</w:t>
            </w:r>
          </w:p>
        </w:tc>
        <w:tc>
          <w:tcPr>
            <w:tcW w:w="699" w:type="dxa"/>
          </w:tcPr>
          <w:p w14:paraId="6024C0C1">
            <w:pPr>
              <w:pStyle w:val="14"/>
              <w:spacing w:before="91"/>
              <w:ind w:left="8"/>
              <w:jc w:val="center"/>
              <w:rPr>
                <w:sz w:val="21"/>
              </w:rPr>
            </w:pPr>
            <w:r>
              <w:rPr>
                <w:w w:val="99"/>
                <w:sz w:val="21"/>
              </w:rPr>
              <w:t>台</w:t>
            </w:r>
          </w:p>
        </w:tc>
        <w:tc>
          <w:tcPr>
            <w:tcW w:w="1686" w:type="dxa"/>
          </w:tcPr>
          <w:p w14:paraId="15B00347">
            <w:pPr>
              <w:pStyle w:val="14"/>
              <w:rPr>
                <w:rFonts w:ascii="Times New Roman"/>
                <w:sz w:val="20"/>
              </w:rPr>
            </w:pPr>
          </w:p>
        </w:tc>
      </w:tr>
      <w:tr w14:paraId="6DD43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35FEA6B3">
            <w:pPr>
              <w:pStyle w:val="14"/>
              <w:spacing w:before="107"/>
              <w:ind w:left="86" w:right="78"/>
              <w:jc w:val="center"/>
              <w:rPr>
                <w:rFonts w:ascii="Times New Roman"/>
                <w:sz w:val="21"/>
              </w:rPr>
            </w:pPr>
            <w:r>
              <w:rPr>
                <w:rFonts w:ascii="Times New Roman"/>
                <w:sz w:val="21"/>
              </w:rPr>
              <w:t>31</w:t>
            </w:r>
          </w:p>
        </w:tc>
        <w:tc>
          <w:tcPr>
            <w:tcW w:w="2007" w:type="dxa"/>
          </w:tcPr>
          <w:p w14:paraId="491D216C">
            <w:pPr>
              <w:pStyle w:val="14"/>
              <w:spacing w:before="91"/>
              <w:ind w:left="132" w:right="125"/>
              <w:jc w:val="center"/>
              <w:rPr>
                <w:sz w:val="21"/>
              </w:rPr>
            </w:pPr>
            <w:r>
              <w:rPr>
                <w:sz w:val="21"/>
              </w:rPr>
              <w:t>生物显微镜</w:t>
            </w:r>
          </w:p>
        </w:tc>
        <w:tc>
          <w:tcPr>
            <w:tcW w:w="2808" w:type="dxa"/>
          </w:tcPr>
          <w:p w14:paraId="0394CECF">
            <w:pPr>
              <w:pStyle w:val="14"/>
              <w:spacing w:before="20"/>
              <w:ind w:left="206" w:right="197"/>
              <w:jc w:val="center"/>
              <w:rPr>
                <w:rFonts w:ascii="Times New Roman"/>
                <w:sz w:val="21"/>
              </w:rPr>
            </w:pPr>
            <w:r>
              <w:rPr>
                <w:rFonts w:ascii="Times New Roman"/>
                <w:sz w:val="21"/>
              </w:rPr>
              <w:t>XS-29C</w:t>
            </w:r>
          </w:p>
        </w:tc>
        <w:tc>
          <w:tcPr>
            <w:tcW w:w="684" w:type="dxa"/>
          </w:tcPr>
          <w:p w14:paraId="3E493FBA">
            <w:pPr>
              <w:pStyle w:val="14"/>
              <w:spacing w:before="107"/>
              <w:ind w:left="5"/>
              <w:jc w:val="center"/>
              <w:rPr>
                <w:rFonts w:ascii="Times New Roman"/>
                <w:sz w:val="21"/>
              </w:rPr>
            </w:pPr>
            <w:r>
              <w:rPr>
                <w:rFonts w:ascii="Times New Roman"/>
                <w:w w:val="99"/>
                <w:sz w:val="21"/>
              </w:rPr>
              <w:t>2</w:t>
            </w:r>
          </w:p>
        </w:tc>
        <w:tc>
          <w:tcPr>
            <w:tcW w:w="699" w:type="dxa"/>
          </w:tcPr>
          <w:p w14:paraId="4791B8C9">
            <w:pPr>
              <w:pStyle w:val="14"/>
              <w:spacing w:before="91"/>
              <w:ind w:left="8"/>
              <w:jc w:val="center"/>
              <w:rPr>
                <w:sz w:val="21"/>
              </w:rPr>
            </w:pPr>
            <w:r>
              <w:rPr>
                <w:w w:val="99"/>
                <w:sz w:val="21"/>
              </w:rPr>
              <w:t>台</w:t>
            </w:r>
          </w:p>
        </w:tc>
        <w:tc>
          <w:tcPr>
            <w:tcW w:w="1686" w:type="dxa"/>
          </w:tcPr>
          <w:p w14:paraId="71524E38">
            <w:pPr>
              <w:pStyle w:val="14"/>
              <w:rPr>
                <w:rFonts w:ascii="Times New Roman"/>
                <w:sz w:val="20"/>
              </w:rPr>
            </w:pPr>
          </w:p>
        </w:tc>
      </w:tr>
      <w:tr w14:paraId="37FAE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996B38A">
            <w:pPr>
              <w:pStyle w:val="14"/>
              <w:spacing w:before="106"/>
              <w:ind w:left="86" w:right="78"/>
              <w:jc w:val="center"/>
              <w:rPr>
                <w:rFonts w:ascii="Times New Roman"/>
                <w:sz w:val="21"/>
              </w:rPr>
            </w:pPr>
            <w:r>
              <w:rPr>
                <w:rFonts w:ascii="Times New Roman"/>
                <w:sz w:val="21"/>
              </w:rPr>
              <w:t>32</w:t>
            </w:r>
          </w:p>
        </w:tc>
        <w:tc>
          <w:tcPr>
            <w:tcW w:w="2007" w:type="dxa"/>
          </w:tcPr>
          <w:p w14:paraId="51C57675">
            <w:pPr>
              <w:pStyle w:val="14"/>
              <w:spacing w:before="90"/>
              <w:ind w:left="132" w:right="127"/>
              <w:jc w:val="center"/>
              <w:rPr>
                <w:sz w:val="21"/>
              </w:rPr>
            </w:pPr>
            <w:r>
              <w:rPr>
                <w:sz w:val="21"/>
              </w:rPr>
              <w:t>定时电动搅拌器</w:t>
            </w:r>
          </w:p>
        </w:tc>
        <w:tc>
          <w:tcPr>
            <w:tcW w:w="2808" w:type="dxa"/>
          </w:tcPr>
          <w:p w14:paraId="2D30F48C">
            <w:pPr>
              <w:pStyle w:val="14"/>
              <w:spacing w:before="20"/>
              <w:ind w:left="206" w:right="197"/>
              <w:jc w:val="center"/>
              <w:rPr>
                <w:rFonts w:ascii="Times New Roman"/>
                <w:sz w:val="21"/>
              </w:rPr>
            </w:pPr>
            <w:r>
              <w:rPr>
                <w:rFonts w:ascii="Times New Roman"/>
                <w:sz w:val="21"/>
              </w:rPr>
              <w:t>JC-JJ-5W</w:t>
            </w:r>
          </w:p>
        </w:tc>
        <w:tc>
          <w:tcPr>
            <w:tcW w:w="684" w:type="dxa"/>
          </w:tcPr>
          <w:p w14:paraId="51757E57">
            <w:pPr>
              <w:pStyle w:val="14"/>
              <w:spacing w:before="106"/>
              <w:ind w:left="5"/>
              <w:jc w:val="center"/>
              <w:rPr>
                <w:rFonts w:ascii="Times New Roman"/>
                <w:sz w:val="21"/>
              </w:rPr>
            </w:pPr>
            <w:r>
              <w:rPr>
                <w:rFonts w:ascii="Times New Roman"/>
                <w:w w:val="99"/>
                <w:sz w:val="21"/>
              </w:rPr>
              <w:t>2</w:t>
            </w:r>
          </w:p>
        </w:tc>
        <w:tc>
          <w:tcPr>
            <w:tcW w:w="699" w:type="dxa"/>
          </w:tcPr>
          <w:p w14:paraId="1478ECF6">
            <w:pPr>
              <w:pStyle w:val="14"/>
              <w:spacing w:before="90"/>
              <w:ind w:left="8"/>
              <w:jc w:val="center"/>
              <w:rPr>
                <w:sz w:val="21"/>
              </w:rPr>
            </w:pPr>
            <w:r>
              <w:rPr>
                <w:w w:val="99"/>
                <w:sz w:val="21"/>
              </w:rPr>
              <w:t>台</w:t>
            </w:r>
          </w:p>
        </w:tc>
        <w:tc>
          <w:tcPr>
            <w:tcW w:w="1686" w:type="dxa"/>
          </w:tcPr>
          <w:p w14:paraId="11C14E87">
            <w:pPr>
              <w:pStyle w:val="14"/>
              <w:rPr>
                <w:rFonts w:ascii="Times New Roman"/>
                <w:sz w:val="20"/>
              </w:rPr>
            </w:pPr>
          </w:p>
        </w:tc>
      </w:tr>
      <w:tr w14:paraId="14233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A07AE6F">
            <w:pPr>
              <w:pStyle w:val="14"/>
              <w:spacing w:before="105"/>
              <w:ind w:left="86" w:right="78"/>
              <w:jc w:val="center"/>
              <w:rPr>
                <w:rFonts w:ascii="Times New Roman"/>
                <w:sz w:val="21"/>
              </w:rPr>
            </w:pPr>
            <w:r>
              <w:rPr>
                <w:rFonts w:ascii="Times New Roman"/>
                <w:sz w:val="21"/>
              </w:rPr>
              <w:t>33</w:t>
            </w:r>
          </w:p>
        </w:tc>
        <w:tc>
          <w:tcPr>
            <w:tcW w:w="2007" w:type="dxa"/>
          </w:tcPr>
          <w:p w14:paraId="7D1DBF51">
            <w:pPr>
              <w:pStyle w:val="14"/>
              <w:spacing w:before="91"/>
              <w:ind w:left="132" w:right="127"/>
              <w:jc w:val="center"/>
              <w:rPr>
                <w:sz w:val="21"/>
              </w:rPr>
            </w:pPr>
            <w:r>
              <w:rPr>
                <w:sz w:val="21"/>
              </w:rPr>
              <w:t>消煮炉</w:t>
            </w:r>
          </w:p>
        </w:tc>
        <w:tc>
          <w:tcPr>
            <w:tcW w:w="2808" w:type="dxa"/>
          </w:tcPr>
          <w:p w14:paraId="62D9D786">
            <w:pPr>
              <w:pStyle w:val="14"/>
              <w:spacing w:before="19"/>
              <w:ind w:left="204" w:right="198"/>
              <w:jc w:val="center"/>
              <w:rPr>
                <w:rFonts w:ascii="Times New Roman"/>
                <w:sz w:val="21"/>
              </w:rPr>
            </w:pPr>
            <w:r>
              <w:rPr>
                <w:rFonts w:ascii="Times New Roman"/>
                <w:sz w:val="21"/>
              </w:rPr>
              <w:t>QYKDN-04A</w:t>
            </w:r>
          </w:p>
        </w:tc>
        <w:tc>
          <w:tcPr>
            <w:tcW w:w="684" w:type="dxa"/>
          </w:tcPr>
          <w:p w14:paraId="64085B7F">
            <w:pPr>
              <w:pStyle w:val="14"/>
              <w:spacing w:before="105"/>
              <w:ind w:left="5"/>
              <w:jc w:val="center"/>
              <w:rPr>
                <w:rFonts w:ascii="Times New Roman"/>
                <w:sz w:val="21"/>
              </w:rPr>
            </w:pPr>
            <w:r>
              <w:rPr>
                <w:rFonts w:ascii="Times New Roman"/>
                <w:w w:val="99"/>
                <w:sz w:val="21"/>
              </w:rPr>
              <w:t>1</w:t>
            </w:r>
          </w:p>
        </w:tc>
        <w:tc>
          <w:tcPr>
            <w:tcW w:w="699" w:type="dxa"/>
          </w:tcPr>
          <w:p w14:paraId="556DBAA5">
            <w:pPr>
              <w:pStyle w:val="14"/>
              <w:spacing w:before="91"/>
              <w:ind w:left="8"/>
              <w:jc w:val="center"/>
              <w:rPr>
                <w:sz w:val="21"/>
              </w:rPr>
            </w:pPr>
            <w:r>
              <w:rPr>
                <w:w w:val="99"/>
                <w:sz w:val="21"/>
              </w:rPr>
              <w:t>台</w:t>
            </w:r>
          </w:p>
        </w:tc>
        <w:tc>
          <w:tcPr>
            <w:tcW w:w="1686" w:type="dxa"/>
          </w:tcPr>
          <w:p w14:paraId="0C2EF4C8">
            <w:pPr>
              <w:pStyle w:val="14"/>
              <w:rPr>
                <w:rFonts w:ascii="Times New Roman"/>
                <w:sz w:val="20"/>
              </w:rPr>
            </w:pPr>
          </w:p>
        </w:tc>
      </w:tr>
      <w:tr w14:paraId="52E2F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BDC9DDF">
            <w:pPr>
              <w:pStyle w:val="14"/>
              <w:spacing w:before="107"/>
              <w:ind w:left="86" w:right="78"/>
              <w:jc w:val="center"/>
              <w:rPr>
                <w:rFonts w:ascii="Times New Roman"/>
                <w:sz w:val="21"/>
              </w:rPr>
            </w:pPr>
            <w:r>
              <w:rPr>
                <w:rFonts w:ascii="Times New Roman"/>
                <w:sz w:val="21"/>
              </w:rPr>
              <w:t>34</w:t>
            </w:r>
          </w:p>
        </w:tc>
        <w:tc>
          <w:tcPr>
            <w:tcW w:w="2007" w:type="dxa"/>
          </w:tcPr>
          <w:p w14:paraId="4B59A8A6">
            <w:pPr>
              <w:pStyle w:val="14"/>
              <w:spacing w:before="90"/>
              <w:ind w:left="132" w:right="127"/>
              <w:jc w:val="center"/>
              <w:rPr>
                <w:sz w:val="21"/>
              </w:rPr>
            </w:pPr>
            <w:r>
              <w:rPr>
                <w:sz w:val="21"/>
              </w:rPr>
              <w:t>纤维箱式电阻炉</w:t>
            </w:r>
          </w:p>
        </w:tc>
        <w:tc>
          <w:tcPr>
            <w:tcW w:w="2808" w:type="dxa"/>
          </w:tcPr>
          <w:p w14:paraId="785D27DF">
            <w:pPr>
              <w:pStyle w:val="14"/>
              <w:spacing w:before="20"/>
              <w:ind w:left="206" w:right="197"/>
              <w:jc w:val="center"/>
              <w:rPr>
                <w:rFonts w:ascii="Times New Roman"/>
                <w:sz w:val="21"/>
              </w:rPr>
            </w:pPr>
            <w:r>
              <w:rPr>
                <w:rFonts w:ascii="Times New Roman"/>
                <w:sz w:val="21"/>
              </w:rPr>
              <w:t>SXL-1700C</w:t>
            </w:r>
          </w:p>
        </w:tc>
        <w:tc>
          <w:tcPr>
            <w:tcW w:w="684" w:type="dxa"/>
          </w:tcPr>
          <w:p w14:paraId="169278C9">
            <w:pPr>
              <w:pStyle w:val="14"/>
              <w:spacing w:before="107"/>
              <w:ind w:left="5"/>
              <w:jc w:val="center"/>
              <w:rPr>
                <w:rFonts w:ascii="Times New Roman"/>
                <w:sz w:val="21"/>
              </w:rPr>
            </w:pPr>
            <w:r>
              <w:rPr>
                <w:rFonts w:ascii="Times New Roman"/>
                <w:w w:val="99"/>
                <w:sz w:val="21"/>
              </w:rPr>
              <w:t>1</w:t>
            </w:r>
          </w:p>
        </w:tc>
        <w:tc>
          <w:tcPr>
            <w:tcW w:w="699" w:type="dxa"/>
          </w:tcPr>
          <w:p w14:paraId="0EA6727D">
            <w:pPr>
              <w:pStyle w:val="14"/>
              <w:spacing w:before="90"/>
              <w:ind w:left="8"/>
              <w:jc w:val="center"/>
              <w:rPr>
                <w:sz w:val="21"/>
              </w:rPr>
            </w:pPr>
            <w:r>
              <w:rPr>
                <w:w w:val="99"/>
                <w:sz w:val="21"/>
              </w:rPr>
              <w:t>台</w:t>
            </w:r>
          </w:p>
        </w:tc>
        <w:tc>
          <w:tcPr>
            <w:tcW w:w="1686" w:type="dxa"/>
          </w:tcPr>
          <w:p w14:paraId="7CCB9878">
            <w:pPr>
              <w:pStyle w:val="14"/>
              <w:rPr>
                <w:rFonts w:ascii="Times New Roman"/>
                <w:sz w:val="20"/>
              </w:rPr>
            </w:pPr>
          </w:p>
        </w:tc>
      </w:tr>
      <w:tr w14:paraId="0FFF1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A706E8E">
            <w:pPr>
              <w:pStyle w:val="14"/>
              <w:spacing w:before="106"/>
              <w:ind w:left="86" w:right="78"/>
              <w:jc w:val="center"/>
              <w:rPr>
                <w:rFonts w:ascii="Times New Roman"/>
                <w:sz w:val="21"/>
              </w:rPr>
            </w:pPr>
            <w:r>
              <w:rPr>
                <w:rFonts w:ascii="Times New Roman"/>
                <w:sz w:val="21"/>
              </w:rPr>
              <w:t>35</w:t>
            </w:r>
          </w:p>
        </w:tc>
        <w:tc>
          <w:tcPr>
            <w:tcW w:w="2007" w:type="dxa"/>
          </w:tcPr>
          <w:p w14:paraId="5F1263CE">
            <w:pPr>
              <w:pStyle w:val="14"/>
              <w:spacing w:before="90"/>
              <w:ind w:left="132" w:right="125"/>
              <w:jc w:val="center"/>
              <w:rPr>
                <w:sz w:val="21"/>
              </w:rPr>
            </w:pPr>
            <w:r>
              <w:rPr>
                <w:sz w:val="21"/>
              </w:rPr>
              <w:t>脂肪测定仪</w:t>
            </w:r>
          </w:p>
        </w:tc>
        <w:tc>
          <w:tcPr>
            <w:tcW w:w="2808" w:type="dxa"/>
          </w:tcPr>
          <w:p w14:paraId="2544E76C">
            <w:pPr>
              <w:pStyle w:val="14"/>
              <w:spacing w:before="20"/>
              <w:ind w:left="206" w:right="198"/>
              <w:jc w:val="center"/>
              <w:rPr>
                <w:rFonts w:ascii="Times New Roman"/>
                <w:sz w:val="21"/>
              </w:rPr>
            </w:pPr>
            <w:r>
              <w:rPr>
                <w:rFonts w:ascii="Times New Roman"/>
                <w:sz w:val="21"/>
              </w:rPr>
              <w:t>SZF-06A</w:t>
            </w:r>
          </w:p>
        </w:tc>
        <w:tc>
          <w:tcPr>
            <w:tcW w:w="684" w:type="dxa"/>
          </w:tcPr>
          <w:p w14:paraId="74AFE3FF">
            <w:pPr>
              <w:pStyle w:val="14"/>
              <w:spacing w:before="106"/>
              <w:ind w:left="5"/>
              <w:jc w:val="center"/>
              <w:rPr>
                <w:rFonts w:ascii="Times New Roman"/>
                <w:sz w:val="21"/>
              </w:rPr>
            </w:pPr>
            <w:r>
              <w:rPr>
                <w:rFonts w:ascii="Times New Roman"/>
                <w:w w:val="99"/>
                <w:sz w:val="21"/>
              </w:rPr>
              <w:t>1</w:t>
            </w:r>
          </w:p>
        </w:tc>
        <w:tc>
          <w:tcPr>
            <w:tcW w:w="699" w:type="dxa"/>
          </w:tcPr>
          <w:p w14:paraId="6DA9605B">
            <w:pPr>
              <w:pStyle w:val="14"/>
              <w:spacing w:before="90"/>
              <w:ind w:left="8"/>
              <w:jc w:val="center"/>
              <w:rPr>
                <w:sz w:val="21"/>
              </w:rPr>
            </w:pPr>
            <w:r>
              <w:rPr>
                <w:w w:val="99"/>
                <w:sz w:val="21"/>
              </w:rPr>
              <w:t>台</w:t>
            </w:r>
          </w:p>
        </w:tc>
        <w:tc>
          <w:tcPr>
            <w:tcW w:w="1686" w:type="dxa"/>
          </w:tcPr>
          <w:p w14:paraId="216B6138">
            <w:pPr>
              <w:pStyle w:val="14"/>
              <w:rPr>
                <w:rFonts w:ascii="Times New Roman"/>
                <w:sz w:val="20"/>
              </w:rPr>
            </w:pPr>
          </w:p>
        </w:tc>
      </w:tr>
      <w:tr w14:paraId="5E266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A1B229E">
            <w:pPr>
              <w:pStyle w:val="14"/>
              <w:spacing w:before="105"/>
              <w:ind w:left="86" w:right="78"/>
              <w:jc w:val="center"/>
              <w:rPr>
                <w:rFonts w:ascii="Times New Roman"/>
                <w:sz w:val="21"/>
              </w:rPr>
            </w:pPr>
            <w:r>
              <w:rPr>
                <w:rFonts w:ascii="Times New Roman"/>
                <w:sz w:val="21"/>
              </w:rPr>
              <w:t>36</w:t>
            </w:r>
          </w:p>
        </w:tc>
        <w:tc>
          <w:tcPr>
            <w:tcW w:w="2007" w:type="dxa"/>
          </w:tcPr>
          <w:p w14:paraId="0590750A">
            <w:pPr>
              <w:pStyle w:val="14"/>
              <w:spacing w:before="91"/>
              <w:ind w:left="132" w:right="127"/>
              <w:jc w:val="center"/>
              <w:rPr>
                <w:sz w:val="21"/>
              </w:rPr>
            </w:pPr>
            <w:r>
              <w:rPr>
                <w:sz w:val="21"/>
              </w:rPr>
              <w:t>粗纤维测定仪</w:t>
            </w:r>
          </w:p>
        </w:tc>
        <w:tc>
          <w:tcPr>
            <w:tcW w:w="2808" w:type="dxa"/>
          </w:tcPr>
          <w:p w14:paraId="14A70E4A">
            <w:pPr>
              <w:pStyle w:val="14"/>
              <w:spacing w:before="19"/>
              <w:ind w:left="206" w:right="198"/>
              <w:jc w:val="center"/>
              <w:rPr>
                <w:rFonts w:ascii="Times New Roman"/>
                <w:sz w:val="21"/>
              </w:rPr>
            </w:pPr>
            <w:r>
              <w:rPr>
                <w:rFonts w:ascii="Times New Roman"/>
                <w:sz w:val="21"/>
              </w:rPr>
              <w:t>XD-CXW-30</w:t>
            </w:r>
          </w:p>
        </w:tc>
        <w:tc>
          <w:tcPr>
            <w:tcW w:w="684" w:type="dxa"/>
          </w:tcPr>
          <w:p w14:paraId="4B9943D1">
            <w:pPr>
              <w:pStyle w:val="14"/>
              <w:spacing w:before="105"/>
              <w:ind w:left="5"/>
              <w:jc w:val="center"/>
              <w:rPr>
                <w:rFonts w:ascii="Times New Roman"/>
                <w:sz w:val="21"/>
              </w:rPr>
            </w:pPr>
            <w:r>
              <w:rPr>
                <w:rFonts w:ascii="Times New Roman"/>
                <w:w w:val="99"/>
                <w:sz w:val="21"/>
              </w:rPr>
              <w:t>1</w:t>
            </w:r>
          </w:p>
        </w:tc>
        <w:tc>
          <w:tcPr>
            <w:tcW w:w="699" w:type="dxa"/>
          </w:tcPr>
          <w:p w14:paraId="471FCAC7">
            <w:pPr>
              <w:pStyle w:val="14"/>
              <w:spacing w:before="91"/>
              <w:ind w:left="8"/>
              <w:jc w:val="center"/>
              <w:rPr>
                <w:sz w:val="21"/>
              </w:rPr>
            </w:pPr>
            <w:r>
              <w:rPr>
                <w:w w:val="99"/>
                <w:sz w:val="21"/>
              </w:rPr>
              <w:t>台</w:t>
            </w:r>
          </w:p>
        </w:tc>
        <w:tc>
          <w:tcPr>
            <w:tcW w:w="1686" w:type="dxa"/>
          </w:tcPr>
          <w:p w14:paraId="7EF4F46D">
            <w:pPr>
              <w:pStyle w:val="14"/>
              <w:rPr>
                <w:rFonts w:ascii="Times New Roman"/>
                <w:sz w:val="20"/>
              </w:rPr>
            </w:pPr>
          </w:p>
        </w:tc>
      </w:tr>
      <w:tr w14:paraId="199D5A53">
        <w:tblPrEx>
          <w:tblCellMar>
            <w:top w:w="0" w:type="dxa"/>
            <w:left w:w="0" w:type="dxa"/>
            <w:bottom w:w="0" w:type="dxa"/>
            <w:right w:w="0" w:type="dxa"/>
          </w:tblCellMar>
        </w:tblPrEx>
        <w:trPr>
          <w:trHeight w:val="454" w:hRule="atLeast"/>
        </w:trPr>
        <w:tc>
          <w:tcPr>
            <w:tcW w:w="638" w:type="dxa"/>
          </w:tcPr>
          <w:p w14:paraId="5F8B89D7">
            <w:pPr>
              <w:pStyle w:val="14"/>
              <w:spacing w:before="107"/>
              <w:ind w:left="86" w:right="78"/>
              <w:jc w:val="center"/>
              <w:rPr>
                <w:rFonts w:ascii="Times New Roman"/>
                <w:sz w:val="21"/>
              </w:rPr>
            </w:pPr>
            <w:r>
              <w:rPr>
                <w:rFonts w:ascii="Times New Roman"/>
                <w:sz w:val="21"/>
              </w:rPr>
              <w:t>37</w:t>
            </w:r>
          </w:p>
        </w:tc>
        <w:tc>
          <w:tcPr>
            <w:tcW w:w="2007" w:type="dxa"/>
          </w:tcPr>
          <w:p w14:paraId="43118809">
            <w:pPr>
              <w:pStyle w:val="14"/>
              <w:spacing w:before="90"/>
              <w:ind w:left="132" w:right="127"/>
              <w:jc w:val="center"/>
              <w:rPr>
                <w:sz w:val="21"/>
              </w:rPr>
            </w:pPr>
            <w:r>
              <w:rPr>
                <w:sz w:val="21"/>
              </w:rPr>
              <w:t>水分快速测定仪</w:t>
            </w:r>
          </w:p>
        </w:tc>
        <w:tc>
          <w:tcPr>
            <w:tcW w:w="2808" w:type="dxa"/>
          </w:tcPr>
          <w:p w14:paraId="36086418">
            <w:pPr>
              <w:pStyle w:val="14"/>
              <w:spacing w:before="20"/>
              <w:ind w:left="206" w:right="198"/>
              <w:jc w:val="center"/>
              <w:rPr>
                <w:rFonts w:ascii="Times New Roman"/>
                <w:sz w:val="21"/>
              </w:rPr>
            </w:pPr>
            <w:r>
              <w:rPr>
                <w:rFonts w:ascii="Times New Roman"/>
                <w:sz w:val="21"/>
              </w:rPr>
              <w:t>TP653</w:t>
            </w:r>
          </w:p>
        </w:tc>
        <w:tc>
          <w:tcPr>
            <w:tcW w:w="684" w:type="dxa"/>
          </w:tcPr>
          <w:p w14:paraId="6F37B477">
            <w:pPr>
              <w:pStyle w:val="14"/>
              <w:spacing w:before="107"/>
              <w:ind w:left="5"/>
              <w:jc w:val="center"/>
              <w:rPr>
                <w:rFonts w:ascii="Times New Roman"/>
                <w:sz w:val="21"/>
              </w:rPr>
            </w:pPr>
            <w:r>
              <w:rPr>
                <w:rFonts w:ascii="Times New Roman"/>
                <w:w w:val="99"/>
                <w:sz w:val="21"/>
              </w:rPr>
              <w:t>1</w:t>
            </w:r>
          </w:p>
        </w:tc>
        <w:tc>
          <w:tcPr>
            <w:tcW w:w="699" w:type="dxa"/>
          </w:tcPr>
          <w:p w14:paraId="256D5F0F">
            <w:pPr>
              <w:pStyle w:val="14"/>
              <w:spacing w:before="90"/>
              <w:ind w:left="8"/>
              <w:jc w:val="center"/>
              <w:rPr>
                <w:sz w:val="21"/>
              </w:rPr>
            </w:pPr>
            <w:r>
              <w:rPr>
                <w:w w:val="99"/>
                <w:sz w:val="21"/>
              </w:rPr>
              <w:t>台</w:t>
            </w:r>
          </w:p>
        </w:tc>
        <w:tc>
          <w:tcPr>
            <w:tcW w:w="1686" w:type="dxa"/>
          </w:tcPr>
          <w:p w14:paraId="51B25CEF">
            <w:pPr>
              <w:pStyle w:val="14"/>
              <w:rPr>
                <w:rFonts w:ascii="Times New Roman"/>
                <w:sz w:val="20"/>
              </w:rPr>
            </w:pPr>
          </w:p>
        </w:tc>
      </w:tr>
      <w:tr w14:paraId="50B24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E78C313">
            <w:pPr>
              <w:pStyle w:val="14"/>
              <w:spacing w:before="106"/>
              <w:ind w:left="86" w:right="78"/>
              <w:jc w:val="center"/>
              <w:rPr>
                <w:rFonts w:ascii="Times New Roman"/>
                <w:sz w:val="21"/>
              </w:rPr>
            </w:pPr>
            <w:r>
              <w:rPr>
                <w:rFonts w:ascii="Times New Roman"/>
                <w:sz w:val="21"/>
              </w:rPr>
              <w:t>38</w:t>
            </w:r>
          </w:p>
        </w:tc>
        <w:tc>
          <w:tcPr>
            <w:tcW w:w="2007" w:type="dxa"/>
          </w:tcPr>
          <w:p w14:paraId="1400BB33">
            <w:pPr>
              <w:pStyle w:val="14"/>
              <w:spacing w:before="90"/>
              <w:ind w:left="132" w:right="127"/>
              <w:jc w:val="center"/>
              <w:rPr>
                <w:sz w:val="21"/>
              </w:rPr>
            </w:pPr>
            <w:r>
              <w:rPr>
                <w:sz w:val="21"/>
              </w:rPr>
              <w:t>黄曲霉素测定仪</w:t>
            </w:r>
          </w:p>
        </w:tc>
        <w:tc>
          <w:tcPr>
            <w:tcW w:w="2808" w:type="dxa"/>
          </w:tcPr>
          <w:p w14:paraId="3BABED0D">
            <w:pPr>
              <w:pStyle w:val="14"/>
              <w:spacing w:before="20"/>
              <w:ind w:left="204" w:right="198"/>
              <w:jc w:val="center"/>
              <w:rPr>
                <w:rFonts w:ascii="Times New Roman"/>
                <w:sz w:val="21"/>
              </w:rPr>
            </w:pPr>
            <w:r>
              <w:rPr>
                <w:rFonts w:ascii="Times New Roman"/>
                <w:sz w:val="21"/>
              </w:rPr>
              <w:t>HBS-2096C</w:t>
            </w:r>
          </w:p>
        </w:tc>
        <w:tc>
          <w:tcPr>
            <w:tcW w:w="684" w:type="dxa"/>
          </w:tcPr>
          <w:p w14:paraId="3FE22CAB">
            <w:pPr>
              <w:pStyle w:val="14"/>
              <w:spacing w:before="106"/>
              <w:ind w:left="5"/>
              <w:jc w:val="center"/>
              <w:rPr>
                <w:rFonts w:ascii="Times New Roman"/>
                <w:sz w:val="21"/>
              </w:rPr>
            </w:pPr>
            <w:r>
              <w:rPr>
                <w:rFonts w:ascii="Times New Roman"/>
                <w:w w:val="99"/>
                <w:sz w:val="21"/>
              </w:rPr>
              <w:t>1</w:t>
            </w:r>
          </w:p>
        </w:tc>
        <w:tc>
          <w:tcPr>
            <w:tcW w:w="699" w:type="dxa"/>
          </w:tcPr>
          <w:p w14:paraId="77243E9A">
            <w:pPr>
              <w:pStyle w:val="14"/>
              <w:spacing w:before="90"/>
              <w:ind w:left="8"/>
              <w:jc w:val="center"/>
              <w:rPr>
                <w:sz w:val="21"/>
              </w:rPr>
            </w:pPr>
            <w:r>
              <w:rPr>
                <w:w w:val="99"/>
                <w:sz w:val="21"/>
              </w:rPr>
              <w:t>台</w:t>
            </w:r>
          </w:p>
        </w:tc>
        <w:tc>
          <w:tcPr>
            <w:tcW w:w="1686" w:type="dxa"/>
          </w:tcPr>
          <w:p w14:paraId="371D390A">
            <w:pPr>
              <w:pStyle w:val="14"/>
              <w:rPr>
                <w:rFonts w:ascii="Times New Roman"/>
                <w:sz w:val="20"/>
              </w:rPr>
            </w:pPr>
          </w:p>
        </w:tc>
      </w:tr>
      <w:tr w14:paraId="700DA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F7D6FAC">
            <w:pPr>
              <w:pStyle w:val="14"/>
              <w:spacing w:before="105"/>
              <w:ind w:left="86" w:right="78"/>
              <w:jc w:val="center"/>
              <w:rPr>
                <w:rFonts w:ascii="Times New Roman"/>
                <w:sz w:val="21"/>
              </w:rPr>
            </w:pPr>
            <w:r>
              <w:rPr>
                <w:rFonts w:ascii="Times New Roman"/>
                <w:sz w:val="21"/>
              </w:rPr>
              <w:t>39</w:t>
            </w:r>
          </w:p>
        </w:tc>
        <w:tc>
          <w:tcPr>
            <w:tcW w:w="2007" w:type="dxa"/>
          </w:tcPr>
          <w:p w14:paraId="5DCFA75F">
            <w:pPr>
              <w:pStyle w:val="14"/>
              <w:spacing w:before="91"/>
              <w:ind w:left="132" w:right="127"/>
              <w:jc w:val="center"/>
              <w:rPr>
                <w:sz w:val="21"/>
              </w:rPr>
            </w:pPr>
            <w:r>
              <w:rPr>
                <w:sz w:val="21"/>
              </w:rPr>
              <w:t>罗维朋比色计</w:t>
            </w:r>
          </w:p>
        </w:tc>
        <w:tc>
          <w:tcPr>
            <w:tcW w:w="2808" w:type="dxa"/>
          </w:tcPr>
          <w:p w14:paraId="7466B65C">
            <w:pPr>
              <w:pStyle w:val="14"/>
              <w:spacing w:before="19"/>
              <w:ind w:left="206" w:right="198"/>
              <w:jc w:val="center"/>
              <w:rPr>
                <w:rFonts w:ascii="Times New Roman"/>
                <w:sz w:val="21"/>
              </w:rPr>
            </w:pPr>
            <w:r>
              <w:rPr>
                <w:rFonts w:ascii="Times New Roman"/>
                <w:sz w:val="21"/>
              </w:rPr>
              <w:t>TLV-100A</w:t>
            </w:r>
          </w:p>
        </w:tc>
        <w:tc>
          <w:tcPr>
            <w:tcW w:w="684" w:type="dxa"/>
          </w:tcPr>
          <w:p w14:paraId="7EB32BAC">
            <w:pPr>
              <w:pStyle w:val="14"/>
              <w:spacing w:before="105"/>
              <w:ind w:left="5"/>
              <w:jc w:val="center"/>
              <w:rPr>
                <w:rFonts w:ascii="Times New Roman"/>
                <w:sz w:val="21"/>
              </w:rPr>
            </w:pPr>
            <w:r>
              <w:rPr>
                <w:rFonts w:ascii="Times New Roman"/>
                <w:w w:val="99"/>
                <w:sz w:val="21"/>
              </w:rPr>
              <w:t>1</w:t>
            </w:r>
          </w:p>
        </w:tc>
        <w:tc>
          <w:tcPr>
            <w:tcW w:w="699" w:type="dxa"/>
          </w:tcPr>
          <w:p w14:paraId="13B52698">
            <w:pPr>
              <w:pStyle w:val="14"/>
              <w:spacing w:before="91"/>
              <w:ind w:left="8"/>
              <w:jc w:val="center"/>
              <w:rPr>
                <w:sz w:val="21"/>
              </w:rPr>
            </w:pPr>
            <w:r>
              <w:rPr>
                <w:w w:val="99"/>
                <w:sz w:val="21"/>
              </w:rPr>
              <w:t>台</w:t>
            </w:r>
          </w:p>
        </w:tc>
        <w:tc>
          <w:tcPr>
            <w:tcW w:w="1686" w:type="dxa"/>
          </w:tcPr>
          <w:p w14:paraId="301217A8">
            <w:pPr>
              <w:pStyle w:val="14"/>
              <w:rPr>
                <w:rFonts w:ascii="Times New Roman"/>
                <w:sz w:val="20"/>
              </w:rPr>
            </w:pPr>
          </w:p>
        </w:tc>
      </w:tr>
      <w:tr w14:paraId="2B783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76818989">
            <w:pPr>
              <w:pStyle w:val="14"/>
              <w:spacing w:before="107"/>
              <w:ind w:left="86" w:right="78"/>
              <w:jc w:val="center"/>
              <w:rPr>
                <w:rFonts w:ascii="Times New Roman"/>
                <w:sz w:val="21"/>
              </w:rPr>
            </w:pPr>
            <w:r>
              <w:rPr>
                <w:rFonts w:ascii="Times New Roman"/>
                <w:sz w:val="21"/>
              </w:rPr>
              <w:t>40</w:t>
            </w:r>
          </w:p>
        </w:tc>
        <w:tc>
          <w:tcPr>
            <w:tcW w:w="2007" w:type="dxa"/>
          </w:tcPr>
          <w:p w14:paraId="35A3E098">
            <w:pPr>
              <w:pStyle w:val="14"/>
              <w:spacing w:before="90"/>
              <w:ind w:left="132" w:right="125"/>
              <w:jc w:val="center"/>
              <w:rPr>
                <w:sz w:val="21"/>
              </w:rPr>
            </w:pPr>
            <w:r>
              <w:rPr>
                <w:sz w:val="21"/>
              </w:rPr>
              <w:t>饲料硬度计</w:t>
            </w:r>
          </w:p>
        </w:tc>
        <w:tc>
          <w:tcPr>
            <w:tcW w:w="2808" w:type="dxa"/>
          </w:tcPr>
          <w:p w14:paraId="32D3157B">
            <w:pPr>
              <w:pStyle w:val="14"/>
              <w:spacing w:before="20"/>
              <w:ind w:left="201" w:right="198"/>
              <w:jc w:val="center"/>
              <w:rPr>
                <w:rFonts w:ascii="Times New Roman"/>
                <w:sz w:val="21"/>
              </w:rPr>
            </w:pPr>
            <w:r>
              <w:rPr>
                <w:rFonts w:ascii="Times New Roman"/>
                <w:sz w:val="21"/>
              </w:rPr>
              <w:t>GWJ-1</w:t>
            </w:r>
          </w:p>
        </w:tc>
        <w:tc>
          <w:tcPr>
            <w:tcW w:w="684" w:type="dxa"/>
          </w:tcPr>
          <w:p w14:paraId="24910BE2">
            <w:pPr>
              <w:pStyle w:val="14"/>
              <w:spacing w:before="107"/>
              <w:ind w:left="5"/>
              <w:jc w:val="center"/>
              <w:rPr>
                <w:rFonts w:ascii="Times New Roman"/>
                <w:sz w:val="21"/>
              </w:rPr>
            </w:pPr>
            <w:r>
              <w:rPr>
                <w:rFonts w:ascii="Times New Roman"/>
                <w:w w:val="99"/>
                <w:sz w:val="21"/>
              </w:rPr>
              <w:t>1</w:t>
            </w:r>
          </w:p>
        </w:tc>
        <w:tc>
          <w:tcPr>
            <w:tcW w:w="699" w:type="dxa"/>
          </w:tcPr>
          <w:p w14:paraId="6B068717">
            <w:pPr>
              <w:pStyle w:val="14"/>
              <w:spacing w:before="90"/>
              <w:ind w:left="8"/>
              <w:jc w:val="center"/>
              <w:rPr>
                <w:sz w:val="21"/>
              </w:rPr>
            </w:pPr>
            <w:r>
              <w:rPr>
                <w:w w:val="99"/>
                <w:sz w:val="21"/>
              </w:rPr>
              <w:t>台</w:t>
            </w:r>
          </w:p>
        </w:tc>
        <w:tc>
          <w:tcPr>
            <w:tcW w:w="1686" w:type="dxa"/>
          </w:tcPr>
          <w:p w14:paraId="29F89F4B">
            <w:pPr>
              <w:pStyle w:val="14"/>
              <w:rPr>
                <w:rFonts w:ascii="Times New Roman"/>
                <w:sz w:val="20"/>
              </w:rPr>
            </w:pPr>
          </w:p>
        </w:tc>
      </w:tr>
      <w:tr w14:paraId="53725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AEE6C61">
            <w:pPr>
              <w:pStyle w:val="14"/>
              <w:spacing w:before="106"/>
              <w:ind w:left="86" w:right="78"/>
              <w:jc w:val="center"/>
              <w:rPr>
                <w:rFonts w:ascii="Times New Roman"/>
                <w:sz w:val="21"/>
              </w:rPr>
            </w:pPr>
            <w:r>
              <w:rPr>
                <w:rFonts w:ascii="Times New Roman"/>
                <w:sz w:val="21"/>
              </w:rPr>
              <w:t>41</w:t>
            </w:r>
          </w:p>
        </w:tc>
        <w:tc>
          <w:tcPr>
            <w:tcW w:w="2007" w:type="dxa"/>
          </w:tcPr>
          <w:p w14:paraId="4208FE56">
            <w:pPr>
              <w:pStyle w:val="14"/>
              <w:spacing w:before="90"/>
              <w:ind w:left="132" w:right="125"/>
              <w:jc w:val="center"/>
              <w:rPr>
                <w:sz w:val="21"/>
              </w:rPr>
            </w:pPr>
            <w:r>
              <w:rPr>
                <w:sz w:val="21"/>
              </w:rPr>
              <w:t>旋片真空泵</w:t>
            </w:r>
          </w:p>
        </w:tc>
        <w:tc>
          <w:tcPr>
            <w:tcW w:w="2808" w:type="dxa"/>
          </w:tcPr>
          <w:p w14:paraId="7D608773">
            <w:pPr>
              <w:pStyle w:val="14"/>
              <w:spacing w:before="20"/>
              <w:ind w:left="206" w:right="196"/>
              <w:jc w:val="center"/>
              <w:rPr>
                <w:rFonts w:ascii="Times New Roman"/>
                <w:sz w:val="21"/>
              </w:rPr>
            </w:pPr>
            <w:r>
              <w:rPr>
                <w:rFonts w:ascii="Times New Roman"/>
                <w:sz w:val="21"/>
              </w:rPr>
              <w:t>XD-250</w:t>
            </w:r>
          </w:p>
        </w:tc>
        <w:tc>
          <w:tcPr>
            <w:tcW w:w="684" w:type="dxa"/>
          </w:tcPr>
          <w:p w14:paraId="0ED9B946">
            <w:pPr>
              <w:pStyle w:val="14"/>
              <w:spacing w:before="106"/>
              <w:ind w:left="5"/>
              <w:jc w:val="center"/>
              <w:rPr>
                <w:rFonts w:ascii="Times New Roman"/>
                <w:sz w:val="21"/>
              </w:rPr>
            </w:pPr>
            <w:r>
              <w:rPr>
                <w:rFonts w:ascii="Times New Roman"/>
                <w:w w:val="99"/>
                <w:sz w:val="21"/>
              </w:rPr>
              <w:t>1</w:t>
            </w:r>
          </w:p>
        </w:tc>
        <w:tc>
          <w:tcPr>
            <w:tcW w:w="699" w:type="dxa"/>
          </w:tcPr>
          <w:p w14:paraId="4B2246E1">
            <w:pPr>
              <w:pStyle w:val="14"/>
              <w:spacing w:before="90"/>
              <w:ind w:left="8"/>
              <w:jc w:val="center"/>
              <w:rPr>
                <w:sz w:val="21"/>
              </w:rPr>
            </w:pPr>
            <w:r>
              <w:rPr>
                <w:w w:val="99"/>
                <w:sz w:val="21"/>
              </w:rPr>
              <w:t>台</w:t>
            </w:r>
          </w:p>
        </w:tc>
        <w:tc>
          <w:tcPr>
            <w:tcW w:w="1686" w:type="dxa"/>
          </w:tcPr>
          <w:p w14:paraId="61404D07">
            <w:pPr>
              <w:pStyle w:val="14"/>
              <w:rPr>
                <w:rFonts w:ascii="Times New Roman"/>
                <w:sz w:val="20"/>
              </w:rPr>
            </w:pPr>
          </w:p>
        </w:tc>
      </w:tr>
      <w:tr w14:paraId="6A520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38" w:type="dxa"/>
          </w:tcPr>
          <w:p w14:paraId="297514B2">
            <w:pPr>
              <w:pStyle w:val="14"/>
              <w:spacing w:before="105"/>
              <w:ind w:left="86" w:right="78"/>
              <w:jc w:val="center"/>
              <w:rPr>
                <w:rFonts w:ascii="Times New Roman"/>
                <w:sz w:val="21"/>
              </w:rPr>
            </w:pPr>
            <w:r>
              <w:rPr>
                <w:rFonts w:ascii="Times New Roman"/>
                <w:sz w:val="21"/>
              </w:rPr>
              <w:t>42</w:t>
            </w:r>
          </w:p>
        </w:tc>
        <w:tc>
          <w:tcPr>
            <w:tcW w:w="2007" w:type="dxa"/>
          </w:tcPr>
          <w:p w14:paraId="1F37A0E6">
            <w:pPr>
              <w:pStyle w:val="14"/>
              <w:spacing w:before="91"/>
              <w:ind w:left="132" w:right="127"/>
              <w:jc w:val="center"/>
              <w:rPr>
                <w:sz w:val="21"/>
              </w:rPr>
            </w:pPr>
            <w:r>
              <w:rPr>
                <w:sz w:val="21"/>
              </w:rPr>
              <w:t>电热板</w:t>
            </w:r>
          </w:p>
        </w:tc>
        <w:tc>
          <w:tcPr>
            <w:tcW w:w="2808" w:type="dxa"/>
          </w:tcPr>
          <w:p w14:paraId="12E222D3">
            <w:pPr>
              <w:pStyle w:val="14"/>
              <w:spacing w:before="19"/>
              <w:ind w:left="202" w:right="198"/>
              <w:jc w:val="center"/>
              <w:rPr>
                <w:rFonts w:ascii="Times New Roman"/>
                <w:sz w:val="21"/>
              </w:rPr>
            </w:pPr>
            <w:r>
              <w:rPr>
                <w:rFonts w:ascii="Times New Roman"/>
                <w:sz w:val="21"/>
              </w:rPr>
              <w:t>HTL-300EX</w:t>
            </w:r>
          </w:p>
        </w:tc>
        <w:tc>
          <w:tcPr>
            <w:tcW w:w="684" w:type="dxa"/>
          </w:tcPr>
          <w:p w14:paraId="66A5EF9A">
            <w:pPr>
              <w:pStyle w:val="14"/>
              <w:spacing w:before="105"/>
              <w:ind w:left="5"/>
              <w:jc w:val="center"/>
              <w:rPr>
                <w:rFonts w:ascii="Times New Roman"/>
                <w:sz w:val="21"/>
              </w:rPr>
            </w:pPr>
            <w:r>
              <w:rPr>
                <w:rFonts w:ascii="Times New Roman"/>
                <w:w w:val="99"/>
                <w:sz w:val="21"/>
              </w:rPr>
              <w:t>1</w:t>
            </w:r>
          </w:p>
        </w:tc>
        <w:tc>
          <w:tcPr>
            <w:tcW w:w="699" w:type="dxa"/>
          </w:tcPr>
          <w:p w14:paraId="5E98AB50">
            <w:pPr>
              <w:pStyle w:val="14"/>
              <w:spacing w:before="91"/>
              <w:ind w:left="8"/>
              <w:jc w:val="center"/>
              <w:rPr>
                <w:sz w:val="21"/>
              </w:rPr>
            </w:pPr>
            <w:r>
              <w:rPr>
                <w:w w:val="99"/>
                <w:sz w:val="21"/>
              </w:rPr>
              <w:t>套</w:t>
            </w:r>
          </w:p>
        </w:tc>
        <w:tc>
          <w:tcPr>
            <w:tcW w:w="1686" w:type="dxa"/>
          </w:tcPr>
          <w:p w14:paraId="43F67AA2">
            <w:pPr>
              <w:pStyle w:val="14"/>
              <w:rPr>
                <w:rFonts w:ascii="Times New Roman"/>
                <w:sz w:val="20"/>
              </w:rPr>
            </w:pPr>
          </w:p>
        </w:tc>
      </w:tr>
    </w:tbl>
    <w:p w14:paraId="53F9508E">
      <w:pPr>
        <w:spacing w:after="0"/>
        <w:rPr>
          <w:rFonts w:ascii="Times New Roman"/>
          <w:sz w:val="20"/>
        </w:rPr>
        <w:sectPr>
          <w:footerReference r:id="rId20" w:type="default"/>
          <w:pgSz w:w="11910" w:h="16840"/>
          <w:pgMar w:top="1360" w:right="1460" w:bottom="1380" w:left="1520" w:header="878" w:footer="1195" w:gutter="0"/>
          <w:pgNumType w:start="50"/>
          <w:cols w:space="720" w:num="1"/>
        </w:sectPr>
      </w:pPr>
    </w:p>
    <w:p w14:paraId="42C85A21">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3BE57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F7FBC7F">
            <w:pPr>
              <w:pStyle w:val="14"/>
              <w:spacing w:before="107"/>
              <w:ind w:right="202"/>
              <w:jc w:val="right"/>
              <w:rPr>
                <w:rFonts w:ascii="Times New Roman"/>
                <w:sz w:val="21"/>
              </w:rPr>
            </w:pPr>
            <w:r>
              <w:rPr>
                <w:rFonts w:ascii="Times New Roman"/>
                <w:sz w:val="21"/>
              </w:rPr>
              <w:t>43</w:t>
            </w:r>
          </w:p>
        </w:tc>
        <w:tc>
          <w:tcPr>
            <w:tcW w:w="2007" w:type="dxa"/>
          </w:tcPr>
          <w:p w14:paraId="6E8CD12D">
            <w:pPr>
              <w:pStyle w:val="14"/>
              <w:spacing w:before="91"/>
              <w:ind w:left="132" w:right="125"/>
              <w:jc w:val="center"/>
              <w:rPr>
                <w:sz w:val="21"/>
              </w:rPr>
            </w:pPr>
            <w:r>
              <w:rPr>
                <w:sz w:val="21"/>
              </w:rPr>
              <w:t>研发设备</w:t>
            </w:r>
          </w:p>
        </w:tc>
        <w:tc>
          <w:tcPr>
            <w:tcW w:w="2808" w:type="dxa"/>
          </w:tcPr>
          <w:p w14:paraId="0F3F1E7A">
            <w:pPr>
              <w:pStyle w:val="14"/>
              <w:spacing w:before="21"/>
              <w:ind w:left="206" w:right="197"/>
              <w:jc w:val="center"/>
              <w:rPr>
                <w:sz w:val="21"/>
              </w:rPr>
            </w:pPr>
            <w:r>
              <w:rPr>
                <w:sz w:val="21"/>
              </w:rPr>
              <w:t>国产</w:t>
            </w:r>
          </w:p>
        </w:tc>
        <w:tc>
          <w:tcPr>
            <w:tcW w:w="684" w:type="dxa"/>
          </w:tcPr>
          <w:p w14:paraId="1255866A">
            <w:pPr>
              <w:pStyle w:val="14"/>
              <w:spacing w:before="107"/>
              <w:ind w:left="287"/>
              <w:rPr>
                <w:rFonts w:ascii="Times New Roman"/>
                <w:sz w:val="21"/>
              </w:rPr>
            </w:pPr>
            <w:r>
              <w:rPr>
                <w:rFonts w:ascii="Times New Roman"/>
                <w:w w:val="99"/>
                <w:sz w:val="21"/>
              </w:rPr>
              <w:t>1</w:t>
            </w:r>
          </w:p>
        </w:tc>
        <w:tc>
          <w:tcPr>
            <w:tcW w:w="699" w:type="dxa"/>
          </w:tcPr>
          <w:p w14:paraId="5E9FD9AA">
            <w:pPr>
              <w:pStyle w:val="14"/>
              <w:spacing w:before="91"/>
              <w:ind w:left="8"/>
              <w:jc w:val="center"/>
              <w:rPr>
                <w:sz w:val="21"/>
              </w:rPr>
            </w:pPr>
            <w:r>
              <w:rPr>
                <w:w w:val="99"/>
                <w:sz w:val="21"/>
              </w:rPr>
              <w:t>套</w:t>
            </w:r>
          </w:p>
        </w:tc>
        <w:tc>
          <w:tcPr>
            <w:tcW w:w="1686" w:type="dxa"/>
          </w:tcPr>
          <w:p w14:paraId="342940CC">
            <w:pPr>
              <w:pStyle w:val="14"/>
              <w:rPr>
                <w:rFonts w:ascii="Times New Roman"/>
                <w:sz w:val="20"/>
              </w:rPr>
            </w:pPr>
          </w:p>
        </w:tc>
      </w:tr>
      <w:tr w14:paraId="55AE1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1BCA3944">
            <w:pPr>
              <w:pStyle w:val="14"/>
              <w:spacing w:before="90"/>
              <w:ind w:left="107"/>
              <w:rPr>
                <w:b/>
                <w:sz w:val="21"/>
              </w:rPr>
            </w:pPr>
            <w:r>
              <w:rPr>
                <w:b/>
                <w:sz w:val="21"/>
              </w:rPr>
              <w:t>六、其他辅助设施</w:t>
            </w:r>
          </w:p>
        </w:tc>
      </w:tr>
      <w:tr w14:paraId="4DD1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13F5DC80">
            <w:pPr>
              <w:pStyle w:val="14"/>
              <w:spacing w:before="105"/>
              <w:ind w:right="255"/>
              <w:jc w:val="right"/>
              <w:rPr>
                <w:rFonts w:ascii="Times New Roman"/>
                <w:sz w:val="21"/>
              </w:rPr>
            </w:pPr>
            <w:r>
              <w:rPr>
                <w:rFonts w:ascii="Times New Roman"/>
                <w:w w:val="99"/>
                <w:sz w:val="21"/>
              </w:rPr>
              <w:t>1</w:t>
            </w:r>
          </w:p>
        </w:tc>
        <w:tc>
          <w:tcPr>
            <w:tcW w:w="2007" w:type="dxa"/>
          </w:tcPr>
          <w:p w14:paraId="33C8B72C">
            <w:pPr>
              <w:pStyle w:val="14"/>
              <w:spacing w:before="91"/>
              <w:ind w:left="132" w:right="125"/>
              <w:jc w:val="center"/>
              <w:rPr>
                <w:sz w:val="21"/>
              </w:rPr>
            </w:pPr>
            <w:r>
              <w:rPr>
                <w:sz w:val="21"/>
              </w:rPr>
              <w:t>空调系统</w:t>
            </w:r>
          </w:p>
        </w:tc>
        <w:tc>
          <w:tcPr>
            <w:tcW w:w="2808" w:type="dxa"/>
          </w:tcPr>
          <w:p w14:paraId="569746A5">
            <w:pPr>
              <w:pStyle w:val="14"/>
              <w:spacing w:before="91"/>
              <w:ind w:left="206" w:right="197"/>
              <w:jc w:val="center"/>
              <w:rPr>
                <w:sz w:val="21"/>
              </w:rPr>
            </w:pPr>
            <w:r>
              <w:rPr>
                <w:sz w:val="21"/>
              </w:rPr>
              <w:t>格力</w:t>
            </w:r>
          </w:p>
        </w:tc>
        <w:tc>
          <w:tcPr>
            <w:tcW w:w="684" w:type="dxa"/>
          </w:tcPr>
          <w:p w14:paraId="76FD14CE">
            <w:pPr>
              <w:pStyle w:val="14"/>
              <w:spacing w:before="105"/>
              <w:ind w:left="287"/>
              <w:rPr>
                <w:rFonts w:ascii="Times New Roman"/>
                <w:sz w:val="21"/>
              </w:rPr>
            </w:pPr>
            <w:r>
              <w:rPr>
                <w:rFonts w:ascii="Times New Roman"/>
                <w:w w:val="99"/>
                <w:sz w:val="21"/>
              </w:rPr>
              <w:t>1</w:t>
            </w:r>
          </w:p>
        </w:tc>
        <w:tc>
          <w:tcPr>
            <w:tcW w:w="699" w:type="dxa"/>
          </w:tcPr>
          <w:p w14:paraId="360393BA">
            <w:pPr>
              <w:pStyle w:val="14"/>
              <w:spacing w:before="91"/>
              <w:ind w:left="8"/>
              <w:jc w:val="center"/>
              <w:rPr>
                <w:sz w:val="21"/>
              </w:rPr>
            </w:pPr>
            <w:r>
              <w:rPr>
                <w:w w:val="99"/>
                <w:sz w:val="21"/>
              </w:rPr>
              <w:t>套</w:t>
            </w:r>
          </w:p>
        </w:tc>
        <w:tc>
          <w:tcPr>
            <w:tcW w:w="1686" w:type="dxa"/>
          </w:tcPr>
          <w:p w14:paraId="53C288DE">
            <w:pPr>
              <w:pStyle w:val="14"/>
              <w:rPr>
                <w:rFonts w:ascii="Times New Roman"/>
                <w:sz w:val="20"/>
              </w:rPr>
            </w:pPr>
          </w:p>
        </w:tc>
      </w:tr>
      <w:tr w14:paraId="587AA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F028908">
            <w:pPr>
              <w:pStyle w:val="14"/>
              <w:spacing w:before="107"/>
              <w:ind w:right="255"/>
              <w:jc w:val="right"/>
              <w:rPr>
                <w:rFonts w:ascii="Times New Roman"/>
                <w:sz w:val="21"/>
              </w:rPr>
            </w:pPr>
            <w:r>
              <w:rPr>
                <w:rFonts w:ascii="Times New Roman"/>
                <w:w w:val="99"/>
                <w:sz w:val="21"/>
              </w:rPr>
              <w:t>2</w:t>
            </w:r>
          </w:p>
        </w:tc>
        <w:tc>
          <w:tcPr>
            <w:tcW w:w="2007" w:type="dxa"/>
          </w:tcPr>
          <w:p w14:paraId="7EBA9893">
            <w:pPr>
              <w:pStyle w:val="14"/>
              <w:spacing w:before="90"/>
              <w:ind w:left="132" w:right="127"/>
              <w:jc w:val="center"/>
              <w:rPr>
                <w:sz w:val="21"/>
              </w:rPr>
            </w:pPr>
            <w:r>
              <w:rPr>
                <w:sz w:val="21"/>
              </w:rPr>
              <w:t>备用柴油发电机</w:t>
            </w:r>
          </w:p>
        </w:tc>
        <w:tc>
          <w:tcPr>
            <w:tcW w:w="2808" w:type="dxa"/>
          </w:tcPr>
          <w:p w14:paraId="2EC913E4">
            <w:pPr>
              <w:pStyle w:val="14"/>
              <w:spacing w:before="107"/>
              <w:ind w:left="930"/>
              <w:rPr>
                <w:rFonts w:ascii="Times New Roman"/>
                <w:sz w:val="21"/>
              </w:rPr>
            </w:pPr>
            <w:r>
              <w:rPr>
                <w:rFonts w:ascii="Times New Roman"/>
                <w:sz w:val="21"/>
              </w:rPr>
              <w:t>BD-300GF</w:t>
            </w:r>
          </w:p>
        </w:tc>
        <w:tc>
          <w:tcPr>
            <w:tcW w:w="684" w:type="dxa"/>
          </w:tcPr>
          <w:p w14:paraId="2EE6F6DA">
            <w:pPr>
              <w:pStyle w:val="14"/>
              <w:spacing w:before="107"/>
              <w:ind w:left="287"/>
              <w:rPr>
                <w:rFonts w:ascii="Times New Roman"/>
                <w:sz w:val="21"/>
              </w:rPr>
            </w:pPr>
            <w:r>
              <w:rPr>
                <w:rFonts w:ascii="Times New Roman"/>
                <w:w w:val="99"/>
                <w:sz w:val="21"/>
              </w:rPr>
              <w:t>2</w:t>
            </w:r>
          </w:p>
        </w:tc>
        <w:tc>
          <w:tcPr>
            <w:tcW w:w="699" w:type="dxa"/>
          </w:tcPr>
          <w:p w14:paraId="5FAD63C2">
            <w:pPr>
              <w:pStyle w:val="14"/>
              <w:spacing w:before="90"/>
              <w:ind w:left="8"/>
              <w:jc w:val="center"/>
              <w:rPr>
                <w:sz w:val="21"/>
              </w:rPr>
            </w:pPr>
            <w:r>
              <w:rPr>
                <w:w w:val="99"/>
                <w:sz w:val="21"/>
              </w:rPr>
              <w:t>台</w:t>
            </w:r>
          </w:p>
        </w:tc>
        <w:tc>
          <w:tcPr>
            <w:tcW w:w="1686" w:type="dxa"/>
          </w:tcPr>
          <w:p w14:paraId="78193901">
            <w:pPr>
              <w:pStyle w:val="14"/>
              <w:spacing w:before="90"/>
              <w:ind w:left="86" w:right="80"/>
              <w:jc w:val="center"/>
              <w:rPr>
                <w:sz w:val="21"/>
              </w:rPr>
            </w:pPr>
            <w:r>
              <w:rPr>
                <w:sz w:val="21"/>
              </w:rPr>
              <w:t>备用</w:t>
            </w:r>
          </w:p>
        </w:tc>
      </w:tr>
      <w:tr w14:paraId="5871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46B96440">
            <w:pPr>
              <w:pStyle w:val="14"/>
              <w:spacing w:before="90"/>
              <w:ind w:left="107"/>
              <w:rPr>
                <w:b/>
                <w:sz w:val="21"/>
              </w:rPr>
            </w:pPr>
            <w:r>
              <w:rPr>
                <w:b/>
                <w:sz w:val="21"/>
              </w:rPr>
              <w:t>七、废水处理站设备</w:t>
            </w:r>
          </w:p>
        </w:tc>
      </w:tr>
      <w:tr w14:paraId="62DA3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8" w:type="dxa"/>
          </w:tcPr>
          <w:p w14:paraId="07452C71">
            <w:pPr>
              <w:pStyle w:val="14"/>
              <w:rPr>
                <w:rFonts w:ascii="Times New Roman"/>
                <w:sz w:val="25"/>
              </w:rPr>
            </w:pPr>
          </w:p>
          <w:p w14:paraId="59196D49">
            <w:pPr>
              <w:pStyle w:val="14"/>
              <w:ind w:right="255"/>
              <w:jc w:val="right"/>
              <w:rPr>
                <w:rFonts w:ascii="Times New Roman"/>
                <w:sz w:val="21"/>
              </w:rPr>
            </w:pPr>
            <w:r>
              <w:rPr>
                <w:rFonts w:ascii="Times New Roman"/>
                <w:w w:val="99"/>
                <w:sz w:val="21"/>
              </w:rPr>
              <w:t>1</w:t>
            </w:r>
          </w:p>
        </w:tc>
        <w:tc>
          <w:tcPr>
            <w:tcW w:w="2007" w:type="dxa"/>
          </w:tcPr>
          <w:p w14:paraId="1C5F1FD3">
            <w:pPr>
              <w:pStyle w:val="14"/>
              <w:spacing w:before="9"/>
              <w:rPr>
                <w:rFonts w:ascii="Times New Roman"/>
                <w:sz w:val="23"/>
              </w:rPr>
            </w:pPr>
          </w:p>
          <w:p w14:paraId="0B0FDDBA">
            <w:pPr>
              <w:pStyle w:val="14"/>
              <w:ind w:left="132" w:right="125"/>
              <w:jc w:val="center"/>
              <w:rPr>
                <w:sz w:val="21"/>
              </w:rPr>
            </w:pPr>
            <w:r>
              <w:rPr>
                <w:sz w:val="21"/>
              </w:rPr>
              <w:t>机械格栅机</w:t>
            </w:r>
          </w:p>
        </w:tc>
        <w:tc>
          <w:tcPr>
            <w:tcW w:w="2808" w:type="dxa"/>
          </w:tcPr>
          <w:p w14:paraId="4CED1220">
            <w:pPr>
              <w:pStyle w:val="14"/>
              <w:spacing w:line="244" w:lineRule="auto"/>
              <w:ind w:left="107" w:right="49"/>
              <w:rPr>
                <w:sz w:val="21"/>
              </w:rPr>
            </w:pPr>
            <w:r>
              <w:rPr>
                <w:spacing w:val="0"/>
                <w:sz w:val="21"/>
              </w:rPr>
              <w:t xml:space="preserve">不锈钢耙齿， </w:t>
            </w:r>
            <w:r>
              <w:rPr>
                <w:rFonts w:ascii="Times New Roman" w:eastAsia="Times New Roman"/>
                <w:sz w:val="21"/>
              </w:rPr>
              <w:t xml:space="preserve">B=3mm, </w:t>
            </w:r>
            <w:r>
              <w:rPr>
                <w:spacing w:val="10"/>
                <w:sz w:val="21"/>
              </w:rPr>
              <w:t>本体</w:t>
            </w:r>
            <w:r>
              <w:rPr>
                <w:spacing w:val="-13"/>
                <w:sz w:val="21"/>
              </w:rPr>
              <w:t>碳 钢 防 腐 面 漆 ， 长 度</w:t>
            </w:r>
          </w:p>
          <w:p w14:paraId="340FBF25">
            <w:pPr>
              <w:pStyle w:val="14"/>
              <w:spacing w:line="248" w:lineRule="exact"/>
              <w:ind w:left="107"/>
              <w:rPr>
                <w:rFonts w:ascii="Times New Roman" w:eastAsia="Times New Roman"/>
                <w:sz w:val="21"/>
              </w:rPr>
            </w:pPr>
            <w:r>
              <w:rPr>
                <w:rFonts w:ascii="Times New Roman" w:eastAsia="Times New Roman"/>
                <w:sz w:val="21"/>
              </w:rPr>
              <w:t>3500mm</w:t>
            </w:r>
            <w:r>
              <w:rPr>
                <w:sz w:val="21"/>
              </w:rPr>
              <w:t xml:space="preserve">，宽度 </w:t>
            </w:r>
            <w:r>
              <w:rPr>
                <w:rFonts w:ascii="Times New Roman" w:eastAsia="Times New Roman"/>
                <w:sz w:val="21"/>
              </w:rPr>
              <w:t>500mm</w:t>
            </w:r>
          </w:p>
        </w:tc>
        <w:tc>
          <w:tcPr>
            <w:tcW w:w="684" w:type="dxa"/>
          </w:tcPr>
          <w:p w14:paraId="797C74EF">
            <w:pPr>
              <w:pStyle w:val="14"/>
              <w:spacing w:before="9"/>
              <w:rPr>
                <w:rFonts w:ascii="Times New Roman"/>
                <w:sz w:val="23"/>
              </w:rPr>
            </w:pPr>
          </w:p>
          <w:p w14:paraId="31E6138F">
            <w:pPr>
              <w:pStyle w:val="14"/>
              <w:ind w:left="237"/>
              <w:rPr>
                <w:sz w:val="21"/>
              </w:rPr>
            </w:pPr>
            <w:r>
              <w:rPr>
                <w:w w:val="99"/>
                <w:sz w:val="21"/>
              </w:rPr>
              <w:t>座</w:t>
            </w:r>
          </w:p>
        </w:tc>
        <w:tc>
          <w:tcPr>
            <w:tcW w:w="699" w:type="dxa"/>
          </w:tcPr>
          <w:p w14:paraId="4D2BF753">
            <w:pPr>
              <w:pStyle w:val="14"/>
              <w:rPr>
                <w:rFonts w:ascii="Times New Roman"/>
                <w:sz w:val="25"/>
              </w:rPr>
            </w:pPr>
          </w:p>
          <w:p w14:paraId="68FB2713">
            <w:pPr>
              <w:pStyle w:val="14"/>
              <w:ind w:left="9"/>
              <w:jc w:val="center"/>
              <w:rPr>
                <w:rFonts w:ascii="Times New Roman"/>
                <w:sz w:val="21"/>
              </w:rPr>
            </w:pPr>
            <w:r>
              <w:rPr>
                <w:rFonts w:ascii="Times New Roman"/>
                <w:w w:val="99"/>
                <w:sz w:val="21"/>
              </w:rPr>
              <w:t>1</w:t>
            </w:r>
          </w:p>
        </w:tc>
        <w:tc>
          <w:tcPr>
            <w:tcW w:w="1686" w:type="dxa"/>
          </w:tcPr>
          <w:p w14:paraId="26D02BC8">
            <w:pPr>
              <w:pStyle w:val="14"/>
              <w:rPr>
                <w:rFonts w:ascii="Times New Roman"/>
                <w:sz w:val="20"/>
              </w:rPr>
            </w:pPr>
          </w:p>
        </w:tc>
      </w:tr>
      <w:tr w14:paraId="4F16F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638" w:type="dxa"/>
          </w:tcPr>
          <w:p w14:paraId="4F6BD19B">
            <w:pPr>
              <w:pStyle w:val="14"/>
              <w:rPr>
                <w:rFonts w:ascii="Times New Roman"/>
                <w:sz w:val="22"/>
              </w:rPr>
            </w:pPr>
          </w:p>
          <w:p w14:paraId="100B72B9">
            <w:pPr>
              <w:pStyle w:val="14"/>
              <w:rPr>
                <w:rFonts w:ascii="Times New Roman"/>
                <w:sz w:val="22"/>
              </w:rPr>
            </w:pPr>
          </w:p>
          <w:p w14:paraId="412F9C03">
            <w:pPr>
              <w:pStyle w:val="14"/>
              <w:spacing w:before="3"/>
              <w:rPr>
                <w:rFonts w:ascii="Times New Roman"/>
                <w:sz w:val="18"/>
              </w:rPr>
            </w:pPr>
          </w:p>
          <w:p w14:paraId="3DC9A83A">
            <w:pPr>
              <w:pStyle w:val="14"/>
              <w:ind w:right="255"/>
              <w:jc w:val="right"/>
              <w:rPr>
                <w:rFonts w:ascii="Times New Roman"/>
                <w:sz w:val="21"/>
              </w:rPr>
            </w:pPr>
            <w:r>
              <w:rPr>
                <w:rFonts w:ascii="Times New Roman"/>
                <w:w w:val="99"/>
                <w:sz w:val="21"/>
              </w:rPr>
              <w:t>2</w:t>
            </w:r>
          </w:p>
        </w:tc>
        <w:tc>
          <w:tcPr>
            <w:tcW w:w="2007" w:type="dxa"/>
          </w:tcPr>
          <w:p w14:paraId="5F9A6043">
            <w:pPr>
              <w:pStyle w:val="14"/>
              <w:rPr>
                <w:rFonts w:ascii="Times New Roman"/>
                <w:sz w:val="20"/>
              </w:rPr>
            </w:pPr>
          </w:p>
          <w:p w14:paraId="5CF99464">
            <w:pPr>
              <w:pStyle w:val="14"/>
              <w:rPr>
                <w:rFonts w:ascii="Times New Roman"/>
                <w:sz w:val="20"/>
              </w:rPr>
            </w:pPr>
          </w:p>
          <w:p w14:paraId="686EAB36">
            <w:pPr>
              <w:pStyle w:val="14"/>
              <w:rPr>
                <w:rFonts w:ascii="Times New Roman"/>
                <w:sz w:val="21"/>
              </w:rPr>
            </w:pPr>
          </w:p>
          <w:p w14:paraId="05AD3A59">
            <w:pPr>
              <w:pStyle w:val="14"/>
              <w:ind w:left="132" w:right="127"/>
              <w:jc w:val="center"/>
              <w:rPr>
                <w:sz w:val="21"/>
              </w:rPr>
            </w:pPr>
            <w:r>
              <w:rPr>
                <w:sz w:val="21"/>
              </w:rPr>
              <w:t>集水池</w:t>
            </w:r>
          </w:p>
        </w:tc>
        <w:tc>
          <w:tcPr>
            <w:tcW w:w="2808" w:type="dxa"/>
          </w:tcPr>
          <w:p w14:paraId="197A80BD">
            <w:pPr>
              <w:pStyle w:val="14"/>
              <w:spacing w:before="20" w:line="244" w:lineRule="auto"/>
              <w:ind w:left="107" w:right="829"/>
              <w:rPr>
                <w:rFonts w:ascii="Times New Roman" w:hAnsi="Times New Roman" w:eastAsia="Times New Roman"/>
                <w:sz w:val="21"/>
              </w:rPr>
            </w:pPr>
            <w:r>
              <w:rPr>
                <w:w w:val="95"/>
                <w:sz w:val="21"/>
              </w:rPr>
              <w:t>设计规模：</w:t>
            </w:r>
            <w:r>
              <w:rPr>
                <w:rFonts w:ascii="Times New Roman" w:hAnsi="Times New Roman" w:eastAsia="Times New Roman"/>
                <w:w w:val="95"/>
                <w:sz w:val="21"/>
              </w:rPr>
              <w:t xml:space="preserve">1000m³/d </w:t>
            </w:r>
            <w:r>
              <w:rPr>
                <w:sz w:val="21"/>
              </w:rPr>
              <w:t>停留时间：</w:t>
            </w:r>
            <w:r>
              <w:rPr>
                <w:rFonts w:ascii="Times New Roman" w:hAnsi="Times New Roman" w:eastAsia="Times New Roman"/>
                <w:sz w:val="21"/>
              </w:rPr>
              <w:t>2h</w:t>
            </w:r>
          </w:p>
          <w:p w14:paraId="7DDECF69">
            <w:pPr>
              <w:pStyle w:val="14"/>
              <w:spacing w:line="265" w:lineRule="exact"/>
              <w:ind w:left="107"/>
              <w:rPr>
                <w:sz w:val="21"/>
              </w:rPr>
            </w:pPr>
            <w:r>
              <w:rPr>
                <w:w w:val="95"/>
                <w:sz w:val="21"/>
              </w:rPr>
              <w:t>构筑物尺寸：</w:t>
            </w:r>
          </w:p>
          <w:p w14:paraId="29953D99">
            <w:pPr>
              <w:pStyle w:val="14"/>
              <w:spacing w:before="5"/>
              <w:ind w:left="107"/>
              <w:rPr>
                <w:sz w:val="21"/>
              </w:rPr>
            </w:pPr>
            <w:r>
              <w:rPr>
                <w:rFonts w:ascii="Times New Roman" w:hAnsi="Times New Roman" w:eastAsia="Times New Roman"/>
                <w:sz w:val="21"/>
              </w:rPr>
              <w:t xml:space="preserve">L×B×H=6.0×3.5×4.5m </w:t>
            </w:r>
            <w:r>
              <w:rPr>
                <w:sz w:val="21"/>
              </w:rPr>
              <w:t>（ 有</w:t>
            </w:r>
          </w:p>
          <w:p w14:paraId="4FE24EDC">
            <w:pPr>
              <w:pStyle w:val="14"/>
              <w:spacing w:before="2" w:line="242" w:lineRule="auto"/>
              <w:ind w:left="107" w:right="1219"/>
              <w:rPr>
                <w:sz w:val="21"/>
              </w:rPr>
            </w:pPr>
            <w:r>
              <w:rPr>
                <w:sz w:val="21"/>
              </w:rPr>
              <w:t xml:space="preserve">效水深 </w:t>
            </w:r>
            <w:r>
              <w:rPr>
                <w:rFonts w:ascii="Times New Roman" w:eastAsia="Times New Roman"/>
                <w:sz w:val="21"/>
              </w:rPr>
              <w:t>4.0m</w:t>
            </w:r>
            <w:r>
              <w:rPr>
                <w:sz w:val="21"/>
              </w:rPr>
              <w:t xml:space="preserve">） </w:t>
            </w:r>
            <w:r>
              <w:rPr>
                <w:w w:val="95"/>
                <w:sz w:val="21"/>
              </w:rPr>
              <w:t>地下式钢混结构</w:t>
            </w:r>
          </w:p>
        </w:tc>
        <w:tc>
          <w:tcPr>
            <w:tcW w:w="684" w:type="dxa"/>
          </w:tcPr>
          <w:p w14:paraId="3324393A">
            <w:pPr>
              <w:pStyle w:val="14"/>
              <w:rPr>
                <w:rFonts w:ascii="Times New Roman"/>
                <w:sz w:val="20"/>
              </w:rPr>
            </w:pPr>
          </w:p>
          <w:p w14:paraId="65842669">
            <w:pPr>
              <w:pStyle w:val="14"/>
              <w:rPr>
                <w:rFonts w:ascii="Times New Roman"/>
                <w:sz w:val="20"/>
              </w:rPr>
            </w:pPr>
          </w:p>
          <w:p w14:paraId="68BB52C5">
            <w:pPr>
              <w:pStyle w:val="14"/>
              <w:rPr>
                <w:rFonts w:ascii="Times New Roman"/>
                <w:sz w:val="21"/>
              </w:rPr>
            </w:pPr>
          </w:p>
          <w:p w14:paraId="4971AFA6">
            <w:pPr>
              <w:pStyle w:val="14"/>
              <w:ind w:left="237"/>
              <w:rPr>
                <w:sz w:val="21"/>
              </w:rPr>
            </w:pPr>
            <w:r>
              <w:rPr>
                <w:w w:val="99"/>
                <w:sz w:val="21"/>
              </w:rPr>
              <w:t>座</w:t>
            </w:r>
          </w:p>
        </w:tc>
        <w:tc>
          <w:tcPr>
            <w:tcW w:w="699" w:type="dxa"/>
          </w:tcPr>
          <w:p w14:paraId="15BC714A">
            <w:pPr>
              <w:pStyle w:val="14"/>
              <w:rPr>
                <w:rFonts w:ascii="Times New Roman"/>
                <w:sz w:val="22"/>
              </w:rPr>
            </w:pPr>
          </w:p>
          <w:p w14:paraId="027C7FFE">
            <w:pPr>
              <w:pStyle w:val="14"/>
              <w:rPr>
                <w:rFonts w:ascii="Times New Roman"/>
                <w:sz w:val="22"/>
              </w:rPr>
            </w:pPr>
          </w:p>
          <w:p w14:paraId="3BD6D395">
            <w:pPr>
              <w:pStyle w:val="14"/>
              <w:spacing w:before="3"/>
              <w:rPr>
                <w:rFonts w:ascii="Times New Roman"/>
                <w:sz w:val="18"/>
              </w:rPr>
            </w:pPr>
          </w:p>
          <w:p w14:paraId="076A794F">
            <w:pPr>
              <w:pStyle w:val="14"/>
              <w:ind w:left="9"/>
              <w:jc w:val="center"/>
              <w:rPr>
                <w:rFonts w:ascii="Times New Roman"/>
                <w:sz w:val="21"/>
              </w:rPr>
            </w:pPr>
            <w:r>
              <w:rPr>
                <w:rFonts w:ascii="Times New Roman"/>
                <w:w w:val="99"/>
                <w:sz w:val="21"/>
              </w:rPr>
              <w:t>1</w:t>
            </w:r>
          </w:p>
        </w:tc>
        <w:tc>
          <w:tcPr>
            <w:tcW w:w="1686" w:type="dxa"/>
          </w:tcPr>
          <w:p w14:paraId="7F0C82A9">
            <w:pPr>
              <w:pStyle w:val="14"/>
              <w:rPr>
                <w:rFonts w:ascii="Times New Roman"/>
                <w:sz w:val="20"/>
              </w:rPr>
            </w:pPr>
          </w:p>
        </w:tc>
      </w:tr>
      <w:tr w14:paraId="7DA2B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BBD116C">
            <w:pPr>
              <w:pStyle w:val="14"/>
              <w:spacing w:before="105"/>
              <w:ind w:right="178"/>
              <w:jc w:val="right"/>
              <w:rPr>
                <w:rFonts w:ascii="Times New Roman"/>
                <w:sz w:val="21"/>
              </w:rPr>
            </w:pPr>
            <w:r>
              <w:rPr>
                <w:rFonts w:ascii="Times New Roman"/>
                <w:sz w:val="21"/>
              </w:rPr>
              <w:t>2.1</w:t>
            </w:r>
          </w:p>
        </w:tc>
        <w:tc>
          <w:tcPr>
            <w:tcW w:w="2007" w:type="dxa"/>
          </w:tcPr>
          <w:p w14:paraId="692A7459">
            <w:pPr>
              <w:pStyle w:val="14"/>
              <w:spacing w:before="91"/>
              <w:ind w:left="132" w:right="127"/>
              <w:jc w:val="center"/>
              <w:rPr>
                <w:sz w:val="21"/>
              </w:rPr>
            </w:pPr>
            <w:r>
              <w:rPr>
                <w:sz w:val="21"/>
              </w:rPr>
              <w:t>超声波液位计</w:t>
            </w:r>
          </w:p>
        </w:tc>
        <w:tc>
          <w:tcPr>
            <w:tcW w:w="2808" w:type="dxa"/>
          </w:tcPr>
          <w:p w14:paraId="30CB0B05">
            <w:pPr>
              <w:pStyle w:val="14"/>
              <w:spacing w:before="91"/>
              <w:ind w:left="107"/>
              <w:rPr>
                <w:sz w:val="21"/>
              </w:rPr>
            </w:pPr>
            <w:r>
              <w:rPr>
                <w:sz w:val="21"/>
              </w:rPr>
              <w:t xml:space="preserve">量程 </w:t>
            </w:r>
            <w:r>
              <w:rPr>
                <w:rFonts w:ascii="Times New Roman" w:eastAsia="Times New Roman"/>
                <w:sz w:val="21"/>
              </w:rPr>
              <w:t>0-10m</w:t>
            </w:r>
            <w:r>
              <w:rPr>
                <w:sz w:val="21"/>
              </w:rPr>
              <w:t>，</w:t>
            </w:r>
            <w:r>
              <w:rPr>
                <w:rFonts w:ascii="Times New Roman" w:eastAsia="Times New Roman"/>
                <w:sz w:val="21"/>
              </w:rPr>
              <w:t xml:space="preserve">4-20mA </w:t>
            </w:r>
            <w:r>
              <w:rPr>
                <w:sz w:val="21"/>
              </w:rPr>
              <w:t>输出</w:t>
            </w:r>
          </w:p>
        </w:tc>
        <w:tc>
          <w:tcPr>
            <w:tcW w:w="684" w:type="dxa"/>
          </w:tcPr>
          <w:p w14:paraId="4B1A1E9B">
            <w:pPr>
              <w:pStyle w:val="14"/>
              <w:spacing w:before="91"/>
              <w:ind w:left="237"/>
              <w:rPr>
                <w:sz w:val="21"/>
              </w:rPr>
            </w:pPr>
            <w:r>
              <w:rPr>
                <w:w w:val="99"/>
                <w:sz w:val="21"/>
              </w:rPr>
              <w:t>套</w:t>
            </w:r>
          </w:p>
        </w:tc>
        <w:tc>
          <w:tcPr>
            <w:tcW w:w="699" w:type="dxa"/>
          </w:tcPr>
          <w:p w14:paraId="7CBD292B">
            <w:pPr>
              <w:pStyle w:val="14"/>
              <w:spacing w:before="105"/>
              <w:ind w:left="9"/>
              <w:jc w:val="center"/>
              <w:rPr>
                <w:rFonts w:ascii="Times New Roman"/>
                <w:sz w:val="21"/>
              </w:rPr>
            </w:pPr>
            <w:r>
              <w:rPr>
                <w:rFonts w:ascii="Times New Roman"/>
                <w:w w:val="99"/>
                <w:sz w:val="21"/>
              </w:rPr>
              <w:t>1</w:t>
            </w:r>
          </w:p>
        </w:tc>
        <w:tc>
          <w:tcPr>
            <w:tcW w:w="1686" w:type="dxa"/>
          </w:tcPr>
          <w:p w14:paraId="414538F9">
            <w:pPr>
              <w:pStyle w:val="14"/>
              <w:spacing w:before="91"/>
              <w:ind w:left="86" w:right="80"/>
              <w:jc w:val="center"/>
              <w:rPr>
                <w:sz w:val="21"/>
              </w:rPr>
            </w:pPr>
            <w:r>
              <w:rPr>
                <w:sz w:val="21"/>
              </w:rPr>
              <w:t>配套安装支架</w:t>
            </w:r>
          </w:p>
        </w:tc>
      </w:tr>
      <w:tr w14:paraId="1B6CD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638" w:type="dxa"/>
          </w:tcPr>
          <w:p w14:paraId="04ABF8B8">
            <w:pPr>
              <w:pStyle w:val="14"/>
              <w:rPr>
                <w:rFonts w:ascii="Times New Roman"/>
                <w:sz w:val="22"/>
              </w:rPr>
            </w:pPr>
          </w:p>
          <w:p w14:paraId="18ADCB8A">
            <w:pPr>
              <w:pStyle w:val="14"/>
              <w:rPr>
                <w:rFonts w:ascii="Times New Roman"/>
                <w:sz w:val="22"/>
              </w:rPr>
            </w:pPr>
          </w:p>
          <w:p w14:paraId="53EFDCEF">
            <w:pPr>
              <w:pStyle w:val="14"/>
              <w:spacing w:before="191"/>
              <w:ind w:right="255"/>
              <w:jc w:val="right"/>
              <w:rPr>
                <w:rFonts w:ascii="Times New Roman"/>
                <w:sz w:val="21"/>
              </w:rPr>
            </w:pPr>
            <w:r>
              <w:rPr>
                <w:rFonts w:ascii="Times New Roman"/>
                <w:w w:val="99"/>
                <w:sz w:val="21"/>
              </w:rPr>
              <w:t>3</w:t>
            </w:r>
          </w:p>
        </w:tc>
        <w:tc>
          <w:tcPr>
            <w:tcW w:w="2007" w:type="dxa"/>
          </w:tcPr>
          <w:p w14:paraId="457ECF94">
            <w:pPr>
              <w:pStyle w:val="14"/>
              <w:rPr>
                <w:rFonts w:ascii="Times New Roman"/>
                <w:sz w:val="20"/>
              </w:rPr>
            </w:pPr>
          </w:p>
          <w:p w14:paraId="697930F0">
            <w:pPr>
              <w:pStyle w:val="14"/>
              <w:rPr>
                <w:rFonts w:ascii="Times New Roman"/>
                <w:sz w:val="20"/>
              </w:rPr>
            </w:pPr>
          </w:p>
          <w:p w14:paraId="23E499CA">
            <w:pPr>
              <w:pStyle w:val="14"/>
              <w:spacing w:before="2"/>
              <w:rPr>
                <w:rFonts w:ascii="Times New Roman"/>
                <w:sz w:val="19"/>
              </w:rPr>
            </w:pPr>
          </w:p>
          <w:p w14:paraId="41A09FBC">
            <w:pPr>
              <w:pStyle w:val="14"/>
              <w:ind w:left="132" w:right="127"/>
              <w:jc w:val="center"/>
              <w:rPr>
                <w:sz w:val="21"/>
              </w:rPr>
            </w:pPr>
            <w:r>
              <w:rPr>
                <w:sz w:val="21"/>
              </w:rPr>
              <w:t>沉淀池</w:t>
            </w:r>
          </w:p>
        </w:tc>
        <w:tc>
          <w:tcPr>
            <w:tcW w:w="2808" w:type="dxa"/>
          </w:tcPr>
          <w:p w14:paraId="5E7194A8">
            <w:pPr>
              <w:pStyle w:val="14"/>
              <w:spacing w:before="1" w:line="242" w:lineRule="auto"/>
              <w:ind w:left="107" w:right="829"/>
              <w:rPr>
                <w:rFonts w:ascii="Times New Roman" w:hAnsi="Times New Roman" w:eastAsia="Times New Roman"/>
                <w:sz w:val="21"/>
              </w:rPr>
            </w:pPr>
            <w:r>
              <w:rPr>
                <w:w w:val="95"/>
                <w:sz w:val="21"/>
              </w:rPr>
              <w:t>设计规模：</w:t>
            </w:r>
            <w:r>
              <w:rPr>
                <w:rFonts w:ascii="Times New Roman" w:hAnsi="Times New Roman" w:eastAsia="Times New Roman"/>
                <w:w w:val="95"/>
                <w:sz w:val="21"/>
              </w:rPr>
              <w:t xml:space="preserve">1000m³/d </w:t>
            </w:r>
            <w:r>
              <w:rPr>
                <w:sz w:val="21"/>
              </w:rPr>
              <w:t>停留时间：</w:t>
            </w:r>
            <w:r>
              <w:rPr>
                <w:rFonts w:ascii="Times New Roman" w:hAnsi="Times New Roman" w:eastAsia="Times New Roman"/>
                <w:sz w:val="21"/>
              </w:rPr>
              <w:t>75min</w:t>
            </w:r>
          </w:p>
          <w:p w14:paraId="6C2E2725">
            <w:pPr>
              <w:pStyle w:val="14"/>
              <w:spacing w:before="1"/>
              <w:ind w:left="107"/>
              <w:rPr>
                <w:sz w:val="21"/>
              </w:rPr>
            </w:pPr>
            <w:r>
              <w:rPr>
                <w:sz w:val="21"/>
              </w:rPr>
              <w:t>构筑物尺寸：</w:t>
            </w:r>
          </w:p>
          <w:p w14:paraId="192EE986">
            <w:pPr>
              <w:pStyle w:val="14"/>
              <w:spacing w:before="3"/>
              <w:ind w:left="107"/>
              <w:rPr>
                <w:sz w:val="21"/>
              </w:rPr>
            </w:pPr>
            <w:r>
              <w:rPr>
                <w:rFonts w:ascii="Times New Roman" w:hAnsi="Times New Roman" w:eastAsia="Times New Roman"/>
                <w:sz w:val="21"/>
              </w:rPr>
              <w:t xml:space="preserve">L×B×H=6.0×3.5×2.5m </w:t>
            </w:r>
            <w:r>
              <w:rPr>
                <w:sz w:val="21"/>
              </w:rPr>
              <w:t>（ 有</w:t>
            </w:r>
          </w:p>
          <w:p w14:paraId="16FF902C">
            <w:pPr>
              <w:pStyle w:val="14"/>
              <w:spacing w:before="3" w:line="270" w:lineRule="atLeast"/>
              <w:ind w:left="107" w:right="39"/>
              <w:rPr>
                <w:sz w:val="21"/>
              </w:rPr>
            </w:pPr>
            <w:r>
              <w:rPr>
                <w:sz w:val="21"/>
              </w:rPr>
              <w:t xml:space="preserve">效水深 </w:t>
            </w:r>
            <w:r>
              <w:rPr>
                <w:rFonts w:ascii="Times New Roman" w:eastAsia="Times New Roman"/>
                <w:sz w:val="21"/>
              </w:rPr>
              <w:t>2.0m</w:t>
            </w:r>
            <w:r>
              <w:rPr>
                <w:sz w:val="21"/>
              </w:rPr>
              <w:t>）地下式钢混结构</w:t>
            </w:r>
          </w:p>
        </w:tc>
        <w:tc>
          <w:tcPr>
            <w:tcW w:w="684" w:type="dxa"/>
          </w:tcPr>
          <w:p w14:paraId="1A007BD8">
            <w:pPr>
              <w:pStyle w:val="14"/>
              <w:rPr>
                <w:rFonts w:ascii="Times New Roman"/>
                <w:sz w:val="20"/>
              </w:rPr>
            </w:pPr>
          </w:p>
          <w:p w14:paraId="1C04F3DC">
            <w:pPr>
              <w:pStyle w:val="14"/>
              <w:rPr>
                <w:rFonts w:ascii="Times New Roman"/>
                <w:sz w:val="20"/>
              </w:rPr>
            </w:pPr>
          </w:p>
          <w:p w14:paraId="465A2BF8">
            <w:pPr>
              <w:pStyle w:val="14"/>
              <w:spacing w:before="2"/>
              <w:rPr>
                <w:rFonts w:ascii="Times New Roman"/>
                <w:sz w:val="19"/>
              </w:rPr>
            </w:pPr>
          </w:p>
          <w:p w14:paraId="0D2629BE">
            <w:pPr>
              <w:pStyle w:val="14"/>
              <w:ind w:left="237"/>
              <w:rPr>
                <w:sz w:val="21"/>
              </w:rPr>
            </w:pPr>
            <w:r>
              <w:rPr>
                <w:w w:val="99"/>
                <w:sz w:val="21"/>
              </w:rPr>
              <w:t>座</w:t>
            </w:r>
          </w:p>
        </w:tc>
        <w:tc>
          <w:tcPr>
            <w:tcW w:w="699" w:type="dxa"/>
          </w:tcPr>
          <w:p w14:paraId="2A78C338">
            <w:pPr>
              <w:pStyle w:val="14"/>
              <w:rPr>
                <w:rFonts w:ascii="Times New Roman"/>
                <w:sz w:val="22"/>
              </w:rPr>
            </w:pPr>
          </w:p>
          <w:p w14:paraId="2DFE9B31">
            <w:pPr>
              <w:pStyle w:val="14"/>
              <w:rPr>
                <w:rFonts w:ascii="Times New Roman"/>
                <w:sz w:val="22"/>
              </w:rPr>
            </w:pPr>
          </w:p>
          <w:p w14:paraId="5FFED84A">
            <w:pPr>
              <w:pStyle w:val="14"/>
              <w:spacing w:before="191"/>
              <w:ind w:left="9"/>
              <w:jc w:val="center"/>
              <w:rPr>
                <w:rFonts w:ascii="Times New Roman"/>
                <w:sz w:val="21"/>
              </w:rPr>
            </w:pPr>
            <w:r>
              <w:rPr>
                <w:rFonts w:ascii="Times New Roman"/>
                <w:w w:val="99"/>
                <w:sz w:val="21"/>
              </w:rPr>
              <w:t>1</w:t>
            </w:r>
          </w:p>
        </w:tc>
        <w:tc>
          <w:tcPr>
            <w:tcW w:w="1686" w:type="dxa"/>
          </w:tcPr>
          <w:p w14:paraId="679BADAA">
            <w:pPr>
              <w:pStyle w:val="14"/>
              <w:rPr>
                <w:rFonts w:ascii="Times New Roman"/>
                <w:sz w:val="20"/>
              </w:rPr>
            </w:pPr>
          </w:p>
        </w:tc>
      </w:tr>
      <w:tr w14:paraId="3B947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2166E508">
            <w:pPr>
              <w:pStyle w:val="14"/>
              <w:spacing w:before="152"/>
              <w:ind w:right="176"/>
              <w:jc w:val="right"/>
              <w:rPr>
                <w:rFonts w:ascii="Times New Roman"/>
                <w:sz w:val="21"/>
              </w:rPr>
            </w:pPr>
            <w:r>
              <w:rPr>
                <w:rFonts w:ascii="Times New Roman"/>
                <w:w w:val="95"/>
                <w:sz w:val="21"/>
              </w:rPr>
              <w:t>3.1</w:t>
            </w:r>
          </w:p>
        </w:tc>
        <w:tc>
          <w:tcPr>
            <w:tcW w:w="2007" w:type="dxa"/>
          </w:tcPr>
          <w:p w14:paraId="448F0E3E">
            <w:pPr>
              <w:pStyle w:val="14"/>
              <w:spacing w:before="135"/>
              <w:ind w:left="132" w:right="125"/>
              <w:jc w:val="center"/>
              <w:rPr>
                <w:sz w:val="21"/>
              </w:rPr>
            </w:pPr>
            <w:r>
              <w:rPr>
                <w:sz w:val="21"/>
              </w:rPr>
              <w:t>固液分离机</w:t>
            </w:r>
          </w:p>
        </w:tc>
        <w:tc>
          <w:tcPr>
            <w:tcW w:w="2808" w:type="dxa"/>
          </w:tcPr>
          <w:p w14:paraId="66A18F03">
            <w:pPr>
              <w:pStyle w:val="14"/>
              <w:spacing w:before="1"/>
              <w:ind w:left="107"/>
              <w:rPr>
                <w:sz w:val="21"/>
              </w:rPr>
            </w:pPr>
            <w:r>
              <w:rPr>
                <w:spacing w:val="-21"/>
                <w:sz w:val="21"/>
              </w:rPr>
              <w:t xml:space="preserve">总 功 率 </w:t>
            </w:r>
            <w:r>
              <w:rPr>
                <w:rFonts w:ascii="Times New Roman" w:eastAsia="Times New Roman"/>
                <w:sz w:val="21"/>
              </w:rPr>
              <w:t xml:space="preserve">4KW </w:t>
            </w:r>
            <w:r>
              <w:rPr>
                <w:spacing w:val="-27"/>
                <w:sz w:val="21"/>
              </w:rPr>
              <w:t>， 处 理 能 力</w:t>
            </w:r>
          </w:p>
          <w:p w14:paraId="799CE183">
            <w:pPr>
              <w:pStyle w:val="14"/>
              <w:spacing w:before="2" w:line="252" w:lineRule="exact"/>
              <w:ind w:left="107"/>
              <w:rPr>
                <w:sz w:val="21"/>
              </w:rPr>
            </w:pPr>
            <w:r>
              <w:rPr>
                <w:rFonts w:ascii="Times New Roman" w:eastAsia="Times New Roman"/>
                <w:sz w:val="21"/>
              </w:rPr>
              <w:t>75m3/h</w:t>
            </w:r>
            <w:r>
              <w:rPr>
                <w:sz w:val="21"/>
              </w:rPr>
              <w:t>，</w:t>
            </w:r>
            <w:r>
              <w:rPr>
                <w:rFonts w:ascii="Times New Roman" w:eastAsia="Times New Roman"/>
                <w:sz w:val="21"/>
              </w:rPr>
              <w:t xml:space="preserve">304 </w:t>
            </w:r>
            <w:r>
              <w:rPr>
                <w:sz w:val="21"/>
              </w:rPr>
              <w:t>全不锈钢材质</w:t>
            </w:r>
          </w:p>
        </w:tc>
        <w:tc>
          <w:tcPr>
            <w:tcW w:w="684" w:type="dxa"/>
          </w:tcPr>
          <w:p w14:paraId="38E5D9A0">
            <w:pPr>
              <w:pStyle w:val="14"/>
              <w:spacing w:before="135"/>
              <w:ind w:left="237"/>
              <w:rPr>
                <w:sz w:val="21"/>
              </w:rPr>
            </w:pPr>
            <w:r>
              <w:rPr>
                <w:w w:val="99"/>
                <w:sz w:val="21"/>
              </w:rPr>
              <w:t>台</w:t>
            </w:r>
          </w:p>
        </w:tc>
        <w:tc>
          <w:tcPr>
            <w:tcW w:w="699" w:type="dxa"/>
          </w:tcPr>
          <w:p w14:paraId="28D1F6A3">
            <w:pPr>
              <w:pStyle w:val="14"/>
              <w:spacing w:before="152"/>
              <w:ind w:left="9"/>
              <w:jc w:val="center"/>
              <w:rPr>
                <w:rFonts w:ascii="Times New Roman"/>
                <w:sz w:val="21"/>
              </w:rPr>
            </w:pPr>
            <w:r>
              <w:rPr>
                <w:rFonts w:ascii="Times New Roman"/>
                <w:w w:val="99"/>
                <w:sz w:val="21"/>
              </w:rPr>
              <w:t>1</w:t>
            </w:r>
          </w:p>
        </w:tc>
        <w:tc>
          <w:tcPr>
            <w:tcW w:w="1686" w:type="dxa"/>
          </w:tcPr>
          <w:p w14:paraId="479A9421">
            <w:pPr>
              <w:pStyle w:val="14"/>
              <w:rPr>
                <w:rFonts w:ascii="Times New Roman"/>
                <w:sz w:val="20"/>
              </w:rPr>
            </w:pPr>
          </w:p>
        </w:tc>
      </w:tr>
      <w:tr w14:paraId="64284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638" w:type="dxa"/>
          </w:tcPr>
          <w:p w14:paraId="10CBF4A6">
            <w:pPr>
              <w:pStyle w:val="14"/>
              <w:rPr>
                <w:rFonts w:ascii="Times New Roman"/>
                <w:sz w:val="22"/>
              </w:rPr>
            </w:pPr>
          </w:p>
          <w:p w14:paraId="4CC0A9BF">
            <w:pPr>
              <w:pStyle w:val="14"/>
              <w:rPr>
                <w:rFonts w:ascii="Times New Roman"/>
                <w:sz w:val="22"/>
              </w:rPr>
            </w:pPr>
          </w:p>
          <w:p w14:paraId="010720BB">
            <w:pPr>
              <w:pStyle w:val="14"/>
              <w:spacing w:before="188"/>
              <w:ind w:right="255"/>
              <w:jc w:val="right"/>
              <w:rPr>
                <w:rFonts w:ascii="Times New Roman"/>
                <w:sz w:val="21"/>
              </w:rPr>
            </w:pPr>
            <w:r>
              <w:rPr>
                <w:rFonts w:ascii="Times New Roman"/>
                <w:w w:val="99"/>
                <w:sz w:val="21"/>
              </w:rPr>
              <w:t>4</w:t>
            </w:r>
          </w:p>
        </w:tc>
        <w:tc>
          <w:tcPr>
            <w:tcW w:w="2007" w:type="dxa"/>
          </w:tcPr>
          <w:p w14:paraId="076D9D12">
            <w:pPr>
              <w:pStyle w:val="14"/>
              <w:rPr>
                <w:rFonts w:ascii="Times New Roman"/>
                <w:sz w:val="20"/>
              </w:rPr>
            </w:pPr>
          </w:p>
          <w:p w14:paraId="7D4356F2">
            <w:pPr>
              <w:pStyle w:val="14"/>
              <w:rPr>
                <w:rFonts w:ascii="Times New Roman"/>
                <w:sz w:val="20"/>
              </w:rPr>
            </w:pPr>
          </w:p>
          <w:p w14:paraId="5F2325F3">
            <w:pPr>
              <w:pStyle w:val="14"/>
              <w:spacing w:before="1"/>
              <w:rPr>
                <w:rFonts w:ascii="Times New Roman"/>
                <w:sz w:val="19"/>
              </w:rPr>
            </w:pPr>
          </w:p>
          <w:p w14:paraId="14EDC86B">
            <w:pPr>
              <w:pStyle w:val="14"/>
              <w:ind w:left="132" w:right="125"/>
              <w:jc w:val="center"/>
              <w:rPr>
                <w:sz w:val="21"/>
              </w:rPr>
            </w:pPr>
            <w:r>
              <w:rPr>
                <w:sz w:val="21"/>
              </w:rPr>
              <w:t>接触氧化池</w:t>
            </w:r>
          </w:p>
        </w:tc>
        <w:tc>
          <w:tcPr>
            <w:tcW w:w="2808" w:type="dxa"/>
          </w:tcPr>
          <w:p w14:paraId="05CD2C57">
            <w:pPr>
              <w:pStyle w:val="14"/>
              <w:spacing w:line="242" w:lineRule="auto"/>
              <w:ind w:left="107" w:right="901"/>
              <w:jc w:val="both"/>
              <w:rPr>
                <w:sz w:val="21"/>
              </w:rPr>
            </w:pPr>
            <w:r>
              <w:rPr>
                <w:sz w:val="21"/>
              </w:rPr>
              <w:t>设计规模：</w:t>
            </w:r>
            <w:r>
              <w:rPr>
                <w:rFonts w:ascii="Times New Roman" w:hAnsi="Times New Roman" w:eastAsia="Times New Roman"/>
                <w:sz w:val="21"/>
              </w:rPr>
              <w:t xml:space="preserve">800m³/d </w:t>
            </w:r>
            <w:r>
              <w:rPr>
                <w:sz w:val="21"/>
              </w:rPr>
              <w:t>水力停留时间：</w:t>
            </w:r>
            <w:r>
              <w:rPr>
                <w:rFonts w:ascii="Times New Roman" w:hAnsi="Times New Roman" w:eastAsia="Times New Roman"/>
                <w:sz w:val="21"/>
              </w:rPr>
              <w:t xml:space="preserve">36h </w:t>
            </w:r>
            <w:r>
              <w:rPr>
                <w:sz w:val="21"/>
              </w:rPr>
              <w:t>构筑物尺寸：</w:t>
            </w:r>
          </w:p>
          <w:p w14:paraId="72C12B92">
            <w:pPr>
              <w:pStyle w:val="14"/>
              <w:spacing w:before="1"/>
              <w:ind w:left="107"/>
              <w:jc w:val="both"/>
              <w:rPr>
                <w:sz w:val="21"/>
              </w:rPr>
            </w:pPr>
            <w:r>
              <w:rPr>
                <w:rFonts w:ascii="Times New Roman" w:hAnsi="Times New Roman" w:eastAsia="Times New Roman"/>
                <w:sz w:val="21"/>
              </w:rPr>
              <w:t xml:space="preserve">L×B×H=25.0×7.5×6.5m </w:t>
            </w:r>
            <w:r>
              <w:rPr>
                <w:sz w:val="21"/>
              </w:rPr>
              <w:t>（ 有</w:t>
            </w:r>
          </w:p>
          <w:p w14:paraId="4A9C53B4">
            <w:pPr>
              <w:pStyle w:val="14"/>
              <w:spacing w:before="2"/>
              <w:ind w:left="107"/>
              <w:jc w:val="both"/>
              <w:rPr>
                <w:sz w:val="21"/>
              </w:rPr>
            </w:pPr>
            <w:r>
              <w:rPr>
                <w:sz w:val="21"/>
              </w:rPr>
              <w:t xml:space="preserve">效水深 </w:t>
            </w:r>
            <w:r>
              <w:rPr>
                <w:rFonts w:ascii="Times New Roman" w:eastAsia="Times New Roman"/>
                <w:sz w:val="21"/>
              </w:rPr>
              <w:t>5.0m</w:t>
            </w:r>
            <w:r>
              <w:rPr>
                <w:sz w:val="21"/>
              </w:rPr>
              <w:t>）</w:t>
            </w:r>
          </w:p>
          <w:p w14:paraId="022A4344">
            <w:pPr>
              <w:pStyle w:val="14"/>
              <w:spacing w:before="5" w:line="252" w:lineRule="exact"/>
              <w:ind w:left="107"/>
              <w:jc w:val="both"/>
              <w:rPr>
                <w:sz w:val="21"/>
              </w:rPr>
            </w:pPr>
            <w:r>
              <w:rPr>
                <w:sz w:val="21"/>
              </w:rPr>
              <w:t>半地下式钢混结构</w:t>
            </w:r>
          </w:p>
        </w:tc>
        <w:tc>
          <w:tcPr>
            <w:tcW w:w="684" w:type="dxa"/>
          </w:tcPr>
          <w:p w14:paraId="65841F16">
            <w:pPr>
              <w:pStyle w:val="14"/>
              <w:rPr>
                <w:rFonts w:ascii="Times New Roman"/>
                <w:sz w:val="20"/>
              </w:rPr>
            </w:pPr>
          </w:p>
          <w:p w14:paraId="4FE35A16">
            <w:pPr>
              <w:pStyle w:val="14"/>
              <w:rPr>
                <w:rFonts w:ascii="Times New Roman"/>
                <w:sz w:val="20"/>
              </w:rPr>
            </w:pPr>
          </w:p>
          <w:p w14:paraId="2CAE1377">
            <w:pPr>
              <w:pStyle w:val="14"/>
              <w:spacing w:before="1"/>
              <w:rPr>
                <w:rFonts w:ascii="Times New Roman"/>
                <w:sz w:val="19"/>
              </w:rPr>
            </w:pPr>
          </w:p>
          <w:p w14:paraId="060B6836">
            <w:pPr>
              <w:pStyle w:val="14"/>
              <w:ind w:left="237"/>
              <w:rPr>
                <w:sz w:val="21"/>
              </w:rPr>
            </w:pPr>
            <w:r>
              <w:rPr>
                <w:w w:val="99"/>
                <w:sz w:val="21"/>
              </w:rPr>
              <w:t>座</w:t>
            </w:r>
          </w:p>
        </w:tc>
        <w:tc>
          <w:tcPr>
            <w:tcW w:w="699" w:type="dxa"/>
          </w:tcPr>
          <w:p w14:paraId="5EFC0DAB">
            <w:pPr>
              <w:pStyle w:val="14"/>
              <w:rPr>
                <w:rFonts w:ascii="Times New Roman"/>
                <w:sz w:val="22"/>
              </w:rPr>
            </w:pPr>
          </w:p>
          <w:p w14:paraId="2FCF2630">
            <w:pPr>
              <w:pStyle w:val="14"/>
              <w:rPr>
                <w:rFonts w:ascii="Times New Roman"/>
                <w:sz w:val="22"/>
              </w:rPr>
            </w:pPr>
          </w:p>
          <w:p w14:paraId="56386779">
            <w:pPr>
              <w:pStyle w:val="14"/>
              <w:spacing w:before="188"/>
              <w:ind w:left="9"/>
              <w:jc w:val="center"/>
              <w:rPr>
                <w:rFonts w:ascii="Times New Roman"/>
                <w:sz w:val="21"/>
              </w:rPr>
            </w:pPr>
            <w:r>
              <w:rPr>
                <w:rFonts w:ascii="Times New Roman"/>
                <w:w w:val="99"/>
                <w:sz w:val="21"/>
              </w:rPr>
              <w:t>2</w:t>
            </w:r>
          </w:p>
        </w:tc>
        <w:tc>
          <w:tcPr>
            <w:tcW w:w="1686" w:type="dxa"/>
          </w:tcPr>
          <w:p w14:paraId="1A2750F9">
            <w:pPr>
              <w:pStyle w:val="14"/>
              <w:rPr>
                <w:rFonts w:ascii="Times New Roman"/>
                <w:sz w:val="20"/>
              </w:rPr>
            </w:pPr>
          </w:p>
        </w:tc>
      </w:tr>
      <w:tr w14:paraId="14692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8" w:type="dxa"/>
          </w:tcPr>
          <w:p w14:paraId="060AC852">
            <w:pPr>
              <w:pStyle w:val="14"/>
              <w:spacing w:before="9"/>
              <w:rPr>
                <w:rFonts w:ascii="Times New Roman"/>
                <w:sz w:val="24"/>
              </w:rPr>
            </w:pPr>
          </w:p>
          <w:p w14:paraId="76DCA650">
            <w:pPr>
              <w:pStyle w:val="14"/>
              <w:spacing w:before="1"/>
              <w:ind w:right="176"/>
              <w:jc w:val="right"/>
              <w:rPr>
                <w:rFonts w:ascii="Times New Roman"/>
                <w:sz w:val="21"/>
              </w:rPr>
            </w:pPr>
            <w:r>
              <w:rPr>
                <w:rFonts w:ascii="Times New Roman"/>
                <w:w w:val="95"/>
                <w:sz w:val="21"/>
              </w:rPr>
              <w:t>4.1</w:t>
            </w:r>
          </w:p>
        </w:tc>
        <w:tc>
          <w:tcPr>
            <w:tcW w:w="2007" w:type="dxa"/>
          </w:tcPr>
          <w:p w14:paraId="1E076701">
            <w:pPr>
              <w:pStyle w:val="14"/>
              <w:spacing w:before="135" w:line="244" w:lineRule="auto"/>
              <w:ind w:left="897" w:right="153" w:hanging="735"/>
              <w:rPr>
                <w:sz w:val="21"/>
              </w:rPr>
            </w:pPr>
            <w:r>
              <w:rPr>
                <w:w w:val="95"/>
                <w:sz w:val="21"/>
              </w:rPr>
              <w:t>空气悬浮离心鼓风</w:t>
            </w:r>
            <w:r>
              <w:rPr>
                <w:sz w:val="21"/>
              </w:rPr>
              <w:t>机</w:t>
            </w:r>
          </w:p>
        </w:tc>
        <w:tc>
          <w:tcPr>
            <w:tcW w:w="2808" w:type="dxa"/>
          </w:tcPr>
          <w:p w14:paraId="7DEDA27C">
            <w:pPr>
              <w:pStyle w:val="14"/>
              <w:ind w:left="107"/>
              <w:rPr>
                <w:sz w:val="21"/>
              </w:rPr>
            </w:pPr>
            <w:r>
              <w:rPr>
                <w:rFonts w:ascii="Times New Roman" w:eastAsia="Times New Roman"/>
                <w:sz w:val="21"/>
              </w:rPr>
              <w:t>22KW</w:t>
            </w:r>
            <w:r>
              <w:rPr>
                <w:sz w:val="21"/>
              </w:rPr>
              <w:t xml:space="preserve">，型号 </w:t>
            </w:r>
            <w:r>
              <w:rPr>
                <w:rFonts w:ascii="Times New Roman" w:eastAsia="Times New Roman"/>
                <w:sz w:val="21"/>
              </w:rPr>
              <w:t xml:space="preserve">Y150 </w:t>
            </w:r>
            <w:r>
              <w:rPr>
                <w:sz w:val="21"/>
              </w:rPr>
              <w:t>型，口径</w:t>
            </w:r>
          </w:p>
          <w:p w14:paraId="6F15BB83">
            <w:pPr>
              <w:pStyle w:val="14"/>
              <w:spacing w:before="2" w:line="270" w:lineRule="atLeast"/>
              <w:ind w:left="107" w:right="98"/>
              <w:rPr>
                <w:sz w:val="21"/>
              </w:rPr>
            </w:pPr>
            <w:r>
              <w:rPr>
                <w:rFonts w:ascii="Times New Roman" w:eastAsia="Times New Roman"/>
                <w:sz w:val="21"/>
              </w:rPr>
              <w:t>150mm</w:t>
            </w:r>
            <w:r>
              <w:rPr>
                <w:sz w:val="21"/>
              </w:rPr>
              <w:t>，含消声房，华金泰牌</w:t>
            </w:r>
          </w:p>
        </w:tc>
        <w:tc>
          <w:tcPr>
            <w:tcW w:w="684" w:type="dxa"/>
          </w:tcPr>
          <w:p w14:paraId="15CF8CF0">
            <w:pPr>
              <w:pStyle w:val="14"/>
              <w:spacing w:before="7"/>
              <w:rPr>
                <w:rFonts w:ascii="Times New Roman"/>
                <w:sz w:val="23"/>
              </w:rPr>
            </w:pPr>
          </w:p>
          <w:p w14:paraId="54D2D62B">
            <w:pPr>
              <w:pStyle w:val="14"/>
              <w:ind w:left="237"/>
              <w:rPr>
                <w:sz w:val="21"/>
              </w:rPr>
            </w:pPr>
            <w:r>
              <w:rPr>
                <w:w w:val="99"/>
                <w:sz w:val="21"/>
              </w:rPr>
              <w:t>台</w:t>
            </w:r>
          </w:p>
        </w:tc>
        <w:tc>
          <w:tcPr>
            <w:tcW w:w="699" w:type="dxa"/>
          </w:tcPr>
          <w:p w14:paraId="25E22644">
            <w:pPr>
              <w:pStyle w:val="14"/>
              <w:spacing w:before="9"/>
              <w:rPr>
                <w:rFonts w:ascii="Times New Roman"/>
                <w:sz w:val="24"/>
              </w:rPr>
            </w:pPr>
          </w:p>
          <w:p w14:paraId="7FCF2DF1">
            <w:pPr>
              <w:pStyle w:val="14"/>
              <w:spacing w:before="1"/>
              <w:ind w:left="9"/>
              <w:jc w:val="center"/>
              <w:rPr>
                <w:rFonts w:ascii="Times New Roman"/>
                <w:sz w:val="21"/>
              </w:rPr>
            </w:pPr>
            <w:r>
              <w:rPr>
                <w:rFonts w:ascii="Times New Roman"/>
                <w:w w:val="99"/>
                <w:sz w:val="21"/>
              </w:rPr>
              <w:t>2</w:t>
            </w:r>
          </w:p>
        </w:tc>
        <w:tc>
          <w:tcPr>
            <w:tcW w:w="1686" w:type="dxa"/>
          </w:tcPr>
          <w:p w14:paraId="349FD5A0">
            <w:pPr>
              <w:pStyle w:val="14"/>
              <w:rPr>
                <w:rFonts w:ascii="Times New Roman"/>
                <w:sz w:val="20"/>
              </w:rPr>
            </w:pPr>
          </w:p>
        </w:tc>
      </w:tr>
      <w:tr w14:paraId="5793B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7CF3A34">
            <w:pPr>
              <w:pStyle w:val="14"/>
              <w:spacing w:before="104"/>
              <w:ind w:right="176"/>
              <w:jc w:val="right"/>
              <w:rPr>
                <w:rFonts w:ascii="Times New Roman"/>
                <w:sz w:val="21"/>
              </w:rPr>
            </w:pPr>
            <w:r>
              <w:rPr>
                <w:rFonts w:ascii="Times New Roman"/>
                <w:w w:val="95"/>
                <w:sz w:val="21"/>
              </w:rPr>
              <w:t>4.2</w:t>
            </w:r>
          </w:p>
        </w:tc>
        <w:tc>
          <w:tcPr>
            <w:tcW w:w="2007" w:type="dxa"/>
          </w:tcPr>
          <w:p w14:paraId="79D5A39D">
            <w:pPr>
              <w:pStyle w:val="14"/>
              <w:spacing w:before="90"/>
              <w:ind w:left="132" w:right="127"/>
              <w:jc w:val="center"/>
              <w:rPr>
                <w:sz w:val="21"/>
              </w:rPr>
            </w:pPr>
            <w:r>
              <w:rPr>
                <w:sz w:val="21"/>
              </w:rPr>
              <w:t>水下曝气排管</w:t>
            </w:r>
          </w:p>
        </w:tc>
        <w:tc>
          <w:tcPr>
            <w:tcW w:w="2808" w:type="dxa"/>
          </w:tcPr>
          <w:p w14:paraId="0DC36281">
            <w:pPr>
              <w:pStyle w:val="14"/>
              <w:spacing w:before="90"/>
              <w:ind w:left="107"/>
              <w:rPr>
                <w:sz w:val="21"/>
              </w:rPr>
            </w:pPr>
            <w:r>
              <w:rPr>
                <w:sz w:val="21"/>
              </w:rPr>
              <w:t>自购材料</w:t>
            </w:r>
          </w:p>
        </w:tc>
        <w:tc>
          <w:tcPr>
            <w:tcW w:w="684" w:type="dxa"/>
          </w:tcPr>
          <w:p w14:paraId="1B5D1240">
            <w:pPr>
              <w:pStyle w:val="14"/>
              <w:spacing w:before="90"/>
              <w:ind w:left="237"/>
              <w:rPr>
                <w:sz w:val="21"/>
              </w:rPr>
            </w:pPr>
            <w:r>
              <w:rPr>
                <w:w w:val="99"/>
                <w:sz w:val="21"/>
              </w:rPr>
              <w:t>套</w:t>
            </w:r>
          </w:p>
        </w:tc>
        <w:tc>
          <w:tcPr>
            <w:tcW w:w="699" w:type="dxa"/>
          </w:tcPr>
          <w:p w14:paraId="1A08C784">
            <w:pPr>
              <w:pStyle w:val="14"/>
              <w:spacing w:before="104"/>
              <w:ind w:left="9"/>
              <w:jc w:val="center"/>
              <w:rPr>
                <w:rFonts w:ascii="Times New Roman"/>
                <w:sz w:val="21"/>
              </w:rPr>
            </w:pPr>
            <w:r>
              <w:rPr>
                <w:rFonts w:ascii="Times New Roman"/>
                <w:w w:val="99"/>
                <w:sz w:val="21"/>
              </w:rPr>
              <w:t>2</w:t>
            </w:r>
          </w:p>
        </w:tc>
        <w:tc>
          <w:tcPr>
            <w:tcW w:w="1686" w:type="dxa"/>
          </w:tcPr>
          <w:p w14:paraId="5F7EFB2C">
            <w:pPr>
              <w:pStyle w:val="14"/>
              <w:rPr>
                <w:rFonts w:ascii="Times New Roman"/>
                <w:sz w:val="20"/>
              </w:rPr>
            </w:pPr>
          </w:p>
        </w:tc>
      </w:tr>
      <w:tr w14:paraId="47ABA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51321954">
            <w:pPr>
              <w:pStyle w:val="14"/>
              <w:spacing w:before="149"/>
              <w:ind w:right="176"/>
              <w:jc w:val="right"/>
              <w:rPr>
                <w:rFonts w:ascii="Times New Roman"/>
                <w:sz w:val="21"/>
              </w:rPr>
            </w:pPr>
            <w:r>
              <w:rPr>
                <w:rFonts w:ascii="Times New Roman"/>
                <w:w w:val="95"/>
                <w:sz w:val="21"/>
              </w:rPr>
              <w:t>4.3</w:t>
            </w:r>
          </w:p>
        </w:tc>
        <w:tc>
          <w:tcPr>
            <w:tcW w:w="2007" w:type="dxa"/>
          </w:tcPr>
          <w:p w14:paraId="0D0EBBC0">
            <w:pPr>
              <w:pStyle w:val="14"/>
              <w:spacing w:before="135"/>
              <w:ind w:left="132" w:right="125"/>
              <w:jc w:val="center"/>
              <w:rPr>
                <w:sz w:val="21"/>
              </w:rPr>
            </w:pPr>
            <w:r>
              <w:rPr>
                <w:sz w:val="21"/>
              </w:rPr>
              <w:t>加药系统</w:t>
            </w:r>
          </w:p>
        </w:tc>
        <w:tc>
          <w:tcPr>
            <w:tcW w:w="2808" w:type="dxa"/>
          </w:tcPr>
          <w:p w14:paraId="7A4C5508">
            <w:pPr>
              <w:pStyle w:val="14"/>
              <w:spacing w:before="1"/>
              <w:ind w:left="107"/>
              <w:rPr>
                <w:sz w:val="21"/>
              </w:rPr>
            </w:pPr>
            <w:r>
              <w:rPr>
                <w:rFonts w:ascii="Times New Roman" w:eastAsia="Times New Roman"/>
                <w:sz w:val="21"/>
              </w:rPr>
              <w:t xml:space="preserve">PM </w:t>
            </w:r>
            <w:r>
              <w:rPr>
                <w:sz w:val="21"/>
              </w:rPr>
              <w:t>系列，满足组装该系统</w:t>
            </w:r>
          </w:p>
          <w:p w14:paraId="34522880">
            <w:pPr>
              <w:pStyle w:val="14"/>
              <w:spacing w:before="2" w:line="253" w:lineRule="exact"/>
              <w:ind w:left="107"/>
              <w:rPr>
                <w:sz w:val="21"/>
              </w:rPr>
            </w:pPr>
            <w:r>
              <w:rPr>
                <w:sz w:val="21"/>
              </w:rPr>
              <w:t>技术规范要求</w:t>
            </w:r>
          </w:p>
        </w:tc>
        <w:tc>
          <w:tcPr>
            <w:tcW w:w="684" w:type="dxa"/>
          </w:tcPr>
          <w:p w14:paraId="0EC26632">
            <w:pPr>
              <w:pStyle w:val="14"/>
              <w:spacing w:before="135"/>
              <w:ind w:left="237"/>
              <w:rPr>
                <w:sz w:val="21"/>
              </w:rPr>
            </w:pPr>
            <w:r>
              <w:rPr>
                <w:w w:val="99"/>
                <w:sz w:val="21"/>
              </w:rPr>
              <w:t>套</w:t>
            </w:r>
          </w:p>
        </w:tc>
        <w:tc>
          <w:tcPr>
            <w:tcW w:w="699" w:type="dxa"/>
          </w:tcPr>
          <w:p w14:paraId="3B1FFED3">
            <w:pPr>
              <w:pStyle w:val="14"/>
              <w:spacing w:before="149"/>
              <w:ind w:left="9"/>
              <w:jc w:val="center"/>
              <w:rPr>
                <w:rFonts w:ascii="Times New Roman"/>
                <w:sz w:val="21"/>
              </w:rPr>
            </w:pPr>
            <w:r>
              <w:rPr>
                <w:rFonts w:ascii="Times New Roman"/>
                <w:w w:val="99"/>
                <w:sz w:val="21"/>
              </w:rPr>
              <w:t>2</w:t>
            </w:r>
          </w:p>
        </w:tc>
        <w:tc>
          <w:tcPr>
            <w:tcW w:w="1686" w:type="dxa"/>
          </w:tcPr>
          <w:p w14:paraId="34F545BE">
            <w:pPr>
              <w:pStyle w:val="14"/>
              <w:rPr>
                <w:rFonts w:ascii="Times New Roman"/>
                <w:sz w:val="20"/>
              </w:rPr>
            </w:pPr>
          </w:p>
        </w:tc>
      </w:tr>
      <w:tr w14:paraId="3B944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38" w:type="dxa"/>
          </w:tcPr>
          <w:p w14:paraId="37BFA4DB">
            <w:pPr>
              <w:pStyle w:val="14"/>
              <w:spacing w:before="151"/>
              <w:ind w:right="176"/>
              <w:jc w:val="right"/>
              <w:rPr>
                <w:rFonts w:ascii="Times New Roman"/>
                <w:sz w:val="21"/>
              </w:rPr>
            </w:pPr>
            <w:r>
              <w:rPr>
                <w:rFonts w:ascii="Times New Roman"/>
                <w:w w:val="95"/>
                <w:sz w:val="21"/>
              </w:rPr>
              <w:t>4.4</w:t>
            </w:r>
          </w:p>
        </w:tc>
        <w:tc>
          <w:tcPr>
            <w:tcW w:w="2007" w:type="dxa"/>
          </w:tcPr>
          <w:p w14:paraId="07631A30">
            <w:pPr>
              <w:pStyle w:val="14"/>
              <w:spacing w:before="134"/>
              <w:ind w:left="132" w:right="127"/>
              <w:jc w:val="center"/>
              <w:rPr>
                <w:sz w:val="21"/>
              </w:rPr>
            </w:pPr>
            <w:r>
              <w:rPr>
                <w:rFonts w:ascii="Times New Roman" w:eastAsia="Times New Roman"/>
                <w:sz w:val="21"/>
              </w:rPr>
              <w:t xml:space="preserve">PLC </w:t>
            </w:r>
            <w:r>
              <w:rPr>
                <w:sz w:val="21"/>
              </w:rPr>
              <w:t>电气自控系统</w:t>
            </w:r>
          </w:p>
        </w:tc>
        <w:tc>
          <w:tcPr>
            <w:tcW w:w="2808" w:type="dxa"/>
          </w:tcPr>
          <w:p w14:paraId="1D49A145">
            <w:pPr>
              <w:pStyle w:val="14"/>
              <w:ind w:left="107"/>
              <w:rPr>
                <w:sz w:val="21"/>
              </w:rPr>
            </w:pPr>
            <w:r>
              <w:rPr>
                <w:rFonts w:ascii="Times New Roman" w:eastAsia="Times New Roman"/>
                <w:sz w:val="21"/>
              </w:rPr>
              <w:t xml:space="preserve">PLC </w:t>
            </w:r>
            <w:r>
              <w:rPr>
                <w:sz w:val="21"/>
              </w:rPr>
              <w:t>控制柜，西门子；上位</w:t>
            </w:r>
          </w:p>
          <w:p w14:paraId="48AD8BE3">
            <w:pPr>
              <w:pStyle w:val="14"/>
              <w:spacing w:before="2" w:line="252" w:lineRule="exact"/>
              <w:ind w:left="107"/>
              <w:rPr>
                <w:sz w:val="21"/>
              </w:rPr>
            </w:pPr>
            <w:r>
              <w:rPr>
                <w:sz w:val="21"/>
              </w:rPr>
              <w:t>机及运行系统</w:t>
            </w:r>
          </w:p>
        </w:tc>
        <w:tc>
          <w:tcPr>
            <w:tcW w:w="684" w:type="dxa"/>
          </w:tcPr>
          <w:p w14:paraId="59978171">
            <w:pPr>
              <w:pStyle w:val="14"/>
              <w:spacing w:before="134"/>
              <w:ind w:left="237"/>
              <w:rPr>
                <w:sz w:val="21"/>
              </w:rPr>
            </w:pPr>
            <w:r>
              <w:rPr>
                <w:w w:val="99"/>
                <w:sz w:val="21"/>
              </w:rPr>
              <w:t>套</w:t>
            </w:r>
          </w:p>
        </w:tc>
        <w:tc>
          <w:tcPr>
            <w:tcW w:w="699" w:type="dxa"/>
          </w:tcPr>
          <w:p w14:paraId="13C00923">
            <w:pPr>
              <w:pStyle w:val="14"/>
              <w:spacing w:before="151"/>
              <w:ind w:left="9"/>
              <w:jc w:val="center"/>
              <w:rPr>
                <w:rFonts w:ascii="Times New Roman"/>
                <w:sz w:val="21"/>
              </w:rPr>
            </w:pPr>
            <w:r>
              <w:rPr>
                <w:rFonts w:ascii="Times New Roman"/>
                <w:w w:val="99"/>
                <w:sz w:val="21"/>
              </w:rPr>
              <w:t>2</w:t>
            </w:r>
          </w:p>
        </w:tc>
        <w:tc>
          <w:tcPr>
            <w:tcW w:w="1686" w:type="dxa"/>
          </w:tcPr>
          <w:p w14:paraId="310F86B5">
            <w:pPr>
              <w:pStyle w:val="14"/>
              <w:rPr>
                <w:rFonts w:ascii="Times New Roman"/>
                <w:sz w:val="20"/>
              </w:rPr>
            </w:pPr>
          </w:p>
        </w:tc>
      </w:tr>
      <w:tr w14:paraId="7F6F9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7" w:hRule="atLeast"/>
        </w:trPr>
        <w:tc>
          <w:tcPr>
            <w:tcW w:w="638" w:type="dxa"/>
          </w:tcPr>
          <w:p w14:paraId="6F8181AF">
            <w:pPr>
              <w:pStyle w:val="14"/>
              <w:rPr>
                <w:rFonts w:ascii="Times New Roman"/>
                <w:sz w:val="22"/>
              </w:rPr>
            </w:pPr>
          </w:p>
          <w:p w14:paraId="085FB614">
            <w:pPr>
              <w:pStyle w:val="14"/>
              <w:rPr>
                <w:rFonts w:ascii="Times New Roman"/>
                <w:sz w:val="22"/>
              </w:rPr>
            </w:pPr>
          </w:p>
          <w:p w14:paraId="372B19F3">
            <w:pPr>
              <w:pStyle w:val="14"/>
              <w:spacing w:before="5"/>
              <w:rPr>
                <w:rFonts w:ascii="Times New Roman"/>
                <w:sz w:val="28"/>
              </w:rPr>
            </w:pPr>
          </w:p>
          <w:p w14:paraId="695B92F8">
            <w:pPr>
              <w:pStyle w:val="14"/>
              <w:ind w:right="255"/>
              <w:jc w:val="right"/>
              <w:rPr>
                <w:rFonts w:ascii="Times New Roman"/>
                <w:sz w:val="21"/>
              </w:rPr>
            </w:pPr>
            <w:r>
              <w:rPr>
                <w:rFonts w:ascii="Times New Roman"/>
                <w:w w:val="99"/>
                <w:sz w:val="21"/>
              </w:rPr>
              <w:t>5</w:t>
            </w:r>
          </w:p>
        </w:tc>
        <w:tc>
          <w:tcPr>
            <w:tcW w:w="2007" w:type="dxa"/>
          </w:tcPr>
          <w:p w14:paraId="6BFA5400">
            <w:pPr>
              <w:pStyle w:val="14"/>
              <w:rPr>
                <w:rFonts w:ascii="Times New Roman"/>
                <w:sz w:val="20"/>
              </w:rPr>
            </w:pPr>
          </w:p>
          <w:p w14:paraId="50E512F6">
            <w:pPr>
              <w:pStyle w:val="14"/>
              <w:rPr>
                <w:rFonts w:ascii="Times New Roman"/>
                <w:sz w:val="20"/>
              </w:rPr>
            </w:pPr>
          </w:p>
          <w:p w14:paraId="0A6DA47F">
            <w:pPr>
              <w:pStyle w:val="14"/>
              <w:rPr>
                <w:rFonts w:ascii="Times New Roman"/>
                <w:sz w:val="20"/>
              </w:rPr>
            </w:pPr>
          </w:p>
          <w:p w14:paraId="3908598B">
            <w:pPr>
              <w:pStyle w:val="14"/>
              <w:spacing w:before="127"/>
              <w:ind w:left="132" w:right="125"/>
              <w:jc w:val="center"/>
              <w:rPr>
                <w:sz w:val="21"/>
              </w:rPr>
            </w:pPr>
            <w:r>
              <w:rPr>
                <w:sz w:val="21"/>
              </w:rPr>
              <w:t>隔油调节池</w:t>
            </w:r>
          </w:p>
        </w:tc>
        <w:tc>
          <w:tcPr>
            <w:tcW w:w="2808" w:type="dxa"/>
          </w:tcPr>
          <w:p w14:paraId="47CA2DA2">
            <w:pPr>
              <w:pStyle w:val="14"/>
              <w:spacing w:line="242" w:lineRule="auto"/>
              <w:ind w:left="107" w:right="829"/>
              <w:rPr>
                <w:rFonts w:ascii="Times New Roman" w:hAnsi="Times New Roman" w:eastAsia="Times New Roman"/>
                <w:sz w:val="21"/>
              </w:rPr>
            </w:pPr>
            <w:r>
              <w:rPr>
                <w:w w:val="95"/>
                <w:sz w:val="21"/>
              </w:rPr>
              <w:t>设计规模：</w:t>
            </w:r>
            <w:r>
              <w:rPr>
                <w:rFonts w:ascii="Times New Roman" w:hAnsi="Times New Roman" w:eastAsia="Times New Roman"/>
                <w:w w:val="95"/>
                <w:sz w:val="21"/>
              </w:rPr>
              <w:t xml:space="preserve">1000m³/d </w:t>
            </w:r>
            <w:r>
              <w:rPr>
                <w:sz w:val="21"/>
              </w:rPr>
              <w:t>停留时间：</w:t>
            </w:r>
            <w:r>
              <w:rPr>
                <w:rFonts w:ascii="Times New Roman" w:hAnsi="Times New Roman" w:eastAsia="Times New Roman"/>
                <w:sz w:val="21"/>
              </w:rPr>
              <w:t>12h</w:t>
            </w:r>
          </w:p>
          <w:p w14:paraId="29BB8017">
            <w:pPr>
              <w:pStyle w:val="14"/>
              <w:spacing w:before="2"/>
              <w:ind w:left="107"/>
              <w:rPr>
                <w:sz w:val="21"/>
              </w:rPr>
            </w:pPr>
            <w:r>
              <w:rPr>
                <w:sz w:val="21"/>
              </w:rPr>
              <w:t>构筑物尺寸：</w:t>
            </w:r>
          </w:p>
          <w:p w14:paraId="3BAC0C69">
            <w:pPr>
              <w:pStyle w:val="14"/>
              <w:spacing w:before="4"/>
              <w:ind w:left="107"/>
              <w:rPr>
                <w:sz w:val="21"/>
              </w:rPr>
            </w:pPr>
            <w:r>
              <w:rPr>
                <w:rFonts w:ascii="Times New Roman" w:hAnsi="Times New Roman" w:eastAsia="Times New Roman"/>
                <w:sz w:val="21"/>
              </w:rPr>
              <w:t xml:space="preserve">L×B×H=22.0×6.0×4.5m </w:t>
            </w:r>
            <w:r>
              <w:rPr>
                <w:sz w:val="21"/>
              </w:rPr>
              <w:t>（ 有</w:t>
            </w:r>
          </w:p>
          <w:p w14:paraId="652342D5">
            <w:pPr>
              <w:pStyle w:val="14"/>
              <w:spacing w:before="2" w:line="242" w:lineRule="auto"/>
              <w:ind w:left="107" w:right="39"/>
              <w:rPr>
                <w:sz w:val="21"/>
              </w:rPr>
            </w:pPr>
            <w:r>
              <w:rPr>
                <w:sz w:val="21"/>
              </w:rPr>
              <w:t xml:space="preserve">效水深 </w:t>
            </w:r>
            <w:r>
              <w:rPr>
                <w:rFonts w:ascii="Times New Roman" w:eastAsia="Times New Roman"/>
                <w:sz w:val="21"/>
              </w:rPr>
              <w:t>4.0m</w:t>
            </w:r>
            <w:r>
              <w:rPr>
                <w:sz w:val="21"/>
              </w:rPr>
              <w:t>，局部为隔油沉渣池）</w:t>
            </w:r>
          </w:p>
          <w:p w14:paraId="71532640">
            <w:pPr>
              <w:pStyle w:val="14"/>
              <w:spacing w:before="2" w:line="252" w:lineRule="exact"/>
              <w:ind w:left="107"/>
              <w:rPr>
                <w:sz w:val="21"/>
              </w:rPr>
            </w:pPr>
            <w:r>
              <w:rPr>
                <w:sz w:val="21"/>
              </w:rPr>
              <w:t>地下式钢混结构</w:t>
            </w:r>
          </w:p>
        </w:tc>
        <w:tc>
          <w:tcPr>
            <w:tcW w:w="684" w:type="dxa"/>
          </w:tcPr>
          <w:p w14:paraId="276D8EC0">
            <w:pPr>
              <w:pStyle w:val="14"/>
              <w:rPr>
                <w:rFonts w:ascii="Times New Roman"/>
                <w:sz w:val="20"/>
              </w:rPr>
            </w:pPr>
          </w:p>
          <w:p w14:paraId="2F96181C">
            <w:pPr>
              <w:pStyle w:val="14"/>
              <w:rPr>
                <w:rFonts w:ascii="Times New Roman"/>
                <w:sz w:val="20"/>
              </w:rPr>
            </w:pPr>
          </w:p>
          <w:p w14:paraId="27ACE19C">
            <w:pPr>
              <w:pStyle w:val="14"/>
              <w:rPr>
                <w:rFonts w:ascii="Times New Roman"/>
                <w:sz w:val="20"/>
              </w:rPr>
            </w:pPr>
          </w:p>
          <w:p w14:paraId="75149F96">
            <w:pPr>
              <w:pStyle w:val="14"/>
              <w:spacing w:before="127"/>
              <w:ind w:left="237"/>
              <w:rPr>
                <w:sz w:val="21"/>
              </w:rPr>
            </w:pPr>
            <w:r>
              <w:rPr>
                <w:w w:val="99"/>
                <w:sz w:val="21"/>
              </w:rPr>
              <w:t>座</w:t>
            </w:r>
          </w:p>
        </w:tc>
        <w:tc>
          <w:tcPr>
            <w:tcW w:w="699" w:type="dxa"/>
          </w:tcPr>
          <w:p w14:paraId="16009027">
            <w:pPr>
              <w:pStyle w:val="14"/>
              <w:rPr>
                <w:rFonts w:ascii="Times New Roman"/>
                <w:sz w:val="22"/>
              </w:rPr>
            </w:pPr>
          </w:p>
          <w:p w14:paraId="297D12DA">
            <w:pPr>
              <w:pStyle w:val="14"/>
              <w:rPr>
                <w:rFonts w:ascii="Times New Roman"/>
                <w:sz w:val="22"/>
              </w:rPr>
            </w:pPr>
          </w:p>
          <w:p w14:paraId="6FF85BCD">
            <w:pPr>
              <w:pStyle w:val="14"/>
              <w:spacing w:before="5"/>
              <w:rPr>
                <w:rFonts w:ascii="Times New Roman"/>
                <w:sz w:val="28"/>
              </w:rPr>
            </w:pPr>
          </w:p>
          <w:p w14:paraId="6F5E1456">
            <w:pPr>
              <w:pStyle w:val="14"/>
              <w:ind w:left="9"/>
              <w:jc w:val="center"/>
              <w:rPr>
                <w:rFonts w:ascii="Times New Roman"/>
                <w:sz w:val="21"/>
              </w:rPr>
            </w:pPr>
            <w:r>
              <w:rPr>
                <w:rFonts w:ascii="Times New Roman"/>
                <w:w w:val="99"/>
                <w:sz w:val="21"/>
              </w:rPr>
              <w:t>1</w:t>
            </w:r>
          </w:p>
        </w:tc>
        <w:tc>
          <w:tcPr>
            <w:tcW w:w="1686" w:type="dxa"/>
          </w:tcPr>
          <w:p w14:paraId="6E95F9EB">
            <w:pPr>
              <w:pStyle w:val="14"/>
              <w:rPr>
                <w:rFonts w:ascii="Times New Roman"/>
                <w:sz w:val="20"/>
              </w:rPr>
            </w:pPr>
          </w:p>
        </w:tc>
      </w:tr>
      <w:tr w14:paraId="49093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38" w:type="dxa"/>
          </w:tcPr>
          <w:p w14:paraId="0C217783">
            <w:pPr>
              <w:pStyle w:val="14"/>
              <w:spacing w:before="104"/>
              <w:ind w:right="176"/>
              <w:jc w:val="right"/>
              <w:rPr>
                <w:rFonts w:ascii="Times New Roman"/>
                <w:sz w:val="21"/>
              </w:rPr>
            </w:pPr>
            <w:r>
              <w:rPr>
                <w:rFonts w:ascii="Times New Roman"/>
                <w:w w:val="95"/>
                <w:sz w:val="21"/>
              </w:rPr>
              <w:t>5.1</w:t>
            </w:r>
          </w:p>
        </w:tc>
        <w:tc>
          <w:tcPr>
            <w:tcW w:w="2007" w:type="dxa"/>
          </w:tcPr>
          <w:p w14:paraId="41E26CAC">
            <w:pPr>
              <w:pStyle w:val="14"/>
              <w:spacing w:before="90"/>
              <w:ind w:left="132" w:right="125"/>
              <w:jc w:val="center"/>
              <w:rPr>
                <w:sz w:val="21"/>
              </w:rPr>
            </w:pPr>
            <w:r>
              <w:rPr>
                <w:sz w:val="21"/>
              </w:rPr>
              <w:t>多功能排水潜污泵</w:t>
            </w:r>
          </w:p>
        </w:tc>
        <w:tc>
          <w:tcPr>
            <w:tcW w:w="2808" w:type="dxa"/>
          </w:tcPr>
          <w:p w14:paraId="64549358">
            <w:pPr>
              <w:pStyle w:val="14"/>
              <w:spacing w:before="90"/>
              <w:ind w:left="107"/>
              <w:rPr>
                <w:sz w:val="21"/>
              </w:rPr>
            </w:pPr>
            <w:r>
              <w:rPr>
                <w:sz w:val="21"/>
              </w:rPr>
              <w:t xml:space="preserve">口径 </w:t>
            </w:r>
            <w:r>
              <w:rPr>
                <w:rFonts w:ascii="Times New Roman" w:eastAsia="Times New Roman"/>
                <w:sz w:val="21"/>
              </w:rPr>
              <w:t>100mm</w:t>
            </w:r>
            <w:r>
              <w:rPr>
                <w:sz w:val="21"/>
              </w:rPr>
              <w:t xml:space="preserve">，扬程 </w:t>
            </w:r>
            <w:r>
              <w:rPr>
                <w:rFonts w:ascii="Times New Roman" w:eastAsia="Times New Roman"/>
                <w:sz w:val="21"/>
              </w:rPr>
              <w:t>8m</w:t>
            </w:r>
            <w:r>
              <w:rPr>
                <w:sz w:val="21"/>
              </w:rPr>
              <w:t>，功</w:t>
            </w:r>
          </w:p>
        </w:tc>
        <w:tc>
          <w:tcPr>
            <w:tcW w:w="684" w:type="dxa"/>
          </w:tcPr>
          <w:p w14:paraId="123C286C">
            <w:pPr>
              <w:pStyle w:val="14"/>
              <w:spacing w:before="90"/>
              <w:ind w:left="237"/>
              <w:rPr>
                <w:sz w:val="21"/>
              </w:rPr>
            </w:pPr>
            <w:r>
              <w:rPr>
                <w:w w:val="99"/>
                <w:sz w:val="21"/>
              </w:rPr>
              <w:t>台</w:t>
            </w:r>
          </w:p>
        </w:tc>
        <w:tc>
          <w:tcPr>
            <w:tcW w:w="699" w:type="dxa"/>
          </w:tcPr>
          <w:p w14:paraId="209884E7">
            <w:pPr>
              <w:pStyle w:val="14"/>
              <w:spacing w:before="104"/>
              <w:ind w:left="9"/>
              <w:jc w:val="center"/>
              <w:rPr>
                <w:rFonts w:ascii="Times New Roman"/>
                <w:sz w:val="21"/>
              </w:rPr>
            </w:pPr>
            <w:r>
              <w:rPr>
                <w:rFonts w:ascii="Times New Roman"/>
                <w:w w:val="99"/>
                <w:sz w:val="21"/>
              </w:rPr>
              <w:t>2</w:t>
            </w:r>
          </w:p>
        </w:tc>
        <w:tc>
          <w:tcPr>
            <w:tcW w:w="1686" w:type="dxa"/>
          </w:tcPr>
          <w:p w14:paraId="578F6B19">
            <w:pPr>
              <w:pStyle w:val="14"/>
              <w:rPr>
                <w:rFonts w:ascii="Times New Roman"/>
                <w:sz w:val="20"/>
              </w:rPr>
            </w:pPr>
          </w:p>
        </w:tc>
      </w:tr>
    </w:tbl>
    <w:p w14:paraId="43299EF6">
      <w:pPr>
        <w:spacing w:after="0"/>
        <w:rPr>
          <w:rFonts w:ascii="Times New Roman"/>
          <w:sz w:val="20"/>
        </w:rPr>
        <w:sectPr>
          <w:pgSz w:w="11910" w:h="16840"/>
          <w:pgMar w:top="1360" w:right="1460" w:bottom="1380" w:left="1520" w:header="878" w:footer="1195" w:gutter="0"/>
          <w:cols w:space="720" w:num="1"/>
        </w:sectPr>
      </w:pPr>
    </w:p>
    <w:p w14:paraId="7FB6EC6E">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2808"/>
        <w:gridCol w:w="684"/>
        <w:gridCol w:w="699"/>
        <w:gridCol w:w="1686"/>
      </w:tblGrid>
      <w:tr w14:paraId="15BED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17E3683">
            <w:pPr>
              <w:pStyle w:val="14"/>
              <w:rPr>
                <w:rFonts w:ascii="Times New Roman"/>
                <w:sz w:val="20"/>
              </w:rPr>
            </w:pPr>
          </w:p>
        </w:tc>
        <w:tc>
          <w:tcPr>
            <w:tcW w:w="2007" w:type="dxa"/>
          </w:tcPr>
          <w:p w14:paraId="45D7F696">
            <w:pPr>
              <w:pStyle w:val="14"/>
              <w:rPr>
                <w:rFonts w:ascii="Times New Roman"/>
                <w:sz w:val="20"/>
              </w:rPr>
            </w:pPr>
          </w:p>
        </w:tc>
        <w:tc>
          <w:tcPr>
            <w:tcW w:w="2808" w:type="dxa"/>
          </w:tcPr>
          <w:p w14:paraId="4ED88FA8">
            <w:pPr>
              <w:pStyle w:val="14"/>
              <w:spacing w:before="2"/>
              <w:ind w:left="107"/>
              <w:rPr>
                <w:rFonts w:ascii="Times New Roman" w:eastAsia="Times New Roman"/>
                <w:sz w:val="21"/>
              </w:rPr>
            </w:pPr>
            <w:r>
              <w:rPr>
                <w:sz w:val="21"/>
              </w:rPr>
              <w:t xml:space="preserve">率 </w:t>
            </w:r>
            <w:r>
              <w:rPr>
                <w:rFonts w:ascii="Times New Roman" w:eastAsia="Times New Roman"/>
                <w:sz w:val="21"/>
              </w:rPr>
              <w:t>3KW</w:t>
            </w:r>
          </w:p>
        </w:tc>
        <w:tc>
          <w:tcPr>
            <w:tcW w:w="684" w:type="dxa"/>
          </w:tcPr>
          <w:p w14:paraId="4A1AB69F">
            <w:pPr>
              <w:pStyle w:val="14"/>
              <w:rPr>
                <w:rFonts w:ascii="Times New Roman"/>
                <w:sz w:val="20"/>
              </w:rPr>
            </w:pPr>
          </w:p>
        </w:tc>
        <w:tc>
          <w:tcPr>
            <w:tcW w:w="699" w:type="dxa"/>
          </w:tcPr>
          <w:p w14:paraId="2AC2AC46">
            <w:pPr>
              <w:pStyle w:val="14"/>
              <w:rPr>
                <w:rFonts w:ascii="Times New Roman"/>
                <w:sz w:val="20"/>
              </w:rPr>
            </w:pPr>
          </w:p>
        </w:tc>
        <w:tc>
          <w:tcPr>
            <w:tcW w:w="1686" w:type="dxa"/>
          </w:tcPr>
          <w:p w14:paraId="2363B333">
            <w:pPr>
              <w:pStyle w:val="14"/>
              <w:rPr>
                <w:rFonts w:ascii="Times New Roman"/>
                <w:sz w:val="20"/>
              </w:rPr>
            </w:pPr>
          </w:p>
        </w:tc>
      </w:tr>
      <w:tr w14:paraId="3F386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A836478">
            <w:pPr>
              <w:pStyle w:val="14"/>
              <w:spacing w:before="106"/>
              <w:ind w:right="176"/>
              <w:jc w:val="right"/>
              <w:rPr>
                <w:rFonts w:ascii="Times New Roman"/>
                <w:sz w:val="21"/>
              </w:rPr>
            </w:pPr>
            <w:r>
              <w:rPr>
                <w:rFonts w:ascii="Times New Roman"/>
                <w:w w:val="95"/>
                <w:sz w:val="21"/>
              </w:rPr>
              <w:t>5.2</w:t>
            </w:r>
          </w:p>
        </w:tc>
        <w:tc>
          <w:tcPr>
            <w:tcW w:w="2007" w:type="dxa"/>
          </w:tcPr>
          <w:p w14:paraId="4BC21C2E">
            <w:pPr>
              <w:pStyle w:val="14"/>
              <w:spacing w:before="90"/>
              <w:ind w:left="132" w:right="127"/>
              <w:jc w:val="center"/>
              <w:rPr>
                <w:sz w:val="21"/>
              </w:rPr>
            </w:pPr>
            <w:r>
              <w:rPr>
                <w:sz w:val="21"/>
              </w:rPr>
              <w:t>超声波液位计</w:t>
            </w:r>
          </w:p>
        </w:tc>
        <w:tc>
          <w:tcPr>
            <w:tcW w:w="2808" w:type="dxa"/>
          </w:tcPr>
          <w:p w14:paraId="55C584FC">
            <w:pPr>
              <w:pStyle w:val="14"/>
              <w:spacing w:before="90"/>
              <w:ind w:left="107"/>
              <w:rPr>
                <w:sz w:val="21"/>
              </w:rPr>
            </w:pPr>
            <w:r>
              <w:rPr>
                <w:sz w:val="21"/>
              </w:rPr>
              <w:t xml:space="preserve">量程 </w:t>
            </w:r>
            <w:r>
              <w:rPr>
                <w:rFonts w:ascii="Times New Roman" w:eastAsia="Times New Roman"/>
                <w:sz w:val="21"/>
              </w:rPr>
              <w:t>10m</w:t>
            </w:r>
            <w:r>
              <w:rPr>
                <w:sz w:val="21"/>
              </w:rPr>
              <w:t>，</w:t>
            </w:r>
            <w:r>
              <w:rPr>
                <w:rFonts w:ascii="Times New Roman" w:eastAsia="Times New Roman"/>
                <w:sz w:val="21"/>
              </w:rPr>
              <w:t xml:space="preserve">4-20mA </w:t>
            </w:r>
            <w:r>
              <w:rPr>
                <w:sz w:val="21"/>
              </w:rPr>
              <w:t>输出</w:t>
            </w:r>
          </w:p>
        </w:tc>
        <w:tc>
          <w:tcPr>
            <w:tcW w:w="684" w:type="dxa"/>
          </w:tcPr>
          <w:p w14:paraId="4B6F14BB">
            <w:pPr>
              <w:pStyle w:val="14"/>
              <w:spacing w:before="90"/>
              <w:ind w:left="9"/>
              <w:jc w:val="center"/>
              <w:rPr>
                <w:sz w:val="21"/>
              </w:rPr>
            </w:pPr>
            <w:r>
              <w:rPr>
                <w:w w:val="99"/>
                <w:sz w:val="21"/>
              </w:rPr>
              <w:t>套</w:t>
            </w:r>
          </w:p>
        </w:tc>
        <w:tc>
          <w:tcPr>
            <w:tcW w:w="699" w:type="dxa"/>
          </w:tcPr>
          <w:p w14:paraId="346E9E7D">
            <w:pPr>
              <w:pStyle w:val="14"/>
              <w:spacing w:before="106"/>
              <w:ind w:left="9"/>
              <w:jc w:val="center"/>
              <w:rPr>
                <w:rFonts w:ascii="Times New Roman"/>
                <w:sz w:val="21"/>
              </w:rPr>
            </w:pPr>
            <w:r>
              <w:rPr>
                <w:rFonts w:ascii="Times New Roman"/>
                <w:w w:val="99"/>
                <w:sz w:val="21"/>
              </w:rPr>
              <w:t>1</w:t>
            </w:r>
          </w:p>
        </w:tc>
        <w:tc>
          <w:tcPr>
            <w:tcW w:w="1686" w:type="dxa"/>
          </w:tcPr>
          <w:p w14:paraId="6EF14925">
            <w:pPr>
              <w:pStyle w:val="14"/>
              <w:spacing w:before="90"/>
              <w:ind w:left="86" w:right="80"/>
              <w:jc w:val="center"/>
              <w:rPr>
                <w:sz w:val="21"/>
              </w:rPr>
            </w:pPr>
            <w:r>
              <w:rPr>
                <w:sz w:val="21"/>
              </w:rPr>
              <w:t>配套安装支架</w:t>
            </w:r>
          </w:p>
        </w:tc>
      </w:tr>
      <w:tr w14:paraId="4EE18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638" w:type="dxa"/>
          </w:tcPr>
          <w:p w14:paraId="1267A41F">
            <w:pPr>
              <w:pStyle w:val="14"/>
              <w:rPr>
                <w:rFonts w:ascii="Times New Roman"/>
                <w:sz w:val="22"/>
              </w:rPr>
            </w:pPr>
          </w:p>
          <w:p w14:paraId="0535392A">
            <w:pPr>
              <w:pStyle w:val="14"/>
              <w:rPr>
                <w:rFonts w:ascii="Times New Roman"/>
                <w:sz w:val="22"/>
              </w:rPr>
            </w:pPr>
          </w:p>
          <w:p w14:paraId="7BB4E1EB">
            <w:pPr>
              <w:pStyle w:val="14"/>
              <w:spacing w:before="190"/>
              <w:ind w:right="255"/>
              <w:jc w:val="right"/>
              <w:rPr>
                <w:rFonts w:ascii="Times New Roman"/>
                <w:sz w:val="21"/>
              </w:rPr>
            </w:pPr>
            <w:r>
              <w:rPr>
                <w:rFonts w:ascii="Times New Roman"/>
                <w:w w:val="99"/>
                <w:sz w:val="21"/>
              </w:rPr>
              <w:t>6</w:t>
            </w:r>
          </w:p>
        </w:tc>
        <w:tc>
          <w:tcPr>
            <w:tcW w:w="2007" w:type="dxa"/>
          </w:tcPr>
          <w:p w14:paraId="41AD5DA1">
            <w:pPr>
              <w:pStyle w:val="14"/>
              <w:rPr>
                <w:rFonts w:ascii="Times New Roman"/>
                <w:sz w:val="20"/>
              </w:rPr>
            </w:pPr>
          </w:p>
          <w:p w14:paraId="58105A00">
            <w:pPr>
              <w:pStyle w:val="14"/>
              <w:rPr>
                <w:rFonts w:ascii="Times New Roman"/>
                <w:sz w:val="20"/>
              </w:rPr>
            </w:pPr>
          </w:p>
          <w:p w14:paraId="4D0A2E4E">
            <w:pPr>
              <w:pStyle w:val="14"/>
              <w:spacing w:before="3"/>
              <w:rPr>
                <w:rFonts w:ascii="Times New Roman"/>
                <w:sz w:val="19"/>
              </w:rPr>
            </w:pPr>
          </w:p>
          <w:p w14:paraId="5F685AAC">
            <w:pPr>
              <w:pStyle w:val="14"/>
              <w:ind w:left="132" w:right="127"/>
              <w:jc w:val="center"/>
              <w:rPr>
                <w:sz w:val="21"/>
              </w:rPr>
            </w:pPr>
            <w:r>
              <w:rPr>
                <w:sz w:val="21"/>
              </w:rPr>
              <w:t>应急池</w:t>
            </w:r>
          </w:p>
        </w:tc>
        <w:tc>
          <w:tcPr>
            <w:tcW w:w="2808" w:type="dxa"/>
          </w:tcPr>
          <w:p w14:paraId="1D5F84A4">
            <w:pPr>
              <w:pStyle w:val="14"/>
              <w:spacing w:line="244" w:lineRule="auto"/>
              <w:ind w:left="107" w:right="829"/>
              <w:rPr>
                <w:rFonts w:ascii="Times New Roman" w:hAnsi="Times New Roman" w:eastAsia="Times New Roman"/>
                <w:sz w:val="21"/>
              </w:rPr>
            </w:pPr>
            <w:r>
              <w:rPr>
                <w:w w:val="95"/>
                <w:sz w:val="21"/>
              </w:rPr>
              <w:t>设计规模：</w:t>
            </w:r>
            <w:r>
              <w:rPr>
                <w:rFonts w:ascii="Times New Roman" w:hAnsi="Times New Roman" w:eastAsia="Times New Roman"/>
                <w:w w:val="95"/>
                <w:sz w:val="21"/>
              </w:rPr>
              <w:t xml:space="preserve">1000m³/d </w:t>
            </w:r>
            <w:r>
              <w:rPr>
                <w:sz w:val="21"/>
              </w:rPr>
              <w:t>停留时间：</w:t>
            </w:r>
            <w:r>
              <w:rPr>
                <w:rFonts w:ascii="Times New Roman" w:hAnsi="Times New Roman" w:eastAsia="Times New Roman"/>
                <w:sz w:val="21"/>
              </w:rPr>
              <w:t>24h</w:t>
            </w:r>
          </w:p>
          <w:p w14:paraId="01B1C17A">
            <w:pPr>
              <w:pStyle w:val="14"/>
              <w:spacing w:line="265" w:lineRule="exact"/>
              <w:ind w:left="107"/>
              <w:rPr>
                <w:sz w:val="21"/>
              </w:rPr>
            </w:pPr>
            <w:r>
              <w:rPr>
                <w:sz w:val="21"/>
              </w:rPr>
              <w:t>构筑物尺寸：</w:t>
            </w:r>
          </w:p>
          <w:p w14:paraId="514AF96B">
            <w:pPr>
              <w:pStyle w:val="14"/>
              <w:spacing w:before="5"/>
              <w:ind w:left="107"/>
              <w:rPr>
                <w:sz w:val="21"/>
              </w:rPr>
            </w:pPr>
            <w:r>
              <w:rPr>
                <w:rFonts w:ascii="Times New Roman" w:hAnsi="Times New Roman" w:eastAsia="Times New Roman"/>
                <w:sz w:val="21"/>
              </w:rPr>
              <w:t xml:space="preserve">L×B×H=32.0×8.0×4.5m </w:t>
            </w:r>
            <w:r>
              <w:rPr>
                <w:sz w:val="21"/>
              </w:rPr>
              <w:t>（ 有</w:t>
            </w:r>
          </w:p>
          <w:p w14:paraId="4D51C824">
            <w:pPr>
              <w:pStyle w:val="14"/>
              <w:spacing w:before="1" w:line="270" w:lineRule="atLeast"/>
              <w:ind w:left="107" w:right="45"/>
              <w:rPr>
                <w:sz w:val="21"/>
              </w:rPr>
            </w:pPr>
            <w:r>
              <w:rPr>
                <w:sz w:val="21"/>
              </w:rPr>
              <w:t xml:space="preserve">效水深 </w:t>
            </w:r>
            <w:r>
              <w:rPr>
                <w:rFonts w:ascii="Times New Roman" w:eastAsia="Times New Roman"/>
                <w:sz w:val="21"/>
              </w:rPr>
              <w:t>4.0m</w:t>
            </w:r>
            <w:r>
              <w:rPr>
                <w:sz w:val="21"/>
              </w:rPr>
              <w:t>，不规则形状） 地下式钢混结构</w:t>
            </w:r>
          </w:p>
        </w:tc>
        <w:tc>
          <w:tcPr>
            <w:tcW w:w="684" w:type="dxa"/>
          </w:tcPr>
          <w:p w14:paraId="2912D57D">
            <w:pPr>
              <w:pStyle w:val="14"/>
              <w:rPr>
                <w:rFonts w:ascii="Times New Roman"/>
                <w:sz w:val="20"/>
              </w:rPr>
            </w:pPr>
          </w:p>
          <w:p w14:paraId="2DB43A67">
            <w:pPr>
              <w:pStyle w:val="14"/>
              <w:rPr>
                <w:rFonts w:ascii="Times New Roman"/>
                <w:sz w:val="20"/>
              </w:rPr>
            </w:pPr>
          </w:p>
          <w:p w14:paraId="42E80CF7">
            <w:pPr>
              <w:pStyle w:val="14"/>
              <w:spacing w:before="3"/>
              <w:rPr>
                <w:rFonts w:ascii="Times New Roman"/>
                <w:sz w:val="19"/>
              </w:rPr>
            </w:pPr>
          </w:p>
          <w:p w14:paraId="171CBB2F">
            <w:pPr>
              <w:pStyle w:val="14"/>
              <w:ind w:left="9"/>
              <w:jc w:val="center"/>
              <w:rPr>
                <w:sz w:val="21"/>
              </w:rPr>
            </w:pPr>
            <w:r>
              <w:rPr>
                <w:w w:val="99"/>
                <w:sz w:val="21"/>
              </w:rPr>
              <w:t>座</w:t>
            </w:r>
          </w:p>
        </w:tc>
        <w:tc>
          <w:tcPr>
            <w:tcW w:w="699" w:type="dxa"/>
          </w:tcPr>
          <w:p w14:paraId="1A12B859">
            <w:pPr>
              <w:pStyle w:val="14"/>
              <w:rPr>
                <w:rFonts w:ascii="Times New Roman"/>
                <w:sz w:val="22"/>
              </w:rPr>
            </w:pPr>
          </w:p>
          <w:p w14:paraId="01A44FF3">
            <w:pPr>
              <w:pStyle w:val="14"/>
              <w:rPr>
                <w:rFonts w:ascii="Times New Roman"/>
                <w:sz w:val="22"/>
              </w:rPr>
            </w:pPr>
          </w:p>
          <w:p w14:paraId="0E71DBD6">
            <w:pPr>
              <w:pStyle w:val="14"/>
              <w:spacing w:before="190"/>
              <w:ind w:left="9"/>
              <w:jc w:val="center"/>
              <w:rPr>
                <w:rFonts w:ascii="Times New Roman"/>
                <w:sz w:val="21"/>
              </w:rPr>
            </w:pPr>
            <w:r>
              <w:rPr>
                <w:rFonts w:ascii="Times New Roman"/>
                <w:w w:val="99"/>
                <w:sz w:val="21"/>
              </w:rPr>
              <w:t>1</w:t>
            </w:r>
          </w:p>
        </w:tc>
        <w:tc>
          <w:tcPr>
            <w:tcW w:w="1686" w:type="dxa"/>
          </w:tcPr>
          <w:p w14:paraId="7FDF5815">
            <w:pPr>
              <w:pStyle w:val="14"/>
              <w:rPr>
                <w:rFonts w:ascii="Times New Roman"/>
                <w:sz w:val="20"/>
              </w:rPr>
            </w:pPr>
          </w:p>
        </w:tc>
      </w:tr>
      <w:tr w14:paraId="3F06D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68A3A6CE">
            <w:pPr>
              <w:pStyle w:val="14"/>
              <w:spacing w:before="151"/>
              <w:ind w:right="176"/>
              <w:jc w:val="right"/>
              <w:rPr>
                <w:rFonts w:ascii="Times New Roman"/>
                <w:sz w:val="21"/>
              </w:rPr>
            </w:pPr>
            <w:r>
              <w:rPr>
                <w:rFonts w:ascii="Times New Roman"/>
                <w:w w:val="95"/>
                <w:sz w:val="21"/>
              </w:rPr>
              <w:t>6.1</w:t>
            </w:r>
          </w:p>
        </w:tc>
        <w:tc>
          <w:tcPr>
            <w:tcW w:w="2007" w:type="dxa"/>
          </w:tcPr>
          <w:p w14:paraId="61E6E04A">
            <w:pPr>
              <w:pStyle w:val="14"/>
              <w:spacing w:before="137"/>
              <w:ind w:left="132" w:right="125"/>
              <w:jc w:val="center"/>
              <w:rPr>
                <w:sz w:val="21"/>
              </w:rPr>
            </w:pPr>
            <w:r>
              <w:rPr>
                <w:sz w:val="21"/>
              </w:rPr>
              <w:t>多功能排水潜污泵</w:t>
            </w:r>
          </w:p>
        </w:tc>
        <w:tc>
          <w:tcPr>
            <w:tcW w:w="2808" w:type="dxa"/>
          </w:tcPr>
          <w:p w14:paraId="5BB5CB87">
            <w:pPr>
              <w:pStyle w:val="14"/>
              <w:ind w:left="107"/>
              <w:rPr>
                <w:sz w:val="21"/>
              </w:rPr>
            </w:pPr>
            <w:r>
              <w:rPr>
                <w:sz w:val="21"/>
              </w:rPr>
              <w:t xml:space="preserve">口径 </w:t>
            </w:r>
            <w:r>
              <w:rPr>
                <w:rFonts w:ascii="Times New Roman" w:eastAsia="Times New Roman"/>
                <w:sz w:val="21"/>
              </w:rPr>
              <w:t>100mm</w:t>
            </w:r>
            <w:r>
              <w:rPr>
                <w:sz w:val="21"/>
              </w:rPr>
              <w:t xml:space="preserve">，扬程 </w:t>
            </w:r>
            <w:r>
              <w:rPr>
                <w:rFonts w:ascii="Times New Roman" w:eastAsia="Times New Roman"/>
                <w:sz w:val="21"/>
              </w:rPr>
              <w:t>8m</w:t>
            </w:r>
            <w:r>
              <w:rPr>
                <w:sz w:val="21"/>
              </w:rPr>
              <w:t>，功</w:t>
            </w:r>
          </w:p>
          <w:p w14:paraId="4391C6A8">
            <w:pPr>
              <w:pStyle w:val="14"/>
              <w:spacing w:before="5" w:line="251" w:lineRule="exact"/>
              <w:ind w:left="107"/>
              <w:rPr>
                <w:rFonts w:ascii="Times New Roman" w:eastAsia="Times New Roman"/>
                <w:sz w:val="21"/>
              </w:rPr>
            </w:pPr>
            <w:r>
              <w:rPr>
                <w:sz w:val="21"/>
              </w:rPr>
              <w:t xml:space="preserve">率 </w:t>
            </w:r>
            <w:r>
              <w:rPr>
                <w:rFonts w:ascii="Times New Roman" w:eastAsia="Times New Roman"/>
                <w:sz w:val="21"/>
              </w:rPr>
              <w:t>3KW</w:t>
            </w:r>
          </w:p>
        </w:tc>
        <w:tc>
          <w:tcPr>
            <w:tcW w:w="684" w:type="dxa"/>
          </w:tcPr>
          <w:p w14:paraId="0637E3AE">
            <w:pPr>
              <w:pStyle w:val="14"/>
              <w:spacing w:before="137"/>
              <w:ind w:left="9"/>
              <w:jc w:val="center"/>
              <w:rPr>
                <w:sz w:val="21"/>
              </w:rPr>
            </w:pPr>
            <w:r>
              <w:rPr>
                <w:w w:val="99"/>
                <w:sz w:val="21"/>
              </w:rPr>
              <w:t>台</w:t>
            </w:r>
          </w:p>
        </w:tc>
        <w:tc>
          <w:tcPr>
            <w:tcW w:w="699" w:type="dxa"/>
          </w:tcPr>
          <w:p w14:paraId="1F708494">
            <w:pPr>
              <w:pStyle w:val="14"/>
              <w:spacing w:before="151"/>
              <w:ind w:left="9"/>
              <w:jc w:val="center"/>
              <w:rPr>
                <w:rFonts w:ascii="Times New Roman"/>
                <w:sz w:val="21"/>
              </w:rPr>
            </w:pPr>
            <w:r>
              <w:rPr>
                <w:rFonts w:ascii="Times New Roman"/>
                <w:w w:val="99"/>
                <w:sz w:val="21"/>
              </w:rPr>
              <w:t>2</w:t>
            </w:r>
          </w:p>
        </w:tc>
        <w:tc>
          <w:tcPr>
            <w:tcW w:w="1686" w:type="dxa"/>
          </w:tcPr>
          <w:p w14:paraId="0666459D">
            <w:pPr>
              <w:pStyle w:val="14"/>
              <w:rPr>
                <w:rFonts w:ascii="Times New Roman"/>
                <w:sz w:val="20"/>
              </w:rPr>
            </w:pPr>
          </w:p>
        </w:tc>
      </w:tr>
      <w:tr w14:paraId="0A9D8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9BC6D24">
            <w:pPr>
              <w:pStyle w:val="14"/>
              <w:spacing w:before="105"/>
              <w:ind w:right="176"/>
              <w:jc w:val="right"/>
              <w:rPr>
                <w:rFonts w:ascii="Times New Roman"/>
                <w:sz w:val="21"/>
              </w:rPr>
            </w:pPr>
            <w:r>
              <w:rPr>
                <w:rFonts w:ascii="Times New Roman"/>
                <w:w w:val="95"/>
                <w:sz w:val="21"/>
              </w:rPr>
              <w:t>6.2</w:t>
            </w:r>
          </w:p>
        </w:tc>
        <w:tc>
          <w:tcPr>
            <w:tcW w:w="2007" w:type="dxa"/>
          </w:tcPr>
          <w:p w14:paraId="770400E6">
            <w:pPr>
              <w:pStyle w:val="14"/>
              <w:spacing w:before="91"/>
              <w:ind w:left="132" w:right="127"/>
              <w:jc w:val="center"/>
              <w:rPr>
                <w:sz w:val="21"/>
              </w:rPr>
            </w:pPr>
            <w:r>
              <w:rPr>
                <w:sz w:val="21"/>
              </w:rPr>
              <w:t>超声波液位计</w:t>
            </w:r>
          </w:p>
        </w:tc>
        <w:tc>
          <w:tcPr>
            <w:tcW w:w="2808" w:type="dxa"/>
          </w:tcPr>
          <w:p w14:paraId="34BC609A">
            <w:pPr>
              <w:pStyle w:val="14"/>
              <w:spacing w:before="91"/>
              <w:ind w:left="107"/>
              <w:rPr>
                <w:sz w:val="21"/>
              </w:rPr>
            </w:pPr>
            <w:r>
              <w:rPr>
                <w:sz w:val="21"/>
              </w:rPr>
              <w:t xml:space="preserve">量程 </w:t>
            </w:r>
            <w:r>
              <w:rPr>
                <w:rFonts w:ascii="Times New Roman" w:eastAsia="Times New Roman"/>
                <w:sz w:val="21"/>
              </w:rPr>
              <w:t>10m</w:t>
            </w:r>
            <w:r>
              <w:rPr>
                <w:sz w:val="21"/>
              </w:rPr>
              <w:t>，</w:t>
            </w:r>
            <w:r>
              <w:rPr>
                <w:rFonts w:ascii="Times New Roman" w:eastAsia="Times New Roman"/>
                <w:sz w:val="21"/>
              </w:rPr>
              <w:t xml:space="preserve">4-20mA </w:t>
            </w:r>
            <w:r>
              <w:rPr>
                <w:sz w:val="21"/>
              </w:rPr>
              <w:t>输出</w:t>
            </w:r>
          </w:p>
        </w:tc>
        <w:tc>
          <w:tcPr>
            <w:tcW w:w="684" w:type="dxa"/>
          </w:tcPr>
          <w:p w14:paraId="0FB6D2ED">
            <w:pPr>
              <w:pStyle w:val="14"/>
              <w:spacing w:before="91"/>
              <w:ind w:left="9"/>
              <w:jc w:val="center"/>
              <w:rPr>
                <w:sz w:val="21"/>
              </w:rPr>
            </w:pPr>
            <w:r>
              <w:rPr>
                <w:w w:val="99"/>
                <w:sz w:val="21"/>
              </w:rPr>
              <w:t>套</w:t>
            </w:r>
          </w:p>
        </w:tc>
        <w:tc>
          <w:tcPr>
            <w:tcW w:w="699" w:type="dxa"/>
          </w:tcPr>
          <w:p w14:paraId="47C31A81">
            <w:pPr>
              <w:pStyle w:val="14"/>
              <w:spacing w:before="105"/>
              <w:ind w:left="9"/>
              <w:jc w:val="center"/>
              <w:rPr>
                <w:rFonts w:ascii="Times New Roman"/>
                <w:sz w:val="21"/>
              </w:rPr>
            </w:pPr>
            <w:r>
              <w:rPr>
                <w:rFonts w:ascii="Times New Roman"/>
                <w:w w:val="99"/>
                <w:sz w:val="21"/>
              </w:rPr>
              <w:t>1</w:t>
            </w:r>
          </w:p>
        </w:tc>
        <w:tc>
          <w:tcPr>
            <w:tcW w:w="1686" w:type="dxa"/>
          </w:tcPr>
          <w:p w14:paraId="0C5B601E">
            <w:pPr>
              <w:pStyle w:val="14"/>
              <w:spacing w:before="91"/>
              <w:ind w:left="86" w:right="80"/>
              <w:jc w:val="center"/>
              <w:rPr>
                <w:sz w:val="21"/>
              </w:rPr>
            </w:pPr>
            <w:r>
              <w:rPr>
                <w:sz w:val="21"/>
              </w:rPr>
              <w:t>配套安装支架</w:t>
            </w:r>
          </w:p>
        </w:tc>
      </w:tr>
      <w:tr w14:paraId="5F040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638" w:type="dxa"/>
          </w:tcPr>
          <w:p w14:paraId="4E16AF41">
            <w:pPr>
              <w:pStyle w:val="14"/>
              <w:rPr>
                <w:rFonts w:ascii="Times New Roman"/>
                <w:sz w:val="22"/>
              </w:rPr>
            </w:pPr>
          </w:p>
          <w:p w14:paraId="24A55C73">
            <w:pPr>
              <w:pStyle w:val="14"/>
              <w:rPr>
                <w:rFonts w:ascii="Times New Roman"/>
                <w:sz w:val="22"/>
              </w:rPr>
            </w:pPr>
          </w:p>
          <w:p w14:paraId="2026E313">
            <w:pPr>
              <w:pStyle w:val="14"/>
              <w:spacing w:before="188"/>
              <w:ind w:right="255"/>
              <w:jc w:val="right"/>
              <w:rPr>
                <w:rFonts w:ascii="Times New Roman"/>
                <w:sz w:val="21"/>
              </w:rPr>
            </w:pPr>
            <w:r>
              <w:rPr>
                <w:rFonts w:ascii="Times New Roman"/>
                <w:w w:val="99"/>
                <w:sz w:val="21"/>
              </w:rPr>
              <w:t>6</w:t>
            </w:r>
          </w:p>
        </w:tc>
        <w:tc>
          <w:tcPr>
            <w:tcW w:w="2007" w:type="dxa"/>
          </w:tcPr>
          <w:p w14:paraId="1640D156">
            <w:pPr>
              <w:pStyle w:val="14"/>
              <w:rPr>
                <w:rFonts w:ascii="Times New Roman"/>
                <w:sz w:val="22"/>
              </w:rPr>
            </w:pPr>
          </w:p>
          <w:p w14:paraId="4AB31F01">
            <w:pPr>
              <w:pStyle w:val="14"/>
              <w:rPr>
                <w:rFonts w:ascii="Times New Roman"/>
                <w:sz w:val="22"/>
              </w:rPr>
            </w:pPr>
          </w:p>
          <w:p w14:paraId="742B9373">
            <w:pPr>
              <w:pStyle w:val="14"/>
              <w:spacing w:before="188"/>
              <w:ind w:left="131" w:right="127"/>
              <w:jc w:val="center"/>
              <w:rPr>
                <w:rFonts w:ascii="Times New Roman"/>
                <w:sz w:val="21"/>
              </w:rPr>
            </w:pPr>
            <w:r>
              <w:rPr>
                <w:rFonts w:ascii="Times New Roman"/>
                <w:sz w:val="21"/>
              </w:rPr>
              <w:t>A/O</w:t>
            </w:r>
          </w:p>
        </w:tc>
        <w:tc>
          <w:tcPr>
            <w:tcW w:w="2808" w:type="dxa"/>
          </w:tcPr>
          <w:p w14:paraId="55D25D95">
            <w:pPr>
              <w:pStyle w:val="14"/>
              <w:spacing w:line="244" w:lineRule="auto"/>
              <w:ind w:left="107" w:right="935"/>
              <w:rPr>
                <w:rFonts w:ascii="Times New Roman" w:hAnsi="Times New Roman" w:eastAsia="Times New Roman"/>
                <w:sz w:val="21"/>
              </w:rPr>
            </w:pPr>
            <w:r>
              <w:rPr>
                <w:w w:val="95"/>
                <w:sz w:val="21"/>
              </w:rPr>
              <w:t>设计规模：</w:t>
            </w:r>
            <w:r>
              <w:rPr>
                <w:rFonts w:ascii="Times New Roman" w:hAnsi="Times New Roman" w:eastAsia="Times New Roman"/>
                <w:w w:val="95"/>
                <w:sz w:val="21"/>
              </w:rPr>
              <w:t xml:space="preserve">800m³/d </w:t>
            </w:r>
            <w:r>
              <w:rPr>
                <w:sz w:val="21"/>
              </w:rPr>
              <w:t>停留时间：</w:t>
            </w:r>
            <w:r>
              <w:rPr>
                <w:rFonts w:ascii="Times New Roman" w:hAnsi="Times New Roman" w:eastAsia="Times New Roman"/>
                <w:sz w:val="21"/>
              </w:rPr>
              <w:t>12h</w:t>
            </w:r>
          </w:p>
          <w:p w14:paraId="381ACBFE">
            <w:pPr>
              <w:pStyle w:val="14"/>
              <w:spacing w:line="265" w:lineRule="exact"/>
              <w:ind w:left="107"/>
              <w:rPr>
                <w:sz w:val="21"/>
              </w:rPr>
            </w:pPr>
            <w:r>
              <w:rPr>
                <w:sz w:val="21"/>
              </w:rPr>
              <w:t>构筑物尺寸：</w:t>
            </w:r>
          </w:p>
          <w:p w14:paraId="2D67011F">
            <w:pPr>
              <w:pStyle w:val="14"/>
              <w:spacing w:before="3"/>
              <w:ind w:left="107"/>
              <w:rPr>
                <w:sz w:val="21"/>
              </w:rPr>
            </w:pPr>
            <w:r>
              <w:rPr>
                <w:rFonts w:ascii="Times New Roman" w:hAnsi="Times New Roman" w:eastAsia="Times New Roman"/>
                <w:sz w:val="21"/>
              </w:rPr>
              <w:t xml:space="preserve">L×B×H=9.0×6.0×7m </w:t>
            </w:r>
            <w:r>
              <w:rPr>
                <w:sz w:val="21"/>
              </w:rPr>
              <w:t>（</w:t>
            </w:r>
            <w:r>
              <w:rPr>
                <w:spacing w:val="-29"/>
                <w:sz w:val="21"/>
              </w:rPr>
              <w:t xml:space="preserve"> 有 效</w:t>
            </w:r>
          </w:p>
          <w:p w14:paraId="311F71C6">
            <w:pPr>
              <w:pStyle w:val="14"/>
              <w:spacing w:before="2"/>
              <w:ind w:left="107"/>
              <w:rPr>
                <w:sz w:val="21"/>
              </w:rPr>
            </w:pPr>
            <w:r>
              <w:rPr>
                <w:sz w:val="21"/>
              </w:rPr>
              <w:t xml:space="preserve">水深 </w:t>
            </w:r>
            <w:r>
              <w:rPr>
                <w:rFonts w:ascii="Times New Roman" w:eastAsia="Times New Roman"/>
                <w:sz w:val="21"/>
              </w:rPr>
              <w:t>5.6m</w:t>
            </w:r>
            <w:r>
              <w:rPr>
                <w:sz w:val="21"/>
              </w:rPr>
              <w:t>，单座尺寸）</w:t>
            </w:r>
          </w:p>
          <w:p w14:paraId="36995F60">
            <w:pPr>
              <w:pStyle w:val="14"/>
              <w:spacing w:before="5" w:line="252" w:lineRule="exact"/>
              <w:ind w:left="107"/>
              <w:rPr>
                <w:sz w:val="21"/>
              </w:rPr>
            </w:pPr>
            <w:r>
              <w:rPr>
                <w:sz w:val="21"/>
              </w:rPr>
              <w:t>半地下式钢混结构</w:t>
            </w:r>
          </w:p>
        </w:tc>
        <w:tc>
          <w:tcPr>
            <w:tcW w:w="684" w:type="dxa"/>
          </w:tcPr>
          <w:p w14:paraId="1A9F026E">
            <w:pPr>
              <w:pStyle w:val="14"/>
              <w:rPr>
                <w:rFonts w:ascii="Times New Roman"/>
                <w:sz w:val="20"/>
              </w:rPr>
            </w:pPr>
          </w:p>
          <w:p w14:paraId="3A367A25">
            <w:pPr>
              <w:pStyle w:val="14"/>
              <w:rPr>
                <w:rFonts w:ascii="Times New Roman"/>
                <w:sz w:val="20"/>
              </w:rPr>
            </w:pPr>
          </w:p>
          <w:p w14:paraId="69A63F0B">
            <w:pPr>
              <w:pStyle w:val="14"/>
              <w:spacing w:before="2"/>
              <w:rPr>
                <w:rFonts w:ascii="Times New Roman"/>
                <w:sz w:val="19"/>
              </w:rPr>
            </w:pPr>
          </w:p>
          <w:p w14:paraId="18324035">
            <w:pPr>
              <w:pStyle w:val="14"/>
              <w:ind w:left="9"/>
              <w:jc w:val="center"/>
              <w:rPr>
                <w:sz w:val="21"/>
              </w:rPr>
            </w:pPr>
            <w:r>
              <w:rPr>
                <w:w w:val="99"/>
                <w:sz w:val="21"/>
              </w:rPr>
              <w:t>座</w:t>
            </w:r>
          </w:p>
        </w:tc>
        <w:tc>
          <w:tcPr>
            <w:tcW w:w="699" w:type="dxa"/>
          </w:tcPr>
          <w:p w14:paraId="46D7F198">
            <w:pPr>
              <w:pStyle w:val="14"/>
              <w:rPr>
                <w:rFonts w:ascii="Times New Roman"/>
                <w:sz w:val="22"/>
              </w:rPr>
            </w:pPr>
          </w:p>
          <w:p w14:paraId="00521684">
            <w:pPr>
              <w:pStyle w:val="14"/>
              <w:rPr>
                <w:rFonts w:ascii="Times New Roman"/>
                <w:sz w:val="22"/>
              </w:rPr>
            </w:pPr>
          </w:p>
          <w:p w14:paraId="0B49718A">
            <w:pPr>
              <w:pStyle w:val="14"/>
              <w:spacing w:before="188"/>
              <w:ind w:left="9"/>
              <w:jc w:val="center"/>
              <w:rPr>
                <w:rFonts w:ascii="Times New Roman"/>
                <w:sz w:val="21"/>
              </w:rPr>
            </w:pPr>
            <w:r>
              <w:rPr>
                <w:rFonts w:ascii="Times New Roman"/>
                <w:w w:val="99"/>
                <w:sz w:val="21"/>
              </w:rPr>
              <w:t>2</w:t>
            </w:r>
          </w:p>
        </w:tc>
        <w:tc>
          <w:tcPr>
            <w:tcW w:w="1686" w:type="dxa"/>
          </w:tcPr>
          <w:p w14:paraId="2261DECD">
            <w:pPr>
              <w:pStyle w:val="14"/>
              <w:rPr>
                <w:rFonts w:ascii="Times New Roman"/>
                <w:sz w:val="20"/>
              </w:rPr>
            </w:pPr>
          </w:p>
          <w:p w14:paraId="05BAA2F8">
            <w:pPr>
              <w:pStyle w:val="14"/>
              <w:spacing w:before="177"/>
              <w:ind w:left="423"/>
              <w:rPr>
                <w:sz w:val="21"/>
              </w:rPr>
            </w:pPr>
            <w:r>
              <w:rPr>
                <w:sz w:val="21"/>
              </w:rPr>
              <w:t>设计能力</w:t>
            </w:r>
          </w:p>
          <w:p w14:paraId="672C7962">
            <w:pPr>
              <w:pStyle w:val="14"/>
              <w:spacing w:before="4" w:line="242" w:lineRule="auto"/>
              <w:ind w:left="174" w:right="165"/>
              <w:jc w:val="center"/>
              <w:rPr>
                <w:sz w:val="21"/>
              </w:rPr>
            </w:pPr>
            <w:r>
              <w:rPr>
                <w:rFonts w:ascii="Times New Roman" w:hAnsi="Times New Roman" w:eastAsia="Times New Roman"/>
                <w:w w:val="95"/>
                <w:sz w:val="21"/>
              </w:rPr>
              <w:t>800m³/d</w:t>
            </w:r>
            <w:r>
              <w:rPr>
                <w:w w:val="95"/>
                <w:sz w:val="21"/>
              </w:rPr>
              <w:t>，一备</w:t>
            </w:r>
            <w:r>
              <w:rPr>
                <w:sz w:val="21"/>
              </w:rPr>
              <w:t>一用</w:t>
            </w:r>
          </w:p>
        </w:tc>
      </w:tr>
      <w:tr w14:paraId="673CA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53E9365A">
            <w:pPr>
              <w:pStyle w:val="14"/>
              <w:spacing w:before="149"/>
              <w:ind w:right="176"/>
              <w:jc w:val="right"/>
              <w:rPr>
                <w:rFonts w:ascii="Times New Roman"/>
                <w:sz w:val="21"/>
              </w:rPr>
            </w:pPr>
            <w:r>
              <w:rPr>
                <w:rFonts w:ascii="Times New Roman"/>
                <w:w w:val="95"/>
                <w:sz w:val="21"/>
              </w:rPr>
              <w:t>6.1</w:t>
            </w:r>
          </w:p>
        </w:tc>
        <w:tc>
          <w:tcPr>
            <w:tcW w:w="2007" w:type="dxa"/>
          </w:tcPr>
          <w:p w14:paraId="6229FC31">
            <w:pPr>
              <w:pStyle w:val="14"/>
              <w:spacing w:before="136"/>
              <w:ind w:left="132" w:right="125"/>
              <w:jc w:val="center"/>
              <w:rPr>
                <w:sz w:val="21"/>
              </w:rPr>
            </w:pPr>
            <w:r>
              <w:rPr>
                <w:sz w:val="21"/>
              </w:rPr>
              <w:t>曝气系统</w:t>
            </w:r>
          </w:p>
        </w:tc>
        <w:tc>
          <w:tcPr>
            <w:tcW w:w="2808" w:type="dxa"/>
          </w:tcPr>
          <w:p w14:paraId="4FAE20D3">
            <w:pPr>
              <w:pStyle w:val="14"/>
              <w:spacing w:line="268" w:lineRule="exact"/>
              <w:ind w:left="107"/>
              <w:rPr>
                <w:sz w:val="21"/>
              </w:rPr>
            </w:pPr>
            <w:r>
              <w:rPr>
                <w:sz w:val="21"/>
              </w:rPr>
              <w:t xml:space="preserve">材质 </w:t>
            </w:r>
            <w:r>
              <w:rPr>
                <w:rFonts w:ascii="Times New Roman" w:eastAsia="Times New Roman"/>
                <w:sz w:val="21"/>
              </w:rPr>
              <w:t>ABS</w:t>
            </w:r>
            <w:r>
              <w:rPr>
                <w:sz w:val="21"/>
              </w:rPr>
              <w:t>，微孔曝气头（含</w:t>
            </w:r>
          </w:p>
          <w:p w14:paraId="15E2DE96">
            <w:pPr>
              <w:pStyle w:val="14"/>
              <w:spacing w:before="4" w:line="252" w:lineRule="exact"/>
              <w:ind w:left="107"/>
              <w:rPr>
                <w:rFonts w:ascii="Times New Roman" w:eastAsia="Times New Roman"/>
                <w:sz w:val="21"/>
              </w:rPr>
            </w:pPr>
            <w:r>
              <w:rPr>
                <w:sz w:val="21"/>
              </w:rPr>
              <w:t xml:space="preserve">调节支架），联塑 </w:t>
            </w:r>
            <w:r>
              <w:rPr>
                <w:rFonts w:ascii="Times New Roman" w:eastAsia="Times New Roman"/>
                <w:sz w:val="21"/>
              </w:rPr>
              <w:t>PVC</w:t>
            </w:r>
          </w:p>
        </w:tc>
        <w:tc>
          <w:tcPr>
            <w:tcW w:w="684" w:type="dxa"/>
          </w:tcPr>
          <w:p w14:paraId="69AC369C">
            <w:pPr>
              <w:pStyle w:val="14"/>
              <w:spacing w:before="136"/>
              <w:ind w:left="9"/>
              <w:jc w:val="center"/>
              <w:rPr>
                <w:sz w:val="21"/>
              </w:rPr>
            </w:pPr>
            <w:r>
              <w:rPr>
                <w:w w:val="99"/>
                <w:sz w:val="21"/>
              </w:rPr>
              <w:t>套</w:t>
            </w:r>
          </w:p>
        </w:tc>
        <w:tc>
          <w:tcPr>
            <w:tcW w:w="699" w:type="dxa"/>
          </w:tcPr>
          <w:p w14:paraId="7C9AF8D5">
            <w:pPr>
              <w:pStyle w:val="14"/>
              <w:spacing w:before="149"/>
              <w:ind w:left="9"/>
              <w:jc w:val="center"/>
              <w:rPr>
                <w:rFonts w:ascii="Times New Roman"/>
                <w:sz w:val="21"/>
              </w:rPr>
            </w:pPr>
            <w:r>
              <w:rPr>
                <w:rFonts w:ascii="Times New Roman"/>
                <w:w w:val="99"/>
                <w:sz w:val="21"/>
              </w:rPr>
              <w:t>2</w:t>
            </w:r>
          </w:p>
        </w:tc>
        <w:tc>
          <w:tcPr>
            <w:tcW w:w="1686" w:type="dxa"/>
          </w:tcPr>
          <w:p w14:paraId="255AA230">
            <w:pPr>
              <w:pStyle w:val="14"/>
              <w:rPr>
                <w:rFonts w:ascii="Times New Roman"/>
                <w:sz w:val="20"/>
              </w:rPr>
            </w:pPr>
          </w:p>
        </w:tc>
      </w:tr>
      <w:tr w14:paraId="55A33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38" w:type="dxa"/>
          </w:tcPr>
          <w:p w14:paraId="1D46C668">
            <w:pPr>
              <w:pStyle w:val="14"/>
              <w:spacing w:before="149"/>
              <w:ind w:right="176"/>
              <w:jc w:val="right"/>
              <w:rPr>
                <w:rFonts w:ascii="Times New Roman"/>
                <w:sz w:val="21"/>
              </w:rPr>
            </w:pPr>
            <w:r>
              <w:rPr>
                <w:rFonts w:ascii="Times New Roman"/>
                <w:w w:val="95"/>
                <w:sz w:val="21"/>
              </w:rPr>
              <w:t>6.2</w:t>
            </w:r>
          </w:p>
        </w:tc>
        <w:tc>
          <w:tcPr>
            <w:tcW w:w="2007" w:type="dxa"/>
          </w:tcPr>
          <w:p w14:paraId="105F75B7">
            <w:pPr>
              <w:pStyle w:val="14"/>
              <w:spacing w:before="135"/>
              <w:ind w:left="132" w:right="125"/>
              <w:jc w:val="center"/>
              <w:rPr>
                <w:sz w:val="21"/>
              </w:rPr>
            </w:pPr>
            <w:r>
              <w:rPr>
                <w:sz w:val="21"/>
              </w:rPr>
              <w:t>搅拌系统</w:t>
            </w:r>
          </w:p>
        </w:tc>
        <w:tc>
          <w:tcPr>
            <w:tcW w:w="2808" w:type="dxa"/>
          </w:tcPr>
          <w:p w14:paraId="226FB507">
            <w:pPr>
              <w:pStyle w:val="14"/>
              <w:spacing w:before="1"/>
              <w:ind w:left="107"/>
              <w:rPr>
                <w:rFonts w:ascii="Times New Roman" w:eastAsia="Times New Roman"/>
                <w:sz w:val="21"/>
              </w:rPr>
            </w:pPr>
            <w:r>
              <w:rPr>
                <w:sz w:val="21"/>
              </w:rPr>
              <w:t xml:space="preserve">含减速电机 </w:t>
            </w:r>
            <w:r>
              <w:rPr>
                <w:rFonts w:ascii="Times New Roman" w:eastAsia="Times New Roman"/>
                <w:sz w:val="21"/>
              </w:rPr>
              <w:t xml:space="preserve">1 </w:t>
            </w:r>
            <w:r>
              <w:rPr>
                <w:sz w:val="21"/>
              </w:rPr>
              <w:t xml:space="preserve">台， </w:t>
            </w:r>
            <w:r>
              <w:rPr>
                <w:rFonts w:ascii="Times New Roman" w:eastAsia="Times New Roman"/>
                <w:sz w:val="21"/>
              </w:rPr>
              <w:t xml:space="preserve">3kw </w:t>
            </w:r>
            <w:r>
              <w:rPr>
                <w:sz w:val="21"/>
              </w:rPr>
              <w:t xml:space="preserve">， </w:t>
            </w:r>
            <w:r>
              <w:rPr>
                <w:rFonts w:ascii="Times New Roman" w:eastAsia="Times New Roman"/>
                <w:sz w:val="21"/>
              </w:rPr>
              <w:t>4</w:t>
            </w:r>
          </w:p>
          <w:p w14:paraId="1E16832B">
            <w:pPr>
              <w:pStyle w:val="14"/>
              <w:spacing w:before="2" w:line="252" w:lineRule="exact"/>
              <w:ind w:left="107"/>
              <w:rPr>
                <w:sz w:val="21"/>
              </w:rPr>
            </w:pPr>
            <w:r>
              <w:rPr>
                <w:w w:val="99"/>
                <w:sz w:val="21"/>
              </w:rPr>
              <w:t>级</w:t>
            </w:r>
          </w:p>
        </w:tc>
        <w:tc>
          <w:tcPr>
            <w:tcW w:w="684" w:type="dxa"/>
          </w:tcPr>
          <w:p w14:paraId="68954EE7">
            <w:pPr>
              <w:pStyle w:val="14"/>
              <w:spacing w:before="135"/>
              <w:ind w:left="9"/>
              <w:jc w:val="center"/>
              <w:rPr>
                <w:sz w:val="21"/>
              </w:rPr>
            </w:pPr>
            <w:r>
              <w:rPr>
                <w:w w:val="99"/>
                <w:sz w:val="21"/>
              </w:rPr>
              <w:t>套</w:t>
            </w:r>
          </w:p>
        </w:tc>
        <w:tc>
          <w:tcPr>
            <w:tcW w:w="699" w:type="dxa"/>
          </w:tcPr>
          <w:p w14:paraId="130AF2F9">
            <w:pPr>
              <w:pStyle w:val="14"/>
              <w:spacing w:before="149"/>
              <w:ind w:left="9"/>
              <w:jc w:val="center"/>
              <w:rPr>
                <w:rFonts w:ascii="Times New Roman"/>
                <w:sz w:val="21"/>
              </w:rPr>
            </w:pPr>
            <w:r>
              <w:rPr>
                <w:rFonts w:ascii="Times New Roman"/>
                <w:w w:val="99"/>
                <w:sz w:val="21"/>
              </w:rPr>
              <w:t>2</w:t>
            </w:r>
          </w:p>
        </w:tc>
        <w:tc>
          <w:tcPr>
            <w:tcW w:w="1686" w:type="dxa"/>
          </w:tcPr>
          <w:p w14:paraId="2333AA5A">
            <w:pPr>
              <w:pStyle w:val="14"/>
              <w:rPr>
                <w:rFonts w:ascii="Times New Roman"/>
                <w:sz w:val="20"/>
              </w:rPr>
            </w:pPr>
          </w:p>
        </w:tc>
      </w:tr>
      <w:tr w14:paraId="338A3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757A08A6">
            <w:pPr>
              <w:pStyle w:val="14"/>
              <w:spacing w:before="152"/>
              <w:ind w:right="178"/>
              <w:jc w:val="right"/>
              <w:rPr>
                <w:rFonts w:ascii="Times New Roman"/>
                <w:sz w:val="21"/>
              </w:rPr>
            </w:pPr>
            <w:r>
              <w:rPr>
                <w:rFonts w:ascii="Times New Roman"/>
                <w:sz w:val="21"/>
              </w:rPr>
              <w:t>6.3</w:t>
            </w:r>
          </w:p>
        </w:tc>
        <w:tc>
          <w:tcPr>
            <w:tcW w:w="2007" w:type="dxa"/>
          </w:tcPr>
          <w:p w14:paraId="2797062A">
            <w:pPr>
              <w:pStyle w:val="14"/>
              <w:spacing w:before="135"/>
              <w:ind w:left="132" w:right="125"/>
              <w:jc w:val="center"/>
              <w:rPr>
                <w:sz w:val="21"/>
              </w:rPr>
            </w:pPr>
            <w:r>
              <w:rPr>
                <w:sz w:val="21"/>
              </w:rPr>
              <w:t>提升潜污泵</w:t>
            </w:r>
          </w:p>
        </w:tc>
        <w:tc>
          <w:tcPr>
            <w:tcW w:w="2808" w:type="dxa"/>
          </w:tcPr>
          <w:p w14:paraId="220AC223">
            <w:pPr>
              <w:pStyle w:val="14"/>
              <w:spacing w:before="1"/>
              <w:ind w:left="107"/>
              <w:rPr>
                <w:sz w:val="21"/>
              </w:rPr>
            </w:pPr>
            <w:r>
              <w:rPr>
                <w:sz w:val="21"/>
              </w:rPr>
              <w:t xml:space="preserve">口径 </w:t>
            </w:r>
            <w:r>
              <w:rPr>
                <w:rFonts w:ascii="Times New Roman" w:eastAsia="Times New Roman"/>
                <w:sz w:val="21"/>
              </w:rPr>
              <w:t>75mm</w:t>
            </w:r>
            <w:r>
              <w:rPr>
                <w:sz w:val="21"/>
              </w:rPr>
              <w:t xml:space="preserve">，扬程 </w:t>
            </w:r>
            <w:r>
              <w:rPr>
                <w:rFonts w:ascii="Times New Roman" w:eastAsia="Times New Roman"/>
                <w:sz w:val="21"/>
              </w:rPr>
              <w:t>10m</w:t>
            </w:r>
            <w:r>
              <w:rPr>
                <w:sz w:val="21"/>
              </w:rPr>
              <w:t>，功</w:t>
            </w:r>
          </w:p>
          <w:p w14:paraId="09E95563">
            <w:pPr>
              <w:pStyle w:val="14"/>
              <w:spacing w:before="2" w:line="253" w:lineRule="exact"/>
              <w:ind w:left="107"/>
              <w:rPr>
                <w:rFonts w:ascii="Times New Roman" w:eastAsia="Times New Roman"/>
                <w:sz w:val="21"/>
              </w:rPr>
            </w:pPr>
            <w:r>
              <w:rPr>
                <w:sz w:val="21"/>
              </w:rPr>
              <w:t xml:space="preserve">率 </w:t>
            </w:r>
            <w:r>
              <w:rPr>
                <w:rFonts w:ascii="Times New Roman" w:eastAsia="Times New Roman"/>
                <w:sz w:val="21"/>
              </w:rPr>
              <w:t>3kw</w:t>
            </w:r>
          </w:p>
        </w:tc>
        <w:tc>
          <w:tcPr>
            <w:tcW w:w="684" w:type="dxa"/>
          </w:tcPr>
          <w:p w14:paraId="671AA9F3">
            <w:pPr>
              <w:pStyle w:val="14"/>
              <w:spacing w:before="135"/>
              <w:ind w:left="9"/>
              <w:jc w:val="center"/>
              <w:rPr>
                <w:sz w:val="21"/>
              </w:rPr>
            </w:pPr>
            <w:r>
              <w:rPr>
                <w:w w:val="99"/>
                <w:sz w:val="21"/>
              </w:rPr>
              <w:t>台</w:t>
            </w:r>
          </w:p>
        </w:tc>
        <w:tc>
          <w:tcPr>
            <w:tcW w:w="699" w:type="dxa"/>
          </w:tcPr>
          <w:p w14:paraId="5AEC3980">
            <w:pPr>
              <w:pStyle w:val="14"/>
              <w:spacing w:before="152"/>
              <w:ind w:left="9"/>
              <w:jc w:val="center"/>
              <w:rPr>
                <w:rFonts w:ascii="Times New Roman"/>
                <w:sz w:val="21"/>
              </w:rPr>
            </w:pPr>
            <w:r>
              <w:rPr>
                <w:rFonts w:ascii="Times New Roman"/>
                <w:w w:val="99"/>
                <w:sz w:val="21"/>
              </w:rPr>
              <w:t>2</w:t>
            </w:r>
          </w:p>
        </w:tc>
        <w:tc>
          <w:tcPr>
            <w:tcW w:w="1686" w:type="dxa"/>
          </w:tcPr>
          <w:p w14:paraId="7DBF86CA">
            <w:pPr>
              <w:pStyle w:val="14"/>
              <w:rPr>
                <w:rFonts w:ascii="Times New Roman"/>
                <w:sz w:val="20"/>
              </w:rPr>
            </w:pPr>
          </w:p>
        </w:tc>
      </w:tr>
      <w:tr w14:paraId="22510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803A56E">
            <w:pPr>
              <w:pStyle w:val="14"/>
              <w:spacing w:before="105"/>
              <w:ind w:right="176"/>
              <w:jc w:val="right"/>
              <w:rPr>
                <w:rFonts w:ascii="Times New Roman"/>
                <w:sz w:val="21"/>
              </w:rPr>
            </w:pPr>
            <w:r>
              <w:rPr>
                <w:rFonts w:ascii="Times New Roman"/>
                <w:w w:val="95"/>
                <w:sz w:val="21"/>
              </w:rPr>
              <w:t>6.4</w:t>
            </w:r>
          </w:p>
        </w:tc>
        <w:tc>
          <w:tcPr>
            <w:tcW w:w="2007" w:type="dxa"/>
          </w:tcPr>
          <w:p w14:paraId="1055F2C1">
            <w:pPr>
              <w:pStyle w:val="14"/>
              <w:spacing w:before="89"/>
              <w:ind w:left="132" w:right="127"/>
              <w:jc w:val="center"/>
              <w:rPr>
                <w:sz w:val="21"/>
              </w:rPr>
            </w:pPr>
            <w:r>
              <w:rPr>
                <w:sz w:val="21"/>
              </w:rPr>
              <w:t>双面导流系统</w:t>
            </w:r>
          </w:p>
        </w:tc>
        <w:tc>
          <w:tcPr>
            <w:tcW w:w="2808" w:type="dxa"/>
          </w:tcPr>
          <w:p w14:paraId="59A3778E">
            <w:pPr>
              <w:pStyle w:val="14"/>
              <w:spacing w:before="89"/>
              <w:ind w:left="107"/>
              <w:rPr>
                <w:rFonts w:ascii="Times New Roman" w:eastAsia="Times New Roman"/>
                <w:sz w:val="21"/>
              </w:rPr>
            </w:pPr>
            <w:r>
              <w:rPr>
                <w:sz w:val="21"/>
              </w:rPr>
              <w:t xml:space="preserve">专利号 </w:t>
            </w:r>
            <w:r>
              <w:rPr>
                <w:rFonts w:ascii="Times New Roman" w:eastAsia="Times New Roman"/>
                <w:sz w:val="21"/>
              </w:rPr>
              <w:t>Z1201920005810.6</w:t>
            </w:r>
          </w:p>
        </w:tc>
        <w:tc>
          <w:tcPr>
            <w:tcW w:w="684" w:type="dxa"/>
          </w:tcPr>
          <w:p w14:paraId="0B394DE0">
            <w:pPr>
              <w:pStyle w:val="14"/>
              <w:spacing w:before="89"/>
              <w:ind w:left="9"/>
              <w:jc w:val="center"/>
              <w:rPr>
                <w:sz w:val="21"/>
              </w:rPr>
            </w:pPr>
            <w:r>
              <w:rPr>
                <w:w w:val="99"/>
                <w:sz w:val="21"/>
              </w:rPr>
              <w:t>套</w:t>
            </w:r>
          </w:p>
        </w:tc>
        <w:tc>
          <w:tcPr>
            <w:tcW w:w="699" w:type="dxa"/>
          </w:tcPr>
          <w:p w14:paraId="0153BBEB">
            <w:pPr>
              <w:pStyle w:val="14"/>
              <w:spacing w:before="105"/>
              <w:ind w:left="9"/>
              <w:jc w:val="center"/>
              <w:rPr>
                <w:rFonts w:ascii="Times New Roman"/>
                <w:sz w:val="21"/>
              </w:rPr>
            </w:pPr>
            <w:r>
              <w:rPr>
                <w:rFonts w:ascii="Times New Roman"/>
                <w:w w:val="99"/>
                <w:sz w:val="21"/>
              </w:rPr>
              <w:t>2</w:t>
            </w:r>
          </w:p>
        </w:tc>
        <w:tc>
          <w:tcPr>
            <w:tcW w:w="1686" w:type="dxa"/>
          </w:tcPr>
          <w:p w14:paraId="3BA3B5CA">
            <w:pPr>
              <w:pStyle w:val="14"/>
              <w:rPr>
                <w:rFonts w:ascii="Times New Roman"/>
                <w:sz w:val="20"/>
              </w:rPr>
            </w:pPr>
          </w:p>
        </w:tc>
      </w:tr>
      <w:tr w14:paraId="6C5AC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52E3DB2">
            <w:pPr>
              <w:pStyle w:val="14"/>
              <w:spacing w:before="105"/>
              <w:ind w:right="255"/>
              <w:jc w:val="right"/>
              <w:rPr>
                <w:rFonts w:ascii="Times New Roman"/>
                <w:sz w:val="21"/>
              </w:rPr>
            </w:pPr>
            <w:r>
              <w:rPr>
                <w:rFonts w:ascii="Times New Roman"/>
                <w:w w:val="99"/>
                <w:sz w:val="21"/>
              </w:rPr>
              <w:t>7</w:t>
            </w:r>
          </w:p>
        </w:tc>
        <w:tc>
          <w:tcPr>
            <w:tcW w:w="2007" w:type="dxa"/>
          </w:tcPr>
          <w:p w14:paraId="734BBC78">
            <w:pPr>
              <w:pStyle w:val="14"/>
              <w:spacing w:before="91"/>
              <w:ind w:left="132" w:right="127"/>
              <w:jc w:val="center"/>
              <w:rPr>
                <w:sz w:val="21"/>
              </w:rPr>
            </w:pPr>
            <w:r>
              <w:rPr>
                <w:sz w:val="21"/>
              </w:rPr>
              <w:t>溶氧仪</w:t>
            </w:r>
          </w:p>
        </w:tc>
        <w:tc>
          <w:tcPr>
            <w:tcW w:w="2808" w:type="dxa"/>
          </w:tcPr>
          <w:p w14:paraId="6B743127">
            <w:pPr>
              <w:pStyle w:val="14"/>
              <w:spacing w:before="91"/>
              <w:ind w:left="107"/>
              <w:rPr>
                <w:sz w:val="21"/>
              </w:rPr>
            </w:pPr>
            <w:r>
              <w:rPr>
                <w:rFonts w:ascii="Times New Roman" w:eastAsia="Times New Roman"/>
                <w:sz w:val="21"/>
              </w:rPr>
              <w:t>0-20mg/L</w:t>
            </w:r>
            <w:r>
              <w:rPr>
                <w:sz w:val="21"/>
              </w:rPr>
              <w:t>，分体式</w:t>
            </w:r>
          </w:p>
        </w:tc>
        <w:tc>
          <w:tcPr>
            <w:tcW w:w="684" w:type="dxa"/>
          </w:tcPr>
          <w:p w14:paraId="05DA8205">
            <w:pPr>
              <w:pStyle w:val="14"/>
              <w:spacing w:before="91"/>
              <w:ind w:left="9"/>
              <w:jc w:val="center"/>
              <w:rPr>
                <w:sz w:val="21"/>
              </w:rPr>
            </w:pPr>
            <w:r>
              <w:rPr>
                <w:w w:val="99"/>
                <w:sz w:val="21"/>
              </w:rPr>
              <w:t>套</w:t>
            </w:r>
          </w:p>
        </w:tc>
        <w:tc>
          <w:tcPr>
            <w:tcW w:w="699" w:type="dxa"/>
          </w:tcPr>
          <w:p w14:paraId="52F35E94">
            <w:pPr>
              <w:pStyle w:val="14"/>
              <w:spacing w:before="105"/>
              <w:ind w:left="9"/>
              <w:jc w:val="center"/>
              <w:rPr>
                <w:rFonts w:ascii="Times New Roman"/>
                <w:sz w:val="21"/>
              </w:rPr>
            </w:pPr>
            <w:r>
              <w:rPr>
                <w:rFonts w:ascii="Times New Roman"/>
                <w:w w:val="99"/>
                <w:sz w:val="21"/>
              </w:rPr>
              <w:t>4</w:t>
            </w:r>
          </w:p>
        </w:tc>
        <w:tc>
          <w:tcPr>
            <w:tcW w:w="1686" w:type="dxa"/>
          </w:tcPr>
          <w:p w14:paraId="7037C38F">
            <w:pPr>
              <w:pStyle w:val="14"/>
              <w:spacing w:before="91"/>
              <w:ind w:left="86" w:right="77"/>
              <w:jc w:val="center"/>
              <w:rPr>
                <w:sz w:val="21"/>
              </w:rPr>
            </w:pPr>
            <w:r>
              <w:rPr>
                <w:sz w:val="21"/>
              </w:rPr>
              <w:t>配套仪表箱</w:t>
            </w:r>
          </w:p>
        </w:tc>
      </w:tr>
      <w:tr w14:paraId="5ED77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5B6D87C2">
            <w:pPr>
              <w:pStyle w:val="14"/>
              <w:spacing w:before="149"/>
              <w:ind w:right="255"/>
              <w:jc w:val="right"/>
              <w:rPr>
                <w:rFonts w:ascii="Times New Roman"/>
                <w:sz w:val="21"/>
              </w:rPr>
            </w:pPr>
            <w:r>
              <w:rPr>
                <w:rFonts w:ascii="Times New Roman"/>
                <w:w w:val="99"/>
                <w:sz w:val="21"/>
              </w:rPr>
              <w:t>8</w:t>
            </w:r>
          </w:p>
        </w:tc>
        <w:tc>
          <w:tcPr>
            <w:tcW w:w="2007" w:type="dxa"/>
          </w:tcPr>
          <w:p w14:paraId="170CF9FB">
            <w:pPr>
              <w:pStyle w:val="14"/>
              <w:spacing w:before="136"/>
              <w:ind w:left="132" w:right="125"/>
              <w:jc w:val="center"/>
              <w:rPr>
                <w:sz w:val="21"/>
              </w:rPr>
            </w:pPr>
            <w:r>
              <w:rPr>
                <w:sz w:val="21"/>
              </w:rPr>
              <w:t>明渠流量计</w:t>
            </w:r>
          </w:p>
        </w:tc>
        <w:tc>
          <w:tcPr>
            <w:tcW w:w="2808" w:type="dxa"/>
          </w:tcPr>
          <w:p w14:paraId="423E6498">
            <w:pPr>
              <w:pStyle w:val="14"/>
              <w:spacing w:line="268" w:lineRule="exact"/>
              <w:ind w:left="107"/>
              <w:rPr>
                <w:sz w:val="21"/>
              </w:rPr>
            </w:pPr>
            <w:r>
              <w:rPr>
                <w:sz w:val="21"/>
              </w:rPr>
              <w:t xml:space="preserve">分体式；量程 </w:t>
            </w:r>
            <w:r>
              <w:rPr>
                <w:rFonts w:ascii="Times New Roman" w:eastAsia="Times New Roman"/>
                <w:sz w:val="21"/>
              </w:rPr>
              <w:t xml:space="preserve">3 </w:t>
            </w:r>
            <w:r>
              <w:rPr>
                <w:sz w:val="21"/>
              </w:rPr>
              <w:t>米，</w:t>
            </w:r>
          </w:p>
          <w:p w14:paraId="00511E97">
            <w:pPr>
              <w:pStyle w:val="14"/>
              <w:spacing w:before="4" w:line="252" w:lineRule="exact"/>
              <w:ind w:left="107"/>
              <w:rPr>
                <w:sz w:val="21"/>
              </w:rPr>
            </w:pPr>
            <w:r>
              <w:rPr>
                <w:rFonts w:ascii="Times New Roman" w:eastAsia="Times New Roman"/>
                <w:sz w:val="21"/>
              </w:rPr>
              <w:t xml:space="preserve">4-20mA </w:t>
            </w:r>
            <w:r>
              <w:rPr>
                <w:sz w:val="21"/>
              </w:rPr>
              <w:t>输出，</w:t>
            </w:r>
            <w:r>
              <w:rPr>
                <w:rFonts w:ascii="Times New Roman" w:eastAsia="Times New Roman"/>
                <w:sz w:val="21"/>
              </w:rPr>
              <w:t xml:space="preserve">24V </w:t>
            </w:r>
            <w:r>
              <w:rPr>
                <w:sz w:val="21"/>
              </w:rPr>
              <w:t>供电</w:t>
            </w:r>
          </w:p>
        </w:tc>
        <w:tc>
          <w:tcPr>
            <w:tcW w:w="684" w:type="dxa"/>
          </w:tcPr>
          <w:p w14:paraId="233AE5DD">
            <w:pPr>
              <w:pStyle w:val="14"/>
              <w:spacing w:before="136"/>
              <w:ind w:left="9"/>
              <w:jc w:val="center"/>
              <w:rPr>
                <w:sz w:val="21"/>
              </w:rPr>
            </w:pPr>
            <w:r>
              <w:rPr>
                <w:w w:val="99"/>
                <w:sz w:val="21"/>
              </w:rPr>
              <w:t>套</w:t>
            </w:r>
          </w:p>
        </w:tc>
        <w:tc>
          <w:tcPr>
            <w:tcW w:w="699" w:type="dxa"/>
          </w:tcPr>
          <w:p w14:paraId="2D0568E2">
            <w:pPr>
              <w:pStyle w:val="14"/>
              <w:spacing w:before="149"/>
              <w:ind w:left="9"/>
              <w:jc w:val="center"/>
              <w:rPr>
                <w:rFonts w:ascii="Times New Roman"/>
                <w:sz w:val="21"/>
              </w:rPr>
            </w:pPr>
            <w:r>
              <w:rPr>
                <w:rFonts w:ascii="Times New Roman"/>
                <w:w w:val="99"/>
                <w:sz w:val="21"/>
              </w:rPr>
              <w:t>1</w:t>
            </w:r>
          </w:p>
        </w:tc>
        <w:tc>
          <w:tcPr>
            <w:tcW w:w="1686" w:type="dxa"/>
          </w:tcPr>
          <w:p w14:paraId="5AFFE309">
            <w:pPr>
              <w:pStyle w:val="14"/>
              <w:rPr>
                <w:rFonts w:ascii="Times New Roman"/>
                <w:sz w:val="20"/>
              </w:rPr>
            </w:pPr>
          </w:p>
        </w:tc>
      </w:tr>
      <w:tr w14:paraId="1899A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8" w:type="dxa"/>
          </w:tcPr>
          <w:p w14:paraId="7A86D952">
            <w:pPr>
              <w:pStyle w:val="14"/>
              <w:spacing w:before="9"/>
              <w:rPr>
                <w:rFonts w:ascii="Times New Roman"/>
                <w:sz w:val="24"/>
              </w:rPr>
            </w:pPr>
          </w:p>
          <w:p w14:paraId="6109EF91">
            <w:pPr>
              <w:pStyle w:val="14"/>
              <w:spacing w:before="1"/>
              <w:ind w:right="255"/>
              <w:jc w:val="right"/>
              <w:rPr>
                <w:rFonts w:ascii="Times New Roman"/>
                <w:sz w:val="21"/>
              </w:rPr>
            </w:pPr>
            <w:r>
              <w:rPr>
                <w:rFonts w:ascii="Times New Roman"/>
                <w:w w:val="99"/>
                <w:sz w:val="21"/>
              </w:rPr>
              <w:t>9</w:t>
            </w:r>
          </w:p>
        </w:tc>
        <w:tc>
          <w:tcPr>
            <w:tcW w:w="2007" w:type="dxa"/>
          </w:tcPr>
          <w:p w14:paraId="1BBB9F6B">
            <w:pPr>
              <w:pStyle w:val="14"/>
              <w:spacing w:before="7"/>
              <w:rPr>
                <w:rFonts w:ascii="Times New Roman"/>
                <w:sz w:val="23"/>
              </w:rPr>
            </w:pPr>
          </w:p>
          <w:p w14:paraId="38690698">
            <w:pPr>
              <w:pStyle w:val="14"/>
              <w:ind w:left="132" w:right="127"/>
              <w:jc w:val="center"/>
              <w:rPr>
                <w:sz w:val="21"/>
              </w:rPr>
            </w:pPr>
            <w:r>
              <w:rPr>
                <w:sz w:val="21"/>
              </w:rPr>
              <w:t>初沉池</w:t>
            </w:r>
          </w:p>
        </w:tc>
        <w:tc>
          <w:tcPr>
            <w:tcW w:w="2808" w:type="dxa"/>
          </w:tcPr>
          <w:p w14:paraId="535E6844">
            <w:pPr>
              <w:pStyle w:val="14"/>
              <w:spacing w:before="1" w:line="242" w:lineRule="auto"/>
              <w:ind w:left="107" w:right="96"/>
              <w:rPr>
                <w:sz w:val="21"/>
              </w:rPr>
            </w:pPr>
            <w:r>
              <w:rPr>
                <w:sz w:val="21"/>
              </w:rPr>
              <w:t>多层次斜板装置 （ 沉淀面积：</w:t>
            </w:r>
            <w:r>
              <w:rPr>
                <w:rFonts w:ascii="Times New Roman" w:eastAsia="Times New Roman"/>
                <w:sz w:val="21"/>
              </w:rPr>
              <w:t>15m2</w:t>
            </w:r>
            <w:r>
              <w:rPr>
                <w:sz w:val="21"/>
              </w:rPr>
              <w:t>）、上下两层安装</w:t>
            </w:r>
          </w:p>
          <w:p w14:paraId="210C1471">
            <w:pPr>
              <w:pStyle w:val="14"/>
              <w:spacing w:line="253" w:lineRule="exact"/>
              <w:ind w:left="107"/>
              <w:rPr>
                <w:sz w:val="21"/>
              </w:rPr>
            </w:pPr>
            <w:r>
              <w:rPr>
                <w:sz w:val="21"/>
              </w:rPr>
              <w:t>槽钢</w:t>
            </w:r>
            <w:r>
              <w:rPr>
                <w:rFonts w:ascii="Times New Roman" w:eastAsia="Times New Roman"/>
                <w:sz w:val="21"/>
              </w:rPr>
              <w:t>+</w:t>
            </w:r>
            <w:r>
              <w:rPr>
                <w:sz w:val="21"/>
              </w:rPr>
              <w:t>角铁支架</w:t>
            </w:r>
          </w:p>
        </w:tc>
        <w:tc>
          <w:tcPr>
            <w:tcW w:w="684" w:type="dxa"/>
          </w:tcPr>
          <w:p w14:paraId="0858B8F7">
            <w:pPr>
              <w:pStyle w:val="14"/>
              <w:spacing w:before="7"/>
              <w:rPr>
                <w:rFonts w:ascii="Times New Roman"/>
                <w:sz w:val="23"/>
              </w:rPr>
            </w:pPr>
          </w:p>
          <w:p w14:paraId="4468F28B">
            <w:pPr>
              <w:pStyle w:val="14"/>
              <w:ind w:left="9"/>
              <w:jc w:val="center"/>
              <w:rPr>
                <w:sz w:val="21"/>
              </w:rPr>
            </w:pPr>
            <w:r>
              <w:rPr>
                <w:w w:val="99"/>
                <w:sz w:val="21"/>
              </w:rPr>
              <w:t>套</w:t>
            </w:r>
          </w:p>
        </w:tc>
        <w:tc>
          <w:tcPr>
            <w:tcW w:w="699" w:type="dxa"/>
          </w:tcPr>
          <w:p w14:paraId="574AFDEF">
            <w:pPr>
              <w:pStyle w:val="14"/>
              <w:spacing w:before="9"/>
              <w:rPr>
                <w:rFonts w:ascii="Times New Roman"/>
                <w:sz w:val="24"/>
              </w:rPr>
            </w:pPr>
          </w:p>
          <w:p w14:paraId="6A098689">
            <w:pPr>
              <w:pStyle w:val="14"/>
              <w:spacing w:before="1"/>
              <w:ind w:left="9"/>
              <w:jc w:val="center"/>
              <w:rPr>
                <w:rFonts w:ascii="Times New Roman"/>
                <w:sz w:val="21"/>
              </w:rPr>
            </w:pPr>
            <w:r>
              <w:rPr>
                <w:rFonts w:ascii="Times New Roman"/>
                <w:w w:val="99"/>
                <w:sz w:val="21"/>
              </w:rPr>
              <w:t>2</w:t>
            </w:r>
          </w:p>
        </w:tc>
        <w:tc>
          <w:tcPr>
            <w:tcW w:w="1686" w:type="dxa"/>
          </w:tcPr>
          <w:p w14:paraId="6B4A8ADA">
            <w:pPr>
              <w:pStyle w:val="14"/>
              <w:rPr>
                <w:rFonts w:ascii="Times New Roman"/>
                <w:sz w:val="20"/>
              </w:rPr>
            </w:pPr>
          </w:p>
        </w:tc>
      </w:tr>
      <w:tr w14:paraId="6F291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38" w:type="dxa"/>
          </w:tcPr>
          <w:p w14:paraId="7101D4C7">
            <w:pPr>
              <w:pStyle w:val="14"/>
              <w:spacing w:before="10"/>
              <w:rPr>
                <w:rFonts w:ascii="Times New Roman"/>
                <w:sz w:val="24"/>
              </w:rPr>
            </w:pPr>
          </w:p>
          <w:p w14:paraId="3264FB61">
            <w:pPr>
              <w:pStyle w:val="14"/>
              <w:spacing w:before="1"/>
              <w:ind w:right="202"/>
              <w:jc w:val="right"/>
              <w:rPr>
                <w:rFonts w:ascii="Times New Roman"/>
                <w:sz w:val="21"/>
              </w:rPr>
            </w:pPr>
            <w:r>
              <w:rPr>
                <w:rFonts w:ascii="Times New Roman"/>
                <w:sz w:val="21"/>
              </w:rPr>
              <w:t>10</w:t>
            </w:r>
          </w:p>
        </w:tc>
        <w:tc>
          <w:tcPr>
            <w:tcW w:w="2007" w:type="dxa"/>
          </w:tcPr>
          <w:p w14:paraId="28F0FCB3">
            <w:pPr>
              <w:pStyle w:val="14"/>
              <w:spacing w:before="8"/>
              <w:rPr>
                <w:rFonts w:ascii="Times New Roman"/>
                <w:sz w:val="23"/>
              </w:rPr>
            </w:pPr>
          </w:p>
          <w:p w14:paraId="2CDEA24E">
            <w:pPr>
              <w:pStyle w:val="14"/>
              <w:ind w:left="132" w:right="127"/>
              <w:jc w:val="center"/>
              <w:rPr>
                <w:sz w:val="21"/>
              </w:rPr>
            </w:pPr>
            <w:r>
              <w:rPr>
                <w:sz w:val="21"/>
              </w:rPr>
              <w:t>二沉池</w:t>
            </w:r>
          </w:p>
        </w:tc>
        <w:tc>
          <w:tcPr>
            <w:tcW w:w="2808" w:type="dxa"/>
          </w:tcPr>
          <w:p w14:paraId="55B1395F">
            <w:pPr>
              <w:pStyle w:val="14"/>
              <w:spacing w:line="268" w:lineRule="exact"/>
              <w:ind w:left="107"/>
              <w:rPr>
                <w:sz w:val="21"/>
              </w:rPr>
            </w:pPr>
            <w:r>
              <w:rPr>
                <w:sz w:val="21"/>
              </w:rPr>
              <w:t>多层次斜管装置 （ 沉淀面</w:t>
            </w:r>
          </w:p>
          <w:p w14:paraId="3BC3F3C1">
            <w:pPr>
              <w:pStyle w:val="14"/>
              <w:spacing w:before="3" w:line="270" w:lineRule="atLeast"/>
              <w:ind w:left="107" w:right="96"/>
              <w:rPr>
                <w:sz w:val="21"/>
              </w:rPr>
            </w:pPr>
            <w:r>
              <w:rPr>
                <w:sz w:val="21"/>
              </w:rPr>
              <w:t>积：</w:t>
            </w:r>
            <w:r>
              <w:rPr>
                <w:rFonts w:ascii="Times New Roman" w:eastAsia="Times New Roman"/>
                <w:sz w:val="21"/>
              </w:rPr>
              <w:t>30m2</w:t>
            </w:r>
            <w:r>
              <w:rPr>
                <w:sz w:val="21"/>
              </w:rPr>
              <w:t>）、上下两层安装支架</w:t>
            </w:r>
          </w:p>
        </w:tc>
        <w:tc>
          <w:tcPr>
            <w:tcW w:w="684" w:type="dxa"/>
          </w:tcPr>
          <w:p w14:paraId="246C12F7">
            <w:pPr>
              <w:pStyle w:val="14"/>
              <w:spacing w:before="8"/>
              <w:rPr>
                <w:rFonts w:ascii="Times New Roman"/>
                <w:sz w:val="23"/>
              </w:rPr>
            </w:pPr>
          </w:p>
          <w:p w14:paraId="05FE8B36">
            <w:pPr>
              <w:pStyle w:val="14"/>
              <w:ind w:left="9"/>
              <w:jc w:val="center"/>
              <w:rPr>
                <w:sz w:val="21"/>
              </w:rPr>
            </w:pPr>
            <w:r>
              <w:rPr>
                <w:w w:val="99"/>
                <w:sz w:val="21"/>
              </w:rPr>
              <w:t>套</w:t>
            </w:r>
          </w:p>
        </w:tc>
        <w:tc>
          <w:tcPr>
            <w:tcW w:w="699" w:type="dxa"/>
          </w:tcPr>
          <w:p w14:paraId="243EA354">
            <w:pPr>
              <w:pStyle w:val="14"/>
              <w:spacing w:before="10"/>
              <w:rPr>
                <w:rFonts w:ascii="Times New Roman"/>
                <w:sz w:val="24"/>
              </w:rPr>
            </w:pPr>
          </w:p>
          <w:p w14:paraId="44F3F2BA">
            <w:pPr>
              <w:pStyle w:val="14"/>
              <w:spacing w:before="1"/>
              <w:ind w:left="9"/>
              <w:jc w:val="center"/>
              <w:rPr>
                <w:rFonts w:ascii="Times New Roman"/>
                <w:sz w:val="21"/>
              </w:rPr>
            </w:pPr>
            <w:r>
              <w:rPr>
                <w:rFonts w:ascii="Times New Roman"/>
                <w:w w:val="99"/>
                <w:sz w:val="21"/>
              </w:rPr>
              <w:t>2</w:t>
            </w:r>
          </w:p>
        </w:tc>
        <w:tc>
          <w:tcPr>
            <w:tcW w:w="1686" w:type="dxa"/>
          </w:tcPr>
          <w:p w14:paraId="180CE4DF">
            <w:pPr>
              <w:pStyle w:val="14"/>
              <w:rPr>
                <w:rFonts w:ascii="Times New Roman"/>
                <w:sz w:val="20"/>
              </w:rPr>
            </w:pPr>
          </w:p>
        </w:tc>
      </w:tr>
      <w:tr w14:paraId="2737D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638" w:type="dxa"/>
          </w:tcPr>
          <w:p w14:paraId="4CA55EDA">
            <w:pPr>
              <w:pStyle w:val="14"/>
              <w:rPr>
                <w:rFonts w:ascii="Times New Roman"/>
                <w:sz w:val="22"/>
              </w:rPr>
            </w:pPr>
          </w:p>
          <w:p w14:paraId="482872D4">
            <w:pPr>
              <w:pStyle w:val="14"/>
              <w:rPr>
                <w:rFonts w:ascii="Times New Roman"/>
                <w:sz w:val="22"/>
              </w:rPr>
            </w:pPr>
          </w:p>
          <w:p w14:paraId="044B22E5">
            <w:pPr>
              <w:pStyle w:val="14"/>
              <w:spacing w:before="190"/>
              <w:ind w:right="202"/>
              <w:jc w:val="right"/>
              <w:rPr>
                <w:rFonts w:ascii="Times New Roman"/>
                <w:sz w:val="21"/>
              </w:rPr>
            </w:pPr>
            <w:r>
              <w:rPr>
                <w:rFonts w:ascii="Times New Roman"/>
                <w:sz w:val="21"/>
              </w:rPr>
              <w:t>11</w:t>
            </w:r>
          </w:p>
        </w:tc>
        <w:tc>
          <w:tcPr>
            <w:tcW w:w="2007" w:type="dxa"/>
          </w:tcPr>
          <w:p w14:paraId="3DBDB977">
            <w:pPr>
              <w:pStyle w:val="14"/>
              <w:rPr>
                <w:rFonts w:ascii="Times New Roman"/>
                <w:sz w:val="20"/>
              </w:rPr>
            </w:pPr>
          </w:p>
          <w:p w14:paraId="1D7A4171">
            <w:pPr>
              <w:pStyle w:val="14"/>
              <w:rPr>
                <w:rFonts w:ascii="Times New Roman"/>
                <w:sz w:val="20"/>
              </w:rPr>
            </w:pPr>
          </w:p>
          <w:p w14:paraId="611A8451">
            <w:pPr>
              <w:pStyle w:val="14"/>
              <w:spacing w:before="1"/>
              <w:rPr>
                <w:rFonts w:ascii="Times New Roman"/>
                <w:sz w:val="19"/>
              </w:rPr>
            </w:pPr>
          </w:p>
          <w:p w14:paraId="7617B2CC">
            <w:pPr>
              <w:pStyle w:val="14"/>
              <w:ind w:left="132" w:right="127"/>
              <w:jc w:val="center"/>
              <w:rPr>
                <w:sz w:val="21"/>
              </w:rPr>
            </w:pPr>
            <w:r>
              <w:rPr>
                <w:sz w:val="21"/>
              </w:rPr>
              <w:t>污泥池</w:t>
            </w:r>
          </w:p>
        </w:tc>
        <w:tc>
          <w:tcPr>
            <w:tcW w:w="2808" w:type="dxa"/>
          </w:tcPr>
          <w:p w14:paraId="43E0022E">
            <w:pPr>
              <w:pStyle w:val="14"/>
              <w:spacing w:line="242" w:lineRule="auto"/>
              <w:ind w:left="107" w:right="935"/>
              <w:rPr>
                <w:rFonts w:ascii="Times New Roman" w:hAnsi="Times New Roman" w:eastAsia="Times New Roman"/>
                <w:sz w:val="21"/>
              </w:rPr>
            </w:pPr>
            <w:r>
              <w:rPr>
                <w:w w:val="95"/>
                <w:sz w:val="21"/>
              </w:rPr>
              <w:t>设计规模：</w:t>
            </w:r>
            <w:r>
              <w:rPr>
                <w:rFonts w:ascii="Times New Roman" w:hAnsi="Times New Roman" w:eastAsia="Times New Roman"/>
                <w:w w:val="95"/>
                <w:sz w:val="21"/>
              </w:rPr>
              <w:t xml:space="preserve">650m³/d </w:t>
            </w:r>
            <w:r>
              <w:rPr>
                <w:sz w:val="21"/>
              </w:rPr>
              <w:t>储泥容积：</w:t>
            </w:r>
            <w:r>
              <w:rPr>
                <w:rFonts w:ascii="Times New Roman" w:hAnsi="Times New Roman" w:eastAsia="Times New Roman"/>
                <w:sz w:val="21"/>
              </w:rPr>
              <w:t>40m³</w:t>
            </w:r>
          </w:p>
          <w:p w14:paraId="2980F8D2">
            <w:pPr>
              <w:pStyle w:val="14"/>
              <w:spacing w:before="1"/>
              <w:ind w:left="107"/>
              <w:rPr>
                <w:sz w:val="21"/>
              </w:rPr>
            </w:pPr>
            <w:r>
              <w:rPr>
                <w:sz w:val="21"/>
              </w:rPr>
              <w:t>构筑物尺寸：</w:t>
            </w:r>
          </w:p>
          <w:p w14:paraId="668652DE">
            <w:pPr>
              <w:pStyle w:val="14"/>
              <w:spacing w:before="3"/>
              <w:ind w:left="107"/>
              <w:rPr>
                <w:sz w:val="21"/>
              </w:rPr>
            </w:pPr>
            <w:r>
              <w:rPr>
                <w:rFonts w:ascii="Times New Roman" w:hAnsi="Times New Roman" w:eastAsia="Times New Roman"/>
                <w:sz w:val="21"/>
              </w:rPr>
              <w:t xml:space="preserve">L×B×H=8.0×1.5×4.5m </w:t>
            </w:r>
            <w:r>
              <w:rPr>
                <w:sz w:val="21"/>
              </w:rPr>
              <w:t>（ 有</w:t>
            </w:r>
          </w:p>
          <w:p w14:paraId="378DA5A4">
            <w:pPr>
              <w:pStyle w:val="14"/>
              <w:spacing w:before="3" w:line="270" w:lineRule="atLeast"/>
              <w:ind w:left="107" w:right="1219"/>
              <w:rPr>
                <w:sz w:val="21"/>
              </w:rPr>
            </w:pPr>
            <w:r>
              <w:rPr>
                <w:sz w:val="21"/>
              </w:rPr>
              <w:t xml:space="preserve">效水深 </w:t>
            </w:r>
            <w:r>
              <w:rPr>
                <w:rFonts w:ascii="Times New Roman" w:eastAsia="Times New Roman"/>
                <w:sz w:val="21"/>
              </w:rPr>
              <w:t>3.6m</w:t>
            </w:r>
            <w:r>
              <w:rPr>
                <w:sz w:val="21"/>
              </w:rPr>
              <w:t xml:space="preserve">） </w:t>
            </w:r>
            <w:r>
              <w:rPr>
                <w:w w:val="95"/>
                <w:sz w:val="21"/>
              </w:rPr>
              <w:t>地下式钢混结构</w:t>
            </w:r>
          </w:p>
        </w:tc>
        <w:tc>
          <w:tcPr>
            <w:tcW w:w="684" w:type="dxa"/>
          </w:tcPr>
          <w:p w14:paraId="26AE5ED2">
            <w:pPr>
              <w:pStyle w:val="14"/>
              <w:rPr>
                <w:rFonts w:ascii="Times New Roman"/>
                <w:sz w:val="20"/>
              </w:rPr>
            </w:pPr>
          </w:p>
          <w:p w14:paraId="3767C90F">
            <w:pPr>
              <w:pStyle w:val="14"/>
              <w:rPr>
                <w:rFonts w:ascii="Times New Roman"/>
                <w:sz w:val="20"/>
              </w:rPr>
            </w:pPr>
          </w:p>
          <w:p w14:paraId="27CD49DA">
            <w:pPr>
              <w:pStyle w:val="14"/>
              <w:spacing w:before="1"/>
              <w:rPr>
                <w:rFonts w:ascii="Times New Roman"/>
                <w:sz w:val="19"/>
              </w:rPr>
            </w:pPr>
          </w:p>
          <w:p w14:paraId="10DDCB40">
            <w:pPr>
              <w:pStyle w:val="14"/>
              <w:ind w:left="9"/>
              <w:jc w:val="center"/>
              <w:rPr>
                <w:sz w:val="21"/>
              </w:rPr>
            </w:pPr>
            <w:r>
              <w:rPr>
                <w:w w:val="99"/>
                <w:sz w:val="21"/>
              </w:rPr>
              <w:t>座</w:t>
            </w:r>
          </w:p>
        </w:tc>
        <w:tc>
          <w:tcPr>
            <w:tcW w:w="699" w:type="dxa"/>
          </w:tcPr>
          <w:p w14:paraId="299E2DEA">
            <w:pPr>
              <w:pStyle w:val="14"/>
              <w:rPr>
                <w:rFonts w:ascii="Times New Roman"/>
                <w:sz w:val="22"/>
              </w:rPr>
            </w:pPr>
          </w:p>
          <w:p w14:paraId="4CC0ED00">
            <w:pPr>
              <w:pStyle w:val="14"/>
              <w:rPr>
                <w:rFonts w:ascii="Times New Roman"/>
                <w:sz w:val="22"/>
              </w:rPr>
            </w:pPr>
          </w:p>
          <w:p w14:paraId="44CDC4E8">
            <w:pPr>
              <w:pStyle w:val="14"/>
              <w:spacing w:before="190"/>
              <w:ind w:left="9"/>
              <w:jc w:val="center"/>
              <w:rPr>
                <w:rFonts w:ascii="Times New Roman"/>
                <w:sz w:val="21"/>
              </w:rPr>
            </w:pPr>
            <w:r>
              <w:rPr>
                <w:rFonts w:ascii="Times New Roman"/>
                <w:w w:val="99"/>
                <w:sz w:val="21"/>
              </w:rPr>
              <w:t>1</w:t>
            </w:r>
          </w:p>
        </w:tc>
        <w:tc>
          <w:tcPr>
            <w:tcW w:w="1686" w:type="dxa"/>
          </w:tcPr>
          <w:p w14:paraId="7AE28D13">
            <w:pPr>
              <w:pStyle w:val="14"/>
              <w:rPr>
                <w:rFonts w:ascii="Times New Roman"/>
                <w:sz w:val="20"/>
              </w:rPr>
            </w:pPr>
          </w:p>
        </w:tc>
      </w:tr>
      <w:tr w14:paraId="0E34D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26A1A17F">
            <w:pPr>
              <w:pStyle w:val="14"/>
              <w:spacing w:before="105"/>
              <w:ind w:right="202"/>
              <w:jc w:val="right"/>
              <w:rPr>
                <w:rFonts w:ascii="Times New Roman"/>
                <w:sz w:val="21"/>
              </w:rPr>
            </w:pPr>
            <w:r>
              <w:rPr>
                <w:rFonts w:ascii="Times New Roman"/>
                <w:sz w:val="21"/>
              </w:rPr>
              <w:t>13</w:t>
            </w:r>
          </w:p>
        </w:tc>
        <w:tc>
          <w:tcPr>
            <w:tcW w:w="2007" w:type="dxa"/>
          </w:tcPr>
          <w:p w14:paraId="59754AE9">
            <w:pPr>
              <w:pStyle w:val="14"/>
              <w:spacing w:before="89"/>
              <w:ind w:left="132" w:right="127"/>
              <w:jc w:val="center"/>
              <w:rPr>
                <w:sz w:val="21"/>
              </w:rPr>
            </w:pPr>
            <w:r>
              <w:rPr>
                <w:sz w:val="21"/>
              </w:rPr>
              <w:t>次氯酸钠投加器</w:t>
            </w:r>
          </w:p>
        </w:tc>
        <w:tc>
          <w:tcPr>
            <w:tcW w:w="2808" w:type="dxa"/>
          </w:tcPr>
          <w:p w14:paraId="2E8A7A8F">
            <w:pPr>
              <w:pStyle w:val="14"/>
              <w:rPr>
                <w:rFonts w:ascii="Times New Roman"/>
                <w:sz w:val="20"/>
              </w:rPr>
            </w:pPr>
          </w:p>
        </w:tc>
        <w:tc>
          <w:tcPr>
            <w:tcW w:w="684" w:type="dxa"/>
          </w:tcPr>
          <w:p w14:paraId="37119325">
            <w:pPr>
              <w:pStyle w:val="14"/>
              <w:spacing w:before="89"/>
              <w:ind w:left="9"/>
              <w:jc w:val="center"/>
              <w:rPr>
                <w:sz w:val="21"/>
              </w:rPr>
            </w:pPr>
            <w:r>
              <w:rPr>
                <w:w w:val="99"/>
                <w:sz w:val="21"/>
              </w:rPr>
              <w:t>套</w:t>
            </w:r>
          </w:p>
        </w:tc>
        <w:tc>
          <w:tcPr>
            <w:tcW w:w="699" w:type="dxa"/>
          </w:tcPr>
          <w:p w14:paraId="32A659B7">
            <w:pPr>
              <w:pStyle w:val="14"/>
              <w:spacing w:before="105"/>
              <w:ind w:left="9"/>
              <w:jc w:val="center"/>
              <w:rPr>
                <w:rFonts w:ascii="Times New Roman"/>
                <w:sz w:val="21"/>
              </w:rPr>
            </w:pPr>
            <w:r>
              <w:rPr>
                <w:rFonts w:ascii="Times New Roman"/>
                <w:w w:val="99"/>
                <w:sz w:val="21"/>
              </w:rPr>
              <w:t>1</w:t>
            </w:r>
          </w:p>
        </w:tc>
        <w:tc>
          <w:tcPr>
            <w:tcW w:w="1686" w:type="dxa"/>
          </w:tcPr>
          <w:p w14:paraId="343D979C">
            <w:pPr>
              <w:pStyle w:val="14"/>
              <w:rPr>
                <w:rFonts w:ascii="Times New Roman"/>
                <w:sz w:val="20"/>
              </w:rPr>
            </w:pPr>
          </w:p>
        </w:tc>
      </w:tr>
      <w:tr w14:paraId="7EF03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C11F3ED">
            <w:pPr>
              <w:pStyle w:val="14"/>
              <w:spacing w:before="104"/>
              <w:ind w:right="202"/>
              <w:jc w:val="right"/>
              <w:rPr>
                <w:rFonts w:ascii="Times New Roman"/>
                <w:sz w:val="21"/>
              </w:rPr>
            </w:pPr>
            <w:r>
              <w:rPr>
                <w:rFonts w:ascii="Times New Roman"/>
                <w:sz w:val="21"/>
              </w:rPr>
              <w:t>14</w:t>
            </w:r>
          </w:p>
        </w:tc>
        <w:tc>
          <w:tcPr>
            <w:tcW w:w="2007" w:type="dxa"/>
          </w:tcPr>
          <w:p w14:paraId="2B205F51">
            <w:pPr>
              <w:pStyle w:val="14"/>
              <w:spacing w:before="91"/>
              <w:ind w:left="132" w:right="127"/>
              <w:jc w:val="center"/>
              <w:rPr>
                <w:sz w:val="21"/>
              </w:rPr>
            </w:pPr>
            <w:r>
              <w:rPr>
                <w:sz w:val="21"/>
              </w:rPr>
              <w:t>叠螺式压滤机</w:t>
            </w:r>
          </w:p>
        </w:tc>
        <w:tc>
          <w:tcPr>
            <w:tcW w:w="2808" w:type="dxa"/>
          </w:tcPr>
          <w:p w14:paraId="5B43B2C8">
            <w:pPr>
              <w:pStyle w:val="14"/>
              <w:spacing w:before="91"/>
              <w:ind w:left="107"/>
              <w:rPr>
                <w:rFonts w:ascii="Times New Roman" w:eastAsia="Times New Roman"/>
                <w:sz w:val="21"/>
              </w:rPr>
            </w:pPr>
            <w:r>
              <w:rPr>
                <w:sz w:val="21"/>
              </w:rPr>
              <w:t xml:space="preserve">型号 </w:t>
            </w:r>
            <w:r>
              <w:rPr>
                <w:rFonts w:ascii="Times New Roman" w:eastAsia="Times New Roman"/>
                <w:sz w:val="21"/>
              </w:rPr>
              <w:t>301</w:t>
            </w:r>
            <w:r>
              <w:rPr>
                <w:sz w:val="21"/>
              </w:rPr>
              <w:t>，</w:t>
            </w:r>
            <w:r>
              <w:rPr>
                <w:rFonts w:ascii="Times New Roman" w:eastAsia="Times New Roman"/>
                <w:sz w:val="21"/>
              </w:rPr>
              <w:t>3kw</w:t>
            </w:r>
          </w:p>
        </w:tc>
        <w:tc>
          <w:tcPr>
            <w:tcW w:w="684" w:type="dxa"/>
          </w:tcPr>
          <w:p w14:paraId="512B4184">
            <w:pPr>
              <w:pStyle w:val="14"/>
              <w:spacing w:before="91"/>
              <w:ind w:left="9"/>
              <w:jc w:val="center"/>
              <w:rPr>
                <w:sz w:val="21"/>
              </w:rPr>
            </w:pPr>
            <w:r>
              <w:rPr>
                <w:w w:val="99"/>
                <w:sz w:val="21"/>
              </w:rPr>
              <w:t>套</w:t>
            </w:r>
          </w:p>
        </w:tc>
        <w:tc>
          <w:tcPr>
            <w:tcW w:w="699" w:type="dxa"/>
          </w:tcPr>
          <w:p w14:paraId="018EE02B">
            <w:pPr>
              <w:pStyle w:val="14"/>
              <w:spacing w:before="104"/>
              <w:ind w:left="9"/>
              <w:jc w:val="center"/>
              <w:rPr>
                <w:rFonts w:ascii="Times New Roman"/>
                <w:sz w:val="21"/>
              </w:rPr>
            </w:pPr>
            <w:r>
              <w:rPr>
                <w:rFonts w:ascii="Times New Roman"/>
                <w:w w:val="99"/>
                <w:sz w:val="21"/>
              </w:rPr>
              <w:t>1</w:t>
            </w:r>
          </w:p>
        </w:tc>
        <w:tc>
          <w:tcPr>
            <w:tcW w:w="1686" w:type="dxa"/>
          </w:tcPr>
          <w:p w14:paraId="0979F961">
            <w:pPr>
              <w:pStyle w:val="14"/>
              <w:rPr>
                <w:rFonts w:ascii="Times New Roman"/>
                <w:sz w:val="20"/>
              </w:rPr>
            </w:pPr>
          </w:p>
        </w:tc>
      </w:tr>
      <w:tr w14:paraId="59FD8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0114BE02">
            <w:pPr>
              <w:pStyle w:val="14"/>
              <w:spacing w:before="104"/>
              <w:ind w:right="202"/>
              <w:jc w:val="right"/>
              <w:rPr>
                <w:rFonts w:ascii="Times New Roman"/>
                <w:sz w:val="21"/>
              </w:rPr>
            </w:pPr>
            <w:r>
              <w:rPr>
                <w:rFonts w:ascii="Times New Roman"/>
                <w:sz w:val="21"/>
              </w:rPr>
              <w:t>15</w:t>
            </w:r>
          </w:p>
        </w:tc>
        <w:tc>
          <w:tcPr>
            <w:tcW w:w="2007" w:type="dxa"/>
          </w:tcPr>
          <w:p w14:paraId="6BD7FB09">
            <w:pPr>
              <w:pStyle w:val="14"/>
              <w:spacing w:before="90"/>
              <w:ind w:left="132" w:right="125"/>
              <w:jc w:val="center"/>
              <w:rPr>
                <w:sz w:val="21"/>
              </w:rPr>
            </w:pPr>
            <w:r>
              <w:rPr>
                <w:sz w:val="21"/>
              </w:rPr>
              <w:t>污泥下料斗</w:t>
            </w:r>
          </w:p>
        </w:tc>
        <w:tc>
          <w:tcPr>
            <w:tcW w:w="2808" w:type="dxa"/>
          </w:tcPr>
          <w:p w14:paraId="4E015C61">
            <w:pPr>
              <w:pStyle w:val="14"/>
              <w:spacing w:before="90"/>
              <w:ind w:left="107"/>
              <w:rPr>
                <w:sz w:val="21"/>
              </w:rPr>
            </w:pPr>
            <w:r>
              <w:rPr>
                <w:sz w:val="21"/>
              </w:rPr>
              <w:t>碳钢制作</w:t>
            </w:r>
          </w:p>
        </w:tc>
        <w:tc>
          <w:tcPr>
            <w:tcW w:w="684" w:type="dxa"/>
          </w:tcPr>
          <w:p w14:paraId="30AEFA2C">
            <w:pPr>
              <w:pStyle w:val="14"/>
              <w:spacing w:before="90"/>
              <w:ind w:left="9"/>
              <w:jc w:val="center"/>
              <w:rPr>
                <w:sz w:val="21"/>
              </w:rPr>
            </w:pPr>
            <w:r>
              <w:rPr>
                <w:w w:val="99"/>
                <w:sz w:val="21"/>
              </w:rPr>
              <w:t>套</w:t>
            </w:r>
          </w:p>
        </w:tc>
        <w:tc>
          <w:tcPr>
            <w:tcW w:w="699" w:type="dxa"/>
          </w:tcPr>
          <w:p w14:paraId="6B803508">
            <w:pPr>
              <w:pStyle w:val="14"/>
              <w:spacing w:before="104"/>
              <w:ind w:left="9"/>
              <w:jc w:val="center"/>
              <w:rPr>
                <w:rFonts w:ascii="Times New Roman"/>
                <w:sz w:val="21"/>
              </w:rPr>
            </w:pPr>
            <w:r>
              <w:rPr>
                <w:rFonts w:ascii="Times New Roman"/>
                <w:w w:val="99"/>
                <w:sz w:val="21"/>
              </w:rPr>
              <w:t>1</w:t>
            </w:r>
          </w:p>
        </w:tc>
        <w:tc>
          <w:tcPr>
            <w:tcW w:w="1686" w:type="dxa"/>
          </w:tcPr>
          <w:p w14:paraId="17FAB4CB">
            <w:pPr>
              <w:pStyle w:val="14"/>
              <w:rPr>
                <w:rFonts w:ascii="Times New Roman"/>
                <w:sz w:val="20"/>
              </w:rPr>
            </w:pPr>
          </w:p>
        </w:tc>
      </w:tr>
      <w:tr w14:paraId="798CF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522" w:type="dxa"/>
            <w:gridSpan w:val="6"/>
          </w:tcPr>
          <w:p w14:paraId="167C5724">
            <w:pPr>
              <w:pStyle w:val="14"/>
              <w:spacing w:before="89"/>
              <w:ind w:left="107"/>
              <w:rPr>
                <w:b/>
                <w:sz w:val="21"/>
              </w:rPr>
            </w:pPr>
            <w:r>
              <w:rPr>
                <w:b/>
                <w:sz w:val="21"/>
              </w:rPr>
              <w:t>八、生物除臭系统</w:t>
            </w:r>
          </w:p>
        </w:tc>
      </w:tr>
    </w:tbl>
    <w:p w14:paraId="7774532C">
      <w:pPr>
        <w:spacing w:after="0"/>
        <w:rPr>
          <w:sz w:val="21"/>
        </w:rPr>
        <w:sectPr>
          <w:pgSz w:w="11910" w:h="16840"/>
          <w:pgMar w:top="1360" w:right="1460" w:bottom="1400" w:left="1520" w:header="878" w:footer="1195" w:gutter="0"/>
          <w:cols w:space="720" w:num="1"/>
        </w:sectPr>
      </w:pPr>
    </w:p>
    <w:p w14:paraId="035470D0">
      <w:pPr>
        <w:pStyle w:val="7"/>
        <w:spacing w:before="9"/>
        <w:rPr>
          <w:rFonts w:ascii="Times New Roman"/>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2007"/>
        <w:gridCol w:w="1581"/>
        <w:gridCol w:w="1333"/>
        <w:gridCol w:w="638"/>
        <w:gridCol w:w="639"/>
        <w:gridCol w:w="1686"/>
      </w:tblGrid>
      <w:tr w14:paraId="1CE88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4F61B1BE">
            <w:pPr>
              <w:pStyle w:val="14"/>
              <w:spacing w:before="91"/>
              <w:ind w:left="86" w:right="79"/>
              <w:jc w:val="center"/>
              <w:rPr>
                <w:b/>
                <w:sz w:val="21"/>
              </w:rPr>
            </w:pPr>
            <w:r>
              <w:rPr>
                <w:b/>
                <w:sz w:val="21"/>
              </w:rPr>
              <w:t>序号</w:t>
            </w:r>
          </w:p>
        </w:tc>
        <w:tc>
          <w:tcPr>
            <w:tcW w:w="2007" w:type="dxa"/>
          </w:tcPr>
          <w:p w14:paraId="1E3E284B">
            <w:pPr>
              <w:pStyle w:val="14"/>
              <w:spacing w:before="91"/>
              <w:ind w:left="132" w:right="125"/>
              <w:jc w:val="center"/>
              <w:rPr>
                <w:b/>
                <w:sz w:val="21"/>
              </w:rPr>
            </w:pPr>
            <w:r>
              <w:rPr>
                <w:b/>
                <w:sz w:val="21"/>
              </w:rPr>
              <w:t>名称</w:t>
            </w:r>
          </w:p>
        </w:tc>
        <w:tc>
          <w:tcPr>
            <w:tcW w:w="1581" w:type="dxa"/>
          </w:tcPr>
          <w:p w14:paraId="71721F20">
            <w:pPr>
              <w:pStyle w:val="14"/>
              <w:spacing w:before="91"/>
              <w:ind w:left="133" w:right="124"/>
              <w:jc w:val="center"/>
              <w:rPr>
                <w:b/>
                <w:sz w:val="21"/>
              </w:rPr>
            </w:pPr>
            <w:r>
              <w:rPr>
                <w:b/>
                <w:sz w:val="21"/>
              </w:rPr>
              <w:t>规格参数</w:t>
            </w:r>
          </w:p>
        </w:tc>
        <w:tc>
          <w:tcPr>
            <w:tcW w:w="1333" w:type="dxa"/>
          </w:tcPr>
          <w:p w14:paraId="1BB6EBA6">
            <w:pPr>
              <w:pStyle w:val="14"/>
              <w:spacing w:before="91"/>
              <w:ind w:left="116" w:right="112"/>
              <w:jc w:val="center"/>
              <w:rPr>
                <w:b/>
                <w:sz w:val="21"/>
              </w:rPr>
            </w:pPr>
            <w:r>
              <w:rPr>
                <w:b/>
                <w:sz w:val="21"/>
              </w:rPr>
              <w:t>材质</w:t>
            </w:r>
          </w:p>
        </w:tc>
        <w:tc>
          <w:tcPr>
            <w:tcW w:w="638" w:type="dxa"/>
          </w:tcPr>
          <w:p w14:paraId="51E27B47">
            <w:pPr>
              <w:pStyle w:val="14"/>
              <w:spacing w:before="91"/>
              <w:ind w:left="85" w:right="79"/>
              <w:jc w:val="center"/>
              <w:rPr>
                <w:b/>
                <w:sz w:val="21"/>
              </w:rPr>
            </w:pPr>
            <w:r>
              <w:rPr>
                <w:b/>
                <w:sz w:val="21"/>
              </w:rPr>
              <w:t>单位</w:t>
            </w:r>
          </w:p>
        </w:tc>
        <w:tc>
          <w:tcPr>
            <w:tcW w:w="639" w:type="dxa"/>
          </w:tcPr>
          <w:p w14:paraId="591AAB52">
            <w:pPr>
              <w:pStyle w:val="14"/>
              <w:spacing w:before="91"/>
              <w:ind w:right="99"/>
              <w:jc w:val="right"/>
              <w:rPr>
                <w:b/>
                <w:sz w:val="21"/>
              </w:rPr>
            </w:pPr>
            <w:r>
              <w:rPr>
                <w:b/>
                <w:w w:val="95"/>
                <w:sz w:val="21"/>
              </w:rPr>
              <w:t>数量</w:t>
            </w:r>
          </w:p>
        </w:tc>
        <w:tc>
          <w:tcPr>
            <w:tcW w:w="1686" w:type="dxa"/>
          </w:tcPr>
          <w:p w14:paraId="76DCB046">
            <w:pPr>
              <w:pStyle w:val="14"/>
              <w:spacing w:before="91"/>
              <w:ind w:left="86" w:right="77"/>
              <w:jc w:val="center"/>
              <w:rPr>
                <w:b/>
                <w:sz w:val="21"/>
              </w:rPr>
            </w:pPr>
            <w:r>
              <w:rPr>
                <w:b/>
                <w:sz w:val="21"/>
              </w:rPr>
              <w:t>备注</w:t>
            </w:r>
          </w:p>
        </w:tc>
      </w:tr>
      <w:tr w14:paraId="35E55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8" w:type="dxa"/>
          </w:tcPr>
          <w:p w14:paraId="7026A037">
            <w:pPr>
              <w:pStyle w:val="14"/>
              <w:spacing w:before="152"/>
              <w:ind w:left="8"/>
              <w:jc w:val="center"/>
              <w:rPr>
                <w:rFonts w:ascii="Times New Roman"/>
                <w:sz w:val="21"/>
              </w:rPr>
            </w:pPr>
            <w:r>
              <w:rPr>
                <w:rFonts w:ascii="Times New Roman"/>
                <w:w w:val="99"/>
                <w:sz w:val="21"/>
              </w:rPr>
              <w:t>1</w:t>
            </w:r>
          </w:p>
        </w:tc>
        <w:tc>
          <w:tcPr>
            <w:tcW w:w="2007" w:type="dxa"/>
          </w:tcPr>
          <w:p w14:paraId="4CC7D726">
            <w:pPr>
              <w:pStyle w:val="14"/>
              <w:spacing w:before="135"/>
              <w:ind w:left="132" w:right="125"/>
              <w:jc w:val="center"/>
              <w:rPr>
                <w:sz w:val="21"/>
              </w:rPr>
            </w:pPr>
            <w:r>
              <w:rPr>
                <w:sz w:val="21"/>
              </w:rPr>
              <w:t>收集系统</w:t>
            </w:r>
          </w:p>
        </w:tc>
        <w:tc>
          <w:tcPr>
            <w:tcW w:w="1581" w:type="dxa"/>
          </w:tcPr>
          <w:p w14:paraId="618C990F">
            <w:pPr>
              <w:pStyle w:val="14"/>
              <w:spacing w:before="1"/>
              <w:ind w:left="134" w:right="124"/>
              <w:jc w:val="center"/>
              <w:rPr>
                <w:sz w:val="21"/>
              </w:rPr>
            </w:pPr>
            <w:r>
              <w:rPr>
                <w:sz w:val="21"/>
              </w:rPr>
              <w:t>φ</w:t>
            </w:r>
            <w:r>
              <w:rPr>
                <w:rFonts w:ascii="Times New Roman" w:hAnsi="Times New Roman" w:eastAsia="Times New Roman"/>
                <w:sz w:val="21"/>
              </w:rPr>
              <w:t>700</w:t>
            </w:r>
            <w:r>
              <w:rPr>
                <w:sz w:val="21"/>
              </w:rPr>
              <w:t>、φ</w:t>
            </w:r>
          </w:p>
          <w:p w14:paraId="0CAE3F56">
            <w:pPr>
              <w:pStyle w:val="14"/>
              <w:spacing w:before="4" w:line="250" w:lineRule="exact"/>
              <w:ind w:left="131" w:right="124"/>
              <w:jc w:val="center"/>
              <w:rPr>
                <w:sz w:val="21"/>
              </w:rPr>
            </w:pPr>
            <w:r>
              <w:rPr>
                <w:rFonts w:ascii="Times New Roman" w:hAnsi="Times New Roman" w:eastAsia="Times New Roman"/>
                <w:sz w:val="21"/>
              </w:rPr>
              <w:t>600</w:t>
            </w:r>
            <w:r>
              <w:rPr>
                <w:sz w:val="21"/>
              </w:rPr>
              <w:t>、φ</w:t>
            </w:r>
            <w:r>
              <w:rPr>
                <w:rFonts w:ascii="Times New Roman" w:hAnsi="Times New Roman" w:eastAsia="Times New Roman"/>
                <w:sz w:val="21"/>
              </w:rPr>
              <w:t>500</w:t>
            </w:r>
            <w:r>
              <w:rPr>
                <w:sz w:val="21"/>
              </w:rPr>
              <w:t>、</w:t>
            </w:r>
          </w:p>
        </w:tc>
        <w:tc>
          <w:tcPr>
            <w:tcW w:w="1333" w:type="dxa"/>
          </w:tcPr>
          <w:p w14:paraId="152D870A">
            <w:pPr>
              <w:pStyle w:val="14"/>
              <w:spacing w:before="152"/>
              <w:ind w:left="117" w:right="112"/>
              <w:jc w:val="center"/>
              <w:rPr>
                <w:rFonts w:ascii="Times New Roman"/>
                <w:sz w:val="21"/>
              </w:rPr>
            </w:pPr>
            <w:r>
              <w:rPr>
                <w:rFonts w:ascii="Times New Roman"/>
                <w:sz w:val="21"/>
              </w:rPr>
              <w:t>PPS</w:t>
            </w:r>
          </w:p>
        </w:tc>
        <w:tc>
          <w:tcPr>
            <w:tcW w:w="638" w:type="dxa"/>
          </w:tcPr>
          <w:p w14:paraId="078AA7C3">
            <w:pPr>
              <w:pStyle w:val="14"/>
              <w:spacing w:before="135"/>
              <w:ind w:left="6"/>
              <w:jc w:val="center"/>
              <w:rPr>
                <w:sz w:val="21"/>
              </w:rPr>
            </w:pPr>
            <w:r>
              <w:rPr>
                <w:w w:val="99"/>
                <w:sz w:val="21"/>
              </w:rPr>
              <w:t>套</w:t>
            </w:r>
          </w:p>
        </w:tc>
        <w:tc>
          <w:tcPr>
            <w:tcW w:w="639" w:type="dxa"/>
          </w:tcPr>
          <w:p w14:paraId="3DF84607">
            <w:pPr>
              <w:pStyle w:val="14"/>
              <w:spacing w:before="152"/>
              <w:ind w:left="7"/>
              <w:jc w:val="center"/>
              <w:rPr>
                <w:rFonts w:ascii="Times New Roman"/>
                <w:sz w:val="21"/>
              </w:rPr>
            </w:pPr>
            <w:r>
              <w:rPr>
                <w:rFonts w:ascii="Times New Roman"/>
                <w:w w:val="99"/>
                <w:sz w:val="21"/>
              </w:rPr>
              <w:t>3</w:t>
            </w:r>
          </w:p>
        </w:tc>
        <w:tc>
          <w:tcPr>
            <w:tcW w:w="1686" w:type="dxa"/>
          </w:tcPr>
          <w:p w14:paraId="5368800E">
            <w:pPr>
              <w:pStyle w:val="14"/>
              <w:spacing w:before="135"/>
              <w:ind w:left="106"/>
              <w:rPr>
                <w:sz w:val="21"/>
              </w:rPr>
            </w:pPr>
            <w:r>
              <w:rPr>
                <w:sz w:val="21"/>
              </w:rPr>
              <w:t>收集管道配件</w:t>
            </w:r>
          </w:p>
        </w:tc>
      </w:tr>
      <w:tr w14:paraId="52E52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8" w:type="dxa"/>
          </w:tcPr>
          <w:p w14:paraId="2F316017">
            <w:pPr>
              <w:pStyle w:val="14"/>
              <w:spacing w:before="9"/>
              <w:rPr>
                <w:rFonts w:ascii="Times New Roman"/>
                <w:sz w:val="24"/>
              </w:rPr>
            </w:pPr>
          </w:p>
          <w:p w14:paraId="05BD84C3">
            <w:pPr>
              <w:pStyle w:val="14"/>
              <w:ind w:left="8"/>
              <w:jc w:val="center"/>
              <w:rPr>
                <w:rFonts w:ascii="Times New Roman"/>
                <w:sz w:val="21"/>
              </w:rPr>
            </w:pPr>
            <w:r>
              <w:rPr>
                <w:rFonts w:ascii="Times New Roman"/>
                <w:w w:val="99"/>
                <w:sz w:val="21"/>
              </w:rPr>
              <w:t>2</w:t>
            </w:r>
          </w:p>
        </w:tc>
        <w:tc>
          <w:tcPr>
            <w:tcW w:w="2007" w:type="dxa"/>
          </w:tcPr>
          <w:p w14:paraId="400335B7">
            <w:pPr>
              <w:pStyle w:val="14"/>
              <w:spacing w:before="7"/>
              <w:rPr>
                <w:rFonts w:ascii="Times New Roman"/>
                <w:sz w:val="23"/>
              </w:rPr>
            </w:pPr>
          </w:p>
          <w:p w14:paraId="16F2AC9A">
            <w:pPr>
              <w:pStyle w:val="14"/>
              <w:ind w:left="132" w:right="127"/>
              <w:jc w:val="center"/>
              <w:rPr>
                <w:sz w:val="21"/>
              </w:rPr>
            </w:pPr>
            <w:r>
              <w:rPr>
                <w:sz w:val="21"/>
              </w:rPr>
              <w:t>喷淋塔</w:t>
            </w:r>
          </w:p>
        </w:tc>
        <w:tc>
          <w:tcPr>
            <w:tcW w:w="1581" w:type="dxa"/>
          </w:tcPr>
          <w:p w14:paraId="6BA219A0">
            <w:pPr>
              <w:pStyle w:val="14"/>
              <w:spacing w:before="9"/>
              <w:rPr>
                <w:rFonts w:ascii="Times New Roman"/>
                <w:sz w:val="23"/>
              </w:rPr>
            </w:pPr>
          </w:p>
          <w:p w14:paraId="77A0B07D">
            <w:pPr>
              <w:pStyle w:val="14"/>
              <w:ind w:left="130" w:right="124"/>
              <w:jc w:val="center"/>
              <w:rPr>
                <w:rFonts w:ascii="Times New Roman" w:hAnsi="Times New Roman"/>
                <w:sz w:val="21"/>
              </w:rPr>
            </w:pPr>
            <w:r>
              <w:rPr>
                <w:rFonts w:ascii="Times New Roman" w:hAnsi="Times New Roman"/>
                <w:sz w:val="21"/>
              </w:rPr>
              <w:t>12000m</w:t>
            </w:r>
            <w:r>
              <w:rPr>
                <w:sz w:val="21"/>
              </w:rPr>
              <w:t>³</w:t>
            </w:r>
            <w:r>
              <w:rPr>
                <w:rFonts w:ascii="Times New Roman" w:hAnsi="Times New Roman"/>
                <w:sz w:val="21"/>
              </w:rPr>
              <w:t>/h</w:t>
            </w:r>
          </w:p>
        </w:tc>
        <w:tc>
          <w:tcPr>
            <w:tcW w:w="1333" w:type="dxa"/>
          </w:tcPr>
          <w:p w14:paraId="05FA45E8">
            <w:pPr>
              <w:pStyle w:val="14"/>
              <w:spacing w:before="9"/>
              <w:rPr>
                <w:rFonts w:ascii="Times New Roman"/>
                <w:sz w:val="24"/>
              </w:rPr>
            </w:pPr>
          </w:p>
          <w:p w14:paraId="5AA5CBF6">
            <w:pPr>
              <w:pStyle w:val="14"/>
              <w:ind w:left="117" w:right="112"/>
              <w:jc w:val="center"/>
              <w:rPr>
                <w:rFonts w:ascii="Times New Roman"/>
                <w:sz w:val="21"/>
              </w:rPr>
            </w:pPr>
            <w:r>
              <w:rPr>
                <w:rFonts w:ascii="Times New Roman"/>
                <w:sz w:val="21"/>
              </w:rPr>
              <w:t>PPS</w:t>
            </w:r>
          </w:p>
        </w:tc>
        <w:tc>
          <w:tcPr>
            <w:tcW w:w="638" w:type="dxa"/>
          </w:tcPr>
          <w:p w14:paraId="0BA6CA72">
            <w:pPr>
              <w:pStyle w:val="14"/>
              <w:spacing w:before="7"/>
              <w:rPr>
                <w:rFonts w:ascii="Times New Roman"/>
                <w:sz w:val="23"/>
              </w:rPr>
            </w:pPr>
          </w:p>
          <w:p w14:paraId="2126386E">
            <w:pPr>
              <w:pStyle w:val="14"/>
              <w:ind w:left="6"/>
              <w:jc w:val="center"/>
              <w:rPr>
                <w:sz w:val="21"/>
              </w:rPr>
            </w:pPr>
            <w:r>
              <w:rPr>
                <w:w w:val="99"/>
                <w:sz w:val="21"/>
              </w:rPr>
              <w:t>套</w:t>
            </w:r>
          </w:p>
        </w:tc>
        <w:tc>
          <w:tcPr>
            <w:tcW w:w="639" w:type="dxa"/>
          </w:tcPr>
          <w:p w14:paraId="714BC02F">
            <w:pPr>
              <w:pStyle w:val="14"/>
              <w:spacing w:before="9"/>
              <w:rPr>
                <w:rFonts w:ascii="Times New Roman"/>
                <w:sz w:val="24"/>
              </w:rPr>
            </w:pPr>
          </w:p>
          <w:p w14:paraId="17A18BDD">
            <w:pPr>
              <w:pStyle w:val="14"/>
              <w:ind w:left="7"/>
              <w:jc w:val="center"/>
              <w:rPr>
                <w:rFonts w:ascii="Times New Roman"/>
                <w:sz w:val="21"/>
              </w:rPr>
            </w:pPr>
            <w:r>
              <w:rPr>
                <w:rFonts w:ascii="Times New Roman"/>
                <w:w w:val="99"/>
                <w:sz w:val="21"/>
              </w:rPr>
              <w:t>3</w:t>
            </w:r>
          </w:p>
        </w:tc>
        <w:tc>
          <w:tcPr>
            <w:tcW w:w="1686" w:type="dxa"/>
          </w:tcPr>
          <w:p w14:paraId="3FAD0444">
            <w:pPr>
              <w:pStyle w:val="14"/>
              <w:spacing w:line="242" w:lineRule="auto"/>
              <w:ind w:left="106" w:right="98"/>
              <w:rPr>
                <w:sz w:val="21"/>
              </w:rPr>
            </w:pPr>
            <w:r>
              <w:rPr>
                <w:w w:val="95"/>
                <w:sz w:val="21"/>
              </w:rPr>
              <w:t>含内部填料、循环水箱，喷淋系</w:t>
            </w:r>
          </w:p>
          <w:p w14:paraId="49903C48">
            <w:pPr>
              <w:pStyle w:val="14"/>
              <w:spacing w:line="253" w:lineRule="exact"/>
              <w:ind w:left="106"/>
              <w:rPr>
                <w:sz w:val="21"/>
              </w:rPr>
            </w:pPr>
            <w:r>
              <w:rPr>
                <w:sz w:val="21"/>
              </w:rPr>
              <w:t>统及管件</w:t>
            </w:r>
          </w:p>
        </w:tc>
      </w:tr>
      <w:tr w14:paraId="79F94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7EC0C319">
            <w:pPr>
              <w:pStyle w:val="14"/>
              <w:spacing w:before="104"/>
              <w:ind w:left="8"/>
              <w:jc w:val="center"/>
              <w:rPr>
                <w:rFonts w:ascii="Times New Roman"/>
                <w:sz w:val="21"/>
              </w:rPr>
            </w:pPr>
            <w:r>
              <w:rPr>
                <w:rFonts w:ascii="Times New Roman"/>
                <w:w w:val="99"/>
                <w:sz w:val="21"/>
              </w:rPr>
              <w:t>3</w:t>
            </w:r>
          </w:p>
        </w:tc>
        <w:tc>
          <w:tcPr>
            <w:tcW w:w="2007" w:type="dxa"/>
          </w:tcPr>
          <w:p w14:paraId="19ACE3FB">
            <w:pPr>
              <w:pStyle w:val="14"/>
              <w:spacing w:before="90"/>
              <w:ind w:left="132" w:right="125"/>
              <w:jc w:val="center"/>
              <w:rPr>
                <w:sz w:val="21"/>
              </w:rPr>
            </w:pPr>
            <w:r>
              <w:rPr>
                <w:sz w:val="21"/>
              </w:rPr>
              <w:t>循环水泵</w:t>
            </w:r>
          </w:p>
        </w:tc>
        <w:tc>
          <w:tcPr>
            <w:tcW w:w="1581" w:type="dxa"/>
          </w:tcPr>
          <w:p w14:paraId="1105191B">
            <w:pPr>
              <w:pStyle w:val="14"/>
              <w:spacing w:before="104"/>
              <w:ind w:left="131" w:right="124"/>
              <w:jc w:val="center"/>
              <w:rPr>
                <w:rFonts w:ascii="Times New Roman"/>
                <w:sz w:val="21"/>
              </w:rPr>
            </w:pPr>
            <w:r>
              <w:rPr>
                <w:rFonts w:ascii="Times New Roman"/>
                <w:sz w:val="21"/>
              </w:rPr>
              <w:t>4kw</w:t>
            </w:r>
          </w:p>
        </w:tc>
        <w:tc>
          <w:tcPr>
            <w:tcW w:w="1333" w:type="dxa"/>
          </w:tcPr>
          <w:p w14:paraId="3AF730D6">
            <w:pPr>
              <w:pStyle w:val="14"/>
              <w:spacing w:before="90"/>
              <w:ind w:left="121" w:right="112"/>
              <w:jc w:val="center"/>
              <w:rPr>
                <w:sz w:val="21"/>
              </w:rPr>
            </w:pPr>
            <w:r>
              <w:rPr>
                <w:sz w:val="21"/>
              </w:rPr>
              <w:t>立式防腐泵</w:t>
            </w:r>
          </w:p>
        </w:tc>
        <w:tc>
          <w:tcPr>
            <w:tcW w:w="638" w:type="dxa"/>
          </w:tcPr>
          <w:p w14:paraId="3485C350">
            <w:pPr>
              <w:pStyle w:val="14"/>
              <w:spacing w:before="90"/>
              <w:ind w:left="6"/>
              <w:jc w:val="center"/>
              <w:rPr>
                <w:sz w:val="21"/>
              </w:rPr>
            </w:pPr>
            <w:r>
              <w:rPr>
                <w:w w:val="99"/>
                <w:sz w:val="21"/>
              </w:rPr>
              <w:t>台</w:t>
            </w:r>
          </w:p>
        </w:tc>
        <w:tc>
          <w:tcPr>
            <w:tcW w:w="639" w:type="dxa"/>
          </w:tcPr>
          <w:p w14:paraId="6367C8DE">
            <w:pPr>
              <w:pStyle w:val="14"/>
              <w:spacing w:before="104"/>
              <w:ind w:left="7"/>
              <w:jc w:val="center"/>
              <w:rPr>
                <w:rFonts w:ascii="Times New Roman"/>
                <w:sz w:val="21"/>
              </w:rPr>
            </w:pPr>
            <w:r>
              <w:rPr>
                <w:rFonts w:ascii="Times New Roman"/>
                <w:w w:val="99"/>
                <w:sz w:val="21"/>
              </w:rPr>
              <w:t>3</w:t>
            </w:r>
          </w:p>
        </w:tc>
        <w:tc>
          <w:tcPr>
            <w:tcW w:w="1686" w:type="dxa"/>
          </w:tcPr>
          <w:p w14:paraId="61E92302">
            <w:pPr>
              <w:pStyle w:val="14"/>
              <w:rPr>
                <w:rFonts w:ascii="Times New Roman"/>
                <w:sz w:val="20"/>
              </w:rPr>
            </w:pPr>
          </w:p>
        </w:tc>
      </w:tr>
      <w:tr w14:paraId="1DD59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8" w:type="dxa"/>
          </w:tcPr>
          <w:p w14:paraId="7D726675">
            <w:pPr>
              <w:pStyle w:val="14"/>
              <w:spacing w:before="9"/>
              <w:rPr>
                <w:rFonts w:ascii="Times New Roman"/>
                <w:sz w:val="24"/>
              </w:rPr>
            </w:pPr>
          </w:p>
          <w:p w14:paraId="0B3A33A1">
            <w:pPr>
              <w:pStyle w:val="14"/>
              <w:spacing w:before="1"/>
              <w:ind w:left="8"/>
              <w:jc w:val="center"/>
              <w:rPr>
                <w:rFonts w:ascii="Times New Roman"/>
                <w:sz w:val="21"/>
              </w:rPr>
            </w:pPr>
            <w:r>
              <w:rPr>
                <w:rFonts w:ascii="Times New Roman"/>
                <w:w w:val="99"/>
                <w:sz w:val="21"/>
              </w:rPr>
              <w:t>4</w:t>
            </w:r>
          </w:p>
        </w:tc>
        <w:tc>
          <w:tcPr>
            <w:tcW w:w="2007" w:type="dxa"/>
          </w:tcPr>
          <w:p w14:paraId="55E3D24C">
            <w:pPr>
              <w:pStyle w:val="14"/>
              <w:spacing w:before="7"/>
              <w:rPr>
                <w:rFonts w:ascii="Times New Roman"/>
                <w:sz w:val="23"/>
              </w:rPr>
            </w:pPr>
          </w:p>
          <w:p w14:paraId="5EA44816">
            <w:pPr>
              <w:pStyle w:val="14"/>
              <w:ind w:left="132" w:right="125"/>
              <w:jc w:val="center"/>
              <w:rPr>
                <w:sz w:val="21"/>
              </w:rPr>
            </w:pPr>
            <w:r>
              <w:rPr>
                <w:sz w:val="21"/>
              </w:rPr>
              <w:t>加药系统</w:t>
            </w:r>
          </w:p>
        </w:tc>
        <w:tc>
          <w:tcPr>
            <w:tcW w:w="1581" w:type="dxa"/>
          </w:tcPr>
          <w:p w14:paraId="2CA7D64F">
            <w:pPr>
              <w:pStyle w:val="14"/>
              <w:spacing w:before="1"/>
              <w:ind w:left="155"/>
              <w:rPr>
                <w:rFonts w:ascii="Times New Roman" w:hAnsi="Times New Roman" w:eastAsia="Times New Roman"/>
                <w:sz w:val="21"/>
              </w:rPr>
            </w:pPr>
            <w:r>
              <w:rPr>
                <w:sz w:val="21"/>
              </w:rPr>
              <w:t xml:space="preserve">加药桶 </w:t>
            </w:r>
            <w:r>
              <w:rPr>
                <w:rFonts w:ascii="Times New Roman" w:hAnsi="Times New Roman" w:eastAsia="Times New Roman"/>
                <w:sz w:val="21"/>
              </w:rPr>
              <w:t>0.8m</w:t>
            </w:r>
            <w:r>
              <w:rPr>
                <w:sz w:val="21"/>
              </w:rPr>
              <w:t>³</w:t>
            </w:r>
            <w:r>
              <w:rPr>
                <w:rFonts w:ascii="Times New Roman" w:hAnsi="Times New Roman" w:eastAsia="Times New Roman"/>
                <w:sz w:val="21"/>
              </w:rPr>
              <w:t>,</w:t>
            </w:r>
          </w:p>
          <w:p w14:paraId="56531357">
            <w:pPr>
              <w:pStyle w:val="14"/>
              <w:spacing w:before="1" w:line="270" w:lineRule="atLeast"/>
              <w:ind w:left="580" w:right="150" w:hanging="420"/>
              <w:rPr>
                <w:sz w:val="21"/>
              </w:rPr>
            </w:pPr>
            <w:r>
              <w:rPr>
                <w:w w:val="95"/>
                <w:sz w:val="21"/>
              </w:rPr>
              <w:t>含搅拌机、计</w:t>
            </w:r>
            <w:r>
              <w:rPr>
                <w:sz w:val="21"/>
              </w:rPr>
              <w:t>量泵</w:t>
            </w:r>
          </w:p>
        </w:tc>
        <w:tc>
          <w:tcPr>
            <w:tcW w:w="1333" w:type="dxa"/>
          </w:tcPr>
          <w:p w14:paraId="12171A98">
            <w:pPr>
              <w:pStyle w:val="14"/>
              <w:spacing w:before="9"/>
              <w:rPr>
                <w:rFonts w:ascii="Times New Roman"/>
                <w:sz w:val="24"/>
              </w:rPr>
            </w:pPr>
          </w:p>
          <w:p w14:paraId="0050065A">
            <w:pPr>
              <w:pStyle w:val="14"/>
              <w:spacing w:before="1"/>
              <w:ind w:left="117" w:right="112"/>
              <w:jc w:val="center"/>
              <w:rPr>
                <w:rFonts w:ascii="Times New Roman"/>
                <w:sz w:val="21"/>
              </w:rPr>
            </w:pPr>
            <w:r>
              <w:rPr>
                <w:rFonts w:ascii="Times New Roman"/>
                <w:sz w:val="21"/>
              </w:rPr>
              <w:t>PE</w:t>
            </w:r>
          </w:p>
        </w:tc>
        <w:tc>
          <w:tcPr>
            <w:tcW w:w="638" w:type="dxa"/>
          </w:tcPr>
          <w:p w14:paraId="12BFE65C">
            <w:pPr>
              <w:pStyle w:val="14"/>
              <w:spacing w:before="7"/>
              <w:rPr>
                <w:rFonts w:ascii="Times New Roman"/>
                <w:sz w:val="23"/>
              </w:rPr>
            </w:pPr>
          </w:p>
          <w:p w14:paraId="15CDCC23">
            <w:pPr>
              <w:pStyle w:val="14"/>
              <w:ind w:left="6"/>
              <w:jc w:val="center"/>
              <w:rPr>
                <w:sz w:val="21"/>
              </w:rPr>
            </w:pPr>
            <w:r>
              <w:rPr>
                <w:w w:val="99"/>
                <w:sz w:val="21"/>
              </w:rPr>
              <w:t>套</w:t>
            </w:r>
          </w:p>
        </w:tc>
        <w:tc>
          <w:tcPr>
            <w:tcW w:w="639" w:type="dxa"/>
          </w:tcPr>
          <w:p w14:paraId="14836FD6">
            <w:pPr>
              <w:pStyle w:val="14"/>
              <w:spacing w:before="9"/>
              <w:rPr>
                <w:rFonts w:ascii="Times New Roman"/>
                <w:sz w:val="24"/>
              </w:rPr>
            </w:pPr>
          </w:p>
          <w:p w14:paraId="42A26B75">
            <w:pPr>
              <w:pStyle w:val="14"/>
              <w:spacing w:before="1"/>
              <w:ind w:left="7"/>
              <w:jc w:val="center"/>
              <w:rPr>
                <w:rFonts w:ascii="Times New Roman"/>
                <w:sz w:val="21"/>
              </w:rPr>
            </w:pPr>
            <w:r>
              <w:rPr>
                <w:rFonts w:ascii="Times New Roman"/>
                <w:w w:val="99"/>
                <w:sz w:val="21"/>
              </w:rPr>
              <w:t>3</w:t>
            </w:r>
          </w:p>
        </w:tc>
        <w:tc>
          <w:tcPr>
            <w:tcW w:w="1686" w:type="dxa"/>
          </w:tcPr>
          <w:p w14:paraId="2C36501B">
            <w:pPr>
              <w:pStyle w:val="14"/>
              <w:rPr>
                <w:rFonts w:ascii="Times New Roman"/>
                <w:sz w:val="20"/>
              </w:rPr>
            </w:pPr>
          </w:p>
        </w:tc>
      </w:tr>
      <w:tr w14:paraId="05890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B123177">
            <w:pPr>
              <w:pStyle w:val="14"/>
              <w:spacing w:before="104"/>
              <w:ind w:left="8"/>
              <w:jc w:val="center"/>
              <w:rPr>
                <w:rFonts w:ascii="Times New Roman"/>
                <w:sz w:val="21"/>
              </w:rPr>
            </w:pPr>
            <w:r>
              <w:rPr>
                <w:rFonts w:ascii="Times New Roman"/>
                <w:w w:val="99"/>
                <w:sz w:val="21"/>
              </w:rPr>
              <w:t>5</w:t>
            </w:r>
          </w:p>
        </w:tc>
        <w:tc>
          <w:tcPr>
            <w:tcW w:w="2007" w:type="dxa"/>
          </w:tcPr>
          <w:p w14:paraId="4CF78338">
            <w:pPr>
              <w:pStyle w:val="14"/>
              <w:spacing w:before="90"/>
              <w:ind w:left="132" w:right="125"/>
              <w:jc w:val="center"/>
              <w:rPr>
                <w:sz w:val="21"/>
              </w:rPr>
            </w:pPr>
            <w:r>
              <w:rPr>
                <w:sz w:val="21"/>
              </w:rPr>
              <w:t>生物除臭箱</w:t>
            </w:r>
          </w:p>
        </w:tc>
        <w:tc>
          <w:tcPr>
            <w:tcW w:w="1581" w:type="dxa"/>
          </w:tcPr>
          <w:p w14:paraId="46C1D61F">
            <w:pPr>
              <w:pStyle w:val="14"/>
              <w:spacing w:before="90"/>
              <w:ind w:left="131" w:right="124"/>
              <w:jc w:val="center"/>
              <w:rPr>
                <w:sz w:val="21"/>
              </w:rPr>
            </w:pPr>
            <w:r>
              <w:rPr>
                <w:sz w:val="21"/>
              </w:rPr>
              <w:t>定制</w:t>
            </w:r>
          </w:p>
        </w:tc>
        <w:tc>
          <w:tcPr>
            <w:tcW w:w="1333" w:type="dxa"/>
          </w:tcPr>
          <w:p w14:paraId="1D4809ED">
            <w:pPr>
              <w:pStyle w:val="14"/>
              <w:spacing w:before="90"/>
              <w:ind w:left="119" w:right="112"/>
              <w:jc w:val="center"/>
              <w:rPr>
                <w:sz w:val="21"/>
              </w:rPr>
            </w:pPr>
            <w:r>
              <w:rPr>
                <w:sz w:val="21"/>
              </w:rPr>
              <w:t>铝板</w:t>
            </w:r>
          </w:p>
        </w:tc>
        <w:tc>
          <w:tcPr>
            <w:tcW w:w="638" w:type="dxa"/>
          </w:tcPr>
          <w:p w14:paraId="36563344">
            <w:pPr>
              <w:pStyle w:val="14"/>
              <w:spacing w:before="90"/>
              <w:ind w:left="6"/>
              <w:jc w:val="center"/>
              <w:rPr>
                <w:sz w:val="21"/>
              </w:rPr>
            </w:pPr>
            <w:r>
              <w:rPr>
                <w:w w:val="99"/>
                <w:sz w:val="21"/>
              </w:rPr>
              <w:t>套</w:t>
            </w:r>
          </w:p>
        </w:tc>
        <w:tc>
          <w:tcPr>
            <w:tcW w:w="639" w:type="dxa"/>
          </w:tcPr>
          <w:p w14:paraId="0C99E5B6">
            <w:pPr>
              <w:pStyle w:val="14"/>
              <w:spacing w:before="104"/>
              <w:ind w:left="7"/>
              <w:jc w:val="center"/>
              <w:rPr>
                <w:rFonts w:ascii="Times New Roman"/>
                <w:sz w:val="21"/>
              </w:rPr>
            </w:pPr>
            <w:r>
              <w:rPr>
                <w:rFonts w:ascii="Times New Roman"/>
                <w:w w:val="99"/>
                <w:sz w:val="21"/>
              </w:rPr>
              <w:t>3</w:t>
            </w:r>
          </w:p>
        </w:tc>
        <w:tc>
          <w:tcPr>
            <w:tcW w:w="1686" w:type="dxa"/>
          </w:tcPr>
          <w:p w14:paraId="07168956">
            <w:pPr>
              <w:pStyle w:val="14"/>
              <w:rPr>
                <w:rFonts w:ascii="Times New Roman"/>
                <w:sz w:val="20"/>
              </w:rPr>
            </w:pPr>
          </w:p>
        </w:tc>
      </w:tr>
      <w:tr w14:paraId="37233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51140E04">
            <w:pPr>
              <w:pStyle w:val="14"/>
              <w:spacing w:before="106"/>
              <w:ind w:left="8"/>
              <w:jc w:val="center"/>
              <w:rPr>
                <w:rFonts w:ascii="Times New Roman"/>
                <w:sz w:val="21"/>
              </w:rPr>
            </w:pPr>
            <w:r>
              <w:rPr>
                <w:rFonts w:ascii="Times New Roman"/>
                <w:w w:val="99"/>
                <w:sz w:val="21"/>
              </w:rPr>
              <w:t>7</w:t>
            </w:r>
          </w:p>
        </w:tc>
        <w:tc>
          <w:tcPr>
            <w:tcW w:w="2007" w:type="dxa"/>
          </w:tcPr>
          <w:p w14:paraId="2A1F4955">
            <w:pPr>
              <w:pStyle w:val="14"/>
              <w:spacing w:before="90"/>
              <w:ind w:left="132" w:right="125"/>
              <w:jc w:val="center"/>
              <w:rPr>
                <w:sz w:val="21"/>
              </w:rPr>
            </w:pPr>
            <w:r>
              <w:rPr>
                <w:sz w:val="21"/>
              </w:rPr>
              <w:t>除臭风机</w:t>
            </w:r>
          </w:p>
        </w:tc>
        <w:tc>
          <w:tcPr>
            <w:tcW w:w="1581" w:type="dxa"/>
          </w:tcPr>
          <w:p w14:paraId="6F209648">
            <w:pPr>
              <w:pStyle w:val="14"/>
              <w:spacing w:before="106"/>
              <w:ind w:left="132" w:right="124"/>
              <w:jc w:val="center"/>
              <w:rPr>
                <w:rFonts w:ascii="Times New Roman" w:hAnsi="Times New Roman"/>
                <w:sz w:val="21"/>
              </w:rPr>
            </w:pPr>
            <w:r>
              <w:rPr>
                <w:rFonts w:ascii="Times New Roman" w:hAnsi="Times New Roman"/>
                <w:sz w:val="21"/>
              </w:rPr>
              <w:t>Q=12000m³/h</w:t>
            </w:r>
          </w:p>
        </w:tc>
        <w:tc>
          <w:tcPr>
            <w:tcW w:w="1333" w:type="dxa"/>
          </w:tcPr>
          <w:p w14:paraId="3517938C">
            <w:pPr>
              <w:pStyle w:val="14"/>
              <w:spacing w:before="90"/>
              <w:ind w:left="119" w:right="112"/>
              <w:jc w:val="center"/>
              <w:rPr>
                <w:sz w:val="21"/>
              </w:rPr>
            </w:pPr>
            <w:r>
              <w:rPr>
                <w:sz w:val="21"/>
              </w:rPr>
              <w:t>玻璃钢</w:t>
            </w:r>
          </w:p>
        </w:tc>
        <w:tc>
          <w:tcPr>
            <w:tcW w:w="638" w:type="dxa"/>
          </w:tcPr>
          <w:p w14:paraId="556992CD">
            <w:pPr>
              <w:pStyle w:val="14"/>
              <w:spacing w:before="90"/>
              <w:ind w:left="6"/>
              <w:jc w:val="center"/>
              <w:rPr>
                <w:sz w:val="21"/>
              </w:rPr>
            </w:pPr>
            <w:r>
              <w:rPr>
                <w:w w:val="99"/>
                <w:sz w:val="21"/>
              </w:rPr>
              <w:t>台</w:t>
            </w:r>
          </w:p>
        </w:tc>
        <w:tc>
          <w:tcPr>
            <w:tcW w:w="639" w:type="dxa"/>
          </w:tcPr>
          <w:p w14:paraId="618353EF">
            <w:pPr>
              <w:pStyle w:val="14"/>
              <w:spacing w:before="106"/>
              <w:ind w:left="7"/>
              <w:jc w:val="center"/>
              <w:rPr>
                <w:rFonts w:ascii="Times New Roman"/>
                <w:sz w:val="21"/>
              </w:rPr>
            </w:pPr>
            <w:r>
              <w:rPr>
                <w:rFonts w:ascii="Times New Roman"/>
                <w:w w:val="99"/>
                <w:sz w:val="21"/>
              </w:rPr>
              <w:t>3</w:t>
            </w:r>
          </w:p>
        </w:tc>
        <w:tc>
          <w:tcPr>
            <w:tcW w:w="1686" w:type="dxa"/>
          </w:tcPr>
          <w:p w14:paraId="04ADE312">
            <w:pPr>
              <w:pStyle w:val="14"/>
              <w:spacing w:before="90"/>
              <w:ind w:left="106"/>
              <w:rPr>
                <w:sz w:val="21"/>
              </w:rPr>
            </w:pPr>
            <w:r>
              <w:rPr>
                <w:sz w:val="21"/>
              </w:rPr>
              <w:t>变频电机</w:t>
            </w:r>
          </w:p>
        </w:tc>
      </w:tr>
      <w:tr w14:paraId="4C1EF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38" w:type="dxa"/>
          </w:tcPr>
          <w:p w14:paraId="251BD479">
            <w:pPr>
              <w:pStyle w:val="14"/>
              <w:spacing w:before="9"/>
              <w:rPr>
                <w:rFonts w:ascii="Times New Roman"/>
                <w:sz w:val="24"/>
              </w:rPr>
            </w:pPr>
          </w:p>
          <w:p w14:paraId="019A60CB">
            <w:pPr>
              <w:pStyle w:val="14"/>
              <w:ind w:left="8"/>
              <w:jc w:val="center"/>
              <w:rPr>
                <w:rFonts w:ascii="Times New Roman"/>
                <w:sz w:val="21"/>
              </w:rPr>
            </w:pPr>
            <w:r>
              <w:rPr>
                <w:rFonts w:ascii="Times New Roman"/>
                <w:w w:val="99"/>
                <w:sz w:val="21"/>
              </w:rPr>
              <w:t>8</w:t>
            </w:r>
          </w:p>
        </w:tc>
        <w:tc>
          <w:tcPr>
            <w:tcW w:w="2007" w:type="dxa"/>
          </w:tcPr>
          <w:p w14:paraId="318D73F0">
            <w:pPr>
              <w:pStyle w:val="14"/>
              <w:spacing w:before="6"/>
              <w:rPr>
                <w:rFonts w:ascii="Times New Roman"/>
                <w:sz w:val="23"/>
              </w:rPr>
            </w:pPr>
          </w:p>
          <w:p w14:paraId="5A77E543">
            <w:pPr>
              <w:pStyle w:val="14"/>
              <w:spacing w:before="1"/>
              <w:ind w:left="132" w:right="127"/>
              <w:jc w:val="center"/>
              <w:rPr>
                <w:sz w:val="21"/>
              </w:rPr>
            </w:pPr>
            <w:r>
              <w:rPr>
                <w:sz w:val="21"/>
              </w:rPr>
              <w:t>排气筒</w:t>
            </w:r>
          </w:p>
        </w:tc>
        <w:tc>
          <w:tcPr>
            <w:tcW w:w="1581" w:type="dxa"/>
          </w:tcPr>
          <w:p w14:paraId="6920B9AA">
            <w:pPr>
              <w:pStyle w:val="14"/>
              <w:spacing w:before="9"/>
              <w:rPr>
                <w:rFonts w:ascii="Times New Roman"/>
                <w:sz w:val="23"/>
              </w:rPr>
            </w:pPr>
          </w:p>
          <w:p w14:paraId="291DFC20">
            <w:pPr>
              <w:pStyle w:val="14"/>
              <w:ind w:left="134" w:right="124"/>
              <w:jc w:val="center"/>
              <w:rPr>
                <w:sz w:val="21"/>
              </w:rPr>
            </w:pPr>
            <w:r>
              <w:rPr>
                <w:rFonts w:ascii="Times New Roman" w:eastAsia="Times New Roman"/>
                <w:sz w:val="21"/>
              </w:rPr>
              <w:t>DN650mm</w:t>
            </w:r>
            <w:r>
              <w:rPr>
                <w:sz w:val="21"/>
              </w:rPr>
              <w:t>，</w:t>
            </w:r>
          </w:p>
        </w:tc>
        <w:tc>
          <w:tcPr>
            <w:tcW w:w="1333" w:type="dxa"/>
          </w:tcPr>
          <w:p w14:paraId="65E36508">
            <w:pPr>
              <w:pStyle w:val="14"/>
              <w:spacing w:before="9"/>
              <w:rPr>
                <w:rFonts w:ascii="Times New Roman"/>
                <w:sz w:val="24"/>
              </w:rPr>
            </w:pPr>
          </w:p>
          <w:p w14:paraId="292DBBB1">
            <w:pPr>
              <w:pStyle w:val="14"/>
              <w:ind w:left="121" w:right="111"/>
              <w:jc w:val="center"/>
              <w:rPr>
                <w:rFonts w:ascii="Times New Roman"/>
                <w:sz w:val="21"/>
              </w:rPr>
            </w:pPr>
            <w:r>
              <w:rPr>
                <w:rFonts w:ascii="Times New Roman"/>
                <w:sz w:val="21"/>
              </w:rPr>
              <w:t>pp</w:t>
            </w:r>
          </w:p>
        </w:tc>
        <w:tc>
          <w:tcPr>
            <w:tcW w:w="638" w:type="dxa"/>
          </w:tcPr>
          <w:p w14:paraId="408EC73D">
            <w:pPr>
              <w:pStyle w:val="14"/>
              <w:spacing w:before="6"/>
              <w:rPr>
                <w:rFonts w:ascii="Times New Roman"/>
                <w:sz w:val="23"/>
              </w:rPr>
            </w:pPr>
          </w:p>
          <w:p w14:paraId="44FAE34F">
            <w:pPr>
              <w:pStyle w:val="14"/>
              <w:spacing w:before="1"/>
              <w:ind w:left="6"/>
              <w:jc w:val="center"/>
              <w:rPr>
                <w:sz w:val="21"/>
              </w:rPr>
            </w:pPr>
            <w:r>
              <w:rPr>
                <w:w w:val="99"/>
                <w:sz w:val="21"/>
              </w:rPr>
              <w:t>套</w:t>
            </w:r>
          </w:p>
        </w:tc>
        <w:tc>
          <w:tcPr>
            <w:tcW w:w="639" w:type="dxa"/>
          </w:tcPr>
          <w:p w14:paraId="6ABB90A2">
            <w:pPr>
              <w:pStyle w:val="14"/>
              <w:spacing w:before="9"/>
              <w:rPr>
                <w:rFonts w:ascii="Times New Roman"/>
                <w:sz w:val="24"/>
              </w:rPr>
            </w:pPr>
          </w:p>
          <w:p w14:paraId="388413CC">
            <w:pPr>
              <w:pStyle w:val="14"/>
              <w:ind w:left="7"/>
              <w:jc w:val="center"/>
              <w:rPr>
                <w:rFonts w:ascii="Times New Roman"/>
                <w:sz w:val="21"/>
              </w:rPr>
            </w:pPr>
            <w:r>
              <w:rPr>
                <w:rFonts w:ascii="Times New Roman"/>
                <w:w w:val="99"/>
                <w:sz w:val="21"/>
              </w:rPr>
              <w:t>2</w:t>
            </w:r>
          </w:p>
        </w:tc>
        <w:tc>
          <w:tcPr>
            <w:tcW w:w="1686" w:type="dxa"/>
          </w:tcPr>
          <w:p w14:paraId="4A048C75">
            <w:pPr>
              <w:pStyle w:val="14"/>
              <w:spacing w:line="242" w:lineRule="auto"/>
              <w:ind w:left="106" w:right="98"/>
              <w:rPr>
                <w:sz w:val="21"/>
              </w:rPr>
            </w:pPr>
            <w:r>
              <w:rPr>
                <w:w w:val="95"/>
                <w:sz w:val="21"/>
              </w:rPr>
              <w:t xml:space="preserve">含钢支架护笼， </w:t>
            </w:r>
            <w:r>
              <w:rPr>
                <w:sz w:val="21"/>
              </w:rPr>
              <w:t>风帽，检测平</w:t>
            </w:r>
          </w:p>
          <w:p w14:paraId="24724A91">
            <w:pPr>
              <w:pStyle w:val="14"/>
              <w:spacing w:before="1" w:line="252" w:lineRule="exact"/>
              <w:ind w:left="106"/>
              <w:rPr>
                <w:sz w:val="21"/>
              </w:rPr>
            </w:pPr>
            <w:r>
              <w:rPr>
                <w:sz w:val="21"/>
              </w:rPr>
              <w:t>台，爬梯</w:t>
            </w:r>
          </w:p>
        </w:tc>
      </w:tr>
      <w:tr w14:paraId="12727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38" w:type="dxa"/>
          </w:tcPr>
          <w:p w14:paraId="13E12A3B">
            <w:pPr>
              <w:pStyle w:val="14"/>
              <w:spacing w:before="10"/>
              <w:rPr>
                <w:rFonts w:ascii="Times New Roman"/>
                <w:sz w:val="24"/>
              </w:rPr>
            </w:pPr>
          </w:p>
          <w:p w14:paraId="3AC19DE1">
            <w:pPr>
              <w:pStyle w:val="14"/>
              <w:ind w:left="8"/>
              <w:jc w:val="center"/>
              <w:rPr>
                <w:rFonts w:ascii="Times New Roman"/>
                <w:sz w:val="21"/>
              </w:rPr>
            </w:pPr>
            <w:r>
              <w:rPr>
                <w:rFonts w:ascii="Times New Roman"/>
                <w:w w:val="99"/>
                <w:sz w:val="21"/>
              </w:rPr>
              <w:t>9</w:t>
            </w:r>
          </w:p>
        </w:tc>
        <w:tc>
          <w:tcPr>
            <w:tcW w:w="2007" w:type="dxa"/>
          </w:tcPr>
          <w:p w14:paraId="10F9C588">
            <w:pPr>
              <w:pStyle w:val="14"/>
              <w:spacing w:before="7"/>
              <w:rPr>
                <w:rFonts w:ascii="Times New Roman"/>
                <w:sz w:val="23"/>
              </w:rPr>
            </w:pPr>
          </w:p>
          <w:p w14:paraId="11AF3FC7">
            <w:pPr>
              <w:pStyle w:val="14"/>
              <w:spacing w:before="1"/>
              <w:ind w:left="132" w:right="125"/>
              <w:jc w:val="center"/>
              <w:rPr>
                <w:sz w:val="21"/>
              </w:rPr>
            </w:pPr>
            <w:r>
              <w:rPr>
                <w:sz w:val="21"/>
              </w:rPr>
              <w:t>电气控制</w:t>
            </w:r>
          </w:p>
        </w:tc>
        <w:tc>
          <w:tcPr>
            <w:tcW w:w="1581" w:type="dxa"/>
          </w:tcPr>
          <w:p w14:paraId="06E07628">
            <w:pPr>
              <w:pStyle w:val="14"/>
              <w:spacing w:before="1" w:line="242" w:lineRule="auto"/>
              <w:ind w:left="160" w:right="150"/>
              <w:jc w:val="center"/>
              <w:rPr>
                <w:sz w:val="21"/>
              </w:rPr>
            </w:pPr>
            <w:r>
              <w:rPr>
                <w:w w:val="95"/>
                <w:sz w:val="21"/>
              </w:rPr>
              <w:t>施耐德电气元件，国产变频</w:t>
            </w:r>
          </w:p>
          <w:p w14:paraId="09FDADC4">
            <w:pPr>
              <w:pStyle w:val="14"/>
              <w:spacing w:line="252" w:lineRule="exact"/>
              <w:ind w:left="5"/>
              <w:jc w:val="center"/>
              <w:rPr>
                <w:sz w:val="21"/>
              </w:rPr>
            </w:pPr>
            <w:r>
              <w:rPr>
                <w:w w:val="99"/>
                <w:sz w:val="21"/>
              </w:rPr>
              <w:t>器</w:t>
            </w:r>
          </w:p>
        </w:tc>
        <w:tc>
          <w:tcPr>
            <w:tcW w:w="1333" w:type="dxa"/>
          </w:tcPr>
          <w:p w14:paraId="70F0B02A">
            <w:pPr>
              <w:pStyle w:val="14"/>
              <w:rPr>
                <w:rFonts w:ascii="Times New Roman"/>
                <w:sz w:val="20"/>
              </w:rPr>
            </w:pPr>
          </w:p>
        </w:tc>
        <w:tc>
          <w:tcPr>
            <w:tcW w:w="638" w:type="dxa"/>
          </w:tcPr>
          <w:p w14:paraId="65BE39FF">
            <w:pPr>
              <w:pStyle w:val="14"/>
              <w:spacing w:before="7"/>
              <w:rPr>
                <w:rFonts w:ascii="Times New Roman"/>
                <w:sz w:val="23"/>
              </w:rPr>
            </w:pPr>
          </w:p>
          <w:p w14:paraId="38A3EEFE">
            <w:pPr>
              <w:pStyle w:val="14"/>
              <w:spacing w:before="1"/>
              <w:ind w:left="6"/>
              <w:jc w:val="center"/>
              <w:rPr>
                <w:sz w:val="21"/>
              </w:rPr>
            </w:pPr>
            <w:r>
              <w:rPr>
                <w:w w:val="99"/>
                <w:sz w:val="21"/>
              </w:rPr>
              <w:t>套</w:t>
            </w:r>
          </w:p>
        </w:tc>
        <w:tc>
          <w:tcPr>
            <w:tcW w:w="639" w:type="dxa"/>
          </w:tcPr>
          <w:p w14:paraId="6FFD5F46">
            <w:pPr>
              <w:pStyle w:val="14"/>
              <w:spacing w:before="10"/>
              <w:rPr>
                <w:rFonts w:ascii="Times New Roman"/>
                <w:sz w:val="24"/>
              </w:rPr>
            </w:pPr>
          </w:p>
          <w:p w14:paraId="68676DB8">
            <w:pPr>
              <w:pStyle w:val="14"/>
              <w:ind w:left="7"/>
              <w:jc w:val="center"/>
              <w:rPr>
                <w:rFonts w:ascii="Times New Roman"/>
                <w:sz w:val="21"/>
              </w:rPr>
            </w:pPr>
            <w:r>
              <w:rPr>
                <w:rFonts w:ascii="Times New Roman"/>
                <w:w w:val="99"/>
                <w:sz w:val="21"/>
              </w:rPr>
              <w:t>2</w:t>
            </w:r>
          </w:p>
        </w:tc>
        <w:tc>
          <w:tcPr>
            <w:tcW w:w="1686" w:type="dxa"/>
          </w:tcPr>
          <w:p w14:paraId="1A2C7A15">
            <w:pPr>
              <w:pStyle w:val="14"/>
              <w:rPr>
                <w:rFonts w:ascii="Times New Roman"/>
                <w:sz w:val="20"/>
              </w:rPr>
            </w:pPr>
          </w:p>
        </w:tc>
      </w:tr>
      <w:tr w14:paraId="6A9FF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729DE216">
            <w:pPr>
              <w:pStyle w:val="14"/>
              <w:spacing w:before="105"/>
              <w:ind w:left="86" w:right="78"/>
              <w:jc w:val="center"/>
              <w:rPr>
                <w:rFonts w:ascii="Times New Roman"/>
                <w:sz w:val="21"/>
              </w:rPr>
            </w:pPr>
            <w:r>
              <w:rPr>
                <w:rFonts w:ascii="Times New Roman"/>
                <w:sz w:val="21"/>
              </w:rPr>
              <w:t>10</w:t>
            </w:r>
          </w:p>
        </w:tc>
        <w:tc>
          <w:tcPr>
            <w:tcW w:w="2007" w:type="dxa"/>
          </w:tcPr>
          <w:p w14:paraId="12658415">
            <w:pPr>
              <w:pStyle w:val="14"/>
              <w:spacing w:before="91"/>
              <w:ind w:left="132" w:right="125"/>
              <w:jc w:val="center"/>
              <w:rPr>
                <w:sz w:val="21"/>
              </w:rPr>
            </w:pPr>
            <w:r>
              <w:rPr>
                <w:sz w:val="21"/>
              </w:rPr>
              <w:t>智能高压雾化系统</w:t>
            </w:r>
          </w:p>
        </w:tc>
        <w:tc>
          <w:tcPr>
            <w:tcW w:w="1581" w:type="dxa"/>
          </w:tcPr>
          <w:p w14:paraId="01073E7C">
            <w:pPr>
              <w:pStyle w:val="14"/>
              <w:rPr>
                <w:rFonts w:ascii="Times New Roman"/>
                <w:sz w:val="20"/>
              </w:rPr>
            </w:pPr>
          </w:p>
        </w:tc>
        <w:tc>
          <w:tcPr>
            <w:tcW w:w="1333" w:type="dxa"/>
          </w:tcPr>
          <w:p w14:paraId="713DBF17">
            <w:pPr>
              <w:pStyle w:val="14"/>
              <w:rPr>
                <w:rFonts w:ascii="Times New Roman"/>
                <w:sz w:val="20"/>
              </w:rPr>
            </w:pPr>
          </w:p>
        </w:tc>
        <w:tc>
          <w:tcPr>
            <w:tcW w:w="638" w:type="dxa"/>
          </w:tcPr>
          <w:p w14:paraId="2C059DC9">
            <w:pPr>
              <w:pStyle w:val="14"/>
              <w:spacing w:before="91"/>
              <w:ind w:left="6"/>
              <w:jc w:val="center"/>
              <w:rPr>
                <w:sz w:val="21"/>
              </w:rPr>
            </w:pPr>
            <w:r>
              <w:rPr>
                <w:w w:val="99"/>
                <w:sz w:val="21"/>
              </w:rPr>
              <w:t>台</w:t>
            </w:r>
          </w:p>
        </w:tc>
        <w:tc>
          <w:tcPr>
            <w:tcW w:w="639" w:type="dxa"/>
          </w:tcPr>
          <w:p w14:paraId="017C669E">
            <w:pPr>
              <w:pStyle w:val="14"/>
              <w:spacing w:before="105"/>
              <w:ind w:left="7"/>
              <w:jc w:val="center"/>
              <w:rPr>
                <w:rFonts w:ascii="Times New Roman"/>
                <w:sz w:val="21"/>
              </w:rPr>
            </w:pPr>
            <w:r>
              <w:rPr>
                <w:rFonts w:ascii="Times New Roman"/>
                <w:w w:val="99"/>
                <w:sz w:val="21"/>
              </w:rPr>
              <w:t>1</w:t>
            </w:r>
          </w:p>
        </w:tc>
        <w:tc>
          <w:tcPr>
            <w:tcW w:w="1686" w:type="dxa"/>
          </w:tcPr>
          <w:p w14:paraId="04306F5F">
            <w:pPr>
              <w:pStyle w:val="14"/>
              <w:spacing w:before="91"/>
              <w:ind w:left="106"/>
              <w:rPr>
                <w:sz w:val="21"/>
              </w:rPr>
            </w:pPr>
            <w:r>
              <w:rPr>
                <w:sz w:val="21"/>
              </w:rPr>
              <w:t xml:space="preserve">泵 </w:t>
            </w:r>
            <w:r>
              <w:rPr>
                <w:rFonts w:ascii="Times New Roman" w:eastAsia="Times New Roman"/>
                <w:sz w:val="21"/>
              </w:rPr>
              <w:t xml:space="preserve">2 </w:t>
            </w:r>
            <w:r>
              <w:rPr>
                <w:sz w:val="21"/>
              </w:rPr>
              <w:t>台一用一备</w:t>
            </w:r>
          </w:p>
        </w:tc>
      </w:tr>
      <w:tr w14:paraId="31586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03D2889A">
            <w:pPr>
              <w:pStyle w:val="14"/>
              <w:spacing w:before="104"/>
              <w:ind w:left="86" w:right="78"/>
              <w:jc w:val="center"/>
              <w:rPr>
                <w:rFonts w:ascii="Times New Roman"/>
                <w:sz w:val="21"/>
              </w:rPr>
            </w:pPr>
            <w:r>
              <w:rPr>
                <w:rFonts w:ascii="Times New Roman"/>
                <w:sz w:val="21"/>
              </w:rPr>
              <w:t>11</w:t>
            </w:r>
          </w:p>
        </w:tc>
        <w:tc>
          <w:tcPr>
            <w:tcW w:w="2007" w:type="dxa"/>
          </w:tcPr>
          <w:p w14:paraId="025FF7C0">
            <w:pPr>
              <w:pStyle w:val="14"/>
              <w:spacing w:before="90"/>
              <w:ind w:left="132" w:right="127"/>
              <w:jc w:val="center"/>
              <w:rPr>
                <w:sz w:val="21"/>
              </w:rPr>
            </w:pPr>
            <w:r>
              <w:rPr>
                <w:sz w:val="21"/>
              </w:rPr>
              <w:t>储液桶</w:t>
            </w:r>
          </w:p>
        </w:tc>
        <w:tc>
          <w:tcPr>
            <w:tcW w:w="1581" w:type="dxa"/>
          </w:tcPr>
          <w:p w14:paraId="17E3C34F">
            <w:pPr>
              <w:pStyle w:val="14"/>
              <w:rPr>
                <w:rFonts w:ascii="Times New Roman"/>
                <w:sz w:val="20"/>
              </w:rPr>
            </w:pPr>
          </w:p>
        </w:tc>
        <w:tc>
          <w:tcPr>
            <w:tcW w:w="1333" w:type="dxa"/>
          </w:tcPr>
          <w:p w14:paraId="20F26A99">
            <w:pPr>
              <w:pStyle w:val="14"/>
              <w:spacing w:before="104"/>
              <w:ind w:left="117" w:right="112"/>
              <w:jc w:val="center"/>
              <w:rPr>
                <w:rFonts w:ascii="Times New Roman"/>
                <w:sz w:val="21"/>
              </w:rPr>
            </w:pPr>
            <w:r>
              <w:rPr>
                <w:rFonts w:ascii="Times New Roman"/>
                <w:sz w:val="21"/>
              </w:rPr>
              <w:t>PE</w:t>
            </w:r>
          </w:p>
        </w:tc>
        <w:tc>
          <w:tcPr>
            <w:tcW w:w="638" w:type="dxa"/>
          </w:tcPr>
          <w:p w14:paraId="660DAF59">
            <w:pPr>
              <w:pStyle w:val="14"/>
              <w:spacing w:before="90"/>
              <w:ind w:left="6"/>
              <w:jc w:val="center"/>
              <w:rPr>
                <w:sz w:val="21"/>
              </w:rPr>
            </w:pPr>
            <w:r>
              <w:rPr>
                <w:w w:val="99"/>
                <w:sz w:val="21"/>
              </w:rPr>
              <w:t>个</w:t>
            </w:r>
          </w:p>
        </w:tc>
        <w:tc>
          <w:tcPr>
            <w:tcW w:w="639" w:type="dxa"/>
          </w:tcPr>
          <w:p w14:paraId="45F7F80E">
            <w:pPr>
              <w:pStyle w:val="14"/>
              <w:spacing w:before="104"/>
              <w:ind w:left="7"/>
              <w:jc w:val="center"/>
              <w:rPr>
                <w:rFonts w:ascii="Times New Roman"/>
                <w:sz w:val="21"/>
              </w:rPr>
            </w:pPr>
            <w:r>
              <w:rPr>
                <w:rFonts w:ascii="Times New Roman"/>
                <w:w w:val="99"/>
                <w:sz w:val="21"/>
              </w:rPr>
              <w:t>1</w:t>
            </w:r>
          </w:p>
        </w:tc>
        <w:tc>
          <w:tcPr>
            <w:tcW w:w="1686" w:type="dxa"/>
          </w:tcPr>
          <w:p w14:paraId="0383EB51">
            <w:pPr>
              <w:pStyle w:val="14"/>
              <w:rPr>
                <w:rFonts w:ascii="Times New Roman"/>
                <w:sz w:val="20"/>
              </w:rPr>
            </w:pPr>
          </w:p>
        </w:tc>
      </w:tr>
      <w:tr w14:paraId="39A2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120347EC">
            <w:pPr>
              <w:pStyle w:val="14"/>
              <w:spacing w:before="105"/>
              <w:ind w:left="86" w:right="78"/>
              <w:jc w:val="center"/>
              <w:rPr>
                <w:rFonts w:ascii="Times New Roman"/>
                <w:sz w:val="21"/>
              </w:rPr>
            </w:pPr>
            <w:r>
              <w:rPr>
                <w:rFonts w:ascii="Times New Roman"/>
                <w:sz w:val="21"/>
              </w:rPr>
              <w:t>12</w:t>
            </w:r>
          </w:p>
        </w:tc>
        <w:tc>
          <w:tcPr>
            <w:tcW w:w="2007" w:type="dxa"/>
          </w:tcPr>
          <w:p w14:paraId="465F3218">
            <w:pPr>
              <w:pStyle w:val="14"/>
              <w:spacing w:before="89"/>
              <w:ind w:left="132" w:right="127"/>
              <w:jc w:val="center"/>
              <w:rPr>
                <w:sz w:val="21"/>
              </w:rPr>
            </w:pPr>
            <w:r>
              <w:rPr>
                <w:sz w:val="21"/>
              </w:rPr>
              <w:t>雾化线</w:t>
            </w:r>
          </w:p>
        </w:tc>
        <w:tc>
          <w:tcPr>
            <w:tcW w:w="1581" w:type="dxa"/>
          </w:tcPr>
          <w:p w14:paraId="55C85570">
            <w:pPr>
              <w:pStyle w:val="14"/>
              <w:rPr>
                <w:rFonts w:ascii="Times New Roman"/>
                <w:sz w:val="20"/>
              </w:rPr>
            </w:pPr>
          </w:p>
        </w:tc>
        <w:tc>
          <w:tcPr>
            <w:tcW w:w="1333" w:type="dxa"/>
          </w:tcPr>
          <w:p w14:paraId="06E8310F">
            <w:pPr>
              <w:pStyle w:val="14"/>
              <w:spacing w:before="105"/>
              <w:ind w:left="116" w:right="112"/>
              <w:jc w:val="center"/>
              <w:rPr>
                <w:rFonts w:ascii="Times New Roman"/>
                <w:sz w:val="21"/>
              </w:rPr>
            </w:pPr>
            <w:r>
              <w:rPr>
                <w:rFonts w:ascii="Times New Roman"/>
                <w:sz w:val="21"/>
              </w:rPr>
              <w:t>PPR</w:t>
            </w:r>
          </w:p>
        </w:tc>
        <w:tc>
          <w:tcPr>
            <w:tcW w:w="638" w:type="dxa"/>
          </w:tcPr>
          <w:p w14:paraId="45FCCE1B">
            <w:pPr>
              <w:pStyle w:val="14"/>
              <w:spacing w:before="89"/>
              <w:ind w:left="6"/>
              <w:jc w:val="center"/>
              <w:rPr>
                <w:sz w:val="21"/>
              </w:rPr>
            </w:pPr>
            <w:r>
              <w:rPr>
                <w:w w:val="99"/>
                <w:sz w:val="21"/>
              </w:rPr>
              <w:t>米</w:t>
            </w:r>
          </w:p>
        </w:tc>
        <w:tc>
          <w:tcPr>
            <w:tcW w:w="639" w:type="dxa"/>
          </w:tcPr>
          <w:p w14:paraId="32F818C7">
            <w:pPr>
              <w:pStyle w:val="14"/>
              <w:spacing w:before="105"/>
              <w:ind w:right="148"/>
              <w:jc w:val="right"/>
              <w:rPr>
                <w:rFonts w:ascii="Times New Roman"/>
                <w:sz w:val="21"/>
              </w:rPr>
            </w:pPr>
            <w:r>
              <w:rPr>
                <w:rFonts w:ascii="Times New Roman"/>
                <w:sz w:val="21"/>
              </w:rPr>
              <w:t>550</w:t>
            </w:r>
          </w:p>
        </w:tc>
        <w:tc>
          <w:tcPr>
            <w:tcW w:w="1686" w:type="dxa"/>
          </w:tcPr>
          <w:p w14:paraId="20E8E04D">
            <w:pPr>
              <w:pStyle w:val="14"/>
              <w:rPr>
                <w:rFonts w:ascii="Times New Roman"/>
                <w:sz w:val="20"/>
              </w:rPr>
            </w:pPr>
          </w:p>
        </w:tc>
      </w:tr>
      <w:tr w14:paraId="6927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18024E4D">
            <w:pPr>
              <w:pStyle w:val="14"/>
              <w:spacing w:before="105"/>
              <w:ind w:left="86" w:right="78"/>
              <w:jc w:val="center"/>
              <w:rPr>
                <w:rFonts w:ascii="Times New Roman"/>
                <w:sz w:val="21"/>
              </w:rPr>
            </w:pPr>
            <w:r>
              <w:rPr>
                <w:rFonts w:ascii="Times New Roman"/>
                <w:sz w:val="21"/>
              </w:rPr>
              <w:t>13</w:t>
            </w:r>
          </w:p>
        </w:tc>
        <w:tc>
          <w:tcPr>
            <w:tcW w:w="2007" w:type="dxa"/>
          </w:tcPr>
          <w:p w14:paraId="59F5537D">
            <w:pPr>
              <w:pStyle w:val="14"/>
              <w:spacing w:before="91"/>
              <w:ind w:left="132" w:right="127"/>
              <w:jc w:val="center"/>
              <w:rPr>
                <w:sz w:val="21"/>
              </w:rPr>
            </w:pPr>
            <w:r>
              <w:rPr>
                <w:sz w:val="21"/>
              </w:rPr>
              <w:t>弯头</w:t>
            </w:r>
          </w:p>
        </w:tc>
        <w:tc>
          <w:tcPr>
            <w:tcW w:w="1581" w:type="dxa"/>
          </w:tcPr>
          <w:p w14:paraId="51911BB8">
            <w:pPr>
              <w:pStyle w:val="14"/>
              <w:rPr>
                <w:rFonts w:ascii="Times New Roman"/>
                <w:sz w:val="20"/>
              </w:rPr>
            </w:pPr>
          </w:p>
        </w:tc>
        <w:tc>
          <w:tcPr>
            <w:tcW w:w="1333" w:type="dxa"/>
          </w:tcPr>
          <w:p w14:paraId="41B315A5">
            <w:pPr>
              <w:pStyle w:val="14"/>
              <w:spacing w:before="105"/>
              <w:ind w:left="116" w:right="112"/>
              <w:jc w:val="center"/>
              <w:rPr>
                <w:rFonts w:ascii="Times New Roman"/>
                <w:sz w:val="21"/>
              </w:rPr>
            </w:pPr>
            <w:r>
              <w:rPr>
                <w:rFonts w:ascii="Times New Roman"/>
                <w:sz w:val="21"/>
              </w:rPr>
              <w:t>PPR</w:t>
            </w:r>
          </w:p>
        </w:tc>
        <w:tc>
          <w:tcPr>
            <w:tcW w:w="638" w:type="dxa"/>
          </w:tcPr>
          <w:p w14:paraId="77E2E285">
            <w:pPr>
              <w:pStyle w:val="14"/>
              <w:spacing w:before="91"/>
              <w:ind w:left="6"/>
              <w:jc w:val="center"/>
              <w:rPr>
                <w:sz w:val="21"/>
              </w:rPr>
            </w:pPr>
            <w:r>
              <w:rPr>
                <w:w w:val="99"/>
                <w:sz w:val="21"/>
              </w:rPr>
              <w:t>只</w:t>
            </w:r>
          </w:p>
        </w:tc>
        <w:tc>
          <w:tcPr>
            <w:tcW w:w="639" w:type="dxa"/>
          </w:tcPr>
          <w:p w14:paraId="7EBEC27E">
            <w:pPr>
              <w:pStyle w:val="14"/>
              <w:spacing w:before="105"/>
              <w:ind w:right="148"/>
              <w:jc w:val="right"/>
              <w:rPr>
                <w:rFonts w:ascii="Times New Roman"/>
                <w:sz w:val="21"/>
              </w:rPr>
            </w:pPr>
            <w:r>
              <w:rPr>
                <w:rFonts w:ascii="Times New Roman"/>
                <w:sz w:val="21"/>
              </w:rPr>
              <w:t>100</w:t>
            </w:r>
          </w:p>
        </w:tc>
        <w:tc>
          <w:tcPr>
            <w:tcW w:w="1686" w:type="dxa"/>
          </w:tcPr>
          <w:p w14:paraId="318E862F">
            <w:pPr>
              <w:pStyle w:val="14"/>
              <w:rPr>
                <w:rFonts w:ascii="Times New Roman"/>
                <w:sz w:val="20"/>
              </w:rPr>
            </w:pPr>
          </w:p>
        </w:tc>
      </w:tr>
      <w:tr w14:paraId="14E65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500F3BFD">
            <w:pPr>
              <w:pStyle w:val="14"/>
              <w:spacing w:before="104"/>
              <w:ind w:left="86" w:right="78"/>
              <w:jc w:val="center"/>
              <w:rPr>
                <w:rFonts w:ascii="Times New Roman"/>
                <w:sz w:val="21"/>
              </w:rPr>
            </w:pPr>
            <w:r>
              <w:rPr>
                <w:rFonts w:ascii="Times New Roman"/>
                <w:sz w:val="21"/>
              </w:rPr>
              <w:t>14</w:t>
            </w:r>
          </w:p>
        </w:tc>
        <w:tc>
          <w:tcPr>
            <w:tcW w:w="2007" w:type="dxa"/>
          </w:tcPr>
          <w:p w14:paraId="142868E1">
            <w:pPr>
              <w:pStyle w:val="14"/>
              <w:spacing w:before="90"/>
              <w:ind w:left="132" w:right="127"/>
              <w:jc w:val="center"/>
              <w:rPr>
                <w:sz w:val="21"/>
              </w:rPr>
            </w:pPr>
            <w:r>
              <w:rPr>
                <w:sz w:val="21"/>
              </w:rPr>
              <w:t>堵头</w:t>
            </w:r>
          </w:p>
        </w:tc>
        <w:tc>
          <w:tcPr>
            <w:tcW w:w="1581" w:type="dxa"/>
          </w:tcPr>
          <w:p w14:paraId="42067F7E">
            <w:pPr>
              <w:pStyle w:val="14"/>
              <w:rPr>
                <w:rFonts w:ascii="Times New Roman"/>
                <w:sz w:val="20"/>
              </w:rPr>
            </w:pPr>
          </w:p>
        </w:tc>
        <w:tc>
          <w:tcPr>
            <w:tcW w:w="1333" w:type="dxa"/>
          </w:tcPr>
          <w:p w14:paraId="3712B532">
            <w:pPr>
              <w:pStyle w:val="14"/>
              <w:spacing w:before="104"/>
              <w:ind w:left="116" w:right="112"/>
              <w:jc w:val="center"/>
              <w:rPr>
                <w:rFonts w:ascii="Times New Roman"/>
                <w:sz w:val="21"/>
              </w:rPr>
            </w:pPr>
            <w:r>
              <w:rPr>
                <w:rFonts w:ascii="Times New Roman"/>
                <w:sz w:val="21"/>
              </w:rPr>
              <w:t>PPR</w:t>
            </w:r>
          </w:p>
        </w:tc>
        <w:tc>
          <w:tcPr>
            <w:tcW w:w="638" w:type="dxa"/>
          </w:tcPr>
          <w:p w14:paraId="70B76CE1">
            <w:pPr>
              <w:pStyle w:val="14"/>
              <w:spacing w:before="90"/>
              <w:ind w:left="6"/>
              <w:jc w:val="center"/>
              <w:rPr>
                <w:sz w:val="21"/>
              </w:rPr>
            </w:pPr>
            <w:r>
              <w:rPr>
                <w:w w:val="99"/>
                <w:sz w:val="21"/>
              </w:rPr>
              <w:t>只</w:t>
            </w:r>
          </w:p>
        </w:tc>
        <w:tc>
          <w:tcPr>
            <w:tcW w:w="639" w:type="dxa"/>
          </w:tcPr>
          <w:p w14:paraId="67738D02">
            <w:pPr>
              <w:pStyle w:val="14"/>
              <w:spacing w:before="104"/>
              <w:ind w:left="213"/>
              <w:rPr>
                <w:rFonts w:ascii="Times New Roman"/>
                <w:sz w:val="21"/>
              </w:rPr>
            </w:pPr>
            <w:r>
              <w:rPr>
                <w:rFonts w:ascii="Times New Roman"/>
                <w:sz w:val="21"/>
              </w:rPr>
              <w:t>10</w:t>
            </w:r>
          </w:p>
        </w:tc>
        <w:tc>
          <w:tcPr>
            <w:tcW w:w="1686" w:type="dxa"/>
          </w:tcPr>
          <w:p w14:paraId="40797479">
            <w:pPr>
              <w:pStyle w:val="14"/>
              <w:rPr>
                <w:rFonts w:ascii="Times New Roman"/>
                <w:sz w:val="20"/>
              </w:rPr>
            </w:pPr>
          </w:p>
        </w:tc>
      </w:tr>
      <w:tr w14:paraId="7341D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277CB369">
            <w:pPr>
              <w:pStyle w:val="14"/>
              <w:spacing w:before="105"/>
              <w:ind w:left="86" w:right="78"/>
              <w:jc w:val="center"/>
              <w:rPr>
                <w:rFonts w:ascii="Times New Roman"/>
                <w:sz w:val="21"/>
              </w:rPr>
            </w:pPr>
            <w:r>
              <w:rPr>
                <w:rFonts w:ascii="Times New Roman"/>
                <w:sz w:val="21"/>
              </w:rPr>
              <w:t>15</w:t>
            </w:r>
          </w:p>
        </w:tc>
        <w:tc>
          <w:tcPr>
            <w:tcW w:w="2007" w:type="dxa"/>
          </w:tcPr>
          <w:p w14:paraId="0EFCDB60">
            <w:pPr>
              <w:pStyle w:val="14"/>
              <w:spacing w:before="89"/>
              <w:ind w:left="132" w:right="127"/>
              <w:jc w:val="center"/>
              <w:rPr>
                <w:sz w:val="21"/>
              </w:rPr>
            </w:pPr>
            <w:r>
              <w:rPr>
                <w:sz w:val="21"/>
              </w:rPr>
              <w:t>三通</w:t>
            </w:r>
          </w:p>
        </w:tc>
        <w:tc>
          <w:tcPr>
            <w:tcW w:w="1581" w:type="dxa"/>
          </w:tcPr>
          <w:p w14:paraId="000B74C3">
            <w:pPr>
              <w:pStyle w:val="14"/>
              <w:rPr>
                <w:rFonts w:ascii="Times New Roman"/>
                <w:sz w:val="20"/>
              </w:rPr>
            </w:pPr>
          </w:p>
        </w:tc>
        <w:tc>
          <w:tcPr>
            <w:tcW w:w="1333" w:type="dxa"/>
          </w:tcPr>
          <w:p w14:paraId="7DD12F49">
            <w:pPr>
              <w:pStyle w:val="14"/>
              <w:spacing w:before="105"/>
              <w:ind w:left="116" w:right="112"/>
              <w:jc w:val="center"/>
              <w:rPr>
                <w:rFonts w:ascii="Times New Roman"/>
                <w:sz w:val="21"/>
              </w:rPr>
            </w:pPr>
            <w:r>
              <w:rPr>
                <w:rFonts w:ascii="Times New Roman"/>
                <w:sz w:val="21"/>
              </w:rPr>
              <w:t>PPR</w:t>
            </w:r>
          </w:p>
        </w:tc>
        <w:tc>
          <w:tcPr>
            <w:tcW w:w="638" w:type="dxa"/>
          </w:tcPr>
          <w:p w14:paraId="0F37C7EC">
            <w:pPr>
              <w:pStyle w:val="14"/>
              <w:spacing w:before="89"/>
              <w:ind w:left="6"/>
              <w:jc w:val="center"/>
              <w:rPr>
                <w:sz w:val="21"/>
              </w:rPr>
            </w:pPr>
            <w:r>
              <w:rPr>
                <w:w w:val="99"/>
                <w:sz w:val="21"/>
              </w:rPr>
              <w:t>只</w:t>
            </w:r>
          </w:p>
        </w:tc>
        <w:tc>
          <w:tcPr>
            <w:tcW w:w="639" w:type="dxa"/>
          </w:tcPr>
          <w:p w14:paraId="1F687D85">
            <w:pPr>
              <w:pStyle w:val="14"/>
              <w:spacing w:before="105"/>
              <w:ind w:right="148"/>
              <w:jc w:val="right"/>
              <w:rPr>
                <w:rFonts w:ascii="Times New Roman"/>
                <w:sz w:val="21"/>
              </w:rPr>
            </w:pPr>
            <w:r>
              <w:rPr>
                <w:rFonts w:ascii="Times New Roman"/>
                <w:sz w:val="21"/>
              </w:rPr>
              <w:t>100</w:t>
            </w:r>
          </w:p>
        </w:tc>
        <w:tc>
          <w:tcPr>
            <w:tcW w:w="1686" w:type="dxa"/>
          </w:tcPr>
          <w:p w14:paraId="2A16473F">
            <w:pPr>
              <w:pStyle w:val="14"/>
              <w:rPr>
                <w:rFonts w:ascii="Times New Roman"/>
                <w:sz w:val="20"/>
              </w:rPr>
            </w:pPr>
          </w:p>
        </w:tc>
      </w:tr>
      <w:tr w14:paraId="5B8EF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tcPr>
          <w:p w14:paraId="4A0071E8">
            <w:pPr>
              <w:pStyle w:val="14"/>
              <w:spacing w:before="105"/>
              <w:ind w:left="86" w:right="78"/>
              <w:jc w:val="center"/>
              <w:rPr>
                <w:rFonts w:ascii="Times New Roman"/>
                <w:sz w:val="21"/>
              </w:rPr>
            </w:pPr>
            <w:r>
              <w:rPr>
                <w:rFonts w:ascii="Times New Roman"/>
                <w:sz w:val="21"/>
              </w:rPr>
              <w:t>16</w:t>
            </w:r>
          </w:p>
        </w:tc>
        <w:tc>
          <w:tcPr>
            <w:tcW w:w="2007" w:type="dxa"/>
          </w:tcPr>
          <w:p w14:paraId="4D2D2B6B">
            <w:pPr>
              <w:pStyle w:val="14"/>
              <w:spacing w:before="91"/>
              <w:ind w:left="132" w:right="127"/>
              <w:jc w:val="center"/>
              <w:rPr>
                <w:sz w:val="21"/>
              </w:rPr>
            </w:pPr>
            <w:r>
              <w:rPr>
                <w:sz w:val="21"/>
              </w:rPr>
              <w:t>直接</w:t>
            </w:r>
          </w:p>
        </w:tc>
        <w:tc>
          <w:tcPr>
            <w:tcW w:w="1581" w:type="dxa"/>
          </w:tcPr>
          <w:p w14:paraId="2B6F7971">
            <w:pPr>
              <w:pStyle w:val="14"/>
              <w:rPr>
                <w:rFonts w:ascii="Times New Roman"/>
                <w:sz w:val="20"/>
              </w:rPr>
            </w:pPr>
          </w:p>
        </w:tc>
        <w:tc>
          <w:tcPr>
            <w:tcW w:w="1333" w:type="dxa"/>
          </w:tcPr>
          <w:p w14:paraId="0529C971">
            <w:pPr>
              <w:pStyle w:val="14"/>
              <w:spacing w:before="105"/>
              <w:ind w:left="116" w:right="112"/>
              <w:jc w:val="center"/>
              <w:rPr>
                <w:rFonts w:ascii="Times New Roman"/>
                <w:sz w:val="21"/>
              </w:rPr>
            </w:pPr>
            <w:r>
              <w:rPr>
                <w:rFonts w:ascii="Times New Roman"/>
                <w:sz w:val="21"/>
              </w:rPr>
              <w:t>PPR</w:t>
            </w:r>
          </w:p>
        </w:tc>
        <w:tc>
          <w:tcPr>
            <w:tcW w:w="638" w:type="dxa"/>
          </w:tcPr>
          <w:p w14:paraId="119CCCA3">
            <w:pPr>
              <w:pStyle w:val="14"/>
              <w:spacing w:before="91"/>
              <w:ind w:left="6"/>
              <w:jc w:val="center"/>
              <w:rPr>
                <w:sz w:val="21"/>
              </w:rPr>
            </w:pPr>
            <w:r>
              <w:rPr>
                <w:w w:val="99"/>
                <w:sz w:val="21"/>
              </w:rPr>
              <w:t>只</w:t>
            </w:r>
          </w:p>
        </w:tc>
        <w:tc>
          <w:tcPr>
            <w:tcW w:w="639" w:type="dxa"/>
          </w:tcPr>
          <w:p w14:paraId="12FE5C13">
            <w:pPr>
              <w:pStyle w:val="14"/>
              <w:spacing w:before="105"/>
              <w:ind w:right="148"/>
              <w:jc w:val="right"/>
              <w:rPr>
                <w:rFonts w:ascii="Times New Roman"/>
                <w:sz w:val="21"/>
              </w:rPr>
            </w:pPr>
            <w:r>
              <w:rPr>
                <w:rFonts w:ascii="Times New Roman"/>
                <w:sz w:val="21"/>
              </w:rPr>
              <w:t>120</w:t>
            </w:r>
          </w:p>
        </w:tc>
        <w:tc>
          <w:tcPr>
            <w:tcW w:w="1686" w:type="dxa"/>
          </w:tcPr>
          <w:p w14:paraId="05DAC9DC">
            <w:pPr>
              <w:pStyle w:val="14"/>
              <w:rPr>
                <w:rFonts w:ascii="Times New Roman"/>
                <w:sz w:val="20"/>
              </w:rPr>
            </w:pPr>
          </w:p>
        </w:tc>
      </w:tr>
      <w:tr w14:paraId="6823A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tcPr>
          <w:p w14:paraId="7453A994">
            <w:pPr>
              <w:pStyle w:val="14"/>
              <w:spacing w:before="104"/>
              <w:ind w:left="86" w:right="78"/>
              <w:jc w:val="center"/>
              <w:rPr>
                <w:rFonts w:ascii="Times New Roman"/>
                <w:sz w:val="21"/>
              </w:rPr>
            </w:pPr>
            <w:r>
              <w:rPr>
                <w:rFonts w:ascii="Times New Roman"/>
                <w:sz w:val="21"/>
              </w:rPr>
              <w:t>17</w:t>
            </w:r>
          </w:p>
        </w:tc>
        <w:tc>
          <w:tcPr>
            <w:tcW w:w="2007" w:type="dxa"/>
          </w:tcPr>
          <w:p w14:paraId="47E8A10F">
            <w:pPr>
              <w:pStyle w:val="14"/>
              <w:spacing w:before="90"/>
              <w:ind w:left="132" w:right="125"/>
              <w:jc w:val="center"/>
              <w:rPr>
                <w:sz w:val="21"/>
              </w:rPr>
            </w:pPr>
            <w:r>
              <w:rPr>
                <w:sz w:val="21"/>
              </w:rPr>
              <w:t>过滤喷嘴</w:t>
            </w:r>
          </w:p>
        </w:tc>
        <w:tc>
          <w:tcPr>
            <w:tcW w:w="1581" w:type="dxa"/>
          </w:tcPr>
          <w:p w14:paraId="574FA743">
            <w:pPr>
              <w:pStyle w:val="14"/>
              <w:rPr>
                <w:rFonts w:ascii="Times New Roman"/>
                <w:sz w:val="20"/>
              </w:rPr>
            </w:pPr>
          </w:p>
        </w:tc>
        <w:tc>
          <w:tcPr>
            <w:tcW w:w="1333" w:type="dxa"/>
          </w:tcPr>
          <w:p w14:paraId="73305408">
            <w:pPr>
              <w:pStyle w:val="14"/>
              <w:spacing w:before="90"/>
              <w:ind w:left="121" w:right="112"/>
              <w:jc w:val="center"/>
              <w:rPr>
                <w:sz w:val="21"/>
              </w:rPr>
            </w:pPr>
            <w:r>
              <w:rPr>
                <w:sz w:val="21"/>
              </w:rPr>
              <w:t>不锈钢材质</w:t>
            </w:r>
          </w:p>
        </w:tc>
        <w:tc>
          <w:tcPr>
            <w:tcW w:w="638" w:type="dxa"/>
          </w:tcPr>
          <w:p w14:paraId="47D3876B">
            <w:pPr>
              <w:pStyle w:val="14"/>
              <w:spacing w:before="90"/>
              <w:ind w:left="6"/>
              <w:jc w:val="center"/>
              <w:rPr>
                <w:sz w:val="21"/>
              </w:rPr>
            </w:pPr>
            <w:r>
              <w:rPr>
                <w:w w:val="99"/>
                <w:sz w:val="21"/>
              </w:rPr>
              <w:t>只</w:t>
            </w:r>
          </w:p>
        </w:tc>
        <w:tc>
          <w:tcPr>
            <w:tcW w:w="639" w:type="dxa"/>
          </w:tcPr>
          <w:p w14:paraId="21275BB7">
            <w:pPr>
              <w:pStyle w:val="14"/>
              <w:spacing w:before="104"/>
              <w:ind w:right="148"/>
              <w:jc w:val="right"/>
              <w:rPr>
                <w:rFonts w:ascii="Times New Roman"/>
                <w:sz w:val="21"/>
              </w:rPr>
            </w:pPr>
            <w:r>
              <w:rPr>
                <w:rFonts w:ascii="Times New Roman"/>
                <w:sz w:val="21"/>
              </w:rPr>
              <w:t>180</w:t>
            </w:r>
          </w:p>
        </w:tc>
        <w:tc>
          <w:tcPr>
            <w:tcW w:w="1686" w:type="dxa"/>
          </w:tcPr>
          <w:p w14:paraId="27E3BAAA">
            <w:pPr>
              <w:pStyle w:val="14"/>
              <w:rPr>
                <w:rFonts w:ascii="Times New Roman"/>
                <w:sz w:val="20"/>
              </w:rPr>
            </w:pPr>
          </w:p>
        </w:tc>
      </w:tr>
      <w:tr w14:paraId="6797C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638" w:type="dxa"/>
          </w:tcPr>
          <w:p w14:paraId="34CFC121">
            <w:pPr>
              <w:pStyle w:val="14"/>
              <w:spacing w:before="6"/>
              <w:rPr>
                <w:rFonts w:ascii="Times New Roman"/>
                <w:sz w:val="23"/>
              </w:rPr>
            </w:pPr>
          </w:p>
          <w:p w14:paraId="4B2CD7A6">
            <w:pPr>
              <w:pStyle w:val="14"/>
              <w:spacing w:before="1"/>
              <w:ind w:left="86" w:right="78"/>
              <w:jc w:val="center"/>
              <w:rPr>
                <w:rFonts w:ascii="Times New Roman"/>
                <w:sz w:val="21"/>
              </w:rPr>
            </w:pPr>
            <w:r>
              <w:rPr>
                <w:rFonts w:ascii="Times New Roman"/>
                <w:sz w:val="21"/>
              </w:rPr>
              <w:t>18</w:t>
            </w:r>
          </w:p>
        </w:tc>
        <w:tc>
          <w:tcPr>
            <w:tcW w:w="2007" w:type="dxa"/>
          </w:tcPr>
          <w:p w14:paraId="2A6EFE75">
            <w:pPr>
              <w:pStyle w:val="14"/>
              <w:spacing w:before="7"/>
              <w:rPr>
                <w:rFonts w:ascii="Times New Roman"/>
                <w:sz w:val="20"/>
              </w:rPr>
            </w:pPr>
          </w:p>
          <w:p w14:paraId="0470BCC2">
            <w:pPr>
              <w:pStyle w:val="14"/>
              <w:ind w:left="132" w:right="123"/>
              <w:jc w:val="center"/>
              <w:rPr>
                <w:sz w:val="24"/>
              </w:rPr>
            </w:pPr>
            <w:r>
              <w:rPr>
                <w:sz w:val="24"/>
              </w:rPr>
              <w:t>活性炭吸收柜</w:t>
            </w:r>
          </w:p>
        </w:tc>
        <w:tc>
          <w:tcPr>
            <w:tcW w:w="1581" w:type="dxa"/>
          </w:tcPr>
          <w:p w14:paraId="57F925E8">
            <w:pPr>
              <w:pStyle w:val="14"/>
              <w:ind w:left="135" w:right="124"/>
              <w:jc w:val="center"/>
              <w:rPr>
                <w:rFonts w:ascii="Times New Roman"/>
                <w:sz w:val="21"/>
              </w:rPr>
            </w:pPr>
            <w:r>
              <w:rPr>
                <w:rFonts w:ascii="Times New Roman"/>
                <w:sz w:val="21"/>
              </w:rPr>
              <w:t>L2000*W1300</w:t>
            </w:r>
          </w:p>
          <w:p w14:paraId="76EB7F5F">
            <w:pPr>
              <w:pStyle w:val="14"/>
              <w:spacing w:before="1"/>
              <w:ind w:left="184"/>
              <w:rPr>
                <w:sz w:val="21"/>
              </w:rPr>
            </w:pPr>
            <w:r>
              <w:rPr>
                <w:rFonts w:ascii="Times New Roman" w:eastAsia="Times New Roman"/>
                <w:sz w:val="21"/>
              </w:rPr>
              <w:t>*H1500mm</w:t>
            </w:r>
            <w:r>
              <w:rPr>
                <w:sz w:val="21"/>
              </w:rPr>
              <w:t>，</w:t>
            </w:r>
          </w:p>
          <w:p w14:paraId="613AE8F6">
            <w:pPr>
              <w:pStyle w:val="14"/>
              <w:spacing w:before="2" w:line="252" w:lineRule="exact"/>
              <w:ind w:left="129" w:right="124"/>
              <w:jc w:val="center"/>
              <w:rPr>
                <w:sz w:val="21"/>
              </w:rPr>
            </w:pPr>
            <w:r>
              <w:rPr>
                <w:sz w:val="21"/>
              </w:rPr>
              <w:t>三隔活性碳</w:t>
            </w:r>
          </w:p>
        </w:tc>
        <w:tc>
          <w:tcPr>
            <w:tcW w:w="1333" w:type="dxa"/>
          </w:tcPr>
          <w:p w14:paraId="6736FC22">
            <w:pPr>
              <w:pStyle w:val="14"/>
              <w:spacing w:before="120" w:line="242" w:lineRule="auto"/>
              <w:ind w:left="561" w:right="55" w:hanging="454"/>
              <w:rPr>
                <w:sz w:val="21"/>
              </w:rPr>
            </w:pPr>
            <w:r>
              <w:rPr>
                <w:rFonts w:ascii="Times New Roman" w:eastAsia="Times New Roman"/>
                <w:sz w:val="21"/>
              </w:rPr>
              <w:t xml:space="preserve">PP </w:t>
            </w:r>
            <w:r>
              <w:rPr>
                <w:sz w:val="21"/>
              </w:rPr>
              <w:t>灰色阻燃板</w:t>
            </w:r>
          </w:p>
        </w:tc>
        <w:tc>
          <w:tcPr>
            <w:tcW w:w="638" w:type="dxa"/>
          </w:tcPr>
          <w:p w14:paraId="4B293120">
            <w:pPr>
              <w:pStyle w:val="14"/>
              <w:spacing w:before="2"/>
              <w:rPr>
                <w:rFonts w:ascii="Times New Roman"/>
                <w:sz w:val="22"/>
              </w:rPr>
            </w:pPr>
          </w:p>
          <w:p w14:paraId="7FCCDA72">
            <w:pPr>
              <w:pStyle w:val="14"/>
              <w:ind w:left="6"/>
              <w:jc w:val="center"/>
              <w:rPr>
                <w:sz w:val="21"/>
              </w:rPr>
            </w:pPr>
            <w:r>
              <w:rPr>
                <w:w w:val="99"/>
                <w:sz w:val="21"/>
              </w:rPr>
              <w:t>套</w:t>
            </w:r>
          </w:p>
        </w:tc>
        <w:tc>
          <w:tcPr>
            <w:tcW w:w="639" w:type="dxa"/>
          </w:tcPr>
          <w:p w14:paraId="67B3B6D7">
            <w:pPr>
              <w:pStyle w:val="14"/>
              <w:spacing w:before="6"/>
              <w:rPr>
                <w:rFonts w:ascii="Times New Roman"/>
                <w:sz w:val="23"/>
              </w:rPr>
            </w:pPr>
          </w:p>
          <w:p w14:paraId="03CBD8DA">
            <w:pPr>
              <w:pStyle w:val="14"/>
              <w:spacing w:before="1"/>
              <w:ind w:left="7"/>
              <w:jc w:val="center"/>
              <w:rPr>
                <w:rFonts w:ascii="Times New Roman"/>
                <w:sz w:val="21"/>
              </w:rPr>
            </w:pPr>
            <w:r>
              <w:rPr>
                <w:rFonts w:ascii="Times New Roman"/>
                <w:w w:val="99"/>
                <w:sz w:val="21"/>
              </w:rPr>
              <w:t>2</w:t>
            </w:r>
          </w:p>
        </w:tc>
        <w:tc>
          <w:tcPr>
            <w:tcW w:w="1686" w:type="dxa"/>
          </w:tcPr>
          <w:p w14:paraId="5F5B6CBB">
            <w:pPr>
              <w:pStyle w:val="14"/>
              <w:spacing w:before="2"/>
              <w:rPr>
                <w:rFonts w:ascii="Times New Roman"/>
                <w:sz w:val="22"/>
              </w:rPr>
            </w:pPr>
          </w:p>
          <w:p w14:paraId="0B3E1881">
            <w:pPr>
              <w:pStyle w:val="14"/>
              <w:ind w:left="106"/>
              <w:rPr>
                <w:sz w:val="21"/>
              </w:rPr>
            </w:pPr>
            <w:r>
              <w:rPr>
                <w:sz w:val="21"/>
              </w:rPr>
              <w:t>备用</w:t>
            </w:r>
          </w:p>
        </w:tc>
      </w:tr>
    </w:tbl>
    <w:p w14:paraId="42DD93A0">
      <w:pPr>
        <w:pStyle w:val="13"/>
        <w:numPr>
          <w:ilvl w:val="1"/>
          <w:numId w:val="13"/>
        </w:numPr>
        <w:tabs>
          <w:tab w:val="left" w:pos="720"/>
        </w:tabs>
        <w:spacing w:before="3" w:after="0" w:line="240" w:lineRule="auto"/>
        <w:ind w:left="719" w:right="0" w:hanging="439"/>
        <w:jc w:val="left"/>
        <w:rPr>
          <w:b/>
          <w:sz w:val="30"/>
        </w:rPr>
      </w:pPr>
      <w:bookmarkStart w:id="100" w:name="3.6平面布置及相关工程"/>
      <w:bookmarkEnd w:id="100"/>
      <w:bookmarkStart w:id="101" w:name="_bookmark20"/>
      <w:bookmarkEnd w:id="101"/>
      <w:bookmarkStart w:id="102" w:name="_bookmark20"/>
      <w:bookmarkEnd w:id="102"/>
      <w:r>
        <w:rPr>
          <w:b/>
          <w:sz w:val="30"/>
        </w:rPr>
        <w:t>平面布置及相关工程</w:t>
      </w:r>
    </w:p>
    <w:p w14:paraId="6E16E834">
      <w:pPr>
        <w:pStyle w:val="13"/>
        <w:numPr>
          <w:ilvl w:val="2"/>
          <w:numId w:val="13"/>
        </w:numPr>
        <w:tabs>
          <w:tab w:val="left" w:pos="909"/>
        </w:tabs>
        <w:spacing w:before="200" w:after="0" w:line="240" w:lineRule="auto"/>
        <w:ind w:left="908" w:right="0" w:hanging="628"/>
        <w:jc w:val="left"/>
        <w:rPr>
          <w:b/>
          <w:sz w:val="28"/>
        </w:rPr>
      </w:pPr>
      <w:bookmarkStart w:id="103" w:name="3.6.1 项目总平面布局情况"/>
      <w:bookmarkEnd w:id="103"/>
      <w:bookmarkStart w:id="104" w:name="3.6.1 项目总平面布局情况"/>
      <w:bookmarkEnd w:id="104"/>
      <w:r>
        <w:rPr>
          <w:b/>
          <w:sz w:val="28"/>
        </w:rPr>
        <w:t>项目总平面布局情况</w:t>
      </w:r>
    </w:p>
    <w:p w14:paraId="60019A1C">
      <w:pPr>
        <w:pStyle w:val="7"/>
        <w:spacing w:before="185" w:line="364" w:lineRule="auto"/>
        <w:ind w:left="280" w:right="337" w:firstLine="480"/>
        <w:jc w:val="both"/>
      </w:pPr>
      <w:r>
        <w:t xml:space="preserve">项目厂区设置 </w:t>
      </w:r>
      <w:r>
        <w:rPr>
          <w:rFonts w:ascii="Times New Roman" w:eastAsia="Times New Roman"/>
        </w:rPr>
        <w:t xml:space="preserve">2 </w:t>
      </w:r>
      <w:r>
        <w:t xml:space="preserve">个主要出入口，分别为：紧邻厂界北侧道路，靠西为成品货运出入口（办公出入口）、靠东侧为生猪进货口（废弃物收集出入口），亦可作为消防出入口；后期根据需要设置 </w:t>
      </w:r>
      <w:r>
        <w:rPr>
          <w:rFonts w:ascii="Times New Roman" w:eastAsia="Times New Roman"/>
        </w:rPr>
        <w:t xml:space="preserve">1 </w:t>
      </w:r>
      <w:r>
        <w:t>处无害化废料出口，直连东南角乡间小路。</w:t>
      </w:r>
    </w:p>
    <w:p w14:paraId="52A2E251">
      <w:pPr>
        <w:pStyle w:val="7"/>
        <w:spacing w:line="305" w:lineRule="exact"/>
        <w:ind w:left="760"/>
      </w:pPr>
      <w:r>
        <w:t>项目总平面布置主要分为以下区域：暂养区及配套、屠宰生产区和备用车</w:t>
      </w:r>
    </w:p>
    <w:p w14:paraId="38E3FEFB">
      <w:pPr>
        <w:spacing w:after="0" w:line="305" w:lineRule="exact"/>
        <w:sectPr>
          <w:pgSz w:w="11910" w:h="16840"/>
          <w:pgMar w:top="1360" w:right="1460" w:bottom="1400" w:left="1520" w:header="878" w:footer="1195" w:gutter="0"/>
          <w:cols w:space="720" w:num="1"/>
        </w:sectPr>
      </w:pPr>
    </w:p>
    <w:p w14:paraId="13CEBF4D">
      <w:pPr>
        <w:pStyle w:val="7"/>
        <w:spacing w:before="68"/>
        <w:ind w:left="280"/>
      </w:pPr>
      <w:r>
        <w:t xml:space="preserve">间、办公生活区。项目总平面布置见附图 </w:t>
      </w:r>
      <w:r>
        <w:rPr>
          <w:rFonts w:ascii="Times New Roman" w:eastAsia="Times New Roman"/>
        </w:rPr>
        <w:t>4</w:t>
      </w:r>
      <w:r>
        <w:t>。</w:t>
      </w:r>
    </w:p>
    <w:p w14:paraId="0A969F61">
      <w:pPr>
        <w:pStyle w:val="7"/>
        <w:spacing w:before="160" w:line="364" w:lineRule="auto"/>
        <w:ind w:left="280" w:right="337" w:firstLine="480"/>
        <w:jc w:val="both"/>
      </w:pPr>
      <w:r>
        <w:t>暂养区及配套：布置于厂区的东侧，待宰圏及暂养间、生猪进出口（配备消毒池及消毒设备、卸货区）、无害化暂存间、休息室及公厕，设有消防水池；</w:t>
      </w:r>
    </w:p>
    <w:p w14:paraId="1E92CF65">
      <w:pPr>
        <w:pStyle w:val="7"/>
        <w:spacing w:line="364" w:lineRule="auto"/>
        <w:ind w:left="280" w:right="337" w:firstLine="480"/>
        <w:jc w:val="both"/>
      </w:pPr>
      <w:r>
        <w:t>屠宰生产区和备用车间：主要位于厂区中部，包括屠宰加工间及预留车间、产品出入口（含门卫室）、猪冷库、物料库及仓库等，配套制冷机房、污水处理站、废气处理设施等；</w:t>
      </w:r>
    </w:p>
    <w:p w14:paraId="666E08CB">
      <w:pPr>
        <w:pStyle w:val="7"/>
        <w:spacing w:line="364" w:lineRule="auto"/>
        <w:ind w:left="280" w:right="340" w:firstLine="480"/>
      </w:pPr>
      <w:r>
        <w:t>办公生活区：布置位于厂区西部，设有综合楼、员工宿舍及食堂、员工宿舍。厂界四周均配套绿化带。</w:t>
      </w:r>
    </w:p>
    <w:p w14:paraId="583CEEF9">
      <w:pPr>
        <w:pStyle w:val="13"/>
        <w:numPr>
          <w:ilvl w:val="2"/>
          <w:numId w:val="13"/>
        </w:numPr>
        <w:tabs>
          <w:tab w:val="left" w:pos="900"/>
        </w:tabs>
        <w:spacing w:before="0" w:after="0" w:line="358" w:lineRule="exact"/>
        <w:ind w:left="899" w:right="0" w:hanging="619"/>
        <w:jc w:val="left"/>
        <w:rPr>
          <w:b/>
          <w:sz w:val="28"/>
        </w:rPr>
      </w:pPr>
      <w:bookmarkStart w:id="105" w:name="3.6.2公用工程和依托工程"/>
      <w:bookmarkEnd w:id="105"/>
      <w:bookmarkStart w:id="106" w:name="3.6.2公用工程和依托工程"/>
      <w:bookmarkEnd w:id="106"/>
      <w:r>
        <w:rPr>
          <w:b/>
          <w:sz w:val="28"/>
        </w:rPr>
        <w:t>公用工程和依托工程</w:t>
      </w:r>
    </w:p>
    <w:p w14:paraId="189EF42E">
      <w:pPr>
        <w:pStyle w:val="7"/>
        <w:spacing w:before="182"/>
        <w:ind w:left="760"/>
      </w:pPr>
      <w:r>
        <w:t>（</w:t>
      </w:r>
      <w:r>
        <w:rPr>
          <w:rFonts w:ascii="Times New Roman" w:eastAsia="Times New Roman"/>
        </w:rPr>
        <w:t>1</w:t>
      </w:r>
      <w:r>
        <w:t>）给水</w:t>
      </w:r>
    </w:p>
    <w:p w14:paraId="58AAC4E8">
      <w:pPr>
        <w:pStyle w:val="7"/>
        <w:spacing w:before="158" w:line="364" w:lineRule="auto"/>
        <w:ind w:left="280" w:right="337" w:firstLine="480"/>
      </w:pPr>
      <w:r>
        <w:t>项目用水主要为员工生活用水、牲畜饮水、屠宰用水、车辆冲洗用水、消毒用水、绿化用水及其他补充用水。项目用水来源主要为乡镇供水管网供给。</w:t>
      </w:r>
    </w:p>
    <w:p w14:paraId="69726DCF">
      <w:pPr>
        <w:pStyle w:val="7"/>
        <w:spacing w:before="1"/>
        <w:ind w:left="760"/>
      </w:pPr>
      <w:r>
        <w:t>（</w:t>
      </w:r>
      <w:r>
        <w:rPr>
          <w:rFonts w:ascii="Times New Roman" w:eastAsia="Times New Roman"/>
        </w:rPr>
        <w:t>2</w:t>
      </w:r>
      <w:r>
        <w:t>）排水</w:t>
      </w:r>
    </w:p>
    <w:p w14:paraId="7A7D5BC7">
      <w:pPr>
        <w:pStyle w:val="7"/>
        <w:spacing w:before="158" w:line="362" w:lineRule="auto"/>
        <w:ind w:left="280" w:right="337" w:firstLine="480"/>
      </w:pPr>
      <w:r>
        <w:t>项目厂区排水采用“雨污分流、污污分流”的排水体制，雨水采用明沟， 污水管采用埋管形式。</w:t>
      </w:r>
    </w:p>
    <w:p w14:paraId="50561D11">
      <w:pPr>
        <w:pStyle w:val="7"/>
        <w:spacing w:before="5"/>
        <w:ind w:left="760"/>
      </w:pPr>
      <w:r>
        <w:t>①雨水</w:t>
      </w:r>
    </w:p>
    <w:p w14:paraId="5EB18F14">
      <w:pPr>
        <w:pStyle w:val="7"/>
        <w:spacing w:before="161"/>
        <w:ind w:left="760"/>
      </w:pPr>
      <w:r>
        <w:t>生产养殖均位于标准化厂房内， 雨水由厂内雨水明沟汇集至西侧乡道</w:t>
      </w:r>
    </w:p>
    <w:p w14:paraId="0B3B623B">
      <w:pPr>
        <w:pStyle w:val="7"/>
        <w:spacing w:before="158"/>
        <w:ind w:left="262" w:right="6653"/>
        <w:jc w:val="center"/>
      </w:pPr>
      <w:r>
        <w:t>（</w:t>
      </w:r>
      <w:r>
        <w:rPr>
          <w:rFonts w:ascii="Times New Roman" w:eastAsia="Times New Roman"/>
        </w:rPr>
        <w:t>X052</w:t>
      </w:r>
      <w:r>
        <w:t>）旁沟渠。</w:t>
      </w:r>
    </w:p>
    <w:p w14:paraId="4DD056F2">
      <w:pPr>
        <w:pStyle w:val="7"/>
        <w:spacing w:before="161"/>
        <w:ind w:left="760"/>
      </w:pPr>
      <w:r>
        <w:t>②废水</w:t>
      </w:r>
    </w:p>
    <w:p w14:paraId="6C7D62A8">
      <w:pPr>
        <w:pStyle w:val="7"/>
        <w:spacing w:before="158" w:line="364" w:lineRule="auto"/>
        <w:ind w:left="280" w:right="337" w:firstLine="480"/>
        <w:jc w:val="both"/>
      </w:pPr>
      <w:r>
        <w:t>项目产生的生活污水经化粪池处理，生产废水收集至废水处理站预处理， 废污水经统一排放口送至污水管网，衔接至荣新西路市政管网，再经岳阳县污水处理厂处理达标后排入新墙河。</w:t>
      </w:r>
    </w:p>
    <w:p w14:paraId="718CBCEB">
      <w:pPr>
        <w:pStyle w:val="7"/>
        <w:spacing w:line="307" w:lineRule="exact"/>
        <w:ind w:left="760"/>
      </w:pPr>
      <w:r>
        <w:t>（</w:t>
      </w:r>
      <w:r>
        <w:rPr>
          <w:rFonts w:ascii="Times New Roman" w:eastAsia="Times New Roman"/>
        </w:rPr>
        <w:t>3</w:t>
      </w:r>
      <w:r>
        <w:t>）供电</w:t>
      </w:r>
    </w:p>
    <w:p w14:paraId="17C8CBFB">
      <w:pPr>
        <w:pStyle w:val="7"/>
        <w:spacing w:before="158" w:line="364" w:lineRule="auto"/>
        <w:ind w:left="280" w:right="340" w:firstLine="480"/>
      </w:pPr>
      <w:r>
        <w:rPr>
          <w:spacing w:val="-6"/>
        </w:rPr>
        <w:t xml:space="preserve">项目年用电量约为 </w:t>
      </w:r>
      <w:r>
        <w:rPr>
          <w:rFonts w:ascii="Times New Roman" w:eastAsia="Times New Roman"/>
        </w:rPr>
        <w:t xml:space="preserve">350 </w:t>
      </w:r>
      <w:r>
        <w:rPr>
          <w:spacing w:val="-4"/>
        </w:rPr>
        <w:t xml:space="preserve">万度，由市政电网接入，备有 </w:t>
      </w:r>
      <w:r>
        <w:rPr>
          <w:rFonts w:ascii="Times New Roman" w:eastAsia="Times New Roman"/>
        </w:rPr>
        <w:t xml:space="preserve">2 </w:t>
      </w:r>
      <w:r>
        <w:rPr>
          <w:spacing w:val="-25"/>
        </w:rPr>
        <w:t xml:space="preserve">台 </w:t>
      </w:r>
      <w:r>
        <w:rPr>
          <w:rFonts w:ascii="Times New Roman" w:eastAsia="Times New Roman"/>
        </w:rPr>
        <w:t xml:space="preserve">350kW </w:t>
      </w:r>
      <w:r>
        <w:t>的柴油发电机，供电有保障。</w:t>
      </w:r>
    </w:p>
    <w:p w14:paraId="512FDECD">
      <w:pPr>
        <w:pStyle w:val="7"/>
        <w:spacing w:line="306" w:lineRule="exact"/>
        <w:ind w:left="760"/>
      </w:pPr>
      <w:r>
        <w:t>（</w:t>
      </w:r>
      <w:r>
        <w:rPr>
          <w:rFonts w:ascii="Times New Roman" w:eastAsia="Times New Roman"/>
        </w:rPr>
        <w:t>4</w:t>
      </w:r>
      <w:r>
        <w:t>）供气</w:t>
      </w:r>
    </w:p>
    <w:p w14:paraId="6A58D4B5">
      <w:pPr>
        <w:pStyle w:val="7"/>
        <w:spacing w:before="160"/>
        <w:ind w:left="760"/>
      </w:pPr>
      <w:r>
        <w:t>项目所需天然气主要为生产及工作人员生活所需，接入乡镇天然气管网。</w:t>
      </w:r>
    </w:p>
    <w:p w14:paraId="6A8FEEC5">
      <w:pPr>
        <w:pStyle w:val="7"/>
        <w:spacing w:before="161"/>
        <w:ind w:left="760"/>
      </w:pPr>
      <w:r>
        <w:t>（</w:t>
      </w:r>
      <w:r>
        <w:rPr>
          <w:rFonts w:ascii="Times New Roman" w:eastAsia="Times New Roman"/>
        </w:rPr>
        <w:t>5</w:t>
      </w:r>
      <w:r>
        <w:t>）供热</w:t>
      </w:r>
    </w:p>
    <w:p w14:paraId="6CD5DE36">
      <w:pPr>
        <w:pStyle w:val="7"/>
        <w:spacing w:before="158"/>
        <w:ind w:left="760"/>
      </w:pPr>
      <w:r>
        <w:t xml:space="preserve">本项目厂区内设 </w:t>
      </w:r>
      <w:r>
        <w:rPr>
          <w:rFonts w:ascii="Times New Roman" w:eastAsia="Times New Roman"/>
        </w:rPr>
        <w:t xml:space="preserve">1 </w:t>
      </w:r>
      <w:r>
        <w:t xml:space="preserve">台 </w:t>
      </w:r>
      <w:r>
        <w:rPr>
          <w:rFonts w:ascii="Times New Roman" w:eastAsia="Times New Roman"/>
        </w:rPr>
        <w:t xml:space="preserve">4t/h </w:t>
      </w:r>
      <w:r>
        <w:t>天然气锅炉，为厂区提供热水及蒸汽。</w:t>
      </w:r>
    </w:p>
    <w:p w14:paraId="585610CC">
      <w:pPr>
        <w:spacing w:after="0"/>
        <w:sectPr>
          <w:pgSz w:w="11910" w:h="16840"/>
          <w:pgMar w:top="1360" w:right="1460" w:bottom="1400" w:left="1520" w:header="878" w:footer="1195" w:gutter="0"/>
          <w:cols w:space="720" w:num="1"/>
        </w:sectPr>
      </w:pPr>
    </w:p>
    <w:p w14:paraId="2474C4E0">
      <w:pPr>
        <w:pStyle w:val="7"/>
        <w:spacing w:before="68"/>
        <w:ind w:left="760"/>
      </w:pPr>
      <w:r>
        <w:t>（</w:t>
      </w:r>
      <w:r>
        <w:rPr>
          <w:rFonts w:ascii="Times New Roman" w:eastAsia="Times New Roman"/>
        </w:rPr>
        <w:t>6</w:t>
      </w:r>
      <w:r>
        <w:t>）制冷</w:t>
      </w:r>
    </w:p>
    <w:p w14:paraId="656E1F51">
      <w:pPr>
        <w:pStyle w:val="7"/>
        <w:spacing w:before="160" w:line="364" w:lineRule="auto"/>
        <w:ind w:left="280" w:right="337" w:firstLine="420"/>
        <w:jc w:val="both"/>
      </w:pPr>
      <w:r>
        <w:t>本项目设置有冷库，冷库均设置有制冷机房。制冷原理可简述为：利用汽化温度较低的液态制冷剂的蒸发，吸收贮藏环境中的热量，从而使库温下降。通过压缩机将汽化后的制冷剂吸回并加压，在冷凝器中制冷剂将吸收的热量传递给冷却介质，使自身温度得以降低、冷凝成液体，然后再进行蒸发吸热，如此循环即可实现连续制冷。</w:t>
      </w:r>
    </w:p>
    <w:p w14:paraId="1CCB9704">
      <w:pPr>
        <w:pStyle w:val="7"/>
        <w:spacing w:line="364" w:lineRule="auto"/>
        <w:ind w:left="280" w:right="337" w:firstLine="420"/>
        <w:jc w:val="both"/>
      </w:pPr>
      <w:r>
        <w:t xml:space="preserve">制冷系统包括 </w:t>
      </w:r>
      <w:r>
        <w:rPr>
          <w:rFonts w:ascii="Times New Roman" w:eastAsia="Times New Roman"/>
        </w:rPr>
        <w:t xml:space="preserve">4 </w:t>
      </w:r>
      <w:r>
        <w:t>个主要部分：压缩机、冷凝器、膨胀阀</w:t>
      </w:r>
      <w:r>
        <w:rPr>
          <w:rFonts w:ascii="Times New Roman" w:eastAsia="Times New Roman"/>
        </w:rPr>
        <w:t>(</w:t>
      </w:r>
      <w:r>
        <w:t>节流原件</w:t>
      </w:r>
      <w:r>
        <w:rPr>
          <w:rFonts w:ascii="Times New Roman" w:eastAsia="Times New Roman"/>
        </w:rPr>
        <w:t>)</w:t>
      </w:r>
      <w:r>
        <w:t>、蒸发器。整个制冷系统由循环管路连接，构成一个密闭的回路。管路内充注制冷剂。压缩机在制冷系统中起着压缩和输送制冷剂气体的作用，即把蒸发器内产生的低压低温气体吸回，再次压缩成为高温高压气体并送入冷凝器。</w:t>
      </w:r>
    </w:p>
    <w:p w14:paraId="3C5D98AF">
      <w:pPr>
        <w:pStyle w:val="7"/>
        <w:spacing w:line="364" w:lineRule="auto"/>
        <w:ind w:left="280" w:right="337" w:firstLine="420"/>
        <w:jc w:val="both"/>
      </w:pPr>
      <w:r>
        <w:t>压缩机：在整个制冷系统中起着心脏的作用，是提供能量补偿的过程。冷凝器和蒸发器是两个热交换器，前者使高压制冷剂的气体放热，并转化为液体</w:t>
      </w:r>
      <w:r>
        <w:rPr>
          <w:rFonts w:ascii="Times New Roman" w:eastAsia="Times New Roman"/>
        </w:rPr>
        <w:t xml:space="preserve">; </w:t>
      </w:r>
      <w:r>
        <w:t>后者使低压制冷剂的液体吸热，并转化为气体。制冷剂在循环往复过程中成为热能的运载工具。</w:t>
      </w:r>
    </w:p>
    <w:p w14:paraId="0B81DDB6">
      <w:pPr>
        <w:pStyle w:val="7"/>
        <w:spacing w:line="364" w:lineRule="auto"/>
        <w:ind w:left="280" w:right="337" w:firstLine="420"/>
        <w:jc w:val="both"/>
      </w:pPr>
      <w:r>
        <w:t>冷凝器：用来对压缩机压入的高温高压气体进行冷却和冷凝，在一定的压力和温度下，把高温高压的气体液化成为常温高压液体。膨胀阀安装在贮液器和蒸发器之间，是系统内高压区和低压区的一个分界点，其作用是将高压液体节流膨胀，变为低压液体，它也是调节和控制制冷剂流量的关卡。在蒸发器中，节流膨胀后的低压制冷剂从库房吸收热量并蒸发为气体，使库温降低，达到制冷的目的。</w:t>
      </w:r>
    </w:p>
    <w:p w14:paraId="503C6561">
      <w:pPr>
        <w:pStyle w:val="7"/>
        <w:spacing w:line="364" w:lineRule="auto"/>
        <w:ind w:left="280" w:right="337" w:firstLine="420"/>
        <w:jc w:val="both"/>
      </w:pPr>
      <w:r>
        <w:t>膨胀阀</w:t>
      </w:r>
      <w:r>
        <w:rPr>
          <w:rFonts w:ascii="Times New Roman" w:eastAsia="Times New Roman"/>
        </w:rPr>
        <w:t>(</w:t>
      </w:r>
      <w:r>
        <w:t>节流原件</w:t>
      </w:r>
      <w:r>
        <w:rPr>
          <w:rFonts w:ascii="Times New Roman" w:eastAsia="Times New Roman"/>
        </w:rPr>
        <w:t>)</w:t>
      </w:r>
      <w:r>
        <w:t>：使中温高压的液体制冷剂通过其节流成为低温低压的湿蒸汽，然后制冷剂在蒸发器中吸收热量达到制冷效果，膨胀阀通过蒸发器末端的过热度变化来控制阀门流量，防止出现蒸发器面积利用不足和敲缸现象。</w:t>
      </w:r>
    </w:p>
    <w:p w14:paraId="16E044E7">
      <w:pPr>
        <w:pStyle w:val="7"/>
        <w:spacing w:line="362" w:lineRule="auto"/>
        <w:ind w:left="280" w:right="337" w:firstLine="420"/>
        <w:jc w:val="both"/>
      </w:pPr>
      <w:r>
        <w:t>蒸发器：低温的冷凝液体通过蒸发器，与外界的空气进行热交换，气化吸热，达到制冷的效果。</w:t>
      </w:r>
    </w:p>
    <w:p w14:paraId="5B08BF0E">
      <w:pPr>
        <w:pStyle w:val="7"/>
        <w:ind w:left="700"/>
      </w:pPr>
      <w:r>
        <w:t xml:space="preserve">项目使用 </w:t>
      </w:r>
      <w:r>
        <w:rPr>
          <w:rFonts w:ascii="Times New Roman" w:eastAsia="Times New Roman"/>
        </w:rPr>
        <w:t xml:space="preserve">R507 </w:t>
      </w:r>
      <w:r>
        <w:t xml:space="preserve">作为制冷剂， </w:t>
      </w:r>
      <w:r>
        <w:rPr>
          <w:rFonts w:ascii="Times New Roman" w:eastAsia="Times New Roman"/>
        </w:rPr>
        <w:t xml:space="preserve">R507 </w:t>
      </w:r>
      <w:r>
        <w:t xml:space="preserve">是新型替代 </w:t>
      </w:r>
      <w:r>
        <w:rPr>
          <w:rFonts w:ascii="Times New Roman" w:eastAsia="Times New Roman"/>
        </w:rPr>
        <w:t xml:space="preserve">R502 </w:t>
      </w:r>
      <w:r>
        <w:t>的环保制冷剂， 由</w:t>
      </w:r>
    </w:p>
    <w:p w14:paraId="7B7303E7">
      <w:pPr>
        <w:pStyle w:val="7"/>
        <w:spacing w:before="153" w:line="364" w:lineRule="auto"/>
        <w:ind w:left="280" w:right="337"/>
        <w:jc w:val="both"/>
      </w:pPr>
      <w:r>
        <w:rPr>
          <w:rFonts w:ascii="Times New Roman" w:eastAsia="Times New Roman"/>
        </w:rPr>
        <w:t xml:space="preserve">R125 </w:t>
      </w:r>
      <w:r>
        <w:t>制冷剂</w:t>
      </w:r>
      <w:r>
        <w:rPr>
          <w:rFonts w:ascii="Times New Roman" w:eastAsia="Times New Roman"/>
        </w:rPr>
        <w:t xml:space="preserve">/ R143 </w:t>
      </w:r>
      <w:r>
        <w:t>制冷剂混合而成，是一种不破坏臭氧层的环保制冷剂，具有</w:t>
      </w:r>
      <w:r>
        <w:rPr>
          <w:spacing w:val="5"/>
        </w:rPr>
        <w:t>优异的传热性能和低毒性，适用于中低温的新型商用制冷设备</w:t>
      </w:r>
      <w:r>
        <w:rPr>
          <w:rFonts w:ascii="Times New Roman" w:eastAsia="Times New Roman"/>
          <w:spacing w:val="6"/>
        </w:rPr>
        <w:t>(</w:t>
      </w:r>
      <w:r>
        <w:rPr>
          <w:spacing w:val="5"/>
        </w:rPr>
        <w:t>超市冷冻冷藏柜、冷库、陈列展示柜、运输</w:t>
      </w:r>
      <w:r>
        <w:rPr>
          <w:rFonts w:ascii="Times New Roman" w:eastAsia="Times New Roman"/>
          <w:spacing w:val="2"/>
        </w:rPr>
        <w:t>)</w:t>
      </w:r>
      <w:r>
        <w:t>、制冰设备、交通运输制冷设备、船用制冷设备</w:t>
      </w:r>
      <w:r>
        <w:rPr>
          <w:spacing w:val="-2"/>
        </w:rPr>
        <w:t xml:space="preserve">等。按照生态环境部、国家发展和改革委员会、工业和信息化部于 </w:t>
      </w:r>
      <w:r>
        <w:rPr>
          <w:rFonts w:ascii="Times New Roman" w:eastAsia="Times New Roman"/>
        </w:rPr>
        <w:t xml:space="preserve">2021 </w:t>
      </w:r>
      <w:r>
        <w:rPr>
          <w:spacing w:val="-24"/>
        </w:rPr>
        <w:t xml:space="preserve">年 </w:t>
      </w:r>
      <w:r>
        <w:rPr>
          <w:rFonts w:ascii="Times New Roman" w:eastAsia="Times New Roman"/>
        </w:rPr>
        <w:t xml:space="preserve">9 </w:t>
      </w:r>
      <w:r>
        <w:t>月</w:t>
      </w:r>
    </w:p>
    <w:p w14:paraId="1B56D0A9">
      <w:pPr>
        <w:spacing w:after="0" w:line="364" w:lineRule="auto"/>
        <w:jc w:val="both"/>
        <w:sectPr>
          <w:pgSz w:w="11910" w:h="16840"/>
          <w:pgMar w:top="1360" w:right="1460" w:bottom="1400" w:left="1520" w:header="878" w:footer="1195" w:gutter="0"/>
          <w:cols w:space="720" w:num="1"/>
        </w:sectPr>
      </w:pPr>
    </w:p>
    <w:p w14:paraId="68411D0B">
      <w:pPr>
        <w:pStyle w:val="7"/>
        <w:spacing w:before="68"/>
        <w:ind w:left="280"/>
      </w:pPr>
      <w:r>
        <w:rPr>
          <w:rFonts w:ascii="Times New Roman" w:hAnsi="Times New Roman" w:eastAsia="Times New Roman"/>
        </w:rPr>
        <w:t xml:space="preserve">29 </w:t>
      </w:r>
      <w:r>
        <w:t>日联合发布的“关于发布《中国受控消耗臭氧层物质清单》的公告”</w:t>
      </w:r>
      <w:r>
        <w:rPr>
          <w:rFonts w:ascii="Times New Roman" w:hAnsi="Times New Roman" w:eastAsia="Times New Roman"/>
        </w:rPr>
        <w:t>(</w:t>
      </w:r>
      <w:r>
        <w:t>公告</w:t>
      </w:r>
    </w:p>
    <w:p w14:paraId="3592568B">
      <w:pPr>
        <w:pStyle w:val="7"/>
        <w:spacing w:before="160" w:line="364" w:lineRule="auto"/>
        <w:ind w:left="280" w:right="341"/>
        <w:jc w:val="both"/>
      </w:pPr>
      <w:r>
        <w:rPr>
          <w:rFonts w:ascii="Times New Roman" w:eastAsia="Times New Roman"/>
        </w:rPr>
        <w:t>2021</w:t>
      </w:r>
      <w:r>
        <w:rPr>
          <w:rFonts w:ascii="Times New Roman" w:eastAsia="Times New Roman"/>
          <w:spacing w:val="-10"/>
        </w:rPr>
        <w:t xml:space="preserve"> </w:t>
      </w:r>
      <w:r>
        <w:rPr>
          <w:spacing w:val="-19"/>
        </w:rPr>
        <w:t xml:space="preserve">年第 </w:t>
      </w:r>
      <w:r>
        <w:rPr>
          <w:rFonts w:ascii="Times New Roman" w:eastAsia="Times New Roman"/>
        </w:rPr>
        <w:t>42</w:t>
      </w:r>
      <w:r>
        <w:rPr>
          <w:rFonts w:ascii="Times New Roman" w:eastAsia="Times New Roman"/>
          <w:spacing w:val="-10"/>
        </w:rPr>
        <w:t xml:space="preserve"> </w:t>
      </w:r>
      <w:r>
        <w:t>号</w:t>
      </w:r>
      <w:r>
        <w:rPr>
          <w:rFonts w:ascii="Times New Roman" w:eastAsia="Times New Roman"/>
        </w:rPr>
        <w:t>)</w:t>
      </w:r>
      <w:r>
        <w:t>，</w:t>
      </w:r>
      <w:r>
        <w:rPr>
          <w:rFonts w:ascii="Times New Roman" w:eastAsia="Times New Roman"/>
        </w:rPr>
        <w:t>R125</w:t>
      </w:r>
      <w:r>
        <w:rPr>
          <w:rFonts w:ascii="Times New Roman" w:eastAsia="Times New Roman"/>
          <w:spacing w:val="-10"/>
        </w:rPr>
        <w:t xml:space="preserve"> </w:t>
      </w:r>
      <w:r>
        <w:rPr>
          <w:spacing w:val="-28"/>
        </w:rPr>
        <w:t xml:space="preserve">和 </w:t>
      </w:r>
      <w:r>
        <w:rPr>
          <w:rFonts w:ascii="Times New Roman" w:eastAsia="Times New Roman"/>
        </w:rPr>
        <w:t>R143</w:t>
      </w:r>
      <w:r>
        <w:rPr>
          <w:rFonts w:ascii="Times New Roman" w:eastAsia="Times New Roman"/>
          <w:spacing w:val="-11"/>
        </w:rPr>
        <w:t xml:space="preserve"> </w:t>
      </w:r>
      <w:r>
        <w:t>的消耗臭氧潜能值（</w:t>
      </w:r>
      <w:r>
        <w:rPr>
          <w:rFonts w:ascii="Times New Roman" w:eastAsia="Times New Roman"/>
        </w:rPr>
        <w:t>ODP</w:t>
      </w:r>
      <w:r>
        <w:t>）</w:t>
      </w:r>
      <w:r>
        <w:rPr>
          <w:spacing w:val="-19"/>
        </w:rPr>
        <w:t xml:space="preserve">均为 </w:t>
      </w:r>
      <w:r>
        <w:rPr>
          <w:rFonts w:ascii="Times New Roman" w:eastAsia="Times New Roman"/>
        </w:rPr>
        <w:t>0</w:t>
      </w:r>
      <w:r>
        <w:t>，</w:t>
      </w:r>
      <w:r>
        <w:rPr>
          <w:rFonts w:ascii="Times New Roman" w:eastAsia="Times New Roman"/>
        </w:rPr>
        <w:t>100</w:t>
      </w:r>
      <w:r>
        <w:rPr>
          <w:rFonts w:ascii="Times New Roman" w:eastAsia="Times New Roman"/>
          <w:spacing w:val="-8"/>
        </w:rPr>
        <w:t xml:space="preserve"> </w:t>
      </w:r>
      <w:r>
        <w:t>年全球升温潜能值（</w:t>
      </w:r>
      <w:r>
        <w:rPr>
          <w:rFonts w:ascii="Times New Roman" w:eastAsia="Times New Roman"/>
        </w:rPr>
        <w:t>GWP</w:t>
      </w:r>
      <w:r>
        <w:t>）</w:t>
      </w:r>
      <w:r>
        <w:rPr>
          <w:spacing w:val="-13"/>
        </w:rPr>
        <w:t xml:space="preserve">分别为 </w:t>
      </w:r>
      <w:r>
        <w:rPr>
          <w:rFonts w:ascii="Times New Roman" w:eastAsia="Times New Roman"/>
        </w:rPr>
        <w:t>3500</w:t>
      </w:r>
      <w:r>
        <w:rPr>
          <w:rFonts w:ascii="Times New Roman" w:eastAsia="Times New Roman"/>
          <w:spacing w:val="-5"/>
        </w:rPr>
        <w:t xml:space="preserve"> </w:t>
      </w:r>
      <w:r>
        <w:rPr>
          <w:spacing w:val="-26"/>
        </w:rPr>
        <w:t xml:space="preserve">和 </w:t>
      </w:r>
      <w:r>
        <w:rPr>
          <w:rFonts w:ascii="Times New Roman" w:eastAsia="Times New Roman"/>
        </w:rPr>
        <w:t>4470</w:t>
      </w:r>
      <w:r>
        <w:rPr>
          <w:spacing w:val="-6"/>
        </w:rPr>
        <w:t xml:space="preserve">，其生产和使用应于 </w:t>
      </w:r>
      <w:r>
        <w:rPr>
          <w:rFonts w:ascii="Times New Roman" w:eastAsia="Times New Roman"/>
        </w:rPr>
        <w:t>2024</w:t>
      </w:r>
      <w:r>
        <w:rPr>
          <w:rFonts w:ascii="Times New Roman" w:eastAsia="Times New Roman"/>
          <w:spacing w:val="-5"/>
        </w:rPr>
        <w:t xml:space="preserve"> </w:t>
      </w:r>
      <w:r>
        <w:t>年应冻结在</w:t>
      </w:r>
      <w:r>
        <w:rPr>
          <w:spacing w:val="25"/>
        </w:rPr>
        <w:t>基线水平</w:t>
      </w:r>
      <w:r>
        <w:t>（</w:t>
      </w:r>
      <w:r>
        <w:rPr>
          <w:spacing w:val="-5"/>
        </w:rPr>
        <w:t xml:space="preserve"> 基线水平为 </w:t>
      </w:r>
      <w:r>
        <w:rPr>
          <w:rFonts w:ascii="Times New Roman" w:eastAsia="Times New Roman"/>
        </w:rPr>
        <w:t>2020-2022</w:t>
      </w:r>
      <w:r>
        <w:rPr>
          <w:rFonts w:ascii="Times New Roman" w:eastAsia="Times New Roman"/>
          <w:spacing w:val="16"/>
        </w:rPr>
        <w:t xml:space="preserve"> </w:t>
      </w:r>
      <w:r>
        <w:rPr>
          <w:spacing w:val="-17"/>
        </w:rPr>
        <w:t xml:space="preserve">年 </w:t>
      </w:r>
      <w:r>
        <w:rPr>
          <w:rFonts w:ascii="Times New Roman" w:eastAsia="Times New Roman"/>
        </w:rPr>
        <w:t>HFCs</w:t>
      </w:r>
      <w:r>
        <w:rPr>
          <w:rFonts w:ascii="Times New Roman" w:eastAsia="Times New Roman"/>
          <w:spacing w:val="17"/>
        </w:rPr>
        <w:t xml:space="preserve"> </w:t>
      </w:r>
      <w:r>
        <w:rPr>
          <w:spacing w:val="10"/>
        </w:rPr>
        <w:t xml:space="preserve">平均值加上 </w:t>
      </w:r>
      <w:r>
        <w:rPr>
          <w:rFonts w:ascii="Times New Roman" w:eastAsia="Times New Roman"/>
        </w:rPr>
        <w:t>HCFCs</w:t>
      </w:r>
      <w:r>
        <w:rPr>
          <w:rFonts w:ascii="Times New Roman" w:eastAsia="Times New Roman"/>
          <w:spacing w:val="15"/>
        </w:rPr>
        <w:t xml:space="preserve"> </w:t>
      </w:r>
      <w:r>
        <w:rPr>
          <w:spacing w:val="20"/>
        </w:rPr>
        <w:t>基线水平的</w:t>
      </w:r>
    </w:p>
    <w:p w14:paraId="05E8331D">
      <w:pPr>
        <w:pStyle w:val="7"/>
        <w:spacing w:line="364" w:lineRule="auto"/>
        <w:ind w:left="280" w:right="337"/>
        <w:jc w:val="both"/>
      </w:pPr>
      <w:r>
        <w:rPr>
          <w:rFonts w:ascii="Times New Roman" w:eastAsia="Times New Roman"/>
        </w:rPr>
        <w:t>65%</w:t>
      </w:r>
      <w:r>
        <w:t>，以二氧化碳当量为单位计算），</w:t>
      </w:r>
      <w:r>
        <w:rPr>
          <w:rFonts w:ascii="Times New Roman" w:eastAsia="Times New Roman"/>
        </w:rPr>
        <w:t>2029</w:t>
      </w:r>
      <w:r>
        <w:rPr>
          <w:rFonts w:ascii="Times New Roman" w:eastAsia="Times New Roman"/>
          <w:spacing w:val="-7"/>
        </w:rPr>
        <w:t xml:space="preserve"> </w:t>
      </w:r>
      <w:r>
        <w:rPr>
          <w:spacing w:val="-6"/>
        </w:rPr>
        <w:t xml:space="preserve">年在冻结水平上削减 </w:t>
      </w:r>
      <w:r>
        <w:rPr>
          <w:rFonts w:ascii="Times New Roman" w:eastAsia="Times New Roman"/>
        </w:rPr>
        <w:t>10</w:t>
      </w:r>
      <w:r>
        <w:t>％，</w:t>
      </w:r>
      <w:r>
        <w:rPr>
          <w:rFonts w:ascii="Times New Roman" w:eastAsia="Times New Roman"/>
        </w:rPr>
        <w:t>2035</w:t>
      </w:r>
      <w:r>
        <w:rPr>
          <w:rFonts w:ascii="Times New Roman" w:eastAsia="Times New Roman"/>
          <w:spacing w:val="-4"/>
        </w:rPr>
        <w:t xml:space="preserve"> </w:t>
      </w:r>
      <w:r>
        <w:t>年</w:t>
      </w:r>
      <w:r>
        <w:rPr>
          <w:spacing w:val="-20"/>
        </w:rPr>
        <w:t xml:space="preserve">削减 </w:t>
      </w:r>
      <w:r>
        <w:rPr>
          <w:rFonts w:ascii="Times New Roman" w:eastAsia="Times New Roman"/>
        </w:rPr>
        <w:t>30</w:t>
      </w:r>
      <w:r>
        <w:t>％，</w:t>
      </w:r>
      <w:r>
        <w:rPr>
          <w:rFonts w:ascii="Times New Roman" w:eastAsia="Times New Roman"/>
        </w:rPr>
        <w:t>2040</w:t>
      </w:r>
      <w:r>
        <w:rPr>
          <w:rFonts w:ascii="Times New Roman" w:eastAsia="Times New Roman"/>
          <w:spacing w:val="-12"/>
        </w:rPr>
        <w:t xml:space="preserve"> </w:t>
      </w:r>
      <w:r>
        <w:rPr>
          <w:spacing w:val="-15"/>
        </w:rPr>
        <w:t xml:space="preserve">年削减 </w:t>
      </w:r>
      <w:r>
        <w:rPr>
          <w:rFonts w:ascii="Times New Roman" w:eastAsia="Times New Roman"/>
        </w:rPr>
        <w:t>50</w:t>
      </w:r>
      <w:r>
        <w:t>％，</w:t>
      </w:r>
      <w:r>
        <w:rPr>
          <w:rFonts w:ascii="Times New Roman" w:eastAsia="Times New Roman"/>
        </w:rPr>
        <w:t>2045</w:t>
      </w:r>
      <w:r>
        <w:rPr>
          <w:rFonts w:ascii="Times New Roman" w:eastAsia="Times New Roman"/>
          <w:spacing w:val="-12"/>
        </w:rPr>
        <w:t xml:space="preserve"> </w:t>
      </w:r>
      <w:r>
        <w:rPr>
          <w:spacing w:val="-15"/>
        </w:rPr>
        <w:t xml:space="preserve">年削减 </w:t>
      </w:r>
      <w:r>
        <w:rPr>
          <w:rFonts w:ascii="Times New Roman" w:eastAsia="Times New Roman"/>
        </w:rPr>
        <w:t>80%</w:t>
      </w:r>
      <w:r>
        <w:rPr>
          <w:spacing w:val="-15"/>
        </w:rPr>
        <w:t xml:space="preserve">。因此 </w:t>
      </w:r>
      <w:r>
        <w:rPr>
          <w:rFonts w:ascii="Times New Roman" w:eastAsia="Times New Roman"/>
        </w:rPr>
        <w:t>R507</w:t>
      </w:r>
      <w:r>
        <w:rPr>
          <w:rFonts w:ascii="Times New Roman" w:eastAsia="Times New Roman"/>
          <w:spacing w:val="-15"/>
        </w:rPr>
        <w:t xml:space="preserve"> </w:t>
      </w:r>
      <w:r>
        <w:t>作为制冷剂在现阶段仍可依法使用，但使用单位应积极谋求逐步减少使用量直至替换。</w:t>
      </w:r>
    </w:p>
    <w:p w14:paraId="2C27FD39">
      <w:pPr>
        <w:pStyle w:val="13"/>
        <w:numPr>
          <w:ilvl w:val="2"/>
          <w:numId w:val="13"/>
        </w:numPr>
        <w:tabs>
          <w:tab w:val="left" w:pos="900"/>
        </w:tabs>
        <w:spacing w:before="0" w:after="0" w:line="240" w:lineRule="auto"/>
        <w:ind w:left="899" w:right="0" w:hanging="619"/>
        <w:jc w:val="both"/>
        <w:rPr>
          <w:b/>
          <w:sz w:val="28"/>
        </w:rPr>
      </w:pPr>
      <w:bookmarkStart w:id="107" w:name="3.6.3有关平衡"/>
      <w:bookmarkEnd w:id="107"/>
      <w:bookmarkStart w:id="108" w:name="3.6.3有关平衡"/>
      <w:bookmarkEnd w:id="108"/>
      <w:r>
        <w:rPr>
          <w:b/>
          <w:sz w:val="28"/>
        </w:rPr>
        <w:t>有关平衡</w:t>
      </w:r>
    </w:p>
    <w:p w14:paraId="7465B5E4">
      <w:pPr>
        <w:pStyle w:val="6"/>
        <w:numPr>
          <w:ilvl w:val="3"/>
          <w:numId w:val="13"/>
        </w:numPr>
        <w:tabs>
          <w:tab w:val="left" w:pos="1471"/>
        </w:tabs>
        <w:spacing w:before="183" w:after="0" w:line="240" w:lineRule="auto"/>
        <w:ind w:left="1470" w:right="0" w:hanging="710"/>
        <w:jc w:val="left"/>
      </w:pPr>
      <w:r>
        <w:t>物料平衡分析</w:t>
      </w:r>
    </w:p>
    <w:p w14:paraId="3BB8D261">
      <w:pPr>
        <w:pStyle w:val="7"/>
        <w:spacing w:before="158"/>
        <w:ind w:left="760"/>
      </w:pPr>
      <w:r>
        <w:t>项目主要生产工艺物料平衡见下表。</w:t>
      </w:r>
    </w:p>
    <w:p w14:paraId="185C0259">
      <w:pPr>
        <w:spacing w:before="159" w:after="4"/>
        <w:ind w:left="262" w:right="324" w:firstLine="0"/>
        <w:jc w:val="center"/>
        <w:rPr>
          <w:b/>
          <w:sz w:val="21"/>
        </w:rPr>
      </w:pPr>
      <w:r>
        <w:rPr>
          <w:b/>
          <w:sz w:val="21"/>
        </w:rPr>
        <w:t xml:space="preserve">表 </w:t>
      </w:r>
      <w:r>
        <w:rPr>
          <w:rFonts w:ascii="Times New Roman" w:eastAsia="Times New Roman"/>
          <w:b/>
          <w:sz w:val="21"/>
        </w:rPr>
        <w:t xml:space="preserve">3.6- 1 </w:t>
      </w:r>
      <w:r>
        <w:rPr>
          <w:b/>
          <w:sz w:val="21"/>
        </w:rPr>
        <w:t>屠宰加工过程物料平衡表</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846"/>
        <w:gridCol w:w="1472"/>
        <w:gridCol w:w="2827"/>
        <w:gridCol w:w="846"/>
        <w:gridCol w:w="1635"/>
      </w:tblGrid>
      <w:tr w14:paraId="1BB58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42" w:type="dxa"/>
            <w:gridSpan w:val="2"/>
          </w:tcPr>
          <w:p w14:paraId="05159C08">
            <w:pPr>
              <w:pStyle w:val="14"/>
              <w:spacing w:before="90"/>
              <w:ind w:left="330"/>
              <w:rPr>
                <w:b/>
                <w:sz w:val="21"/>
              </w:rPr>
            </w:pPr>
            <w:r>
              <w:rPr>
                <w:b/>
                <w:sz w:val="21"/>
              </w:rPr>
              <w:t>入方（</w:t>
            </w:r>
            <w:r>
              <w:rPr>
                <w:rFonts w:ascii="Times New Roman" w:eastAsia="Times New Roman"/>
                <w:b/>
                <w:sz w:val="21"/>
              </w:rPr>
              <w:t>t/a</w:t>
            </w:r>
            <w:r>
              <w:rPr>
                <w:b/>
                <w:sz w:val="21"/>
              </w:rPr>
              <w:t>）</w:t>
            </w:r>
          </w:p>
        </w:tc>
        <w:tc>
          <w:tcPr>
            <w:tcW w:w="6780" w:type="dxa"/>
            <w:gridSpan w:val="4"/>
          </w:tcPr>
          <w:p w14:paraId="49BC64D4">
            <w:pPr>
              <w:pStyle w:val="14"/>
              <w:spacing w:before="90"/>
              <w:ind w:left="2829" w:right="2824"/>
              <w:jc w:val="center"/>
              <w:rPr>
                <w:b/>
                <w:sz w:val="21"/>
              </w:rPr>
            </w:pPr>
            <w:r>
              <w:rPr>
                <w:b/>
                <w:sz w:val="21"/>
              </w:rPr>
              <w:t>出方（</w:t>
            </w:r>
            <w:r>
              <w:rPr>
                <w:rFonts w:ascii="Times New Roman" w:eastAsia="Times New Roman"/>
                <w:b/>
                <w:sz w:val="21"/>
              </w:rPr>
              <w:t>t/a</w:t>
            </w:r>
            <w:r>
              <w:rPr>
                <w:b/>
                <w:sz w:val="21"/>
              </w:rPr>
              <w:t>）</w:t>
            </w:r>
          </w:p>
        </w:tc>
      </w:tr>
      <w:tr w14:paraId="1C51D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96" w:type="dxa"/>
          </w:tcPr>
          <w:p w14:paraId="173F83BC">
            <w:pPr>
              <w:pStyle w:val="14"/>
              <w:ind w:left="111" w:right="105"/>
              <w:jc w:val="center"/>
              <w:rPr>
                <w:sz w:val="21"/>
              </w:rPr>
            </w:pPr>
            <w:r>
              <w:rPr>
                <w:sz w:val="21"/>
              </w:rPr>
              <w:t>物料名</w:t>
            </w:r>
          </w:p>
          <w:p w14:paraId="302FF879">
            <w:pPr>
              <w:pStyle w:val="14"/>
              <w:spacing w:before="2" w:line="253" w:lineRule="exact"/>
              <w:ind w:left="8"/>
              <w:jc w:val="center"/>
              <w:rPr>
                <w:sz w:val="21"/>
              </w:rPr>
            </w:pPr>
            <w:r>
              <w:rPr>
                <w:w w:val="99"/>
                <w:sz w:val="21"/>
              </w:rPr>
              <w:t>称</w:t>
            </w:r>
          </w:p>
        </w:tc>
        <w:tc>
          <w:tcPr>
            <w:tcW w:w="846" w:type="dxa"/>
          </w:tcPr>
          <w:p w14:paraId="0A20424E">
            <w:pPr>
              <w:pStyle w:val="14"/>
              <w:spacing w:before="135"/>
              <w:ind w:left="84" w:right="78"/>
              <w:jc w:val="center"/>
              <w:rPr>
                <w:sz w:val="21"/>
              </w:rPr>
            </w:pPr>
            <w:r>
              <w:rPr>
                <w:sz w:val="21"/>
              </w:rPr>
              <w:t>数量</w:t>
            </w:r>
          </w:p>
        </w:tc>
        <w:tc>
          <w:tcPr>
            <w:tcW w:w="4299" w:type="dxa"/>
            <w:gridSpan w:val="2"/>
          </w:tcPr>
          <w:p w14:paraId="1EEB26AC">
            <w:pPr>
              <w:pStyle w:val="14"/>
              <w:spacing w:before="135"/>
              <w:ind w:left="1707" w:right="1702"/>
              <w:jc w:val="center"/>
              <w:rPr>
                <w:sz w:val="21"/>
              </w:rPr>
            </w:pPr>
            <w:r>
              <w:rPr>
                <w:sz w:val="21"/>
              </w:rPr>
              <w:t>物料名称</w:t>
            </w:r>
          </w:p>
        </w:tc>
        <w:tc>
          <w:tcPr>
            <w:tcW w:w="846" w:type="dxa"/>
          </w:tcPr>
          <w:p w14:paraId="3F610041">
            <w:pPr>
              <w:pStyle w:val="14"/>
              <w:spacing w:before="135"/>
              <w:ind w:right="203"/>
              <w:jc w:val="right"/>
              <w:rPr>
                <w:sz w:val="21"/>
              </w:rPr>
            </w:pPr>
            <w:r>
              <w:rPr>
                <w:w w:val="95"/>
                <w:sz w:val="21"/>
              </w:rPr>
              <w:t>数量</w:t>
            </w:r>
          </w:p>
        </w:tc>
        <w:tc>
          <w:tcPr>
            <w:tcW w:w="1635" w:type="dxa"/>
          </w:tcPr>
          <w:p w14:paraId="6946D7DD">
            <w:pPr>
              <w:pStyle w:val="14"/>
              <w:spacing w:before="135"/>
              <w:ind w:left="270" w:right="262"/>
              <w:jc w:val="center"/>
              <w:rPr>
                <w:sz w:val="21"/>
              </w:rPr>
            </w:pPr>
            <w:r>
              <w:rPr>
                <w:sz w:val="21"/>
              </w:rPr>
              <w:t>百分比</w:t>
            </w:r>
          </w:p>
        </w:tc>
      </w:tr>
      <w:tr w14:paraId="2ED2E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96" w:type="dxa"/>
            <w:vMerge w:val="restart"/>
          </w:tcPr>
          <w:p w14:paraId="25BECBEE">
            <w:pPr>
              <w:pStyle w:val="14"/>
              <w:rPr>
                <w:b/>
                <w:sz w:val="20"/>
              </w:rPr>
            </w:pPr>
          </w:p>
          <w:p w14:paraId="09F6B56D">
            <w:pPr>
              <w:pStyle w:val="14"/>
              <w:rPr>
                <w:b/>
                <w:sz w:val="20"/>
              </w:rPr>
            </w:pPr>
          </w:p>
          <w:p w14:paraId="14285CB6">
            <w:pPr>
              <w:pStyle w:val="14"/>
              <w:rPr>
                <w:b/>
                <w:sz w:val="20"/>
              </w:rPr>
            </w:pPr>
          </w:p>
          <w:p w14:paraId="49CAF104">
            <w:pPr>
              <w:pStyle w:val="14"/>
              <w:rPr>
                <w:b/>
                <w:sz w:val="20"/>
              </w:rPr>
            </w:pPr>
          </w:p>
          <w:p w14:paraId="2F2C4D2E">
            <w:pPr>
              <w:pStyle w:val="14"/>
              <w:rPr>
                <w:b/>
                <w:sz w:val="20"/>
              </w:rPr>
            </w:pPr>
          </w:p>
          <w:p w14:paraId="19F2FB83">
            <w:pPr>
              <w:pStyle w:val="14"/>
              <w:spacing w:before="10"/>
              <w:rPr>
                <w:b/>
                <w:sz w:val="23"/>
              </w:rPr>
            </w:pPr>
          </w:p>
          <w:p w14:paraId="3393A729">
            <w:pPr>
              <w:pStyle w:val="14"/>
              <w:ind w:left="237"/>
              <w:rPr>
                <w:sz w:val="21"/>
              </w:rPr>
            </w:pPr>
            <w:r>
              <w:rPr>
                <w:sz w:val="21"/>
              </w:rPr>
              <w:t>生猪</w:t>
            </w:r>
          </w:p>
        </w:tc>
        <w:tc>
          <w:tcPr>
            <w:tcW w:w="846" w:type="dxa"/>
            <w:vMerge w:val="restart"/>
          </w:tcPr>
          <w:p w14:paraId="1C5D5CAD">
            <w:pPr>
              <w:pStyle w:val="14"/>
              <w:rPr>
                <w:b/>
                <w:sz w:val="22"/>
              </w:rPr>
            </w:pPr>
          </w:p>
          <w:p w14:paraId="42168591">
            <w:pPr>
              <w:pStyle w:val="14"/>
              <w:rPr>
                <w:b/>
                <w:sz w:val="22"/>
              </w:rPr>
            </w:pPr>
          </w:p>
          <w:p w14:paraId="79EA58BE">
            <w:pPr>
              <w:pStyle w:val="14"/>
              <w:rPr>
                <w:b/>
                <w:sz w:val="22"/>
              </w:rPr>
            </w:pPr>
          </w:p>
          <w:p w14:paraId="511F55E6">
            <w:pPr>
              <w:pStyle w:val="14"/>
              <w:rPr>
                <w:b/>
                <w:sz w:val="22"/>
              </w:rPr>
            </w:pPr>
          </w:p>
          <w:p w14:paraId="64C317AA">
            <w:pPr>
              <w:pStyle w:val="14"/>
              <w:rPr>
                <w:b/>
                <w:sz w:val="22"/>
              </w:rPr>
            </w:pPr>
          </w:p>
          <w:p w14:paraId="3F3E7CF8">
            <w:pPr>
              <w:pStyle w:val="14"/>
              <w:spacing w:before="193"/>
              <w:ind w:left="159"/>
              <w:rPr>
                <w:rFonts w:ascii="Times New Roman"/>
                <w:sz w:val="21"/>
              </w:rPr>
            </w:pPr>
            <w:r>
              <w:rPr>
                <w:rFonts w:ascii="Times New Roman"/>
                <w:sz w:val="21"/>
              </w:rPr>
              <w:t>44000</w:t>
            </w:r>
          </w:p>
        </w:tc>
        <w:tc>
          <w:tcPr>
            <w:tcW w:w="1472" w:type="dxa"/>
            <w:vMerge w:val="restart"/>
          </w:tcPr>
          <w:p w14:paraId="7689396D">
            <w:pPr>
              <w:pStyle w:val="14"/>
              <w:spacing w:before="12"/>
              <w:rPr>
                <w:b/>
                <w:sz w:val="17"/>
              </w:rPr>
            </w:pPr>
          </w:p>
          <w:p w14:paraId="3BDC0EE6">
            <w:pPr>
              <w:pStyle w:val="14"/>
              <w:ind w:left="242" w:right="235"/>
              <w:jc w:val="center"/>
              <w:rPr>
                <w:sz w:val="21"/>
              </w:rPr>
            </w:pPr>
            <w:r>
              <w:rPr>
                <w:sz w:val="21"/>
              </w:rPr>
              <w:t>产品</w:t>
            </w:r>
          </w:p>
          <w:p w14:paraId="1C61E004">
            <w:pPr>
              <w:pStyle w:val="14"/>
              <w:spacing w:before="5"/>
              <w:ind w:left="242" w:right="235"/>
              <w:jc w:val="center"/>
              <w:rPr>
                <w:sz w:val="21"/>
              </w:rPr>
            </w:pPr>
            <w:r>
              <w:rPr>
                <w:sz w:val="21"/>
              </w:rPr>
              <w:t>（</w:t>
            </w:r>
            <w:r>
              <w:rPr>
                <w:rFonts w:ascii="Times New Roman" w:eastAsia="Times New Roman"/>
                <w:sz w:val="21"/>
              </w:rPr>
              <w:t>41800</w:t>
            </w:r>
            <w:r>
              <w:rPr>
                <w:sz w:val="21"/>
              </w:rPr>
              <w:t>）</w:t>
            </w:r>
          </w:p>
        </w:tc>
        <w:tc>
          <w:tcPr>
            <w:tcW w:w="2827" w:type="dxa"/>
          </w:tcPr>
          <w:p w14:paraId="2C15CEF3">
            <w:pPr>
              <w:pStyle w:val="14"/>
              <w:spacing w:before="91"/>
              <w:ind w:left="131" w:right="122"/>
              <w:jc w:val="center"/>
              <w:rPr>
                <w:sz w:val="21"/>
              </w:rPr>
            </w:pPr>
            <w:r>
              <w:rPr>
                <w:sz w:val="21"/>
              </w:rPr>
              <w:t>白条肉</w:t>
            </w:r>
          </w:p>
        </w:tc>
        <w:tc>
          <w:tcPr>
            <w:tcW w:w="846" w:type="dxa"/>
          </w:tcPr>
          <w:p w14:paraId="557A8A82">
            <w:pPr>
              <w:pStyle w:val="14"/>
              <w:spacing w:before="105"/>
              <w:ind w:right="149"/>
              <w:jc w:val="right"/>
              <w:rPr>
                <w:rFonts w:ascii="Times New Roman"/>
                <w:sz w:val="21"/>
              </w:rPr>
            </w:pPr>
            <w:r>
              <w:rPr>
                <w:rFonts w:ascii="Times New Roman"/>
                <w:w w:val="95"/>
                <w:sz w:val="21"/>
              </w:rPr>
              <w:t>35200</w:t>
            </w:r>
          </w:p>
        </w:tc>
        <w:tc>
          <w:tcPr>
            <w:tcW w:w="1635" w:type="dxa"/>
          </w:tcPr>
          <w:p w14:paraId="6FCC1E74">
            <w:pPr>
              <w:pStyle w:val="14"/>
              <w:spacing w:before="105"/>
              <w:ind w:left="270" w:right="261"/>
              <w:jc w:val="center"/>
              <w:rPr>
                <w:rFonts w:ascii="Times New Roman"/>
                <w:sz w:val="21"/>
              </w:rPr>
            </w:pPr>
            <w:r>
              <w:rPr>
                <w:rFonts w:ascii="Times New Roman"/>
                <w:sz w:val="21"/>
              </w:rPr>
              <w:t>80%</w:t>
            </w:r>
          </w:p>
        </w:tc>
      </w:tr>
      <w:tr w14:paraId="26173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96" w:type="dxa"/>
            <w:vMerge w:val="continue"/>
            <w:tcBorders>
              <w:top w:val="nil"/>
            </w:tcBorders>
          </w:tcPr>
          <w:p w14:paraId="28B96DFD">
            <w:pPr>
              <w:rPr>
                <w:sz w:val="2"/>
                <w:szCs w:val="2"/>
              </w:rPr>
            </w:pPr>
          </w:p>
        </w:tc>
        <w:tc>
          <w:tcPr>
            <w:tcW w:w="846" w:type="dxa"/>
            <w:vMerge w:val="continue"/>
            <w:tcBorders>
              <w:top w:val="nil"/>
            </w:tcBorders>
          </w:tcPr>
          <w:p w14:paraId="44F6D586">
            <w:pPr>
              <w:rPr>
                <w:sz w:val="2"/>
                <w:szCs w:val="2"/>
              </w:rPr>
            </w:pPr>
          </w:p>
        </w:tc>
        <w:tc>
          <w:tcPr>
            <w:tcW w:w="1472" w:type="dxa"/>
            <w:vMerge w:val="continue"/>
            <w:tcBorders>
              <w:top w:val="nil"/>
            </w:tcBorders>
          </w:tcPr>
          <w:p w14:paraId="1411487F">
            <w:pPr>
              <w:rPr>
                <w:sz w:val="2"/>
                <w:szCs w:val="2"/>
              </w:rPr>
            </w:pPr>
          </w:p>
        </w:tc>
        <w:tc>
          <w:tcPr>
            <w:tcW w:w="2827" w:type="dxa"/>
          </w:tcPr>
          <w:p w14:paraId="6BBB9697">
            <w:pPr>
              <w:pStyle w:val="14"/>
              <w:spacing w:line="268" w:lineRule="exact"/>
              <w:ind w:left="131" w:right="125"/>
              <w:jc w:val="center"/>
              <w:rPr>
                <w:sz w:val="21"/>
              </w:rPr>
            </w:pPr>
            <w:r>
              <w:rPr>
                <w:sz w:val="21"/>
              </w:rPr>
              <w:t>冷鲜副产品（猪油、猪血、</w:t>
            </w:r>
          </w:p>
          <w:p w14:paraId="754FD0D7">
            <w:pPr>
              <w:pStyle w:val="14"/>
              <w:spacing w:before="4" w:line="251" w:lineRule="exact"/>
              <w:ind w:left="131" w:right="125"/>
              <w:jc w:val="center"/>
              <w:rPr>
                <w:sz w:val="21"/>
              </w:rPr>
            </w:pPr>
            <w:r>
              <w:rPr>
                <w:sz w:val="21"/>
              </w:rPr>
              <w:t>内脏等）</w:t>
            </w:r>
          </w:p>
        </w:tc>
        <w:tc>
          <w:tcPr>
            <w:tcW w:w="846" w:type="dxa"/>
          </w:tcPr>
          <w:p w14:paraId="03D1F2D4">
            <w:pPr>
              <w:pStyle w:val="14"/>
              <w:spacing w:before="150"/>
              <w:ind w:right="201"/>
              <w:jc w:val="right"/>
              <w:rPr>
                <w:rFonts w:ascii="Times New Roman"/>
                <w:sz w:val="21"/>
              </w:rPr>
            </w:pPr>
            <w:r>
              <w:rPr>
                <w:rFonts w:ascii="Times New Roman"/>
                <w:w w:val="95"/>
                <w:sz w:val="21"/>
              </w:rPr>
              <w:t>6600</w:t>
            </w:r>
          </w:p>
        </w:tc>
        <w:tc>
          <w:tcPr>
            <w:tcW w:w="1635" w:type="dxa"/>
          </w:tcPr>
          <w:p w14:paraId="474B88BC">
            <w:pPr>
              <w:pStyle w:val="14"/>
              <w:spacing w:before="150"/>
              <w:ind w:left="270" w:right="263"/>
              <w:jc w:val="center"/>
              <w:rPr>
                <w:rFonts w:ascii="Times New Roman"/>
                <w:sz w:val="21"/>
              </w:rPr>
            </w:pPr>
            <w:r>
              <w:rPr>
                <w:rFonts w:ascii="Times New Roman"/>
                <w:sz w:val="21"/>
              </w:rPr>
              <w:t>15%</w:t>
            </w:r>
          </w:p>
        </w:tc>
      </w:tr>
      <w:tr w14:paraId="65841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96" w:type="dxa"/>
            <w:vMerge w:val="continue"/>
            <w:tcBorders>
              <w:top w:val="nil"/>
            </w:tcBorders>
          </w:tcPr>
          <w:p w14:paraId="6629D76F">
            <w:pPr>
              <w:rPr>
                <w:sz w:val="2"/>
                <w:szCs w:val="2"/>
              </w:rPr>
            </w:pPr>
          </w:p>
        </w:tc>
        <w:tc>
          <w:tcPr>
            <w:tcW w:w="846" w:type="dxa"/>
            <w:vMerge w:val="continue"/>
            <w:tcBorders>
              <w:top w:val="nil"/>
            </w:tcBorders>
          </w:tcPr>
          <w:p w14:paraId="5EBF4F85">
            <w:pPr>
              <w:rPr>
                <w:sz w:val="2"/>
                <w:szCs w:val="2"/>
              </w:rPr>
            </w:pPr>
          </w:p>
        </w:tc>
        <w:tc>
          <w:tcPr>
            <w:tcW w:w="1472" w:type="dxa"/>
            <w:vMerge w:val="restart"/>
          </w:tcPr>
          <w:p w14:paraId="7A8F3DE3">
            <w:pPr>
              <w:pStyle w:val="14"/>
              <w:rPr>
                <w:b/>
                <w:sz w:val="20"/>
              </w:rPr>
            </w:pPr>
          </w:p>
          <w:p w14:paraId="0F89ADD9">
            <w:pPr>
              <w:pStyle w:val="14"/>
              <w:spacing w:before="8"/>
              <w:rPr>
                <w:b/>
                <w:sz w:val="25"/>
              </w:rPr>
            </w:pPr>
          </w:p>
          <w:p w14:paraId="3190ED29">
            <w:pPr>
              <w:pStyle w:val="14"/>
              <w:ind w:left="242" w:right="235"/>
              <w:jc w:val="center"/>
              <w:rPr>
                <w:sz w:val="21"/>
              </w:rPr>
            </w:pPr>
            <w:r>
              <w:rPr>
                <w:sz w:val="21"/>
              </w:rPr>
              <w:t>固废</w:t>
            </w:r>
          </w:p>
        </w:tc>
        <w:tc>
          <w:tcPr>
            <w:tcW w:w="2827" w:type="dxa"/>
          </w:tcPr>
          <w:p w14:paraId="191A8A1E">
            <w:pPr>
              <w:pStyle w:val="14"/>
              <w:spacing w:before="90"/>
              <w:ind w:left="129" w:right="125"/>
              <w:jc w:val="center"/>
              <w:rPr>
                <w:sz w:val="21"/>
              </w:rPr>
            </w:pPr>
            <w:r>
              <w:rPr>
                <w:sz w:val="21"/>
              </w:rPr>
              <w:t>猪毛</w:t>
            </w:r>
          </w:p>
        </w:tc>
        <w:tc>
          <w:tcPr>
            <w:tcW w:w="846" w:type="dxa"/>
          </w:tcPr>
          <w:p w14:paraId="2980F072">
            <w:pPr>
              <w:pStyle w:val="14"/>
              <w:spacing w:before="107"/>
              <w:ind w:left="263"/>
              <w:rPr>
                <w:rFonts w:ascii="Times New Roman"/>
                <w:sz w:val="21"/>
              </w:rPr>
            </w:pPr>
            <w:r>
              <w:rPr>
                <w:rFonts w:ascii="Times New Roman"/>
                <w:sz w:val="21"/>
              </w:rPr>
              <w:t>400</w:t>
            </w:r>
          </w:p>
        </w:tc>
        <w:tc>
          <w:tcPr>
            <w:tcW w:w="1635" w:type="dxa"/>
          </w:tcPr>
          <w:p w14:paraId="1DF3D384">
            <w:pPr>
              <w:pStyle w:val="14"/>
              <w:spacing w:before="90"/>
              <w:ind w:left="270" w:right="262"/>
              <w:jc w:val="center"/>
              <w:rPr>
                <w:sz w:val="21"/>
              </w:rPr>
            </w:pPr>
            <w:r>
              <w:rPr>
                <w:rFonts w:ascii="Times New Roman" w:eastAsia="Times New Roman"/>
                <w:sz w:val="21"/>
              </w:rPr>
              <w:t>1kg/</w:t>
            </w:r>
            <w:r>
              <w:rPr>
                <w:sz w:val="21"/>
              </w:rPr>
              <w:t>头</w:t>
            </w:r>
          </w:p>
        </w:tc>
      </w:tr>
      <w:tr w14:paraId="3E293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96" w:type="dxa"/>
            <w:vMerge w:val="continue"/>
            <w:tcBorders>
              <w:top w:val="nil"/>
            </w:tcBorders>
          </w:tcPr>
          <w:p w14:paraId="2838639F">
            <w:pPr>
              <w:rPr>
                <w:sz w:val="2"/>
                <w:szCs w:val="2"/>
              </w:rPr>
            </w:pPr>
          </w:p>
        </w:tc>
        <w:tc>
          <w:tcPr>
            <w:tcW w:w="846" w:type="dxa"/>
            <w:vMerge w:val="continue"/>
            <w:tcBorders>
              <w:top w:val="nil"/>
            </w:tcBorders>
          </w:tcPr>
          <w:p w14:paraId="3E420D4D">
            <w:pPr>
              <w:rPr>
                <w:sz w:val="2"/>
                <w:szCs w:val="2"/>
              </w:rPr>
            </w:pPr>
          </w:p>
        </w:tc>
        <w:tc>
          <w:tcPr>
            <w:tcW w:w="1472" w:type="dxa"/>
            <w:vMerge w:val="continue"/>
            <w:tcBorders>
              <w:top w:val="nil"/>
            </w:tcBorders>
          </w:tcPr>
          <w:p w14:paraId="79B34A3B">
            <w:pPr>
              <w:rPr>
                <w:sz w:val="2"/>
                <w:szCs w:val="2"/>
              </w:rPr>
            </w:pPr>
          </w:p>
        </w:tc>
        <w:tc>
          <w:tcPr>
            <w:tcW w:w="2827" w:type="dxa"/>
          </w:tcPr>
          <w:p w14:paraId="236E376D">
            <w:pPr>
              <w:pStyle w:val="14"/>
              <w:spacing w:before="121"/>
              <w:ind w:left="131" w:right="125"/>
              <w:jc w:val="center"/>
              <w:rPr>
                <w:sz w:val="21"/>
              </w:rPr>
            </w:pPr>
            <w:r>
              <w:rPr>
                <w:sz w:val="21"/>
              </w:rPr>
              <w:t>不合格产品或病死猪</w:t>
            </w:r>
          </w:p>
        </w:tc>
        <w:tc>
          <w:tcPr>
            <w:tcW w:w="846" w:type="dxa"/>
          </w:tcPr>
          <w:p w14:paraId="341C0837">
            <w:pPr>
              <w:pStyle w:val="14"/>
              <w:spacing w:before="135"/>
              <w:ind w:right="122"/>
              <w:jc w:val="right"/>
              <w:rPr>
                <w:rFonts w:ascii="Times New Roman"/>
                <w:sz w:val="21"/>
              </w:rPr>
            </w:pPr>
            <w:r>
              <w:rPr>
                <w:rFonts w:ascii="Times New Roman"/>
                <w:w w:val="95"/>
                <w:sz w:val="21"/>
              </w:rPr>
              <w:t>440.42</w:t>
            </w:r>
          </w:p>
        </w:tc>
        <w:tc>
          <w:tcPr>
            <w:tcW w:w="1635" w:type="dxa"/>
          </w:tcPr>
          <w:p w14:paraId="2EFC932C">
            <w:pPr>
              <w:pStyle w:val="14"/>
              <w:spacing w:before="1"/>
              <w:ind w:left="270" w:right="264"/>
              <w:jc w:val="center"/>
              <w:rPr>
                <w:sz w:val="21"/>
              </w:rPr>
            </w:pPr>
            <w:r>
              <w:rPr>
                <w:sz w:val="21"/>
              </w:rPr>
              <w:t>不合格率为</w:t>
            </w:r>
          </w:p>
          <w:p w14:paraId="63F5F338">
            <w:pPr>
              <w:pStyle w:val="14"/>
              <w:spacing w:before="2" w:line="222" w:lineRule="exact"/>
              <w:ind w:left="270" w:right="264"/>
              <w:jc w:val="center"/>
              <w:rPr>
                <w:rFonts w:ascii="Times New Roman" w:hAnsi="Times New Roman"/>
                <w:sz w:val="21"/>
              </w:rPr>
            </w:pPr>
            <w:r>
              <w:rPr>
                <w:rFonts w:ascii="Times New Roman" w:hAnsi="Times New Roman"/>
                <w:sz w:val="21"/>
              </w:rPr>
              <w:t>0.01‰</w:t>
            </w:r>
          </w:p>
        </w:tc>
      </w:tr>
      <w:tr w14:paraId="2F45D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96" w:type="dxa"/>
            <w:vMerge w:val="continue"/>
            <w:tcBorders>
              <w:top w:val="nil"/>
            </w:tcBorders>
          </w:tcPr>
          <w:p w14:paraId="39DC4E0D">
            <w:pPr>
              <w:rPr>
                <w:sz w:val="2"/>
                <w:szCs w:val="2"/>
              </w:rPr>
            </w:pPr>
          </w:p>
        </w:tc>
        <w:tc>
          <w:tcPr>
            <w:tcW w:w="846" w:type="dxa"/>
            <w:vMerge w:val="continue"/>
            <w:tcBorders>
              <w:top w:val="nil"/>
            </w:tcBorders>
          </w:tcPr>
          <w:p w14:paraId="22181EB7">
            <w:pPr>
              <w:rPr>
                <w:sz w:val="2"/>
                <w:szCs w:val="2"/>
              </w:rPr>
            </w:pPr>
          </w:p>
        </w:tc>
        <w:tc>
          <w:tcPr>
            <w:tcW w:w="1472" w:type="dxa"/>
            <w:vMerge w:val="continue"/>
            <w:tcBorders>
              <w:top w:val="nil"/>
            </w:tcBorders>
          </w:tcPr>
          <w:p w14:paraId="4BACCC9A">
            <w:pPr>
              <w:rPr>
                <w:sz w:val="2"/>
                <w:szCs w:val="2"/>
              </w:rPr>
            </w:pPr>
          </w:p>
        </w:tc>
        <w:tc>
          <w:tcPr>
            <w:tcW w:w="2827" w:type="dxa"/>
          </w:tcPr>
          <w:p w14:paraId="46F92F62">
            <w:pPr>
              <w:pStyle w:val="14"/>
              <w:spacing w:before="91"/>
              <w:ind w:left="131" w:right="122"/>
              <w:jc w:val="center"/>
              <w:rPr>
                <w:sz w:val="21"/>
              </w:rPr>
            </w:pPr>
            <w:r>
              <w:rPr>
                <w:sz w:val="21"/>
              </w:rPr>
              <w:t>边角料</w:t>
            </w:r>
          </w:p>
        </w:tc>
        <w:tc>
          <w:tcPr>
            <w:tcW w:w="846" w:type="dxa"/>
          </w:tcPr>
          <w:p w14:paraId="294A32F3">
            <w:pPr>
              <w:pStyle w:val="14"/>
              <w:spacing w:before="105"/>
              <w:ind w:left="263"/>
              <w:rPr>
                <w:rFonts w:ascii="Times New Roman"/>
                <w:sz w:val="21"/>
              </w:rPr>
            </w:pPr>
            <w:r>
              <w:rPr>
                <w:rFonts w:ascii="Times New Roman"/>
                <w:sz w:val="21"/>
              </w:rPr>
              <w:t>352</w:t>
            </w:r>
          </w:p>
        </w:tc>
        <w:tc>
          <w:tcPr>
            <w:tcW w:w="1635" w:type="dxa"/>
          </w:tcPr>
          <w:p w14:paraId="7C8BDAC6">
            <w:pPr>
              <w:pStyle w:val="14"/>
              <w:spacing w:before="101"/>
              <w:ind w:left="270" w:right="261"/>
              <w:jc w:val="center"/>
              <w:rPr>
                <w:rFonts w:ascii="Times New Roman" w:eastAsia="Times New Roman"/>
                <w:sz w:val="21"/>
              </w:rPr>
            </w:pPr>
            <w:r>
              <w:rPr>
                <w:sz w:val="21"/>
              </w:rPr>
              <w:t xml:space="preserve">产品 </w:t>
            </w:r>
            <w:r>
              <w:rPr>
                <w:rFonts w:ascii="Times New Roman" w:eastAsia="Times New Roman"/>
                <w:sz w:val="21"/>
              </w:rPr>
              <w:t>1%</w:t>
            </w:r>
          </w:p>
        </w:tc>
      </w:tr>
      <w:tr w14:paraId="047D6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96" w:type="dxa"/>
            <w:vMerge w:val="continue"/>
            <w:tcBorders>
              <w:top w:val="nil"/>
            </w:tcBorders>
          </w:tcPr>
          <w:p w14:paraId="7A4889C1">
            <w:pPr>
              <w:rPr>
                <w:sz w:val="2"/>
                <w:szCs w:val="2"/>
              </w:rPr>
            </w:pPr>
          </w:p>
        </w:tc>
        <w:tc>
          <w:tcPr>
            <w:tcW w:w="846" w:type="dxa"/>
            <w:vMerge w:val="continue"/>
            <w:tcBorders>
              <w:top w:val="nil"/>
            </w:tcBorders>
          </w:tcPr>
          <w:p w14:paraId="5887FC39">
            <w:pPr>
              <w:rPr>
                <w:sz w:val="2"/>
                <w:szCs w:val="2"/>
              </w:rPr>
            </w:pPr>
          </w:p>
        </w:tc>
        <w:tc>
          <w:tcPr>
            <w:tcW w:w="1472" w:type="dxa"/>
            <w:vMerge w:val="restart"/>
          </w:tcPr>
          <w:p w14:paraId="4E132D98">
            <w:pPr>
              <w:pStyle w:val="14"/>
              <w:spacing w:before="81"/>
              <w:ind w:left="314"/>
              <w:rPr>
                <w:sz w:val="21"/>
              </w:rPr>
            </w:pPr>
            <w:r>
              <w:rPr>
                <w:sz w:val="21"/>
              </w:rPr>
              <w:t>其它损耗</w:t>
            </w:r>
          </w:p>
          <w:p w14:paraId="2489DE3D">
            <w:pPr>
              <w:pStyle w:val="14"/>
              <w:spacing w:before="2" w:line="242" w:lineRule="auto"/>
              <w:ind w:left="525" w:right="307" w:hanging="212"/>
              <w:rPr>
                <w:sz w:val="21"/>
              </w:rPr>
            </w:pPr>
            <w:r>
              <w:rPr>
                <w:w w:val="95"/>
                <w:sz w:val="21"/>
              </w:rPr>
              <w:t>（进入废</w:t>
            </w:r>
            <w:r>
              <w:rPr>
                <w:sz w:val="21"/>
              </w:rPr>
              <w:t>水）</w:t>
            </w:r>
          </w:p>
        </w:tc>
        <w:tc>
          <w:tcPr>
            <w:tcW w:w="2827" w:type="dxa"/>
          </w:tcPr>
          <w:p w14:paraId="48D6D472">
            <w:pPr>
              <w:pStyle w:val="14"/>
              <w:spacing w:before="90"/>
              <w:ind w:left="131" w:right="125"/>
              <w:jc w:val="center"/>
              <w:rPr>
                <w:sz w:val="21"/>
              </w:rPr>
            </w:pPr>
            <w:r>
              <w:rPr>
                <w:sz w:val="21"/>
              </w:rPr>
              <w:t>肠胃内容物</w:t>
            </w:r>
          </w:p>
        </w:tc>
        <w:tc>
          <w:tcPr>
            <w:tcW w:w="846" w:type="dxa"/>
          </w:tcPr>
          <w:p w14:paraId="669BF737">
            <w:pPr>
              <w:pStyle w:val="14"/>
              <w:spacing w:before="107"/>
              <w:ind w:left="87" w:right="76"/>
              <w:jc w:val="center"/>
              <w:rPr>
                <w:rFonts w:ascii="Times New Roman"/>
                <w:sz w:val="21"/>
              </w:rPr>
            </w:pPr>
            <w:r>
              <w:rPr>
                <w:rFonts w:ascii="Times New Roman"/>
                <w:sz w:val="21"/>
              </w:rPr>
              <w:t>88</w:t>
            </w:r>
          </w:p>
        </w:tc>
        <w:tc>
          <w:tcPr>
            <w:tcW w:w="1635" w:type="dxa"/>
          </w:tcPr>
          <w:p w14:paraId="1C4726A4">
            <w:pPr>
              <w:pStyle w:val="14"/>
              <w:spacing w:before="93"/>
              <w:ind w:left="270" w:right="261"/>
              <w:jc w:val="center"/>
              <w:rPr>
                <w:rFonts w:ascii="Times New Roman" w:eastAsia="Times New Roman"/>
                <w:sz w:val="21"/>
              </w:rPr>
            </w:pPr>
            <w:r>
              <w:rPr>
                <w:sz w:val="21"/>
              </w:rPr>
              <w:t>回收率</w:t>
            </w:r>
            <w:r>
              <w:rPr>
                <w:rFonts w:ascii="Times New Roman" w:eastAsia="Times New Roman"/>
                <w:sz w:val="21"/>
              </w:rPr>
              <w:t>60%</w:t>
            </w:r>
          </w:p>
        </w:tc>
      </w:tr>
      <w:tr w14:paraId="07B33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96" w:type="dxa"/>
            <w:vMerge w:val="continue"/>
            <w:tcBorders>
              <w:top w:val="nil"/>
            </w:tcBorders>
          </w:tcPr>
          <w:p w14:paraId="6279DC61">
            <w:pPr>
              <w:rPr>
                <w:sz w:val="2"/>
                <w:szCs w:val="2"/>
              </w:rPr>
            </w:pPr>
          </w:p>
        </w:tc>
        <w:tc>
          <w:tcPr>
            <w:tcW w:w="846" w:type="dxa"/>
            <w:vMerge w:val="continue"/>
            <w:tcBorders>
              <w:top w:val="nil"/>
            </w:tcBorders>
          </w:tcPr>
          <w:p w14:paraId="7AF7AE10">
            <w:pPr>
              <w:rPr>
                <w:sz w:val="2"/>
                <w:szCs w:val="2"/>
              </w:rPr>
            </w:pPr>
          </w:p>
        </w:tc>
        <w:tc>
          <w:tcPr>
            <w:tcW w:w="1472" w:type="dxa"/>
            <w:vMerge w:val="continue"/>
            <w:tcBorders>
              <w:top w:val="nil"/>
            </w:tcBorders>
          </w:tcPr>
          <w:p w14:paraId="63E8E1C3">
            <w:pPr>
              <w:rPr>
                <w:sz w:val="2"/>
                <w:szCs w:val="2"/>
              </w:rPr>
            </w:pPr>
          </w:p>
        </w:tc>
        <w:tc>
          <w:tcPr>
            <w:tcW w:w="2827" w:type="dxa"/>
          </w:tcPr>
          <w:p w14:paraId="342E724F">
            <w:pPr>
              <w:pStyle w:val="14"/>
              <w:spacing w:before="121"/>
              <w:ind w:left="131" w:right="125"/>
              <w:jc w:val="center"/>
              <w:rPr>
                <w:sz w:val="21"/>
              </w:rPr>
            </w:pPr>
            <w:r>
              <w:rPr>
                <w:sz w:val="21"/>
              </w:rPr>
              <w:t>废水排放（油脂、血液等）</w:t>
            </w:r>
          </w:p>
        </w:tc>
        <w:tc>
          <w:tcPr>
            <w:tcW w:w="846" w:type="dxa"/>
          </w:tcPr>
          <w:p w14:paraId="34D19BE3">
            <w:pPr>
              <w:pStyle w:val="14"/>
              <w:spacing w:before="135"/>
              <w:ind w:right="122"/>
              <w:jc w:val="right"/>
              <w:rPr>
                <w:rFonts w:ascii="Times New Roman"/>
                <w:sz w:val="21"/>
              </w:rPr>
            </w:pPr>
            <w:r>
              <w:rPr>
                <w:rFonts w:ascii="Times New Roman"/>
                <w:w w:val="95"/>
                <w:sz w:val="21"/>
              </w:rPr>
              <w:t>919.58</w:t>
            </w:r>
          </w:p>
        </w:tc>
        <w:tc>
          <w:tcPr>
            <w:tcW w:w="1635" w:type="dxa"/>
          </w:tcPr>
          <w:p w14:paraId="51EECFAD">
            <w:pPr>
              <w:pStyle w:val="14"/>
              <w:spacing w:before="1"/>
              <w:ind w:left="396"/>
              <w:rPr>
                <w:sz w:val="21"/>
              </w:rPr>
            </w:pPr>
            <w:r>
              <w:rPr>
                <w:sz w:val="21"/>
              </w:rPr>
              <w:t>总回收率</w:t>
            </w:r>
          </w:p>
          <w:p w14:paraId="77E6D58F">
            <w:pPr>
              <w:pStyle w:val="14"/>
              <w:spacing w:before="2" w:line="222" w:lineRule="exact"/>
              <w:ind w:left="492"/>
              <w:rPr>
                <w:rFonts w:ascii="Times New Roman"/>
                <w:sz w:val="21"/>
              </w:rPr>
            </w:pPr>
            <w:r>
              <w:rPr>
                <w:rFonts w:ascii="Times New Roman"/>
                <w:sz w:val="21"/>
              </w:rPr>
              <w:t>88.47%</w:t>
            </w:r>
          </w:p>
        </w:tc>
      </w:tr>
      <w:tr w14:paraId="2F107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96" w:type="dxa"/>
          </w:tcPr>
          <w:p w14:paraId="415E57D5">
            <w:pPr>
              <w:pStyle w:val="14"/>
              <w:spacing w:before="89"/>
              <w:ind w:left="237"/>
              <w:rPr>
                <w:sz w:val="21"/>
              </w:rPr>
            </w:pPr>
            <w:r>
              <w:rPr>
                <w:sz w:val="21"/>
              </w:rPr>
              <w:t>合计</w:t>
            </w:r>
          </w:p>
        </w:tc>
        <w:tc>
          <w:tcPr>
            <w:tcW w:w="846" w:type="dxa"/>
          </w:tcPr>
          <w:p w14:paraId="64730BFC">
            <w:pPr>
              <w:pStyle w:val="14"/>
              <w:spacing w:before="105"/>
              <w:ind w:left="87" w:right="77"/>
              <w:jc w:val="center"/>
              <w:rPr>
                <w:rFonts w:ascii="Times New Roman"/>
                <w:sz w:val="21"/>
              </w:rPr>
            </w:pPr>
            <w:r>
              <w:rPr>
                <w:rFonts w:ascii="Times New Roman"/>
                <w:sz w:val="21"/>
              </w:rPr>
              <w:t>440000</w:t>
            </w:r>
          </w:p>
        </w:tc>
        <w:tc>
          <w:tcPr>
            <w:tcW w:w="4299" w:type="dxa"/>
            <w:gridSpan w:val="2"/>
          </w:tcPr>
          <w:p w14:paraId="3191A084">
            <w:pPr>
              <w:pStyle w:val="14"/>
              <w:spacing w:before="89"/>
              <w:ind w:left="1707" w:right="1700"/>
              <w:jc w:val="center"/>
              <w:rPr>
                <w:sz w:val="21"/>
              </w:rPr>
            </w:pPr>
            <w:r>
              <w:rPr>
                <w:sz w:val="21"/>
              </w:rPr>
              <w:t>合计</w:t>
            </w:r>
          </w:p>
        </w:tc>
        <w:tc>
          <w:tcPr>
            <w:tcW w:w="846" w:type="dxa"/>
          </w:tcPr>
          <w:p w14:paraId="47293182">
            <w:pPr>
              <w:pStyle w:val="14"/>
              <w:spacing w:before="105"/>
              <w:ind w:right="96"/>
              <w:jc w:val="right"/>
              <w:rPr>
                <w:rFonts w:ascii="Times New Roman"/>
                <w:sz w:val="21"/>
              </w:rPr>
            </w:pPr>
            <w:r>
              <w:rPr>
                <w:rFonts w:ascii="Times New Roman"/>
                <w:w w:val="95"/>
                <w:sz w:val="21"/>
              </w:rPr>
              <w:t>440000</w:t>
            </w:r>
          </w:p>
        </w:tc>
        <w:tc>
          <w:tcPr>
            <w:tcW w:w="1635" w:type="dxa"/>
          </w:tcPr>
          <w:p w14:paraId="1DF7B68A">
            <w:pPr>
              <w:pStyle w:val="14"/>
              <w:spacing w:before="105"/>
              <w:ind w:left="270" w:right="261"/>
              <w:jc w:val="center"/>
              <w:rPr>
                <w:rFonts w:ascii="Times New Roman"/>
                <w:sz w:val="21"/>
              </w:rPr>
            </w:pPr>
            <w:r>
              <w:rPr>
                <w:rFonts w:ascii="Times New Roman"/>
                <w:sz w:val="21"/>
              </w:rPr>
              <w:t>100%</w:t>
            </w:r>
          </w:p>
        </w:tc>
      </w:tr>
    </w:tbl>
    <w:p w14:paraId="39A5CAD2">
      <w:pPr>
        <w:pStyle w:val="6"/>
        <w:numPr>
          <w:ilvl w:val="3"/>
          <w:numId w:val="13"/>
        </w:numPr>
        <w:tabs>
          <w:tab w:val="left" w:pos="1471"/>
        </w:tabs>
        <w:spacing w:before="1" w:after="0" w:line="240" w:lineRule="auto"/>
        <w:ind w:left="1470" w:right="0" w:hanging="710"/>
        <w:jc w:val="left"/>
      </w:pPr>
      <w:r>
        <w:t>水平衡</w:t>
      </w:r>
    </w:p>
    <w:p w14:paraId="0675A872">
      <w:pPr>
        <w:pStyle w:val="7"/>
        <w:spacing w:before="160"/>
        <w:ind w:left="760"/>
      </w:pPr>
      <w:r>
        <w:t>（</w:t>
      </w:r>
      <w:r>
        <w:rPr>
          <w:rFonts w:ascii="Times New Roman" w:eastAsia="Times New Roman"/>
        </w:rPr>
        <w:t>1</w:t>
      </w:r>
      <w:r>
        <w:t>）给水</w:t>
      </w:r>
    </w:p>
    <w:p w14:paraId="33C4AABD">
      <w:pPr>
        <w:pStyle w:val="7"/>
        <w:spacing w:before="158"/>
        <w:ind w:left="760"/>
      </w:pPr>
      <w:r>
        <w:t>①员工生活用水</w:t>
      </w:r>
    </w:p>
    <w:p w14:paraId="147F7B9F">
      <w:pPr>
        <w:pStyle w:val="7"/>
        <w:spacing w:before="161" w:line="364" w:lineRule="auto"/>
        <w:ind w:left="280" w:right="337" w:firstLine="480"/>
        <w:jc w:val="both"/>
      </w:pPr>
      <w:r>
        <w:rPr>
          <w:spacing w:val="-3"/>
        </w:rPr>
        <w:t xml:space="preserve">项目营运期厂区定员 </w:t>
      </w:r>
      <w:r>
        <w:rPr>
          <w:rFonts w:ascii="Times New Roman" w:hAnsi="Times New Roman" w:eastAsia="Times New Roman"/>
        </w:rPr>
        <w:t xml:space="preserve">240 </w:t>
      </w:r>
      <w:r>
        <w:rPr>
          <w:spacing w:val="6"/>
        </w:rPr>
        <w:t>人</w:t>
      </w:r>
      <w:r>
        <w:rPr>
          <w:spacing w:val="3"/>
        </w:rPr>
        <w:t>（</w:t>
      </w:r>
      <w:r>
        <w:rPr>
          <w:spacing w:val="-5"/>
        </w:rPr>
        <w:t xml:space="preserve">其中行政人员约 </w:t>
      </w:r>
      <w:r>
        <w:rPr>
          <w:rFonts w:ascii="Times New Roman" w:hAnsi="Times New Roman" w:eastAsia="Times New Roman"/>
        </w:rPr>
        <w:t xml:space="preserve">40 </w:t>
      </w:r>
      <w:r>
        <w:rPr>
          <w:spacing w:val="5"/>
        </w:rPr>
        <w:t>人员</w:t>
      </w:r>
      <w:r>
        <w:rPr>
          <w:spacing w:val="-116"/>
        </w:rPr>
        <w:t>）</w:t>
      </w:r>
      <w:r>
        <w:t>，根据《湖南省用</w:t>
      </w:r>
      <w:r>
        <w:rPr>
          <w:spacing w:val="-30"/>
        </w:rPr>
        <w:t>水定额》</w:t>
      </w:r>
      <w:r>
        <w:rPr>
          <w:spacing w:val="1"/>
        </w:rPr>
        <w:t>（</w:t>
      </w:r>
      <w:r>
        <w:rPr>
          <w:rFonts w:ascii="Times New Roman" w:hAnsi="Times New Roman" w:eastAsia="Times New Roman"/>
          <w:spacing w:val="-1"/>
        </w:rPr>
        <w:t>D</w:t>
      </w:r>
      <w:r>
        <w:rPr>
          <w:rFonts w:ascii="Times New Roman" w:hAnsi="Times New Roman" w:eastAsia="Times New Roman"/>
          <w:spacing w:val="-2"/>
        </w:rPr>
        <w:t>B</w:t>
      </w:r>
      <w:r>
        <w:rPr>
          <w:rFonts w:ascii="Times New Roman" w:hAnsi="Times New Roman" w:eastAsia="Times New Roman"/>
        </w:rPr>
        <w:t>43/</w:t>
      </w:r>
      <w:r>
        <w:rPr>
          <w:rFonts w:ascii="Times New Roman" w:hAnsi="Times New Roman" w:eastAsia="Times New Roman"/>
          <w:spacing w:val="-1"/>
        </w:rPr>
        <w:t>T</w:t>
      </w:r>
      <w:r>
        <w:rPr>
          <w:rFonts w:ascii="Times New Roman" w:hAnsi="Times New Roman" w:eastAsia="Times New Roman"/>
        </w:rPr>
        <w:t>388</w:t>
      </w:r>
      <w:r>
        <w:rPr>
          <w:rFonts w:ascii="Times New Roman" w:hAnsi="Times New Roman" w:eastAsia="Times New Roman"/>
          <w:spacing w:val="0"/>
        </w:rPr>
        <w:t>-</w:t>
      </w:r>
      <w:r>
        <w:rPr>
          <w:rFonts w:ascii="Times New Roman" w:hAnsi="Times New Roman" w:eastAsia="Times New Roman"/>
        </w:rPr>
        <w:t>202</w:t>
      </w:r>
      <w:r>
        <w:rPr>
          <w:rFonts w:ascii="Times New Roman" w:hAnsi="Times New Roman" w:eastAsia="Times New Roman"/>
          <w:spacing w:val="1"/>
        </w:rPr>
        <w:t>0</w:t>
      </w:r>
      <w:r>
        <w:rPr>
          <w:spacing w:val="-120"/>
        </w:rPr>
        <w:t>）</w:t>
      </w:r>
      <w:r>
        <w:rPr>
          <w:spacing w:val="-7"/>
        </w:rPr>
        <w:t xml:space="preserve">，住宿员工用水按 </w:t>
      </w:r>
      <w:r>
        <w:rPr>
          <w:rFonts w:ascii="Times New Roman" w:hAnsi="Times New Roman" w:eastAsia="Times New Roman"/>
        </w:rPr>
        <w:t>120</w:t>
      </w:r>
      <w:r>
        <w:rPr>
          <w:rFonts w:ascii="Times New Roman" w:hAnsi="Times New Roman" w:eastAsia="Times New Roman"/>
          <w:spacing w:val="-1"/>
        </w:rPr>
        <w:t>L</w:t>
      </w:r>
      <w:r>
        <w:rPr>
          <w:rFonts w:ascii="Times New Roman" w:hAnsi="Times New Roman" w:eastAsia="Times New Roman"/>
        </w:rPr>
        <w:t xml:space="preserve">/d </w:t>
      </w:r>
      <w:r>
        <w:t>人计算，非住宿员工用水</w:t>
      </w:r>
      <w:r>
        <w:rPr>
          <w:spacing w:val="-5"/>
        </w:rPr>
        <w:t xml:space="preserve">量按 </w:t>
      </w:r>
      <w:r>
        <w:rPr>
          <w:rFonts w:ascii="Times New Roman" w:hAnsi="Times New Roman" w:eastAsia="Times New Roman"/>
        </w:rPr>
        <w:t xml:space="preserve">60L/d· </w:t>
      </w:r>
      <w:r>
        <w:rPr>
          <w:spacing w:val="0"/>
        </w:rPr>
        <w:t xml:space="preserve">人计算， 循环使用损耗以 </w:t>
      </w:r>
      <w:r>
        <w:rPr>
          <w:rFonts w:ascii="Times New Roman" w:hAnsi="Times New Roman" w:eastAsia="Times New Roman"/>
        </w:rPr>
        <w:t xml:space="preserve">15% </w:t>
      </w:r>
      <w:r>
        <w:rPr>
          <w:spacing w:val="6"/>
        </w:rPr>
        <w:t>计， 则项目营运期生活用水量为</w:t>
      </w:r>
      <w:r>
        <w:rPr>
          <w:rFonts w:ascii="Times New Roman" w:hAnsi="Times New Roman" w:eastAsia="Times New Roman"/>
          <w:spacing w:val="6"/>
        </w:rPr>
        <w:t>7920</w:t>
      </w:r>
      <w:r>
        <w:rPr>
          <w:rFonts w:ascii="Times New Roman" w:hAnsi="Times New Roman" w:eastAsia="Times New Roman"/>
          <w:spacing w:val="-2"/>
        </w:rPr>
        <w:t>m</w:t>
      </w:r>
      <w:r>
        <w:rPr>
          <w:rFonts w:ascii="Times New Roman" w:hAnsi="Times New Roman" w:eastAsia="Times New Roman"/>
          <w:spacing w:val="0"/>
          <w:w w:val="104"/>
          <w:position w:val="8"/>
          <w:sz w:val="15"/>
        </w:rPr>
        <w:t>3</w:t>
      </w:r>
      <w:r>
        <w:rPr>
          <w:rFonts w:ascii="Times New Roman" w:hAnsi="Times New Roman" w:eastAsia="Times New Roman"/>
        </w:rPr>
        <w:t xml:space="preserve">/a </w:t>
      </w:r>
      <w:r>
        <w:t>（</w:t>
      </w:r>
      <w:r>
        <w:rPr>
          <w:spacing w:val="-20"/>
        </w:rPr>
        <w:t xml:space="preserve">折合 </w:t>
      </w:r>
      <w:r>
        <w:rPr>
          <w:rFonts w:ascii="Times New Roman" w:hAnsi="Times New Roman" w:eastAsia="Times New Roman"/>
        </w:rPr>
        <w:t>26.4m</w:t>
      </w:r>
      <w:r>
        <w:rPr>
          <w:rFonts w:ascii="Times New Roman" w:hAnsi="Times New Roman" w:eastAsia="Times New Roman"/>
          <w:spacing w:val="-2"/>
          <w:w w:val="104"/>
          <w:position w:val="8"/>
          <w:sz w:val="15"/>
        </w:rPr>
        <w:t>3</w:t>
      </w:r>
      <w:r>
        <w:rPr>
          <w:rFonts w:ascii="Times New Roman" w:hAnsi="Times New Roman" w:eastAsia="Times New Roman"/>
        </w:rPr>
        <w:t>/d</w:t>
      </w:r>
      <w:r>
        <w:rPr>
          <w:spacing w:val="-120"/>
        </w:rPr>
        <w:t>）</w:t>
      </w:r>
      <w:r>
        <w:t>。</w:t>
      </w:r>
    </w:p>
    <w:p w14:paraId="5E9D2A90">
      <w:pPr>
        <w:pStyle w:val="7"/>
        <w:spacing w:line="305" w:lineRule="exact"/>
        <w:ind w:left="760"/>
      </w:pPr>
      <w:r>
        <w:t>②屠宰及其过程用水</w:t>
      </w:r>
    </w:p>
    <w:p w14:paraId="07581DBD">
      <w:pPr>
        <w:spacing w:after="0" w:line="305" w:lineRule="exact"/>
        <w:sectPr>
          <w:pgSz w:w="11910" w:h="16840"/>
          <w:pgMar w:top="1360" w:right="1460" w:bottom="1400" w:left="1520" w:header="878" w:footer="1195" w:gutter="0"/>
          <w:cols w:space="720" w:num="1"/>
        </w:sectPr>
      </w:pPr>
    </w:p>
    <w:p w14:paraId="4806F1AE">
      <w:pPr>
        <w:pStyle w:val="7"/>
        <w:spacing w:before="68" w:line="364" w:lineRule="auto"/>
        <w:ind w:left="280" w:right="341" w:firstLine="480"/>
        <w:jc w:val="both"/>
      </w:pPr>
      <w:r>
        <w:rPr>
          <w:spacing w:val="-6"/>
        </w:rPr>
        <w:t>项目采用先进设施和工艺，根据《湖南省用水定额》</w:t>
      </w:r>
      <w:r>
        <w:rPr>
          <w:spacing w:val="1"/>
        </w:rPr>
        <w:t>（</w:t>
      </w:r>
      <w:r>
        <w:rPr>
          <w:rFonts w:ascii="Times New Roman" w:eastAsia="Times New Roman"/>
          <w:spacing w:val="-1"/>
        </w:rPr>
        <w:t>D</w:t>
      </w:r>
      <w:r>
        <w:rPr>
          <w:rFonts w:ascii="Times New Roman" w:eastAsia="Times New Roman"/>
          <w:spacing w:val="-2"/>
        </w:rPr>
        <w:t>B</w:t>
      </w:r>
      <w:r>
        <w:rPr>
          <w:rFonts w:ascii="Times New Roman" w:eastAsia="Times New Roman"/>
        </w:rPr>
        <w:t>43/</w:t>
      </w:r>
      <w:r>
        <w:rPr>
          <w:rFonts w:ascii="Times New Roman" w:eastAsia="Times New Roman"/>
          <w:spacing w:val="-1"/>
        </w:rPr>
        <w:t>T</w:t>
      </w:r>
      <w:r>
        <w:rPr>
          <w:rFonts w:ascii="Times New Roman" w:eastAsia="Times New Roman"/>
        </w:rPr>
        <w:t>388</w:t>
      </w:r>
      <w:r>
        <w:rPr>
          <w:rFonts w:ascii="Times New Roman" w:eastAsia="Times New Roman"/>
          <w:spacing w:val="0"/>
        </w:rPr>
        <w:t>-</w:t>
      </w:r>
      <w:r>
        <w:rPr>
          <w:rFonts w:ascii="Times New Roman" w:eastAsia="Times New Roman"/>
        </w:rPr>
        <w:t>202</w:t>
      </w:r>
      <w:r>
        <w:rPr>
          <w:rFonts w:ascii="Times New Roman" w:eastAsia="Times New Roman"/>
          <w:spacing w:val="6"/>
        </w:rPr>
        <w:t>0</w:t>
      </w:r>
      <w:r>
        <w:rPr>
          <w:spacing w:val="-118"/>
        </w:rPr>
        <w:t>）</w:t>
      </w:r>
      <w:r>
        <w:t>，</w:t>
      </w:r>
      <w:r>
        <w:rPr>
          <w:spacing w:val="-1"/>
        </w:rPr>
        <w:t xml:space="preserve">生猪屠宰先进值 </w:t>
      </w:r>
      <w:r>
        <w:rPr>
          <w:rFonts w:ascii="Times New Roman" w:eastAsia="Times New Roman"/>
        </w:rPr>
        <w:t>0.7m</w:t>
      </w:r>
      <w:r>
        <w:rPr>
          <w:rFonts w:ascii="Times New Roman" w:eastAsia="Times New Roman"/>
          <w:position w:val="8"/>
          <w:sz w:val="15"/>
        </w:rPr>
        <w:t>3</w:t>
      </w:r>
      <w:r>
        <w:rPr>
          <w:rFonts w:ascii="Times New Roman" w:eastAsia="Times New Roman"/>
        </w:rPr>
        <w:t>/</w:t>
      </w:r>
      <w:r>
        <w:rPr>
          <w:spacing w:val="-1"/>
        </w:rPr>
        <w:t xml:space="preserve">头，年屠宰量为 </w:t>
      </w:r>
      <w:r>
        <w:rPr>
          <w:rFonts w:ascii="Times New Roman" w:eastAsia="Times New Roman"/>
        </w:rPr>
        <w:t xml:space="preserve">40 </w:t>
      </w:r>
      <w:r>
        <w:t xml:space="preserve">万头，年用水量为 </w:t>
      </w:r>
      <w:r>
        <w:rPr>
          <w:rFonts w:ascii="Times New Roman" w:eastAsia="Times New Roman"/>
        </w:rPr>
        <w:t>280000t/a</w:t>
      </w:r>
      <w:r>
        <w:t>（</w:t>
      </w:r>
      <w:r>
        <w:rPr>
          <w:spacing w:val="2"/>
        </w:rPr>
        <w:t>折合</w:t>
      </w:r>
    </w:p>
    <w:p w14:paraId="6DEF0612">
      <w:pPr>
        <w:pStyle w:val="7"/>
        <w:spacing w:line="306" w:lineRule="exact"/>
        <w:ind w:left="280"/>
      </w:pPr>
      <w:r>
        <w:rPr>
          <w:rFonts w:ascii="Times New Roman" w:eastAsia="Times New Roman"/>
        </w:rPr>
        <w:t>933.3</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3"/>
        </w:rPr>
        <w:t>d</w:t>
      </w:r>
      <w:r>
        <w:rPr>
          <w:spacing w:val="-120"/>
        </w:rPr>
        <w:t>）</w:t>
      </w:r>
      <w:r>
        <w:t>。</w:t>
      </w:r>
    </w:p>
    <w:p w14:paraId="509064CD">
      <w:pPr>
        <w:pStyle w:val="7"/>
        <w:spacing w:before="160"/>
        <w:ind w:left="760"/>
        <w:rPr>
          <w:rFonts w:ascii="Times New Roman" w:eastAsia="Times New Roman"/>
        </w:rPr>
      </w:pPr>
      <w:r>
        <w:rPr>
          <w:spacing w:val="-8"/>
        </w:rPr>
        <w:t>暂养用水根据《湖南省用水定额》</w:t>
      </w:r>
      <w:r>
        <w:rPr>
          <w:spacing w:val="6"/>
        </w:rPr>
        <w:t>（</w:t>
      </w:r>
      <w:r>
        <w:rPr>
          <w:rFonts w:ascii="Times New Roman" w:eastAsia="Times New Roman"/>
          <w:spacing w:val="-1"/>
        </w:rPr>
        <w:t>D</w:t>
      </w:r>
      <w:r>
        <w:rPr>
          <w:rFonts w:ascii="Times New Roman" w:eastAsia="Times New Roman"/>
          <w:spacing w:val="-2"/>
        </w:rPr>
        <w:t>B</w:t>
      </w:r>
      <w:r>
        <w:rPr>
          <w:rFonts w:ascii="Times New Roman" w:eastAsia="Times New Roman"/>
        </w:rPr>
        <w:t>43/</w:t>
      </w:r>
      <w:r>
        <w:rPr>
          <w:rFonts w:ascii="Times New Roman" w:eastAsia="Times New Roman"/>
          <w:spacing w:val="-1"/>
        </w:rPr>
        <w:t>T</w:t>
      </w:r>
      <w:r>
        <w:rPr>
          <w:rFonts w:ascii="Times New Roman" w:eastAsia="Times New Roman"/>
        </w:rPr>
        <w:t>388</w:t>
      </w:r>
      <w:r>
        <w:rPr>
          <w:rFonts w:ascii="Times New Roman" w:eastAsia="Times New Roman"/>
          <w:spacing w:val="-1"/>
        </w:rPr>
        <w:t>-</w:t>
      </w:r>
      <w:r>
        <w:rPr>
          <w:rFonts w:ascii="Times New Roman" w:eastAsia="Times New Roman"/>
        </w:rPr>
        <w:t>202</w:t>
      </w:r>
      <w:r>
        <w:rPr>
          <w:rFonts w:ascii="Times New Roman" w:eastAsia="Times New Roman"/>
          <w:spacing w:val="6"/>
        </w:rPr>
        <w:t>0</w:t>
      </w:r>
      <w:r>
        <w:rPr>
          <w:spacing w:val="-113"/>
        </w:rPr>
        <w:t>）</w:t>
      </w:r>
      <w:r>
        <w:rPr>
          <w:spacing w:val="-7"/>
        </w:rPr>
        <w:t xml:space="preserve">，猪用水按 </w:t>
      </w:r>
      <w:r>
        <w:rPr>
          <w:rFonts w:ascii="Times New Roman" w:eastAsia="Times New Roman"/>
        </w:rPr>
        <w:t>35</w:t>
      </w:r>
      <w:r>
        <w:rPr>
          <w:rFonts w:ascii="Times New Roman" w:eastAsia="Times New Roman"/>
          <w:spacing w:val="-1"/>
        </w:rPr>
        <w:t>L</w:t>
      </w:r>
      <w:r>
        <w:rPr>
          <w:rFonts w:ascii="Times New Roman" w:eastAsia="Times New Roman"/>
          <w:spacing w:val="5"/>
        </w:rPr>
        <w:t>/</w:t>
      </w:r>
      <w:r>
        <w:rPr>
          <w:spacing w:val="-28"/>
        </w:rPr>
        <w:t xml:space="preserve">头 </w:t>
      </w:r>
      <w:r>
        <w:rPr>
          <w:rFonts w:ascii="Times New Roman" w:eastAsia="Times New Roman"/>
        </w:rPr>
        <w:t>d</w:t>
      </w:r>
    </w:p>
    <w:p w14:paraId="3773EFE1">
      <w:pPr>
        <w:pStyle w:val="7"/>
        <w:spacing w:before="158"/>
        <w:ind w:left="280"/>
      </w:pPr>
      <w:r>
        <w:t xml:space="preserve">计算，年屠宰量为 </w:t>
      </w:r>
      <w:r>
        <w:rPr>
          <w:rFonts w:ascii="Times New Roman" w:eastAsia="Times New Roman"/>
        </w:rPr>
        <w:t xml:space="preserve">40 </w:t>
      </w:r>
      <w:r>
        <w:t xml:space="preserve">万头，暂养区平均停留时间 </w:t>
      </w:r>
      <w:r>
        <w:rPr>
          <w:rFonts w:ascii="Times New Roman" w:eastAsia="Times New Roman"/>
        </w:rPr>
        <w:t xml:space="preserve">2 </w:t>
      </w:r>
      <w:r>
        <w:t>天，因此项目暂养用水量为</w:t>
      </w:r>
    </w:p>
    <w:p w14:paraId="0E567E95">
      <w:pPr>
        <w:pStyle w:val="7"/>
        <w:spacing w:before="161"/>
        <w:ind w:left="280"/>
      </w:pPr>
      <w:r>
        <w:rPr>
          <w:rFonts w:ascii="Times New Roman" w:eastAsia="Times New Roman"/>
        </w:rPr>
        <w:t>28000 m</w:t>
      </w:r>
      <w:r>
        <w:rPr>
          <w:rFonts w:ascii="Times New Roman" w:eastAsia="Times New Roman"/>
          <w:position w:val="8"/>
          <w:sz w:val="15"/>
        </w:rPr>
        <w:t>3</w:t>
      </w:r>
      <w:r>
        <w:rPr>
          <w:rFonts w:ascii="Times New Roman" w:eastAsia="Times New Roman"/>
        </w:rPr>
        <w:t>/a</w:t>
      </w:r>
      <w:r>
        <w:t xml:space="preserve">（折合 </w:t>
      </w:r>
      <w:r>
        <w:rPr>
          <w:rFonts w:ascii="Times New Roman" w:eastAsia="Times New Roman"/>
        </w:rPr>
        <w:t>93.3m</w:t>
      </w:r>
      <w:r>
        <w:rPr>
          <w:rFonts w:ascii="Times New Roman" w:eastAsia="Times New Roman"/>
          <w:position w:val="8"/>
          <w:sz w:val="15"/>
        </w:rPr>
        <w:t>3</w:t>
      </w:r>
      <w:r>
        <w:rPr>
          <w:rFonts w:ascii="Times New Roman" w:eastAsia="Times New Roman"/>
        </w:rPr>
        <w:t>/d</w:t>
      </w:r>
      <w:r>
        <w:t>）</w:t>
      </w:r>
    </w:p>
    <w:p w14:paraId="6A376289">
      <w:pPr>
        <w:pStyle w:val="7"/>
        <w:spacing w:before="158" w:line="364" w:lineRule="auto"/>
        <w:ind w:left="280" w:right="337" w:firstLine="480"/>
        <w:jc w:val="both"/>
      </w:pPr>
      <w:r>
        <w:rPr>
          <w:spacing w:val="0"/>
        </w:rPr>
        <w:t>对于四吨蒸汽锅炉每小时的用水量，如果考虑到锅炉的蒸发量、排污损失</w:t>
      </w:r>
      <w:r>
        <w:rPr>
          <w:spacing w:val="-2"/>
        </w:rPr>
        <w:t xml:space="preserve">和管道汽水损失，大约需要 </w:t>
      </w:r>
      <w:r>
        <w:rPr>
          <w:rFonts w:ascii="Times New Roman" w:eastAsia="Times New Roman"/>
        </w:rPr>
        <w:t xml:space="preserve">4.32 </w:t>
      </w:r>
      <w:r>
        <w:rPr>
          <w:spacing w:val="-2"/>
        </w:rPr>
        <w:t xml:space="preserve">吨水，平均年运行时间为 </w:t>
      </w:r>
      <w:r>
        <w:rPr>
          <w:rFonts w:ascii="Times New Roman" w:eastAsia="Times New Roman"/>
        </w:rPr>
        <w:t>1200h</w:t>
      </w:r>
      <w:r>
        <w:rPr>
          <w:spacing w:val="0"/>
        </w:rPr>
        <w:t>，因此年用水</w:t>
      </w:r>
      <w:r>
        <w:rPr>
          <w:spacing w:val="-30"/>
        </w:rPr>
        <w:t xml:space="preserve">量 </w:t>
      </w:r>
      <w:r>
        <w:rPr>
          <w:rFonts w:ascii="Times New Roman" w:eastAsia="Times New Roman"/>
        </w:rPr>
        <w:t xml:space="preserve">5184 </w:t>
      </w:r>
      <w:r>
        <w:rPr>
          <w:rFonts w:ascii="Times New Roman" w:eastAsia="Times New Roman"/>
          <w:spacing w:val="-2"/>
        </w:rPr>
        <w:t>m</w:t>
      </w:r>
      <w:r>
        <w:rPr>
          <w:rFonts w:ascii="Times New Roman" w:eastAsia="Times New Roman"/>
          <w:spacing w:val="0"/>
          <w:w w:val="104"/>
          <w:position w:val="8"/>
          <w:sz w:val="15"/>
        </w:rPr>
        <w:t>3</w:t>
      </w:r>
      <w:r>
        <w:rPr>
          <w:rFonts w:ascii="Times New Roman" w:eastAsia="Times New Roman"/>
        </w:rPr>
        <w:t>/</w:t>
      </w:r>
      <w:r>
        <w:rPr>
          <w:rFonts w:ascii="Times New Roman" w:eastAsia="Times New Roman"/>
          <w:spacing w:val="-1"/>
        </w:rPr>
        <w:t>a</w:t>
      </w:r>
      <w:r>
        <w:t>（</w:t>
      </w:r>
      <w:r>
        <w:rPr>
          <w:spacing w:val="-20"/>
        </w:rPr>
        <w:t xml:space="preserve">折合 </w:t>
      </w:r>
      <w:r>
        <w:rPr>
          <w:rFonts w:ascii="Times New Roman" w:eastAsia="Times New Roman"/>
        </w:rPr>
        <w:t>17.28m</w:t>
      </w:r>
      <w:r>
        <w:rPr>
          <w:rFonts w:ascii="Times New Roman" w:eastAsia="Times New Roman"/>
          <w:spacing w:val="-2"/>
          <w:w w:val="104"/>
          <w:position w:val="8"/>
          <w:sz w:val="15"/>
        </w:rPr>
        <w:t>3</w:t>
      </w:r>
      <w:r>
        <w:rPr>
          <w:rFonts w:ascii="Times New Roman" w:eastAsia="Times New Roman"/>
        </w:rPr>
        <w:t>/d</w:t>
      </w:r>
      <w:r>
        <w:rPr>
          <w:spacing w:val="-120"/>
        </w:rPr>
        <w:t>）</w:t>
      </w:r>
      <w:r>
        <w:t>。</w:t>
      </w:r>
    </w:p>
    <w:p w14:paraId="49154217">
      <w:pPr>
        <w:pStyle w:val="7"/>
        <w:spacing w:line="364" w:lineRule="auto"/>
        <w:ind w:left="280" w:right="337" w:firstLine="480"/>
        <w:jc w:val="both"/>
      </w:pPr>
      <w:r>
        <w:t xml:space="preserve">为营造安全卫生的屠宰环境，减少动物疫病的发生，保证猪肉质量，项目定期对待宰间、场区道路进行消毒，同时对运输车辆进出屠宰厂、员工进出屠宰间进行消毒。项目消毒剂年使用量约 </w:t>
      </w:r>
      <w:r>
        <w:rPr>
          <w:rFonts w:ascii="Times New Roman" w:eastAsia="Times New Roman"/>
        </w:rPr>
        <w:t>1.2t</w:t>
      </w:r>
      <w:r>
        <w:t xml:space="preserve">，以 </w:t>
      </w:r>
      <w:r>
        <w:rPr>
          <w:rFonts w:ascii="Times New Roman" w:eastAsia="Times New Roman"/>
        </w:rPr>
        <w:t xml:space="preserve">1:1000 </w:t>
      </w:r>
      <w:r>
        <w:t xml:space="preserve">的稀释比例进行稀释， 则需要加入的水量为 </w:t>
      </w:r>
      <w:r>
        <w:rPr>
          <w:rFonts w:ascii="Times New Roman" w:eastAsia="Times New Roman"/>
        </w:rPr>
        <w:t>1200m</w:t>
      </w:r>
      <w:r>
        <w:rPr>
          <w:rFonts w:ascii="Times New Roman" w:eastAsia="Times New Roman"/>
          <w:position w:val="8"/>
          <w:sz w:val="15"/>
        </w:rPr>
        <w:t>2</w:t>
      </w:r>
      <w:r>
        <w:rPr>
          <w:rFonts w:ascii="Times New Roman" w:eastAsia="Times New Roman"/>
        </w:rPr>
        <w:t>/a</w:t>
      </w:r>
      <w:r>
        <w:t>，全部蒸发耗损。</w:t>
      </w:r>
    </w:p>
    <w:p w14:paraId="195BC0AA">
      <w:pPr>
        <w:pStyle w:val="7"/>
        <w:spacing w:line="305" w:lineRule="exact"/>
        <w:ind w:left="760"/>
      </w:pPr>
      <w:r>
        <w:t>③喷淋吸收塔补水</w:t>
      </w:r>
    </w:p>
    <w:p w14:paraId="388840C0">
      <w:pPr>
        <w:pStyle w:val="7"/>
        <w:spacing w:before="160" w:line="362" w:lineRule="auto"/>
        <w:ind w:left="280" w:right="337" w:firstLine="480"/>
        <w:jc w:val="both"/>
      </w:pPr>
      <w:r>
        <w:t>项目待宰间、屠宰间和污水处理站除臭均采用喷淋吸收塔除臭设施，设施循环水箱需少量补水，按照相关设计参数，</w:t>
      </w:r>
      <w:r>
        <w:rPr>
          <w:rFonts w:ascii="Times New Roman" w:eastAsia="Times New Roman"/>
        </w:rPr>
        <w:t xml:space="preserve">2 </w:t>
      </w:r>
      <w:r>
        <w:t>套除臭设施的水箱日循环水量为</w:t>
      </w:r>
    </w:p>
    <w:p w14:paraId="197774AF">
      <w:pPr>
        <w:pStyle w:val="7"/>
        <w:spacing w:before="5"/>
        <w:ind w:left="280"/>
      </w:pPr>
      <w:r>
        <w:rPr>
          <w:rFonts w:ascii="Times New Roman" w:eastAsia="Times New Roman"/>
        </w:rPr>
        <w:t>240m</w:t>
      </w:r>
      <w:r>
        <w:rPr>
          <w:rFonts w:ascii="Times New Roman" w:eastAsia="Times New Roman"/>
          <w:position w:val="8"/>
          <w:sz w:val="15"/>
        </w:rPr>
        <w:t>3</w:t>
      </w:r>
      <w:r>
        <w:rPr>
          <w:rFonts w:ascii="Times New Roman" w:eastAsia="Times New Roman"/>
        </w:rPr>
        <w:t>/d</w:t>
      </w:r>
      <w:r>
        <w:t xml:space="preserve">，补水量约 </w:t>
      </w:r>
      <w:r>
        <w:rPr>
          <w:rFonts w:ascii="Times New Roman" w:eastAsia="Times New Roman"/>
        </w:rPr>
        <w:t>1.2m</w:t>
      </w:r>
      <w:r>
        <w:rPr>
          <w:rFonts w:ascii="Times New Roman" w:eastAsia="Times New Roman"/>
          <w:position w:val="8"/>
          <w:sz w:val="15"/>
        </w:rPr>
        <w:t>3</w:t>
      </w:r>
      <w:r>
        <w:rPr>
          <w:rFonts w:ascii="Times New Roman" w:eastAsia="Times New Roman"/>
        </w:rPr>
        <w:t>/d</w:t>
      </w:r>
      <w:r>
        <w:t>，</w:t>
      </w:r>
      <w:r>
        <w:rPr>
          <w:rFonts w:ascii="Times New Roman" w:eastAsia="Times New Roman"/>
        </w:rPr>
        <w:t>360m</w:t>
      </w:r>
      <w:r>
        <w:rPr>
          <w:rFonts w:ascii="Times New Roman" w:eastAsia="Times New Roman"/>
          <w:position w:val="8"/>
          <w:sz w:val="15"/>
        </w:rPr>
        <w:t>3</w:t>
      </w:r>
      <w:r>
        <w:rPr>
          <w:rFonts w:ascii="Times New Roman" w:eastAsia="Times New Roman"/>
        </w:rPr>
        <w:t>/a</w:t>
      </w:r>
      <w:r>
        <w:t>。</w:t>
      </w:r>
    </w:p>
    <w:p w14:paraId="5CCAD6BF">
      <w:pPr>
        <w:pStyle w:val="7"/>
        <w:spacing w:before="158"/>
        <w:ind w:left="760"/>
      </w:pPr>
      <w:r>
        <w:t>④绿化用水</w:t>
      </w:r>
    </w:p>
    <w:p w14:paraId="52B3CBE4">
      <w:pPr>
        <w:pStyle w:val="7"/>
        <w:spacing w:before="161" w:line="364" w:lineRule="auto"/>
        <w:ind w:left="280" w:right="340" w:firstLine="480"/>
        <w:jc w:val="both"/>
      </w:pPr>
      <w:r>
        <w:rPr>
          <w:spacing w:val="0"/>
        </w:rPr>
        <w:t xml:space="preserve">本项目设计绿地率为 </w:t>
      </w:r>
      <w:r>
        <w:rPr>
          <w:rFonts w:ascii="Times New Roman" w:hAnsi="Times New Roman" w:eastAsia="Times New Roman"/>
        </w:rPr>
        <w:t>11.08%</w:t>
      </w:r>
      <w:r>
        <w:rPr>
          <w:spacing w:val="-3"/>
        </w:rPr>
        <w:t xml:space="preserve">，绿化面积约 </w:t>
      </w:r>
      <w:r>
        <w:rPr>
          <w:rFonts w:ascii="Times New Roman" w:hAnsi="Times New Roman" w:eastAsia="Times New Roman"/>
        </w:rPr>
        <w:t>2955m</w:t>
      </w:r>
      <w:r>
        <w:rPr>
          <w:rFonts w:ascii="Times New Roman" w:hAnsi="Times New Roman" w:eastAsia="Times New Roman"/>
          <w:position w:val="8"/>
          <w:sz w:val="15"/>
        </w:rPr>
        <w:t>2</w:t>
      </w:r>
      <w:r>
        <w:rPr>
          <w:spacing w:val="2"/>
        </w:rPr>
        <w:t>，参照《湖南省地方标准</w:t>
      </w:r>
      <w:r>
        <w:rPr>
          <w:rFonts w:ascii="Times New Roman" w:hAnsi="Times New Roman" w:eastAsia="Times New Roman"/>
          <w:spacing w:val="2"/>
        </w:rPr>
        <w:t>-</w:t>
      </w:r>
      <w:r>
        <w:rPr>
          <w:spacing w:val="-22"/>
        </w:rPr>
        <w:t>用水定额》</w:t>
      </w:r>
      <w:r>
        <w:t>（</w:t>
      </w:r>
      <w:r>
        <w:rPr>
          <w:rFonts w:ascii="Times New Roman" w:hAnsi="Times New Roman" w:eastAsia="Times New Roman"/>
        </w:rPr>
        <w:t>DB43/T388-2020</w:t>
      </w:r>
      <w:r>
        <w:t>）</w:t>
      </w:r>
      <w:r>
        <w:rPr>
          <w:spacing w:val="-6"/>
        </w:rPr>
        <w:t xml:space="preserve">中绿化用水定额为 </w:t>
      </w:r>
      <w:r>
        <w:rPr>
          <w:rFonts w:ascii="Times New Roman" w:hAnsi="Times New Roman" w:eastAsia="Times New Roman"/>
        </w:rPr>
        <w:t>60L/m</w:t>
      </w:r>
      <w:r>
        <w:rPr>
          <w:rFonts w:ascii="Times New Roman" w:hAnsi="Times New Roman" w:eastAsia="Times New Roman"/>
          <w:position w:val="8"/>
          <w:sz w:val="15"/>
        </w:rPr>
        <w:t>2</w:t>
      </w:r>
      <w:r>
        <w:rPr>
          <w:rFonts w:ascii="Times New Roman" w:hAnsi="Times New Roman" w:eastAsia="Times New Roman"/>
        </w:rPr>
        <w:t>·</w:t>
      </w:r>
      <w:r>
        <w:t>月，则绿化用水量</w:t>
      </w:r>
      <w:r>
        <w:rPr>
          <w:spacing w:val="-30"/>
        </w:rPr>
        <w:t xml:space="preserve">为 </w:t>
      </w:r>
      <w:r>
        <w:rPr>
          <w:rFonts w:ascii="Times New Roman" w:hAnsi="Times New Roman" w:eastAsia="Times New Roman"/>
        </w:rPr>
        <w:t>2127.6m</w:t>
      </w:r>
      <w:r>
        <w:rPr>
          <w:rFonts w:ascii="Times New Roman" w:hAnsi="Times New Roman" w:eastAsia="Times New Roman"/>
          <w:position w:val="8"/>
          <w:sz w:val="15"/>
        </w:rPr>
        <w:t>3</w:t>
      </w:r>
      <w:r>
        <w:rPr>
          <w:rFonts w:ascii="Times New Roman" w:hAnsi="Times New Roman" w:eastAsia="Times New Roman"/>
        </w:rPr>
        <w:t>/a</w:t>
      </w:r>
      <w:r>
        <w:t>，尾水回用不计总量。</w:t>
      </w:r>
    </w:p>
    <w:p w14:paraId="50BD378D">
      <w:pPr>
        <w:pStyle w:val="7"/>
        <w:spacing w:line="304" w:lineRule="exact"/>
        <w:ind w:left="760"/>
      </w:pPr>
      <w:r>
        <w:t>（</w:t>
      </w:r>
      <w:r>
        <w:rPr>
          <w:rFonts w:ascii="Times New Roman" w:eastAsia="Times New Roman"/>
        </w:rPr>
        <w:t>2</w:t>
      </w:r>
      <w:r>
        <w:t>）排水</w:t>
      </w:r>
    </w:p>
    <w:p w14:paraId="52430D6A">
      <w:pPr>
        <w:pStyle w:val="7"/>
        <w:spacing w:before="160"/>
        <w:ind w:left="760"/>
      </w:pPr>
      <w:r>
        <w:t>①员工生活污水：</w:t>
      </w:r>
    </w:p>
    <w:p w14:paraId="580816C3">
      <w:pPr>
        <w:pStyle w:val="7"/>
        <w:spacing w:before="161"/>
        <w:ind w:left="760"/>
      </w:pPr>
      <w:r>
        <w:t xml:space="preserve">根据定额计算，营运期生活用水量为 </w:t>
      </w:r>
      <w:r>
        <w:rPr>
          <w:rFonts w:ascii="Times New Roman" w:eastAsia="Times New Roman"/>
        </w:rPr>
        <w:t>26.4m</w:t>
      </w:r>
      <w:r>
        <w:rPr>
          <w:rFonts w:ascii="Times New Roman" w:eastAsia="Times New Roman"/>
          <w:position w:val="8"/>
          <w:sz w:val="15"/>
        </w:rPr>
        <w:t>3</w:t>
      </w:r>
      <w:r>
        <w:rPr>
          <w:rFonts w:ascii="Times New Roman" w:eastAsia="Times New Roman"/>
        </w:rPr>
        <w:t>/d(7920m</w:t>
      </w:r>
      <w:r>
        <w:rPr>
          <w:rFonts w:ascii="Times New Roman" w:eastAsia="Times New Roman"/>
          <w:position w:val="8"/>
          <w:sz w:val="15"/>
        </w:rPr>
        <w:t>3</w:t>
      </w:r>
      <w:r>
        <w:rPr>
          <w:rFonts w:ascii="Times New Roman" w:eastAsia="Times New Roman"/>
        </w:rPr>
        <w:t>/a)</w:t>
      </w:r>
      <w:r>
        <w:t>，污水产污系数按</w:t>
      </w:r>
    </w:p>
    <w:p w14:paraId="1A5C48A9">
      <w:pPr>
        <w:pStyle w:val="7"/>
        <w:spacing w:before="158"/>
        <w:ind w:left="280"/>
      </w:pPr>
      <w:r>
        <w:rPr>
          <w:rFonts w:ascii="Times New Roman" w:eastAsia="Times New Roman"/>
        </w:rPr>
        <w:t>85%</w:t>
      </w:r>
      <w:r>
        <w:t xml:space="preserve">计，则生活污水量为 </w:t>
      </w:r>
      <w:r>
        <w:rPr>
          <w:rFonts w:ascii="Times New Roman" w:eastAsia="Times New Roman"/>
        </w:rPr>
        <w:t>22.44m</w:t>
      </w:r>
      <w:r>
        <w:rPr>
          <w:rFonts w:ascii="Times New Roman" w:eastAsia="Times New Roman"/>
          <w:position w:val="8"/>
          <w:sz w:val="15"/>
        </w:rPr>
        <w:t>3</w:t>
      </w:r>
      <w:r>
        <w:rPr>
          <w:rFonts w:ascii="Times New Roman" w:eastAsia="Times New Roman"/>
        </w:rPr>
        <w:t>/d(6732m</w:t>
      </w:r>
      <w:r>
        <w:rPr>
          <w:rFonts w:ascii="Times New Roman" w:eastAsia="Times New Roman"/>
          <w:position w:val="8"/>
          <w:sz w:val="15"/>
        </w:rPr>
        <w:t>3</w:t>
      </w:r>
      <w:r>
        <w:rPr>
          <w:rFonts w:ascii="Times New Roman" w:eastAsia="Times New Roman"/>
        </w:rPr>
        <w:t>/a)</w:t>
      </w:r>
      <w:r>
        <w:t>。</w:t>
      </w:r>
    </w:p>
    <w:p w14:paraId="43204121">
      <w:pPr>
        <w:pStyle w:val="7"/>
        <w:spacing w:before="158"/>
        <w:ind w:left="760"/>
      </w:pPr>
      <w:r>
        <w:t>②屠宰废水：</w:t>
      </w:r>
    </w:p>
    <w:p w14:paraId="19CFE872">
      <w:pPr>
        <w:pStyle w:val="7"/>
        <w:spacing w:before="160" w:line="364" w:lineRule="auto"/>
        <w:ind w:left="280" w:right="337" w:firstLine="480"/>
        <w:jc w:val="both"/>
      </w:pPr>
      <w:r>
        <w:t>根据《屠宰与肉类加工废水治理工程技术规范》（</w:t>
      </w:r>
      <w:r>
        <w:rPr>
          <w:rFonts w:ascii="Times New Roman" w:eastAsia="Times New Roman"/>
        </w:rPr>
        <w:t>HJ2004-2010</w:t>
      </w:r>
      <w:r>
        <w:t>）可知，屠宰废水指屠宰过程产生的废水，包括屠宰时进行的圈栏冲洗、宰前淋洗、宰后烫毛或剥皮、开腔、劈半、解体、内脏洗涤及车间冲洗等过程产生的废水，宏观上主要含有的污染物为血污、碎肉、畜毛、未消化的食物及粪便、尿液等，</w:t>
      </w:r>
    </w:p>
    <w:p w14:paraId="11BC7DA6">
      <w:pPr>
        <w:spacing w:after="0" w:line="364" w:lineRule="auto"/>
        <w:jc w:val="both"/>
        <w:sectPr>
          <w:pgSz w:w="11910" w:h="16840"/>
          <w:pgMar w:top="1360" w:right="1460" w:bottom="1400" w:left="1520" w:header="878" w:footer="1195" w:gutter="0"/>
          <w:cols w:space="720" w:num="1"/>
        </w:sectPr>
      </w:pPr>
    </w:p>
    <w:p w14:paraId="1718F5C7">
      <w:pPr>
        <w:pStyle w:val="7"/>
        <w:spacing w:before="65"/>
        <w:ind w:left="280"/>
      </w:pPr>
      <w:r>
        <w:rPr>
          <w:position w:val="2"/>
        </w:rPr>
        <w:t xml:space="preserve">微观上主要含有的污染物为 </w:t>
      </w:r>
      <w:r>
        <w:rPr>
          <w:rFonts w:ascii="Times New Roman" w:eastAsia="Times New Roman"/>
          <w:position w:val="2"/>
        </w:rPr>
        <w:t>COD</w:t>
      </w:r>
      <w:r>
        <w:rPr>
          <w:rFonts w:ascii="Times New Roman" w:eastAsia="Times New Roman"/>
          <w:position w:val="2"/>
          <w:vertAlign w:val="subscript"/>
        </w:rPr>
        <w:t>Cr</w:t>
      </w:r>
      <w:r>
        <w:rPr>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、氨氮及动植物油等。</w:t>
      </w:r>
    </w:p>
    <w:p w14:paraId="186C0903">
      <w:pPr>
        <w:pStyle w:val="7"/>
        <w:spacing w:before="159"/>
        <w:ind w:left="760"/>
      </w:pPr>
      <w:r>
        <w:t>暂养废水： 根据《排污许可证申请与核发技术规范畜禽养殖行业》</w:t>
      </w:r>
    </w:p>
    <w:p w14:paraId="6E9B5E7B">
      <w:pPr>
        <w:pStyle w:val="7"/>
        <w:spacing w:before="158" w:line="364" w:lineRule="auto"/>
        <w:ind w:left="280" w:right="337"/>
      </w:pPr>
      <w:r>
        <w:rPr>
          <w:spacing w:val="3"/>
        </w:rPr>
        <w:t>（</w:t>
      </w:r>
      <w:r>
        <w:rPr>
          <w:rFonts w:ascii="Times New Roman" w:hAnsi="Times New Roman" w:eastAsia="Times New Roman"/>
          <w:spacing w:val="-1"/>
        </w:rPr>
        <w:t>H</w:t>
      </w:r>
      <w:r>
        <w:rPr>
          <w:rFonts w:ascii="Times New Roman" w:hAnsi="Times New Roman" w:eastAsia="Times New Roman"/>
          <w:spacing w:val="1"/>
        </w:rPr>
        <w:t>J</w:t>
      </w:r>
      <w:r>
        <w:rPr>
          <w:rFonts w:ascii="Times New Roman" w:hAnsi="Times New Roman" w:eastAsia="Times New Roman"/>
        </w:rPr>
        <w:t>1029</w:t>
      </w:r>
      <w:r>
        <w:rPr>
          <w:rFonts w:ascii="Times New Roman" w:hAnsi="Times New Roman" w:eastAsia="Times New Roman"/>
          <w:spacing w:val="-1"/>
        </w:rPr>
        <w:t>-</w:t>
      </w:r>
      <w:r>
        <w:rPr>
          <w:rFonts w:ascii="Times New Roman" w:hAnsi="Times New Roman" w:eastAsia="Times New Roman"/>
        </w:rPr>
        <w:t>201</w:t>
      </w:r>
      <w:r>
        <w:rPr>
          <w:rFonts w:ascii="Times New Roman" w:hAnsi="Times New Roman" w:eastAsia="Times New Roman"/>
          <w:spacing w:val="3"/>
        </w:rPr>
        <w:t>9</w:t>
      </w:r>
      <w:r>
        <w:rPr>
          <w:spacing w:val="-113"/>
        </w:rPr>
        <w:t>）</w:t>
      </w:r>
      <w:r>
        <w:rPr>
          <w:spacing w:val="-17"/>
        </w:rPr>
        <w:t xml:space="preserve">，表 </w:t>
      </w:r>
      <w:r>
        <w:rPr>
          <w:rFonts w:ascii="Times New Roman" w:hAnsi="Times New Roman" w:eastAsia="Times New Roman"/>
        </w:rPr>
        <w:t>4</w:t>
      </w:r>
      <w:r>
        <w:rPr>
          <w:rFonts w:ascii="Times New Roman" w:hAnsi="Times New Roman" w:eastAsia="Times New Roman"/>
          <w:spacing w:val="-8"/>
        </w:rPr>
        <w:t xml:space="preserve"> </w:t>
      </w:r>
      <w:r>
        <w:t>畜禽养殖行业排污单位畜禽基准排水量推荐取值表中明</w:t>
      </w:r>
      <w:r>
        <w:rPr>
          <w:spacing w:val="-15"/>
        </w:rPr>
        <w:t xml:space="preserve">确猪只 </w:t>
      </w:r>
      <w:r>
        <w:rPr>
          <w:rFonts w:ascii="Times New Roman" w:hAnsi="Times New Roman" w:eastAsia="Times New Roman"/>
        </w:rPr>
        <w:t>1.5</w:t>
      </w:r>
      <w:r>
        <w:rPr>
          <w:rFonts w:ascii="Times New Roman" w:hAnsi="Times New Roman" w:eastAsia="Times New Roman"/>
          <w:spacing w:val="-2"/>
        </w:rPr>
        <w:t>m</w:t>
      </w:r>
      <w:r>
        <w:rPr>
          <w:rFonts w:ascii="Times New Roman" w:hAnsi="Times New Roman" w:eastAsia="Times New Roman"/>
          <w:spacing w:val="0"/>
          <w:w w:val="104"/>
          <w:position w:val="8"/>
          <w:sz w:val="15"/>
        </w:rPr>
        <w:t>3</w:t>
      </w:r>
      <w:r>
        <w:rPr>
          <w:rFonts w:ascii="Times New Roman" w:hAnsi="Times New Roman" w:eastAsia="Times New Roman"/>
          <w:spacing w:val="-2"/>
        </w:rPr>
        <w:t>/</w:t>
      </w:r>
      <w:r>
        <w:t>（百头·</w:t>
      </w:r>
      <w:r>
        <w:rPr>
          <w:rFonts w:ascii="Times New Roman" w:hAnsi="Times New Roman" w:eastAsia="Times New Roman"/>
        </w:rPr>
        <w:t>d</w:t>
      </w:r>
      <w:r>
        <w:rPr>
          <w:spacing w:val="-120"/>
        </w:rPr>
        <w:t>）</w:t>
      </w:r>
      <w:r>
        <w:rPr>
          <w:spacing w:val="-6"/>
        </w:rPr>
        <w:t xml:space="preserve">，则本项目废水量为 </w:t>
      </w:r>
      <w:r>
        <w:rPr>
          <w:rFonts w:ascii="Times New Roman" w:hAnsi="Times New Roman" w:eastAsia="Times New Roman"/>
        </w:rPr>
        <w:t>12000m</w:t>
      </w:r>
      <w:r>
        <w:rPr>
          <w:rFonts w:ascii="Times New Roman" w:hAnsi="Times New Roman" w:eastAsia="Times New Roman"/>
          <w:spacing w:val="0"/>
          <w:w w:val="104"/>
          <w:position w:val="8"/>
          <w:sz w:val="15"/>
        </w:rPr>
        <w:t>3</w:t>
      </w:r>
      <w:r>
        <w:rPr>
          <w:rFonts w:ascii="Times New Roman" w:hAnsi="Times New Roman" w:eastAsia="Times New Roman"/>
        </w:rPr>
        <w:t>/</w:t>
      </w:r>
      <w:r>
        <w:rPr>
          <w:rFonts w:ascii="Times New Roman" w:hAnsi="Times New Roman" w:eastAsia="Times New Roman"/>
          <w:spacing w:val="-1"/>
        </w:rPr>
        <w:t>a</w:t>
      </w:r>
      <w:r>
        <w:t>；</w:t>
      </w:r>
    </w:p>
    <w:p w14:paraId="69B031B9">
      <w:pPr>
        <w:pStyle w:val="7"/>
        <w:spacing w:line="306" w:lineRule="exact"/>
        <w:ind w:left="760"/>
      </w:pPr>
      <w:r>
        <w:t>锅炉清净下水：根据《排放源统计调查产排污核算方法和系数手册》中</w:t>
      </w:r>
    </w:p>
    <w:p w14:paraId="0CFA8DDD">
      <w:pPr>
        <w:pStyle w:val="7"/>
        <w:spacing w:before="161" w:line="364" w:lineRule="auto"/>
        <w:ind w:left="280" w:right="341"/>
        <w:jc w:val="both"/>
      </w:pPr>
      <w:r>
        <w:rPr>
          <w:spacing w:val="10"/>
        </w:rPr>
        <w:t>《</w:t>
      </w:r>
      <w:r>
        <w:rPr>
          <w:rFonts w:ascii="Times New Roman" w:eastAsia="Times New Roman"/>
        </w:rPr>
        <w:t xml:space="preserve">4430 </w:t>
      </w:r>
      <w:r>
        <w:rPr>
          <w:spacing w:val="10"/>
        </w:rPr>
        <w:t>工业锅炉（热力供应）</w:t>
      </w:r>
      <w:r>
        <w:rPr>
          <w:spacing w:val="5"/>
        </w:rPr>
        <w:t xml:space="preserve">行业系数手册》中废水量 </w:t>
      </w:r>
      <w:r>
        <w:rPr>
          <w:rFonts w:ascii="Times New Roman" w:eastAsia="Times New Roman"/>
        </w:rPr>
        <w:t xml:space="preserve">9.86 </w:t>
      </w:r>
      <w:r>
        <w:rPr>
          <w:spacing w:val="12"/>
        </w:rPr>
        <w:t>吨</w:t>
      </w:r>
      <w:r>
        <w:rPr>
          <w:rFonts w:ascii="Times New Roman" w:eastAsia="Times New Roman"/>
          <w:spacing w:val="10"/>
        </w:rPr>
        <w:t>/</w:t>
      </w:r>
      <w:r>
        <w:rPr>
          <w:spacing w:val="10"/>
        </w:rPr>
        <w:t>万立方米</w:t>
      </w:r>
      <w:r>
        <w:rPr>
          <w:rFonts w:ascii="Times New Roman" w:eastAsia="Times New Roman"/>
          <w:spacing w:val="10"/>
        </w:rPr>
        <w:t>-</w:t>
      </w:r>
      <w:r>
        <w:t>原</w:t>
      </w:r>
      <w:r>
        <w:rPr>
          <w:spacing w:val="-5"/>
        </w:rPr>
        <w:t xml:space="preserve">料，本项目使用天然气 </w:t>
      </w:r>
      <w:r>
        <w:rPr>
          <w:rFonts w:ascii="Times New Roman" w:eastAsia="Times New Roman"/>
        </w:rPr>
        <w:t xml:space="preserve">25 </w:t>
      </w:r>
      <w:r>
        <w:rPr>
          <w:spacing w:val="-5"/>
        </w:rPr>
        <w:t xml:space="preserve">万立方米，其中生活源 </w:t>
      </w:r>
      <w:r>
        <w:rPr>
          <w:rFonts w:ascii="Times New Roman" w:eastAsia="Times New Roman"/>
        </w:rPr>
        <w:t xml:space="preserve">4.5 </w:t>
      </w:r>
      <w:r>
        <w:t>万立方米，因此项目锅炉</w:t>
      </w:r>
      <w:r>
        <w:rPr>
          <w:spacing w:val="-8"/>
        </w:rPr>
        <w:t xml:space="preserve">清净下水量约为 </w:t>
      </w:r>
      <w:r>
        <w:rPr>
          <w:rFonts w:ascii="Times New Roman" w:eastAsia="Times New Roman"/>
        </w:rPr>
        <w:t>202t/a</w:t>
      </w:r>
      <w:r>
        <w:t>；</w:t>
      </w:r>
    </w:p>
    <w:p w14:paraId="341FC395">
      <w:pPr>
        <w:pStyle w:val="7"/>
        <w:spacing w:line="307" w:lineRule="exact"/>
        <w:ind w:left="760"/>
      </w:pPr>
      <w:r>
        <w:t>消毒用水均蒸发损耗，不涉及外排；</w:t>
      </w:r>
    </w:p>
    <w:p w14:paraId="12C32AE6">
      <w:pPr>
        <w:pStyle w:val="7"/>
        <w:spacing w:before="158" w:line="362" w:lineRule="auto"/>
        <w:ind w:left="280" w:right="337" w:firstLine="480"/>
      </w:pPr>
      <w:r>
        <w:rPr>
          <w:spacing w:val="0"/>
        </w:rPr>
        <w:t>项目屠宰废水主要包括圈栏废水、屠宰加工工艺相关过程产生的废水，根</w:t>
      </w:r>
      <w:r>
        <w:rPr>
          <w:spacing w:val="-14"/>
        </w:rPr>
        <w:t xml:space="preserve">据前述，《排放源统计调查产排污核算方法和系数手册》中 </w:t>
      </w:r>
      <w:r>
        <w:rPr>
          <w:rFonts w:ascii="Times New Roman" w:eastAsia="Times New Roman"/>
        </w:rPr>
        <w:t xml:space="preserve">135 </w:t>
      </w:r>
      <w:r>
        <w:t>屠宰及肉类加工</w:t>
      </w:r>
    </w:p>
    <w:p w14:paraId="3B2ABB1E">
      <w:pPr>
        <w:pStyle w:val="7"/>
        <w:spacing w:before="5"/>
        <w:ind w:left="280"/>
      </w:pPr>
      <w:r>
        <w:t xml:space="preserve">行业系数手册，其工业废水的产污系数为 </w:t>
      </w:r>
      <w:r>
        <w:rPr>
          <w:rFonts w:ascii="Times New Roman" w:eastAsia="Times New Roman"/>
        </w:rPr>
        <w:t xml:space="preserve">0.535 </w:t>
      </w:r>
      <w:r>
        <w:t>吨</w:t>
      </w:r>
      <w:r>
        <w:rPr>
          <w:rFonts w:ascii="Times New Roman" w:eastAsia="Times New Roman"/>
        </w:rPr>
        <w:t xml:space="preserve">/ </w:t>
      </w:r>
      <w:r>
        <w:t>头， 项目废水核算量为</w:t>
      </w:r>
    </w:p>
    <w:p w14:paraId="491FC3BB">
      <w:pPr>
        <w:pStyle w:val="7"/>
        <w:spacing w:before="160"/>
        <w:ind w:left="280"/>
      </w:pPr>
      <w:r>
        <w:rPr>
          <w:rFonts w:ascii="Times New Roman" w:eastAsia="Times New Roman"/>
        </w:rPr>
        <w:t>214000t/</w:t>
      </w:r>
      <w:r>
        <w:rPr>
          <w:rFonts w:ascii="Times New Roman" w:eastAsia="Times New Roman"/>
          <w:spacing w:val="-1"/>
        </w:rPr>
        <w:t>a</w:t>
      </w:r>
      <w:r>
        <w:t>（</w:t>
      </w:r>
      <w:r>
        <w:rPr>
          <w:rFonts w:ascii="Times New Roman" w:eastAsia="Times New Roman"/>
        </w:rPr>
        <w:t>586.3t/</w:t>
      </w:r>
      <w:r>
        <w:rPr>
          <w:rFonts w:ascii="Times New Roman" w:eastAsia="Times New Roman"/>
          <w:spacing w:val="-3"/>
        </w:rPr>
        <w:t>d</w:t>
      </w:r>
      <w:r>
        <w:rPr>
          <w:spacing w:val="-120"/>
        </w:rPr>
        <w:t>）</w:t>
      </w:r>
      <w:r>
        <w:rPr>
          <w:spacing w:val="-6"/>
        </w:rPr>
        <w:t xml:space="preserve">，因此屠宰废水总量为 </w:t>
      </w:r>
      <w:r>
        <w:rPr>
          <w:rFonts w:ascii="Times New Roman" w:eastAsia="Times New Roman"/>
        </w:rPr>
        <w:t>226202 t/</w:t>
      </w:r>
      <w:r>
        <w:rPr>
          <w:rFonts w:ascii="Times New Roman" w:eastAsia="Times New Roman"/>
          <w:spacing w:val="-1"/>
        </w:rPr>
        <w:t>a</w:t>
      </w:r>
      <w:r>
        <w:t>（</w:t>
      </w:r>
      <w:r>
        <w:rPr>
          <w:rFonts w:ascii="Times New Roman" w:eastAsia="Times New Roman"/>
        </w:rPr>
        <w:t>754t/d</w:t>
      </w:r>
      <w:r>
        <w:t>）</w:t>
      </w:r>
    </w:p>
    <w:p w14:paraId="1AD3C8CD">
      <w:pPr>
        <w:pStyle w:val="7"/>
        <w:spacing w:before="158" w:line="364" w:lineRule="auto"/>
        <w:ind w:left="280" w:right="337" w:firstLine="480"/>
        <w:jc w:val="both"/>
        <w:rPr>
          <w:rFonts w:ascii="Times New Roman" w:hAnsi="Times New Roman" w:eastAsia="Times New Roman"/>
        </w:rPr>
      </w:pPr>
      <w:r>
        <w:rPr>
          <w:spacing w:val="0"/>
        </w:rPr>
        <w:t>对照《排污许可证申请与核发技术规范农副食品加工工业一屠宰及肉类加</w:t>
      </w:r>
      <w:r>
        <w:rPr>
          <w:spacing w:val="-30"/>
        </w:rPr>
        <w:t>工工业》</w:t>
      </w:r>
      <w:r>
        <w:t>（</w:t>
      </w:r>
      <w:r>
        <w:rPr>
          <w:rFonts w:ascii="Times New Roman" w:hAnsi="Times New Roman" w:eastAsia="Times New Roman"/>
        </w:rPr>
        <w:t>HJ860.3-2018</w:t>
      </w:r>
      <w:r>
        <w:t>）</w:t>
      </w:r>
      <w:r>
        <w:rPr>
          <w:spacing w:val="-17"/>
        </w:rPr>
        <w:t xml:space="preserve">附录 </w:t>
      </w:r>
      <w:r>
        <w:rPr>
          <w:rFonts w:ascii="Times New Roman" w:hAnsi="Times New Roman" w:eastAsia="Times New Roman"/>
        </w:rPr>
        <w:t>C</w:t>
      </w:r>
      <w:r>
        <w:rPr>
          <w:spacing w:val="-4"/>
        </w:rPr>
        <w:t xml:space="preserve">，鲜猪肉工业废水的产污系数为 </w:t>
      </w:r>
      <w:r>
        <w:rPr>
          <w:rFonts w:ascii="Times New Roman" w:hAnsi="Times New Roman" w:eastAsia="Times New Roman"/>
        </w:rPr>
        <w:t xml:space="preserve">7.291 </w:t>
      </w:r>
      <w:r>
        <w:t>吨</w:t>
      </w:r>
      <w:r>
        <w:rPr>
          <w:rFonts w:ascii="Times New Roman" w:hAnsi="Times New Roman" w:eastAsia="Times New Roman"/>
        </w:rPr>
        <w:t>/</w:t>
      </w:r>
      <w:r>
        <w:t>吨</w:t>
      </w:r>
      <w:r>
        <w:rPr>
          <w:rFonts w:ascii="Times New Roman" w:hAnsi="Times New Roman" w:eastAsia="Times New Roman"/>
        </w:rPr>
        <w:t>-</w:t>
      </w:r>
      <w:r>
        <w:t>活</w:t>
      </w:r>
      <w:r>
        <w:rPr>
          <w:spacing w:val="-4"/>
        </w:rPr>
        <w:t xml:space="preserve">屠重，项目废水核算量为 </w:t>
      </w:r>
      <w:r>
        <w:rPr>
          <w:rFonts w:ascii="Times New Roman" w:hAnsi="Times New Roman" w:eastAsia="Times New Roman"/>
        </w:rPr>
        <w:t>320804 t/</w:t>
      </w:r>
      <w:r>
        <w:rPr>
          <w:rFonts w:ascii="Times New Roman" w:hAnsi="Times New Roman" w:eastAsia="Times New Roman"/>
          <w:spacing w:val="0"/>
        </w:rPr>
        <w:t>a</w:t>
      </w:r>
      <w:r>
        <w:rPr>
          <w:spacing w:val="3"/>
        </w:rPr>
        <w:t>（</w:t>
      </w:r>
      <w:r>
        <w:rPr>
          <w:rFonts w:ascii="Times New Roman" w:hAnsi="Times New Roman" w:eastAsia="Times New Roman"/>
        </w:rPr>
        <w:t>878.9t/d</w:t>
      </w:r>
      <w:r>
        <w:rPr>
          <w:spacing w:val="-118"/>
        </w:rPr>
        <w:t>）</w:t>
      </w:r>
      <w:r>
        <w:t>。根据同类屠宰生产企业排水调</w:t>
      </w:r>
      <w:r>
        <w:rPr>
          <w:spacing w:val="-9"/>
        </w:rPr>
        <w:t xml:space="preserve">查：“雨润肉类品加工流通中心屠宰废水产生量为 </w:t>
      </w:r>
      <w:r>
        <w:rPr>
          <w:rFonts w:ascii="Times New Roman" w:hAnsi="Times New Roman" w:eastAsia="Times New Roman"/>
        </w:rPr>
        <w:t>0.25</w:t>
      </w:r>
      <w:r>
        <w:rPr>
          <w:rFonts w:ascii="Times New Roman" w:hAnsi="Times New Roman" w:eastAsia="Times New Roman"/>
          <w:spacing w:val="-2"/>
        </w:rPr>
        <w:t>m</w:t>
      </w:r>
      <w:r>
        <w:rPr>
          <w:rFonts w:ascii="Times New Roman" w:hAnsi="Times New Roman" w:eastAsia="Times New Roman"/>
          <w:spacing w:val="0"/>
          <w:w w:val="104"/>
          <w:position w:val="8"/>
          <w:sz w:val="15"/>
        </w:rPr>
        <w:t>3</w:t>
      </w:r>
      <w:r>
        <w:rPr>
          <w:rFonts w:ascii="Times New Roman" w:hAnsi="Times New Roman" w:eastAsia="Times New Roman"/>
          <w:spacing w:val="5"/>
        </w:rPr>
        <w:t>/</w:t>
      </w:r>
      <w:r>
        <w:t>头猪，南京肉联厂屠</w:t>
      </w:r>
      <w:r>
        <w:rPr>
          <w:spacing w:val="-1"/>
        </w:rPr>
        <w:t xml:space="preserve">宰废水产生量为 </w:t>
      </w:r>
      <w:r>
        <w:rPr>
          <w:rFonts w:ascii="Times New Roman" w:hAnsi="Times New Roman" w:eastAsia="Times New Roman"/>
        </w:rPr>
        <w:t>0.40m</w:t>
      </w:r>
      <w:r>
        <w:rPr>
          <w:rFonts w:ascii="Times New Roman" w:hAnsi="Times New Roman" w:eastAsia="Times New Roman"/>
          <w:position w:val="8"/>
          <w:sz w:val="15"/>
        </w:rPr>
        <w:t>3</w:t>
      </w:r>
      <w:r>
        <w:rPr>
          <w:rFonts w:ascii="Times New Roman" w:hAnsi="Times New Roman" w:eastAsia="Times New Roman"/>
        </w:rPr>
        <w:t>/</w:t>
      </w:r>
      <w:r>
        <w:rPr>
          <w:spacing w:val="1"/>
        </w:rPr>
        <w:t xml:space="preserve">头猪，正大食品屠宰废水产生量为 </w:t>
      </w:r>
      <w:r>
        <w:rPr>
          <w:rFonts w:ascii="Times New Roman" w:hAnsi="Times New Roman" w:eastAsia="Times New Roman"/>
        </w:rPr>
        <w:t>0.45m</w:t>
      </w:r>
      <w:r>
        <w:rPr>
          <w:rFonts w:ascii="Times New Roman" w:hAnsi="Times New Roman" w:eastAsia="Times New Roman"/>
          <w:position w:val="8"/>
          <w:sz w:val="15"/>
        </w:rPr>
        <w:t>3</w:t>
      </w:r>
      <w:r>
        <w:rPr>
          <w:rFonts w:ascii="Times New Roman" w:hAnsi="Times New Roman" w:eastAsia="Times New Roman"/>
        </w:rPr>
        <w:t>/</w:t>
      </w:r>
      <w:r>
        <w:rPr>
          <w:spacing w:val="3"/>
        </w:rPr>
        <w:t>头猪，国内</w:t>
      </w:r>
      <w:r>
        <w:rPr>
          <w:spacing w:val="13"/>
        </w:rPr>
        <w:t xml:space="preserve">全行业废水平均产生量为 </w:t>
      </w:r>
      <w:r>
        <w:rPr>
          <w:rFonts w:ascii="Times New Roman" w:hAnsi="Times New Roman" w:eastAsia="Times New Roman"/>
        </w:rPr>
        <w:t>0.37m</w:t>
      </w:r>
      <w:r>
        <w:rPr>
          <w:rFonts w:ascii="Times New Roman" w:hAnsi="Times New Roman" w:eastAsia="Times New Roman"/>
          <w:position w:val="8"/>
          <w:sz w:val="15"/>
        </w:rPr>
        <w:t>3</w:t>
      </w:r>
      <w:r>
        <w:rPr>
          <w:rFonts w:ascii="Times New Roman" w:hAnsi="Times New Roman" w:eastAsia="Times New Roman"/>
        </w:rPr>
        <w:t xml:space="preserve">/ </w:t>
      </w:r>
      <w:r>
        <w:rPr>
          <w:spacing w:val="-2"/>
        </w:rPr>
        <w:t xml:space="preserve">头猪”， 项目废水国内平均值为 </w:t>
      </w:r>
      <w:r>
        <w:rPr>
          <w:rFonts w:ascii="Times New Roman" w:hAnsi="Times New Roman" w:eastAsia="Times New Roman"/>
        </w:rPr>
        <w:t>148000t/a</w:t>
      </w:r>
    </w:p>
    <w:p w14:paraId="643F5704">
      <w:pPr>
        <w:pStyle w:val="7"/>
        <w:spacing w:line="304" w:lineRule="exact"/>
        <w:ind w:left="280"/>
      </w:pPr>
      <w:r>
        <w:t>（</w:t>
      </w:r>
      <w:r>
        <w:rPr>
          <w:rFonts w:ascii="Times New Roman" w:eastAsia="Times New Roman"/>
        </w:rPr>
        <w:t>493.3d</w:t>
      </w:r>
      <w:r>
        <w:rPr>
          <w:spacing w:val="-120"/>
        </w:rPr>
        <w:t>）</w:t>
      </w:r>
      <w:r>
        <w:t>。结合企业实际情况和用地限值，因此废水源强核算基本合理。</w:t>
      </w:r>
    </w:p>
    <w:p w14:paraId="5D961303">
      <w:pPr>
        <w:pStyle w:val="7"/>
        <w:spacing w:before="161" w:line="364" w:lineRule="auto"/>
        <w:ind w:left="280" w:right="341" w:firstLine="480"/>
        <w:jc w:val="both"/>
      </w:pPr>
      <w:r>
        <w:rPr>
          <w:spacing w:val="-5"/>
        </w:rPr>
        <w:t xml:space="preserve">综上，项目总排水量为 </w:t>
      </w:r>
      <w:r>
        <w:rPr>
          <w:rFonts w:ascii="Times New Roman" w:eastAsia="Times New Roman"/>
        </w:rPr>
        <w:t>232934m</w:t>
      </w:r>
      <w:r>
        <w:rPr>
          <w:rFonts w:ascii="Times New Roman" w:eastAsia="Times New Roman"/>
          <w:position w:val="8"/>
          <w:sz w:val="15"/>
        </w:rPr>
        <w:t>3</w:t>
      </w:r>
      <w:r>
        <w:rPr>
          <w:rFonts w:ascii="Times New Roman" w:eastAsia="Times New Roman"/>
        </w:rPr>
        <w:t>/a</w:t>
      </w:r>
      <w:r>
        <w:rPr>
          <w:spacing w:val="-6"/>
        </w:rPr>
        <w:t xml:space="preserve">，其中生活污水 </w:t>
      </w:r>
      <w:r>
        <w:rPr>
          <w:rFonts w:ascii="Times New Roman" w:eastAsia="Times New Roman"/>
        </w:rPr>
        <w:t>6732m</w:t>
      </w:r>
      <w:r>
        <w:rPr>
          <w:rFonts w:ascii="Times New Roman" w:eastAsia="Times New Roman"/>
          <w:position w:val="8"/>
          <w:sz w:val="15"/>
        </w:rPr>
        <w:t>3</w:t>
      </w:r>
      <w:r>
        <w:rPr>
          <w:rFonts w:ascii="Times New Roman" w:eastAsia="Times New Roman"/>
        </w:rPr>
        <w:t xml:space="preserve">/a </w:t>
      </w:r>
      <w:r>
        <w:t>排入化粪池预</w:t>
      </w:r>
      <w:r>
        <w:rPr>
          <w:spacing w:val="-4"/>
        </w:rPr>
        <w:t xml:space="preserve">处理，屠宰废水合计 </w:t>
      </w:r>
      <w:r>
        <w:rPr>
          <w:rFonts w:ascii="Times New Roman" w:eastAsia="Times New Roman"/>
        </w:rPr>
        <w:t>226202m</w:t>
      </w:r>
      <w:r>
        <w:rPr>
          <w:rFonts w:ascii="Times New Roman" w:eastAsia="Times New Roman"/>
          <w:position w:val="8"/>
          <w:sz w:val="15"/>
        </w:rPr>
        <w:t>3</w:t>
      </w:r>
      <w:r>
        <w:rPr>
          <w:rFonts w:ascii="Times New Roman" w:eastAsia="Times New Roman"/>
        </w:rPr>
        <w:t>/a</w:t>
      </w:r>
      <w:r>
        <w:t>，均排入厂区污水处理站处理后，废污水经总排口经污水管网送至岳阳县污水处理厂处理达标。</w:t>
      </w:r>
    </w:p>
    <w:p w14:paraId="4ACE7116">
      <w:pPr>
        <w:pStyle w:val="6"/>
        <w:spacing w:line="307" w:lineRule="exact"/>
        <w:ind w:left="760"/>
      </w:pPr>
      <w:r>
        <w:t>（</w:t>
      </w:r>
      <w:r>
        <w:rPr>
          <w:rFonts w:ascii="Times New Roman" w:eastAsia="Times New Roman"/>
        </w:rPr>
        <w:t>3</w:t>
      </w:r>
      <w:r>
        <w:t>）水平衡</w:t>
      </w:r>
    </w:p>
    <w:p w14:paraId="0CA1D008">
      <w:pPr>
        <w:pStyle w:val="7"/>
        <w:spacing w:before="158"/>
        <w:ind w:left="760"/>
      </w:pPr>
      <w:r>
        <w:t>根据以上给水、排水分析，本项目水平衡如下图所示：</w:t>
      </w:r>
    </w:p>
    <w:p w14:paraId="144B23C7">
      <w:pPr>
        <w:spacing w:after="0"/>
        <w:sectPr>
          <w:pgSz w:w="11910" w:h="16840"/>
          <w:pgMar w:top="1360" w:right="1460" w:bottom="1400" w:left="1520" w:header="878" w:footer="1195" w:gutter="0"/>
          <w:cols w:space="720" w:num="1"/>
        </w:sectPr>
      </w:pPr>
    </w:p>
    <w:p w14:paraId="44496237">
      <w:pPr>
        <w:pStyle w:val="7"/>
        <w:spacing w:before="3"/>
        <w:rPr>
          <w:sz w:val="5"/>
        </w:rPr>
      </w:pPr>
    </w:p>
    <w:p w14:paraId="5352F82E">
      <w:pPr>
        <w:pStyle w:val="7"/>
        <w:ind w:left="280"/>
        <w:rPr>
          <w:sz w:val="20"/>
        </w:rPr>
      </w:pPr>
      <w:r>
        <w:rPr>
          <w:sz w:val="20"/>
        </w:rPr>
        <w:drawing>
          <wp:inline distT="0" distB="0" distL="0" distR="0">
            <wp:extent cx="5264150" cy="268224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png"/>
                    <pic:cNvPicPr>
                      <a:picLocks noChangeAspect="1"/>
                    </pic:cNvPicPr>
                  </pic:nvPicPr>
                  <pic:blipFill>
                    <a:blip r:embed="rId68" cstate="print"/>
                    <a:stretch>
                      <a:fillRect/>
                    </a:stretch>
                  </pic:blipFill>
                  <pic:spPr>
                    <a:xfrm>
                      <a:off x="0" y="0"/>
                      <a:ext cx="5264481" cy="2682335"/>
                    </a:xfrm>
                    <a:prstGeom prst="rect">
                      <a:avLst/>
                    </a:prstGeom>
                  </pic:spPr>
                </pic:pic>
              </a:graphicData>
            </a:graphic>
          </wp:inline>
        </w:drawing>
      </w:r>
    </w:p>
    <w:p w14:paraId="27825771">
      <w:pPr>
        <w:tabs>
          <w:tab w:val="left" w:pos="3457"/>
        </w:tabs>
        <w:spacing w:before="15" w:after="3"/>
        <w:ind w:left="2459" w:right="0" w:firstLine="0"/>
        <w:jc w:val="left"/>
        <w:rPr>
          <w:b/>
          <w:sz w:val="21"/>
        </w:rPr>
      </w:pPr>
      <w:r>
        <w:rPr>
          <w:b/>
          <w:sz w:val="21"/>
        </w:rPr>
        <w:t>图</w:t>
      </w:r>
      <w:r>
        <w:rPr>
          <w:b/>
          <w:spacing w:val="-53"/>
          <w:sz w:val="21"/>
        </w:rPr>
        <w:t xml:space="preserve"> </w:t>
      </w:r>
      <w:r>
        <w:rPr>
          <w:rFonts w:ascii="Times New Roman" w:eastAsia="Times New Roman"/>
          <w:b/>
          <w:sz w:val="21"/>
        </w:rPr>
        <w:t>3.6-</w:t>
      </w:r>
      <w:r>
        <w:rPr>
          <w:rFonts w:ascii="Times New Roman" w:eastAsia="Times New Roman"/>
          <w:b/>
          <w:spacing w:val="-18"/>
          <w:sz w:val="21"/>
        </w:rPr>
        <w:t xml:space="preserve"> </w:t>
      </w:r>
      <w:r>
        <w:rPr>
          <w:rFonts w:ascii="Times New Roman" w:eastAsia="Times New Roman"/>
          <w:b/>
          <w:sz w:val="21"/>
        </w:rPr>
        <w:t>2</w:t>
      </w:r>
      <w:r>
        <w:rPr>
          <w:rFonts w:ascii="Times New Roman" w:eastAsia="Times New Roman"/>
          <w:b/>
          <w:sz w:val="21"/>
        </w:rPr>
        <w:tab/>
      </w:r>
      <w:r>
        <w:rPr>
          <w:b/>
          <w:w w:val="95"/>
          <w:sz w:val="21"/>
        </w:rPr>
        <w:t>项目日水平衡图（单位：</w:t>
      </w:r>
      <w:r>
        <w:rPr>
          <w:rFonts w:ascii="Times New Roman" w:eastAsia="Times New Roman"/>
          <w:b/>
          <w:w w:val="95"/>
          <w:sz w:val="21"/>
        </w:rPr>
        <w:t>m</w:t>
      </w:r>
      <w:r>
        <w:rPr>
          <w:rFonts w:ascii="Times New Roman" w:eastAsia="Times New Roman"/>
          <w:b/>
          <w:w w:val="95"/>
          <w:position w:val="7"/>
          <w:sz w:val="13"/>
        </w:rPr>
        <w:t>3</w:t>
      </w:r>
      <w:r>
        <w:rPr>
          <w:rFonts w:ascii="Times New Roman" w:eastAsia="Times New Roman"/>
          <w:b/>
          <w:w w:val="95"/>
          <w:sz w:val="21"/>
        </w:rPr>
        <w:t>/d</w:t>
      </w:r>
      <w:r>
        <w:rPr>
          <w:b/>
          <w:w w:val="95"/>
          <w:sz w:val="21"/>
        </w:rPr>
        <w:t>）</w:t>
      </w:r>
    </w:p>
    <w:p w14:paraId="7C485BCC">
      <w:pPr>
        <w:pStyle w:val="7"/>
        <w:ind w:left="280"/>
        <w:rPr>
          <w:sz w:val="20"/>
        </w:rPr>
      </w:pPr>
      <w:r>
        <w:rPr>
          <w:sz w:val="20"/>
        </w:rPr>
        <w:drawing>
          <wp:inline distT="0" distB="0" distL="0" distR="0">
            <wp:extent cx="5264150" cy="2687320"/>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png"/>
                    <pic:cNvPicPr>
                      <a:picLocks noChangeAspect="1"/>
                    </pic:cNvPicPr>
                  </pic:nvPicPr>
                  <pic:blipFill>
                    <a:blip r:embed="rId69" cstate="print"/>
                    <a:stretch>
                      <a:fillRect/>
                    </a:stretch>
                  </pic:blipFill>
                  <pic:spPr>
                    <a:xfrm>
                      <a:off x="0" y="0"/>
                      <a:ext cx="5264472" cy="2687478"/>
                    </a:xfrm>
                    <a:prstGeom prst="rect">
                      <a:avLst/>
                    </a:prstGeom>
                  </pic:spPr>
                </pic:pic>
              </a:graphicData>
            </a:graphic>
          </wp:inline>
        </w:drawing>
      </w:r>
    </w:p>
    <w:p w14:paraId="0F788AAD">
      <w:pPr>
        <w:tabs>
          <w:tab w:val="left" w:pos="3435"/>
        </w:tabs>
        <w:spacing w:before="87"/>
        <w:ind w:left="2492" w:right="0" w:firstLine="0"/>
        <w:jc w:val="left"/>
        <w:rPr>
          <w:b/>
          <w:sz w:val="21"/>
        </w:rPr>
      </w:pPr>
      <w:r>
        <w:rPr>
          <w:b/>
          <w:sz w:val="21"/>
        </w:rPr>
        <w:t>图</w:t>
      </w:r>
      <w:r>
        <w:rPr>
          <w:b/>
          <w:spacing w:val="-56"/>
          <w:sz w:val="21"/>
        </w:rPr>
        <w:t xml:space="preserve"> </w:t>
      </w:r>
      <w:r>
        <w:rPr>
          <w:rFonts w:ascii="Times New Roman" w:eastAsia="Times New Roman"/>
          <w:b/>
          <w:sz w:val="21"/>
        </w:rPr>
        <w:t>3.6-</w:t>
      </w:r>
      <w:r>
        <w:rPr>
          <w:rFonts w:ascii="Times New Roman" w:eastAsia="Times New Roman"/>
          <w:b/>
          <w:spacing w:val="-18"/>
          <w:sz w:val="21"/>
        </w:rPr>
        <w:t xml:space="preserve"> </w:t>
      </w:r>
      <w:r>
        <w:rPr>
          <w:rFonts w:ascii="Times New Roman" w:eastAsia="Times New Roman"/>
          <w:b/>
          <w:sz w:val="21"/>
        </w:rPr>
        <w:t>1</w:t>
      </w:r>
      <w:r>
        <w:rPr>
          <w:rFonts w:ascii="Times New Roman" w:eastAsia="Times New Roman"/>
          <w:b/>
          <w:sz w:val="21"/>
        </w:rPr>
        <w:tab/>
      </w:r>
      <w:r>
        <w:rPr>
          <w:b/>
          <w:w w:val="95"/>
          <w:sz w:val="21"/>
        </w:rPr>
        <w:t>项目年水平衡图（单位：</w:t>
      </w:r>
      <w:r>
        <w:rPr>
          <w:rFonts w:ascii="Times New Roman" w:eastAsia="Times New Roman"/>
          <w:b/>
          <w:w w:val="95"/>
          <w:sz w:val="21"/>
        </w:rPr>
        <w:t>m</w:t>
      </w:r>
      <w:r>
        <w:rPr>
          <w:rFonts w:ascii="Times New Roman" w:eastAsia="Times New Roman"/>
          <w:b/>
          <w:w w:val="95"/>
          <w:position w:val="7"/>
          <w:sz w:val="13"/>
        </w:rPr>
        <w:t>3</w:t>
      </w:r>
      <w:r>
        <w:rPr>
          <w:rFonts w:ascii="Times New Roman" w:eastAsia="Times New Roman"/>
          <w:b/>
          <w:w w:val="95"/>
          <w:sz w:val="21"/>
        </w:rPr>
        <w:t>/a</w:t>
      </w:r>
      <w:r>
        <w:rPr>
          <w:b/>
          <w:w w:val="95"/>
          <w:sz w:val="21"/>
        </w:rPr>
        <w:t>）</w:t>
      </w:r>
    </w:p>
    <w:p w14:paraId="118CC5DF">
      <w:pPr>
        <w:pStyle w:val="13"/>
        <w:numPr>
          <w:ilvl w:val="1"/>
          <w:numId w:val="14"/>
        </w:numPr>
        <w:tabs>
          <w:tab w:val="left" w:pos="720"/>
        </w:tabs>
        <w:spacing w:before="5" w:after="0" w:line="240" w:lineRule="auto"/>
        <w:ind w:left="719" w:right="0" w:hanging="439"/>
        <w:jc w:val="left"/>
        <w:rPr>
          <w:b/>
          <w:sz w:val="30"/>
        </w:rPr>
      </w:pPr>
      <w:bookmarkStart w:id="109" w:name="3.7项目工程分析"/>
      <w:bookmarkEnd w:id="109"/>
      <w:bookmarkStart w:id="110" w:name="_bookmark21"/>
      <w:bookmarkEnd w:id="110"/>
      <w:bookmarkStart w:id="111" w:name="_bookmark21"/>
      <w:bookmarkEnd w:id="111"/>
      <w:r>
        <w:rPr>
          <w:b/>
          <w:sz w:val="30"/>
        </w:rPr>
        <w:t>项目工程分析</w:t>
      </w:r>
    </w:p>
    <w:p w14:paraId="5FC8241D">
      <w:pPr>
        <w:pStyle w:val="13"/>
        <w:numPr>
          <w:ilvl w:val="2"/>
          <w:numId w:val="14"/>
        </w:numPr>
        <w:tabs>
          <w:tab w:val="left" w:pos="900"/>
        </w:tabs>
        <w:spacing w:before="200" w:after="0" w:line="240" w:lineRule="auto"/>
        <w:ind w:left="899" w:right="0" w:hanging="619"/>
        <w:jc w:val="left"/>
        <w:rPr>
          <w:b/>
          <w:sz w:val="28"/>
        </w:rPr>
      </w:pPr>
      <w:bookmarkStart w:id="112" w:name="3.7.1施工期工艺流程及产污节点"/>
      <w:bookmarkEnd w:id="112"/>
      <w:bookmarkStart w:id="113" w:name="3.7.1施工期工艺流程及产污节点"/>
      <w:bookmarkEnd w:id="113"/>
      <w:r>
        <w:rPr>
          <w:b/>
          <w:sz w:val="28"/>
        </w:rPr>
        <w:t>施工期工艺流程及产污节点</w:t>
      </w:r>
    </w:p>
    <w:p w14:paraId="2A1A83E1">
      <w:pPr>
        <w:pStyle w:val="7"/>
        <w:spacing w:before="183" w:line="364" w:lineRule="auto"/>
        <w:ind w:left="280" w:right="337" w:firstLine="480"/>
      </w:pPr>
      <w:r>
        <w:t>项目建设施工过程的基本程序为：场区“四通一平”、基础工程、主体工程、装饰施工和竣工验收。</w:t>
      </w:r>
    </w:p>
    <w:p w14:paraId="62DB8C70">
      <w:pPr>
        <w:pStyle w:val="7"/>
        <w:spacing w:line="306" w:lineRule="exact"/>
        <w:ind w:left="760"/>
      </w:pPr>
      <w:r>
        <w:t>项目建设流程及污染物排放节点详见图 。</w:t>
      </w:r>
    </w:p>
    <w:p w14:paraId="52A94EF9">
      <w:pPr>
        <w:spacing w:after="0" w:line="306" w:lineRule="exact"/>
        <w:sectPr>
          <w:pgSz w:w="11910" w:h="16840"/>
          <w:pgMar w:top="1360" w:right="1460" w:bottom="1400" w:left="1520" w:header="878" w:footer="1195" w:gutter="0"/>
          <w:cols w:space="720" w:num="1"/>
        </w:sectPr>
      </w:pPr>
    </w:p>
    <w:p w14:paraId="45CA5CE3">
      <w:pPr>
        <w:pStyle w:val="7"/>
        <w:spacing w:before="12"/>
        <w:rPr>
          <w:sz w:val="2"/>
        </w:rPr>
      </w:pPr>
    </w:p>
    <w:p w14:paraId="6F413D50">
      <w:pPr>
        <w:pStyle w:val="7"/>
        <w:ind w:left="797"/>
        <w:rPr>
          <w:sz w:val="20"/>
        </w:rPr>
      </w:pPr>
      <w:r>
        <w:rPr>
          <w:sz w:val="20"/>
        </w:rPr>
        <w:pict>
          <v:group id="_x0000_s1185" o:spid="_x0000_s1185" o:spt="203" style="height:263.55pt;width:360.75pt;" coordsize="7215,5271">
            <o:lock v:ext="edit"/>
            <v:shape id="_x0000_s1186" o:spid="_x0000_s1186" o:spt="75" type="#_x0000_t75" style="position:absolute;left:800;top:136;height:5134;width:6202;" filled="f" stroked="f" coordsize="21600,21600">
              <v:path/>
              <v:fill on="f" focussize="0,0"/>
              <v:stroke on="f"/>
              <v:imagedata r:id="rId70" o:title=""/>
              <o:lock v:ext="edit" aspectratio="t"/>
            </v:shape>
            <v:rect id="_x0000_s1187" o:spid="_x0000_s1187" o:spt="1" style="position:absolute;left:7147;top:0;height:15;width:60;" fillcolor="#000000" filled="t" stroked="f" coordsize="21600,21600">
              <v:path/>
              <v:fill on="t" focussize="0,0"/>
              <v:stroke on="f"/>
              <v:imagedata o:title=""/>
              <o:lock v:ext="edit"/>
            </v:rect>
            <v:rect id="_x0000_s1188" o:spid="_x0000_s1188" o:spt="1" style="position:absolute;left:7042;top:0;height:15;width:60;" fillcolor="#000000" filled="t" stroked="f" coordsize="21600,21600">
              <v:path/>
              <v:fill on="t" focussize="0,0"/>
              <v:stroke on="f"/>
              <v:imagedata o:title=""/>
              <o:lock v:ext="edit"/>
            </v:rect>
            <v:rect id="_x0000_s1189" o:spid="_x0000_s1189" o:spt="1" style="position:absolute;left:6937;top:0;height:15;width:60;" fillcolor="#000000" filled="t" stroked="f" coordsize="21600,21600">
              <v:path/>
              <v:fill on="t" focussize="0,0"/>
              <v:stroke on="f"/>
              <v:imagedata o:title=""/>
              <o:lock v:ext="edit"/>
            </v:rect>
            <v:rect id="_x0000_s1190" o:spid="_x0000_s1190" o:spt="1" style="position:absolute;left:6832;top:0;height:15;width:60;" fillcolor="#000000" filled="t" stroked="f" coordsize="21600,21600">
              <v:path/>
              <v:fill on="t" focussize="0,0"/>
              <v:stroke on="f"/>
              <v:imagedata o:title=""/>
              <o:lock v:ext="edit"/>
            </v:rect>
            <v:rect id="_x0000_s1191" o:spid="_x0000_s1191" o:spt="1" style="position:absolute;left:6727;top:0;height:15;width:60;" fillcolor="#000000" filled="t" stroked="f" coordsize="21600,21600">
              <v:path/>
              <v:fill on="t" focussize="0,0"/>
              <v:stroke on="f"/>
              <v:imagedata o:title=""/>
              <o:lock v:ext="edit"/>
            </v:rect>
            <v:rect id="_x0000_s1192" o:spid="_x0000_s1192" o:spt="1" style="position:absolute;left:6622;top:0;height:15;width:60;" fillcolor="#000000" filled="t" stroked="f" coordsize="21600,21600">
              <v:path/>
              <v:fill on="t" focussize="0,0"/>
              <v:stroke on="f"/>
              <v:imagedata o:title=""/>
              <o:lock v:ext="edit"/>
            </v:rect>
            <v:rect id="_x0000_s1193" o:spid="_x0000_s1193" o:spt="1" style="position:absolute;left:6517;top:0;height:15;width:60;" fillcolor="#000000" filled="t" stroked="f" coordsize="21600,21600">
              <v:path/>
              <v:fill on="t" focussize="0,0"/>
              <v:stroke on="f"/>
              <v:imagedata o:title=""/>
              <o:lock v:ext="edit"/>
            </v:rect>
            <v:rect id="_x0000_s1194" o:spid="_x0000_s1194" o:spt="1" style="position:absolute;left:6412;top:0;height:15;width:60;" fillcolor="#000000" filled="t" stroked="f" coordsize="21600,21600">
              <v:path/>
              <v:fill on="t" focussize="0,0"/>
              <v:stroke on="f"/>
              <v:imagedata o:title=""/>
              <o:lock v:ext="edit"/>
            </v:rect>
            <v:rect id="_x0000_s1195" o:spid="_x0000_s1195" o:spt="1" style="position:absolute;left:6307;top:0;height:15;width:60;" fillcolor="#000000" filled="t" stroked="f" coordsize="21600,21600">
              <v:path/>
              <v:fill on="t" focussize="0,0"/>
              <v:stroke on="f"/>
              <v:imagedata o:title=""/>
              <o:lock v:ext="edit"/>
            </v:rect>
            <v:rect id="_x0000_s1196" o:spid="_x0000_s1196" o:spt="1" style="position:absolute;left:6202;top:0;height:15;width:60;" fillcolor="#000000" filled="t" stroked="f" coordsize="21600,21600">
              <v:path/>
              <v:fill on="t" focussize="0,0"/>
              <v:stroke on="f"/>
              <v:imagedata o:title=""/>
              <o:lock v:ext="edit"/>
            </v:rect>
            <v:rect id="_x0000_s1197" o:spid="_x0000_s1197" o:spt="1" style="position:absolute;left:6097;top:0;height:15;width:60;" fillcolor="#000000" filled="t" stroked="f" coordsize="21600,21600">
              <v:path/>
              <v:fill on="t" focussize="0,0"/>
              <v:stroke on="f"/>
              <v:imagedata o:title=""/>
              <o:lock v:ext="edit"/>
            </v:rect>
            <v:rect id="_x0000_s1198" o:spid="_x0000_s1198" o:spt="1" style="position:absolute;left:5992;top:0;height:15;width:60;" fillcolor="#000000" filled="t" stroked="f" coordsize="21600,21600">
              <v:path/>
              <v:fill on="t" focussize="0,0"/>
              <v:stroke on="f"/>
              <v:imagedata o:title=""/>
              <o:lock v:ext="edit"/>
            </v:rect>
            <v:rect id="_x0000_s1199" o:spid="_x0000_s1199" o:spt="1" style="position:absolute;left:5887;top:0;height:15;width:60;" fillcolor="#000000" filled="t" stroked="f" coordsize="21600,21600">
              <v:path/>
              <v:fill on="t" focussize="0,0"/>
              <v:stroke on="f"/>
              <v:imagedata o:title=""/>
              <o:lock v:ext="edit"/>
            </v:rect>
            <v:rect id="_x0000_s1200" o:spid="_x0000_s1200" o:spt="1" style="position:absolute;left:5782;top:0;height:15;width:60;" fillcolor="#000000" filled="t" stroked="f" coordsize="21600,21600">
              <v:path/>
              <v:fill on="t" focussize="0,0"/>
              <v:stroke on="f"/>
              <v:imagedata o:title=""/>
              <o:lock v:ext="edit"/>
            </v:rect>
            <v:rect id="_x0000_s1201" o:spid="_x0000_s1201" o:spt="1" style="position:absolute;left:5677;top:0;height:15;width:60;" fillcolor="#000000" filled="t" stroked="f" coordsize="21600,21600">
              <v:path/>
              <v:fill on="t" focussize="0,0"/>
              <v:stroke on="f"/>
              <v:imagedata o:title=""/>
              <o:lock v:ext="edit"/>
            </v:rect>
            <v:rect id="_x0000_s1202" o:spid="_x0000_s1202" o:spt="1" style="position:absolute;left:5572;top:0;height:15;width:60;" fillcolor="#000000" filled="t" stroked="f" coordsize="21600,21600">
              <v:path/>
              <v:fill on="t" focussize="0,0"/>
              <v:stroke on="f"/>
              <v:imagedata o:title=""/>
              <o:lock v:ext="edit"/>
            </v:rect>
            <v:rect id="_x0000_s1203" o:spid="_x0000_s1203" o:spt="1" style="position:absolute;left:5467;top:0;height:15;width:60;" fillcolor="#000000" filled="t" stroked="f" coordsize="21600,21600">
              <v:path/>
              <v:fill on="t" focussize="0,0"/>
              <v:stroke on="f"/>
              <v:imagedata o:title=""/>
              <o:lock v:ext="edit"/>
            </v:rect>
            <v:rect id="_x0000_s1204" o:spid="_x0000_s1204" o:spt="1" style="position:absolute;left:5362;top:0;height:15;width:60;" fillcolor="#000000" filled="t" stroked="f" coordsize="21600,21600">
              <v:path/>
              <v:fill on="t" focussize="0,0"/>
              <v:stroke on="f"/>
              <v:imagedata o:title=""/>
              <o:lock v:ext="edit"/>
            </v:rect>
            <v:rect id="_x0000_s1205" o:spid="_x0000_s1205" o:spt="1" style="position:absolute;left:5257;top:0;height:15;width:60;" fillcolor="#000000" filled="t" stroked="f" coordsize="21600,21600">
              <v:path/>
              <v:fill on="t" focussize="0,0"/>
              <v:stroke on="f"/>
              <v:imagedata o:title=""/>
              <o:lock v:ext="edit"/>
            </v:rect>
            <v:rect id="_x0000_s1206" o:spid="_x0000_s1206" o:spt="1" style="position:absolute;left:5152;top:0;height:15;width:60;" fillcolor="#000000" filled="t" stroked="f" coordsize="21600,21600">
              <v:path/>
              <v:fill on="t" focussize="0,0"/>
              <v:stroke on="f"/>
              <v:imagedata o:title=""/>
              <o:lock v:ext="edit"/>
            </v:rect>
            <v:rect id="_x0000_s1207" o:spid="_x0000_s1207" o:spt="1" style="position:absolute;left:5047;top:0;height:15;width:60;" fillcolor="#000000" filled="t" stroked="f" coordsize="21600,21600">
              <v:path/>
              <v:fill on="t" focussize="0,0"/>
              <v:stroke on="f"/>
              <v:imagedata o:title=""/>
              <o:lock v:ext="edit"/>
            </v:rect>
            <v:rect id="_x0000_s1208" o:spid="_x0000_s1208" o:spt="1" style="position:absolute;left:4942;top:0;height:15;width:60;" fillcolor="#000000" filled="t" stroked="f" coordsize="21600,21600">
              <v:path/>
              <v:fill on="t" focussize="0,0"/>
              <v:stroke on="f"/>
              <v:imagedata o:title=""/>
              <o:lock v:ext="edit"/>
            </v:rect>
            <v:rect id="_x0000_s1209" o:spid="_x0000_s1209" o:spt="1" style="position:absolute;left:4837;top:0;height:15;width:60;" fillcolor="#000000" filled="t" stroked="f" coordsize="21600,21600">
              <v:path/>
              <v:fill on="t" focussize="0,0"/>
              <v:stroke on="f"/>
              <v:imagedata o:title=""/>
              <o:lock v:ext="edit"/>
            </v:rect>
            <v:rect id="_x0000_s1210" o:spid="_x0000_s1210" o:spt="1" style="position:absolute;left:4732;top:0;height:15;width:60;" fillcolor="#000000" filled="t" stroked="f" coordsize="21600,21600">
              <v:path/>
              <v:fill on="t" focussize="0,0"/>
              <v:stroke on="f"/>
              <v:imagedata o:title=""/>
              <o:lock v:ext="edit"/>
            </v:rect>
            <v:rect id="_x0000_s1211" o:spid="_x0000_s1211" o:spt="1" style="position:absolute;left:4627;top:0;height:15;width:60;" fillcolor="#000000" filled="t" stroked="f" coordsize="21600,21600">
              <v:path/>
              <v:fill on="t" focussize="0,0"/>
              <v:stroke on="f"/>
              <v:imagedata o:title=""/>
              <o:lock v:ext="edit"/>
            </v:rect>
            <v:rect id="_x0000_s1212" o:spid="_x0000_s1212" o:spt="1" style="position:absolute;left:4522;top:0;height:15;width:60;" fillcolor="#000000" filled="t" stroked="f" coordsize="21600,21600">
              <v:path/>
              <v:fill on="t" focussize="0,0"/>
              <v:stroke on="f"/>
              <v:imagedata o:title=""/>
              <o:lock v:ext="edit"/>
            </v:rect>
            <v:rect id="_x0000_s1213" o:spid="_x0000_s1213" o:spt="1" style="position:absolute;left:4417;top:0;height:15;width:60;" fillcolor="#000000" filled="t" stroked="f" coordsize="21600,21600">
              <v:path/>
              <v:fill on="t" focussize="0,0"/>
              <v:stroke on="f"/>
              <v:imagedata o:title=""/>
              <o:lock v:ext="edit"/>
            </v:rect>
            <v:rect id="_x0000_s1214" o:spid="_x0000_s1214" o:spt="1" style="position:absolute;left:4312;top:0;height:15;width:60;" fillcolor="#000000" filled="t" stroked="f" coordsize="21600,21600">
              <v:path/>
              <v:fill on="t" focussize="0,0"/>
              <v:stroke on="f"/>
              <v:imagedata o:title=""/>
              <o:lock v:ext="edit"/>
            </v:rect>
            <v:rect id="_x0000_s1215" o:spid="_x0000_s1215" o:spt="1" style="position:absolute;left:4207;top:0;height:15;width:60;" fillcolor="#000000" filled="t" stroked="f" coordsize="21600,21600">
              <v:path/>
              <v:fill on="t" focussize="0,0"/>
              <v:stroke on="f"/>
              <v:imagedata o:title=""/>
              <o:lock v:ext="edit"/>
            </v:rect>
            <v:rect id="_x0000_s1216" o:spid="_x0000_s1216" o:spt="1" style="position:absolute;left:4102;top:0;height:15;width:60;" fillcolor="#000000" filled="t" stroked="f" coordsize="21600,21600">
              <v:path/>
              <v:fill on="t" focussize="0,0"/>
              <v:stroke on="f"/>
              <v:imagedata o:title=""/>
              <o:lock v:ext="edit"/>
            </v:rect>
            <v:rect id="_x0000_s1217" o:spid="_x0000_s1217" o:spt="1" style="position:absolute;left:3997;top:0;height:15;width:60;" fillcolor="#000000" filled="t" stroked="f" coordsize="21600,21600">
              <v:path/>
              <v:fill on="t" focussize="0,0"/>
              <v:stroke on="f"/>
              <v:imagedata o:title=""/>
              <o:lock v:ext="edit"/>
            </v:rect>
            <v:rect id="_x0000_s1218" o:spid="_x0000_s1218" o:spt="1" style="position:absolute;left:3892;top:0;height:15;width:60;" fillcolor="#000000" filled="t" stroked="f" coordsize="21600,21600">
              <v:path/>
              <v:fill on="t" focussize="0,0"/>
              <v:stroke on="f"/>
              <v:imagedata o:title=""/>
              <o:lock v:ext="edit"/>
            </v:rect>
            <v:rect id="_x0000_s1219" o:spid="_x0000_s1219" o:spt="1" style="position:absolute;left:3787;top:0;height:15;width:60;" fillcolor="#000000" filled="t" stroked="f" coordsize="21600,21600">
              <v:path/>
              <v:fill on="t" focussize="0,0"/>
              <v:stroke on="f"/>
              <v:imagedata o:title=""/>
              <o:lock v:ext="edit"/>
            </v:rect>
            <v:rect id="_x0000_s1220" o:spid="_x0000_s1220" o:spt="1" style="position:absolute;left:3682;top:0;height:15;width:60;" fillcolor="#000000" filled="t" stroked="f" coordsize="21600,21600">
              <v:path/>
              <v:fill on="t" focussize="0,0"/>
              <v:stroke on="f"/>
              <v:imagedata o:title=""/>
              <o:lock v:ext="edit"/>
            </v:rect>
            <v:rect id="_x0000_s1221" o:spid="_x0000_s1221" o:spt="1" style="position:absolute;left:3577;top:0;height:15;width:60;" fillcolor="#000000" filled="t" stroked="f" coordsize="21600,21600">
              <v:path/>
              <v:fill on="t" focussize="0,0"/>
              <v:stroke on="f"/>
              <v:imagedata o:title=""/>
              <o:lock v:ext="edit"/>
            </v:rect>
            <v:rect id="_x0000_s1222" o:spid="_x0000_s1222" o:spt="1" style="position:absolute;left:3472;top:0;height:15;width:60;" fillcolor="#000000" filled="t" stroked="f" coordsize="21600,21600">
              <v:path/>
              <v:fill on="t" focussize="0,0"/>
              <v:stroke on="f"/>
              <v:imagedata o:title=""/>
              <o:lock v:ext="edit"/>
            </v:rect>
            <v:rect id="_x0000_s1223" o:spid="_x0000_s1223" o:spt="1" style="position:absolute;left:3367;top:0;height:15;width:60;" fillcolor="#000000" filled="t" stroked="f" coordsize="21600,21600">
              <v:path/>
              <v:fill on="t" focussize="0,0"/>
              <v:stroke on="f"/>
              <v:imagedata o:title=""/>
              <o:lock v:ext="edit"/>
            </v:rect>
            <v:rect id="_x0000_s1224" o:spid="_x0000_s1224" o:spt="1" style="position:absolute;left:3262;top:0;height:15;width:60;" fillcolor="#000000" filled="t" stroked="f" coordsize="21600,21600">
              <v:path/>
              <v:fill on="t" focussize="0,0"/>
              <v:stroke on="f"/>
              <v:imagedata o:title=""/>
              <o:lock v:ext="edit"/>
            </v:rect>
            <v:rect id="_x0000_s1225" o:spid="_x0000_s1225" o:spt="1" style="position:absolute;left:3157;top:0;height:15;width:60;" fillcolor="#000000" filled="t" stroked="f" coordsize="21600,21600">
              <v:path/>
              <v:fill on="t" focussize="0,0"/>
              <v:stroke on="f"/>
              <v:imagedata o:title=""/>
              <o:lock v:ext="edit"/>
            </v:rect>
            <v:rect id="_x0000_s1226" o:spid="_x0000_s1226" o:spt="1" style="position:absolute;left:3052;top:0;height:15;width:60;" fillcolor="#000000" filled="t" stroked="f" coordsize="21600,21600">
              <v:path/>
              <v:fill on="t" focussize="0,0"/>
              <v:stroke on="f"/>
              <v:imagedata o:title=""/>
              <o:lock v:ext="edit"/>
            </v:rect>
            <v:rect id="_x0000_s1227" o:spid="_x0000_s1227" o:spt="1" style="position:absolute;left:2947;top:0;height:15;width:60;" fillcolor="#000000" filled="t" stroked="f" coordsize="21600,21600">
              <v:path/>
              <v:fill on="t" focussize="0,0"/>
              <v:stroke on="f"/>
              <v:imagedata o:title=""/>
              <o:lock v:ext="edit"/>
            </v:rect>
            <v:rect id="_x0000_s1228" o:spid="_x0000_s1228" o:spt="1" style="position:absolute;left:2842;top:0;height:15;width:60;" fillcolor="#000000" filled="t" stroked="f" coordsize="21600,21600">
              <v:path/>
              <v:fill on="t" focussize="0,0"/>
              <v:stroke on="f"/>
              <v:imagedata o:title=""/>
              <o:lock v:ext="edit"/>
            </v:rect>
            <v:rect id="_x0000_s1229" o:spid="_x0000_s1229" o:spt="1" style="position:absolute;left:2737;top:0;height:15;width:60;" fillcolor="#000000" filled="t" stroked="f" coordsize="21600,21600">
              <v:path/>
              <v:fill on="t" focussize="0,0"/>
              <v:stroke on="f"/>
              <v:imagedata o:title=""/>
              <o:lock v:ext="edit"/>
            </v:rect>
            <v:rect id="_x0000_s1230" o:spid="_x0000_s1230" o:spt="1" style="position:absolute;left:2632;top:0;height:15;width:60;" fillcolor="#000000" filled="t" stroked="f" coordsize="21600,21600">
              <v:path/>
              <v:fill on="t" focussize="0,0"/>
              <v:stroke on="f"/>
              <v:imagedata o:title=""/>
              <o:lock v:ext="edit"/>
            </v:rect>
            <v:rect id="_x0000_s1231" o:spid="_x0000_s1231" o:spt="1" style="position:absolute;left:2527;top:0;height:15;width:60;" fillcolor="#000000" filled="t" stroked="f" coordsize="21600,21600">
              <v:path/>
              <v:fill on="t" focussize="0,0"/>
              <v:stroke on="f"/>
              <v:imagedata o:title=""/>
              <o:lock v:ext="edit"/>
            </v:rect>
            <v:rect id="_x0000_s1232" o:spid="_x0000_s1232" o:spt="1" style="position:absolute;left:2422;top:0;height:15;width:60;" fillcolor="#000000" filled="t" stroked="f" coordsize="21600,21600">
              <v:path/>
              <v:fill on="t" focussize="0,0"/>
              <v:stroke on="f"/>
              <v:imagedata o:title=""/>
              <o:lock v:ext="edit"/>
            </v:rect>
            <v:rect id="_x0000_s1233" o:spid="_x0000_s1233" o:spt="1" style="position:absolute;left:2317;top:0;height:15;width:60;" fillcolor="#000000" filled="t" stroked="f" coordsize="21600,21600">
              <v:path/>
              <v:fill on="t" focussize="0,0"/>
              <v:stroke on="f"/>
              <v:imagedata o:title=""/>
              <o:lock v:ext="edit"/>
            </v:rect>
            <v:rect id="_x0000_s1234" o:spid="_x0000_s1234" o:spt="1" style="position:absolute;left:2212;top:0;height:15;width:60;" fillcolor="#000000" filled="t" stroked="f" coordsize="21600,21600">
              <v:path/>
              <v:fill on="t" focussize="0,0"/>
              <v:stroke on="f"/>
              <v:imagedata o:title=""/>
              <o:lock v:ext="edit"/>
            </v:rect>
            <v:rect id="_x0000_s1235" o:spid="_x0000_s1235" o:spt="1" style="position:absolute;left:2107;top:0;height:15;width:60;" fillcolor="#000000" filled="t" stroked="f" coordsize="21600,21600">
              <v:path/>
              <v:fill on="t" focussize="0,0"/>
              <v:stroke on="f"/>
              <v:imagedata o:title=""/>
              <o:lock v:ext="edit"/>
            </v:rect>
            <v:rect id="_x0000_s1236" o:spid="_x0000_s1236" o:spt="1" style="position:absolute;left:2002;top:0;height:15;width:60;" fillcolor="#000000" filled="t" stroked="f" coordsize="21600,21600">
              <v:path/>
              <v:fill on="t" focussize="0,0"/>
              <v:stroke on="f"/>
              <v:imagedata o:title=""/>
              <o:lock v:ext="edit"/>
            </v:rect>
            <v:rect id="_x0000_s1237" o:spid="_x0000_s1237" o:spt="1" style="position:absolute;left:1897;top:0;height:15;width:60;" fillcolor="#000000" filled="t" stroked="f" coordsize="21600,21600">
              <v:path/>
              <v:fill on="t" focussize="0,0"/>
              <v:stroke on="f"/>
              <v:imagedata o:title=""/>
              <o:lock v:ext="edit"/>
            </v:rect>
            <v:rect id="_x0000_s1238" o:spid="_x0000_s1238" o:spt="1" style="position:absolute;left:1792;top:0;height:15;width:60;" fillcolor="#000000" filled="t" stroked="f" coordsize="21600,21600">
              <v:path/>
              <v:fill on="t" focussize="0,0"/>
              <v:stroke on="f"/>
              <v:imagedata o:title=""/>
              <o:lock v:ext="edit"/>
            </v:rect>
            <v:rect id="_x0000_s1239" o:spid="_x0000_s1239" o:spt="1" style="position:absolute;left:1687;top:0;height:15;width:60;" fillcolor="#000000" filled="t" stroked="f" coordsize="21600,21600">
              <v:path/>
              <v:fill on="t" focussize="0,0"/>
              <v:stroke on="f"/>
              <v:imagedata o:title=""/>
              <o:lock v:ext="edit"/>
            </v:rect>
            <v:rect id="_x0000_s1240" o:spid="_x0000_s1240" o:spt="1" style="position:absolute;left:1582;top:0;height:15;width:60;" fillcolor="#000000" filled="t" stroked="f" coordsize="21600,21600">
              <v:path/>
              <v:fill on="t" focussize="0,0"/>
              <v:stroke on="f"/>
              <v:imagedata o:title=""/>
              <o:lock v:ext="edit"/>
            </v:rect>
            <v:rect id="_x0000_s1241" o:spid="_x0000_s1241" o:spt="1" style="position:absolute;left:1477;top:0;height:15;width:60;" fillcolor="#000000" filled="t" stroked="f" coordsize="21600,21600">
              <v:path/>
              <v:fill on="t" focussize="0,0"/>
              <v:stroke on="f"/>
              <v:imagedata o:title=""/>
              <o:lock v:ext="edit"/>
            </v:rect>
            <v:rect id="_x0000_s1242" o:spid="_x0000_s1242" o:spt="1" style="position:absolute;left:1372;top:0;height:15;width:60;" fillcolor="#000000" filled="t" stroked="f" coordsize="21600,21600">
              <v:path/>
              <v:fill on="t" focussize="0,0"/>
              <v:stroke on="f"/>
              <v:imagedata o:title=""/>
              <o:lock v:ext="edit"/>
            </v:rect>
            <v:rect id="_x0000_s1243" o:spid="_x0000_s1243" o:spt="1" style="position:absolute;left:1267;top:0;height:15;width:60;" fillcolor="#000000" filled="t" stroked="f" coordsize="21600,21600">
              <v:path/>
              <v:fill on="t" focussize="0,0"/>
              <v:stroke on="f"/>
              <v:imagedata o:title=""/>
              <o:lock v:ext="edit"/>
            </v:rect>
            <v:rect id="_x0000_s1244" o:spid="_x0000_s1244" o:spt="1" style="position:absolute;left:1162;top:0;height:15;width:60;" fillcolor="#000000" filled="t" stroked="f" coordsize="21600,21600">
              <v:path/>
              <v:fill on="t" focussize="0,0"/>
              <v:stroke on="f"/>
              <v:imagedata o:title=""/>
              <o:lock v:ext="edit"/>
            </v:rect>
            <v:rect id="_x0000_s1245" o:spid="_x0000_s1245" o:spt="1" style="position:absolute;left:1057;top:0;height:15;width:60;" fillcolor="#000000" filled="t" stroked="f" coordsize="21600,21600">
              <v:path/>
              <v:fill on="t" focussize="0,0"/>
              <v:stroke on="f"/>
              <v:imagedata o:title=""/>
              <o:lock v:ext="edit"/>
            </v:rect>
            <v:rect id="_x0000_s1246" o:spid="_x0000_s1246" o:spt="1" style="position:absolute;left:952;top:0;height:15;width:60;" fillcolor="#000000" filled="t" stroked="f" coordsize="21600,21600">
              <v:path/>
              <v:fill on="t" focussize="0,0"/>
              <v:stroke on="f"/>
              <v:imagedata o:title=""/>
              <o:lock v:ext="edit"/>
            </v:rect>
            <v:rect id="_x0000_s1247" o:spid="_x0000_s1247" o:spt="1" style="position:absolute;left:847;top:0;height:15;width:60;" fillcolor="#000000" filled="t" stroked="f" coordsize="21600,21600">
              <v:path/>
              <v:fill on="t" focussize="0,0"/>
              <v:stroke on="f"/>
              <v:imagedata o:title=""/>
              <o:lock v:ext="edit"/>
            </v:rect>
            <v:rect id="_x0000_s1248" o:spid="_x0000_s1248" o:spt="1" style="position:absolute;left:742;top:0;height:15;width:60;" fillcolor="#000000" filled="t" stroked="f" coordsize="21600,21600">
              <v:path/>
              <v:fill on="t" focussize="0,0"/>
              <v:stroke on="f"/>
              <v:imagedata o:title=""/>
              <o:lock v:ext="edit"/>
            </v:rect>
            <v:rect id="_x0000_s1249" o:spid="_x0000_s1249" o:spt="1" style="position:absolute;left:637;top:0;height:15;width:60;" fillcolor="#000000" filled="t" stroked="f" coordsize="21600,21600">
              <v:path/>
              <v:fill on="t" focussize="0,0"/>
              <v:stroke on="f"/>
              <v:imagedata o:title=""/>
              <o:lock v:ext="edit"/>
            </v:rect>
            <v:rect id="_x0000_s1250" o:spid="_x0000_s1250" o:spt="1" style="position:absolute;left:532;top:0;height:15;width:60;" fillcolor="#000000" filled="t" stroked="f" coordsize="21600,21600">
              <v:path/>
              <v:fill on="t" focussize="0,0"/>
              <v:stroke on="f"/>
              <v:imagedata o:title=""/>
              <o:lock v:ext="edit"/>
            </v:rect>
            <v:rect id="_x0000_s1251" o:spid="_x0000_s1251" o:spt="1" style="position:absolute;left:427;top:0;height:15;width:60;" fillcolor="#000000" filled="t" stroked="f" coordsize="21600,21600">
              <v:path/>
              <v:fill on="t" focussize="0,0"/>
              <v:stroke on="f"/>
              <v:imagedata o:title=""/>
              <o:lock v:ext="edit"/>
            </v:rect>
            <v:rect id="_x0000_s1252" o:spid="_x0000_s1252" o:spt="1" style="position:absolute;left:322;top:0;height:15;width:60;" fillcolor="#000000" filled="t" stroked="f" coordsize="21600,21600">
              <v:path/>
              <v:fill on="t" focussize="0,0"/>
              <v:stroke on="f"/>
              <v:imagedata o:title=""/>
              <o:lock v:ext="edit"/>
            </v:rect>
            <v:rect id="_x0000_s1253" o:spid="_x0000_s1253" o:spt="1" style="position:absolute;left:217;top:0;height:15;width:60;" fillcolor="#000000" filled="t" stroked="f" coordsize="21600,21600">
              <v:path/>
              <v:fill on="t" focussize="0,0"/>
              <v:stroke on="f"/>
              <v:imagedata o:title=""/>
              <o:lock v:ext="edit"/>
            </v:rect>
            <v:rect id="_x0000_s1254" o:spid="_x0000_s1254" o:spt="1" style="position:absolute;left:112;top:0;height:15;width:60;" fillcolor="#000000" filled="t" stroked="f" coordsize="21600,21600">
              <v:path/>
              <v:fill on="t" focussize="0,0"/>
              <v:stroke on="f"/>
              <v:imagedata o:title=""/>
              <o:lock v:ext="edit"/>
            </v:rect>
            <v:rect id="_x0000_s1255" o:spid="_x0000_s1255" o:spt="1" style="position:absolute;left:7;top:0;height:15;width:60;" fillcolor="#000000" filled="t" stroked="f" coordsize="21600,21600">
              <v:path/>
              <v:fill on="t" focussize="0,0"/>
              <v:stroke on="f"/>
              <v:imagedata o:title=""/>
              <o:lock v:ext="edit"/>
            </v:rect>
            <v:rect id="_x0000_s1256" o:spid="_x0000_s1256" o:spt="1" style="position:absolute;left:0;top:52;height:60;width:15;" fillcolor="#000000" filled="t" stroked="f" coordsize="21600,21600">
              <v:path/>
              <v:fill on="t" focussize="0,0"/>
              <v:stroke on="f"/>
              <v:imagedata o:title=""/>
              <o:lock v:ext="edit"/>
            </v:rect>
            <v:rect id="_x0000_s1257" o:spid="_x0000_s1257" o:spt="1" style="position:absolute;left:0;top:157;height:60;width:15;" fillcolor="#000000" filled="t" stroked="f" coordsize="21600,21600">
              <v:path/>
              <v:fill on="t" focussize="0,0"/>
              <v:stroke on="f"/>
              <v:imagedata o:title=""/>
              <o:lock v:ext="edit"/>
            </v:rect>
            <v:rect id="_x0000_s1258" o:spid="_x0000_s1258" o:spt="1" style="position:absolute;left:0;top:262;height:60;width:15;" fillcolor="#000000" filled="t" stroked="f" coordsize="21600,21600">
              <v:path/>
              <v:fill on="t" focussize="0,0"/>
              <v:stroke on="f"/>
              <v:imagedata o:title=""/>
              <o:lock v:ext="edit"/>
            </v:rect>
            <v:rect id="_x0000_s1259" o:spid="_x0000_s1259" o:spt="1" style="position:absolute;left:0;top:367;height:60;width:15;" fillcolor="#000000" filled="t" stroked="f" coordsize="21600,21600">
              <v:path/>
              <v:fill on="t" focussize="0,0"/>
              <v:stroke on="f"/>
              <v:imagedata o:title=""/>
              <o:lock v:ext="edit"/>
            </v:rect>
            <v:rect id="_x0000_s1260" o:spid="_x0000_s1260" o:spt="1" style="position:absolute;left:0;top:472;height:60;width:15;" fillcolor="#000000" filled="t" stroked="f" coordsize="21600,21600">
              <v:path/>
              <v:fill on="t" focussize="0,0"/>
              <v:stroke on="f"/>
              <v:imagedata o:title=""/>
              <o:lock v:ext="edit"/>
            </v:rect>
            <v:rect id="_x0000_s1261" o:spid="_x0000_s1261" o:spt="1" style="position:absolute;left:0;top:577;height:60;width:15;" fillcolor="#000000" filled="t" stroked="f" coordsize="21600,21600">
              <v:path/>
              <v:fill on="t" focussize="0,0"/>
              <v:stroke on="f"/>
              <v:imagedata o:title=""/>
              <o:lock v:ext="edit"/>
            </v:rect>
            <v:rect id="_x0000_s1262" o:spid="_x0000_s1262" o:spt="1" style="position:absolute;left:0;top:682;height:60;width:15;" fillcolor="#000000" filled="t" stroked="f" coordsize="21600,21600">
              <v:path/>
              <v:fill on="t" focussize="0,0"/>
              <v:stroke on="f"/>
              <v:imagedata o:title=""/>
              <o:lock v:ext="edit"/>
            </v:rect>
            <v:rect id="_x0000_s1263" o:spid="_x0000_s1263" o:spt="1" style="position:absolute;left:0;top:787;height:60;width:15;" fillcolor="#000000" filled="t" stroked="f" coordsize="21600,21600">
              <v:path/>
              <v:fill on="t" focussize="0,0"/>
              <v:stroke on="f"/>
              <v:imagedata o:title=""/>
              <o:lock v:ext="edit"/>
            </v:rect>
            <v:rect id="_x0000_s1264" o:spid="_x0000_s1264" o:spt="1" style="position:absolute;left:0;top:892;height:60;width:15;" fillcolor="#000000" filled="t" stroked="f" coordsize="21600,21600">
              <v:path/>
              <v:fill on="t" focussize="0,0"/>
              <v:stroke on="f"/>
              <v:imagedata o:title=""/>
              <o:lock v:ext="edit"/>
            </v:rect>
            <v:rect id="_x0000_s1265" o:spid="_x0000_s1265" o:spt="1" style="position:absolute;left:0;top:997;height:60;width:15;" fillcolor="#000000" filled="t" stroked="f" coordsize="21600,21600">
              <v:path/>
              <v:fill on="t" focussize="0,0"/>
              <v:stroke on="f"/>
              <v:imagedata o:title=""/>
              <o:lock v:ext="edit"/>
            </v:rect>
            <v:rect id="_x0000_s1266" o:spid="_x0000_s1266" o:spt="1" style="position:absolute;left:0;top:1102;height:60;width:15;" fillcolor="#000000" filled="t" stroked="f" coordsize="21600,21600">
              <v:path/>
              <v:fill on="t" focussize="0,0"/>
              <v:stroke on="f"/>
              <v:imagedata o:title=""/>
              <o:lock v:ext="edit"/>
            </v:rect>
            <v:rect id="_x0000_s1267" o:spid="_x0000_s1267" o:spt="1" style="position:absolute;left:0;top:1207;height:60;width:15;" fillcolor="#000000" filled="t" stroked="f" coordsize="21600,21600">
              <v:path/>
              <v:fill on="t" focussize="0,0"/>
              <v:stroke on="f"/>
              <v:imagedata o:title=""/>
              <o:lock v:ext="edit"/>
            </v:rect>
            <v:rect id="_x0000_s1268" o:spid="_x0000_s1268" o:spt="1" style="position:absolute;left:0;top:1312;height:60;width:15;" fillcolor="#000000" filled="t" stroked="f" coordsize="21600,21600">
              <v:path/>
              <v:fill on="t" focussize="0,0"/>
              <v:stroke on="f"/>
              <v:imagedata o:title=""/>
              <o:lock v:ext="edit"/>
            </v:rect>
            <v:rect id="_x0000_s1269" o:spid="_x0000_s1269" o:spt="1" style="position:absolute;left:0;top:1417;height:60;width:15;" fillcolor="#000000" filled="t" stroked="f" coordsize="21600,21600">
              <v:path/>
              <v:fill on="t" focussize="0,0"/>
              <v:stroke on="f"/>
              <v:imagedata o:title=""/>
              <o:lock v:ext="edit"/>
            </v:rect>
            <v:rect id="_x0000_s1270" o:spid="_x0000_s1270" o:spt="1" style="position:absolute;left:0;top:1522;height:60;width:15;" fillcolor="#000000" filled="t" stroked="f" coordsize="21600,21600">
              <v:path/>
              <v:fill on="t" focussize="0,0"/>
              <v:stroke on="f"/>
              <v:imagedata o:title=""/>
              <o:lock v:ext="edit"/>
            </v:rect>
            <v:rect id="_x0000_s1271" o:spid="_x0000_s1271" o:spt="1" style="position:absolute;left:0;top:1627;height:60;width:15;" fillcolor="#000000" filled="t" stroked="f" coordsize="21600,21600">
              <v:path/>
              <v:fill on="t" focussize="0,0"/>
              <v:stroke on="f"/>
              <v:imagedata o:title=""/>
              <o:lock v:ext="edit"/>
            </v:rect>
            <v:rect id="_x0000_s1272" o:spid="_x0000_s1272" o:spt="1" style="position:absolute;left:0;top:1732;height:60;width:15;" fillcolor="#000000" filled="t" stroked="f" coordsize="21600,21600">
              <v:path/>
              <v:fill on="t" focussize="0,0"/>
              <v:stroke on="f"/>
              <v:imagedata o:title=""/>
              <o:lock v:ext="edit"/>
            </v:rect>
            <v:rect id="_x0000_s1273" o:spid="_x0000_s1273" o:spt="1" style="position:absolute;left:7;top:1830;height:15;width:60;" fillcolor="#000000" filled="t" stroked="f" coordsize="21600,21600">
              <v:path/>
              <v:fill on="t" focussize="0,0"/>
              <v:stroke on="f"/>
              <v:imagedata o:title=""/>
              <o:lock v:ext="edit"/>
            </v:rect>
            <v:rect id="_x0000_s1274" o:spid="_x0000_s1274" o:spt="1" style="position:absolute;left:112;top:1830;height:15;width:60;" fillcolor="#000000" filled="t" stroked="f" coordsize="21600,21600">
              <v:path/>
              <v:fill on="t" focussize="0,0"/>
              <v:stroke on="f"/>
              <v:imagedata o:title=""/>
              <o:lock v:ext="edit"/>
            </v:rect>
            <v:rect id="_x0000_s1275" o:spid="_x0000_s1275" o:spt="1" style="position:absolute;left:217;top:1830;height:15;width:60;" fillcolor="#000000" filled="t" stroked="f" coordsize="21600,21600">
              <v:path/>
              <v:fill on="t" focussize="0,0"/>
              <v:stroke on="f"/>
              <v:imagedata o:title=""/>
              <o:lock v:ext="edit"/>
            </v:rect>
            <v:rect id="_x0000_s1276" o:spid="_x0000_s1276" o:spt="1" style="position:absolute;left:322;top:1830;height:15;width:60;" fillcolor="#000000" filled="t" stroked="f" coordsize="21600,21600">
              <v:path/>
              <v:fill on="t" focussize="0,0"/>
              <v:stroke on="f"/>
              <v:imagedata o:title=""/>
              <o:lock v:ext="edit"/>
            </v:rect>
            <v:rect id="_x0000_s1277" o:spid="_x0000_s1277" o:spt="1" style="position:absolute;left:427;top:1830;height:15;width:60;" fillcolor="#000000" filled="t" stroked="f" coordsize="21600,21600">
              <v:path/>
              <v:fill on="t" focussize="0,0"/>
              <v:stroke on="f"/>
              <v:imagedata o:title=""/>
              <o:lock v:ext="edit"/>
            </v:rect>
            <v:rect id="_x0000_s1278" o:spid="_x0000_s1278" o:spt="1" style="position:absolute;left:532;top:1830;height:15;width:60;" fillcolor="#000000" filled="t" stroked="f" coordsize="21600,21600">
              <v:path/>
              <v:fill on="t" focussize="0,0"/>
              <v:stroke on="f"/>
              <v:imagedata o:title=""/>
              <o:lock v:ext="edit"/>
            </v:rect>
            <v:rect id="_x0000_s1279" o:spid="_x0000_s1279" o:spt="1" style="position:absolute;left:637;top:1830;height:15;width:60;" fillcolor="#000000" filled="t" stroked="f" coordsize="21600,21600">
              <v:path/>
              <v:fill on="t" focussize="0,0"/>
              <v:stroke on="f"/>
              <v:imagedata o:title=""/>
              <o:lock v:ext="edit"/>
            </v:rect>
            <v:rect id="_x0000_s1280" o:spid="_x0000_s1280" o:spt="1" style="position:absolute;left:742;top:1830;height:15;width:60;" fillcolor="#000000" filled="t" stroked="f" coordsize="21600,21600">
              <v:path/>
              <v:fill on="t" focussize="0,0"/>
              <v:stroke on="f"/>
              <v:imagedata o:title=""/>
              <o:lock v:ext="edit"/>
            </v:rect>
            <v:rect id="_x0000_s1281" o:spid="_x0000_s1281" o:spt="1" style="position:absolute;left:847;top:1830;height:15;width:60;" fillcolor="#000000" filled="t" stroked="f" coordsize="21600,21600">
              <v:path/>
              <v:fill on="t" focussize="0,0"/>
              <v:stroke on="f"/>
              <v:imagedata o:title=""/>
              <o:lock v:ext="edit"/>
            </v:rect>
            <v:rect id="_x0000_s1282" o:spid="_x0000_s1282" o:spt="1" style="position:absolute;left:952;top:1830;height:15;width:60;" fillcolor="#000000" filled="t" stroked="f" coordsize="21600,21600">
              <v:path/>
              <v:fill on="t" focussize="0,0"/>
              <v:stroke on="f"/>
              <v:imagedata o:title=""/>
              <o:lock v:ext="edit"/>
            </v:rect>
            <v:rect id="_x0000_s1283" o:spid="_x0000_s1283" o:spt="1" style="position:absolute;left:1057;top:1830;height:15;width:60;" fillcolor="#000000" filled="t" stroked="f" coordsize="21600,21600">
              <v:path/>
              <v:fill on="t" focussize="0,0"/>
              <v:stroke on="f"/>
              <v:imagedata o:title=""/>
              <o:lock v:ext="edit"/>
            </v:rect>
            <v:rect id="_x0000_s1284" o:spid="_x0000_s1284" o:spt="1" style="position:absolute;left:1162;top:1830;height:15;width:60;" fillcolor="#000000" filled="t" stroked="f" coordsize="21600,21600">
              <v:path/>
              <v:fill on="t" focussize="0,0"/>
              <v:stroke on="f"/>
              <v:imagedata o:title=""/>
              <o:lock v:ext="edit"/>
            </v:rect>
            <v:rect id="_x0000_s1285" o:spid="_x0000_s1285" o:spt="1" style="position:absolute;left:1267;top:1830;height:15;width:60;" fillcolor="#000000" filled="t" stroked="f" coordsize="21600,21600">
              <v:path/>
              <v:fill on="t" focussize="0,0"/>
              <v:stroke on="f"/>
              <v:imagedata o:title=""/>
              <o:lock v:ext="edit"/>
            </v:rect>
            <v:rect id="_x0000_s1286" o:spid="_x0000_s1286" o:spt="1" style="position:absolute;left:1372;top:1830;height:15;width:60;" fillcolor="#000000" filled="t" stroked="f" coordsize="21600,21600">
              <v:path/>
              <v:fill on="t" focussize="0,0"/>
              <v:stroke on="f"/>
              <v:imagedata o:title=""/>
              <o:lock v:ext="edit"/>
            </v:rect>
            <v:rect id="_x0000_s1287" o:spid="_x0000_s1287" o:spt="1" style="position:absolute;left:1477;top:1830;height:15;width:60;" fillcolor="#000000" filled="t" stroked="f" coordsize="21600,21600">
              <v:path/>
              <v:fill on="t" focussize="0,0"/>
              <v:stroke on="f"/>
              <v:imagedata o:title=""/>
              <o:lock v:ext="edit"/>
            </v:rect>
            <v:rect id="_x0000_s1288" o:spid="_x0000_s1288" o:spt="1" style="position:absolute;left:1582;top:1830;height:15;width:60;" fillcolor="#000000" filled="t" stroked="f" coordsize="21600,21600">
              <v:path/>
              <v:fill on="t" focussize="0,0"/>
              <v:stroke on="f"/>
              <v:imagedata o:title=""/>
              <o:lock v:ext="edit"/>
            </v:rect>
            <v:rect id="_x0000_s1289" o:spid="_x0000_s1289" o:spt="1" style="position:absolute;left:1687;top:1830;height:15;width:60;" fillcolor="#000000" filled="t" stroked="f" coordsize="21600,21600">
              <v:path/>
              <v:fill on="t" focussize="0,0"/>
              <v:stroke on="f"/>
              <v:imagedata o:title=""/>
              <o:lock v:ext="edit"/>
            </v:rect>
            <v:rect id="_x0000_s1290" o:spid="_x0000_s1290" o:spt="1" style="position:absolute;left:1792;top:1830;height:15;width:60;" fillcolor="#000000" filled="t" stroked="f" coordsize="21600,21600">
              <v:path/>
              <v:fill on="t" focussize="0,0"/>
              <v:stroke on="f"/>
              <v:imagedata o:title=""/>
              <o:lock v:ext="edit"/>
            </v:rect>
            <v:rect id="_x0000_s1291" o:spid="_x0000_s1291" o:spt="1" style="position:absolute;left:1897;top:1830;height:15;width:60;" fillcolor="#000000" filled="t" stroked="f" coordsize="21600,21600">
              <v:path/>
              <v:fill on="t" focussize="0,0"/>
              <v:stroke on="f"/>
              <v:imagedata o:title=""/>
              <o:lock v:ext="edit"/>
            </v:rect>
            <v:rect id="_x0000_s1292" o:spid="_x0000_s1292" o:spt="1" style="position:absolute;left:2002;top:1830;height:15;width:60;" fillcolor="#000000" filled="t" stroked="f" coordsize="21600,21600">
              <v:path/>
              <v:fill on="t" focussize="0,0"/>
              <v:stroke on="f"/>
              <v:imagedata o:title=""/>
              <o:lock v:ext="edit"/>
            </v:rect>
            <v:rect id="_x0000_s1293" o:spid="_x0000_s1293" o:spt="1" style="position:absolute;left:2107;top:1830;height:15;width:60;" fillcolor="#000000" filled="t" stroked="f" coordsize="21600,21600">
              <v:path/>
              <v:fill on="t" focussize="0,0"/>
              <v:stroke on="f"/>
              <v:imagedata o:title=""/>
              <o:lock v:ext="edit"/>
            </v:rect>
            <v:rect id="_x0000_s1294" o:spid="_x0000_s1294" o:spt="1" style="position:absolute;left:2212;top:1830;height:15;width:60;" fillcolor="#000000" filled="t" stroked="f" coordsize="21600,21600">
              <v:path/>
              <v:fill on="t" focussize="0,0"/>
              <v:stroke on="f"/>
              <v:imagedata o:title=""/>
              <o:lock v:ext="edit"/>
            </v:rect>
            <v:rect id="_x0000_s1295" o:spid="_x0000_s1295" o:spt="1" style="position:absolute;left:2317;top:1830;height:15;width:60;" fillcolor="#000000" filled="t" stroked="f" coordsize="21600,21600">
              <v:path/>
              <v:fill on="t" focussize="0,0"/>
              <v:stroke on="f"/>
              <v:imagedata o:title=""/>
              <o:lock v:ext="edit"/>
            </v:rect>
            <v:rect id="_x0000_s1296" o:spid="_x0000_s1296" o:spt="1" style="position:absolute;left:2422;top:1830;height:15;width:60;" fillcolor="#000000" filled="t" stroked="f" coordsize="21600,21600">
              <v:path/>
              <v:fill on="t" focussize="0,0"/>
              <v:stroke on="f"/>
              <v:imagedata o:title=""/>
              <o:lock v:ext="edit"/>
            </v:rect>
            <v:rect id="_x0000_s1297" o:spid="_x0000_s1297" o:spt="1" style="position:absolute;left:2527;top:1830;height:15;width:60;" fillcolor="#000000" filled="t" stroked="f" coordsize="21600,21600">
              <v:path/>
              <v:fill on="t" focussize="0,0"/>
              <v:stroke on="f"/>
              <v:imagedata o:title=""/>
              <o:lock v:ext="edit"/>
            </v:rect>
            <v:rect id="_x0000_s1298" o:spid="_x0000_s1298" o:spt="1" style="position:absolute;left:2632;top:1830;height:15;width:60;" fillcolor="#000000" filled="t" stroked="f" coordsize="21600,21600">
              <v:path/>
              <v:fill on="t" focussize="0,0"/>
              <v:stroke on="f"/>
              <v:imagedata o:title=""/>
              <o:lock v:ext="edit"/>
            </v:rect>
            <v:rect id="_x0000_s1299" o:spid="_x0000_s1299" o:spt="1" style="position:absolute;left:2737;top:1830;height:15;width:60;" fillcolor="#000000" filled="t" stroked="f" coordsize="21600,21600">
              <v:path/>
              <v:fill on="t" focussize="0,0"/>
              <v:stroke on="f"/>
              <v:imagedata o:title=""/>
              <o:lock v:ext="edit"/>
            </v:rect>
            <v:rect id="_x0000_s1300" o:spid="_x0000_s1300" o:spt="1" style="position:absolute;left:2842;top:1830;height:15;width:60;" fillcolor="#000000" filled="t" stroked="f" coordsize="21600,21600">
              <v:path/>
              <v:fill on="t" focussize="0,0"/>
              <v:stroke on="f"/>
              <v:imagedata o:title=""/>
              <o:lock v:ext="edit"/>
            </v:rect>
            <v:rect id="_x0000_s1301" o:spid="_x0000_s1301" o:spt="1" style="position:absolute;left:2947;top:1830;height:15;width:60;" fillcolor="#000000" filled="t" stroked="f" coordsize="21600,21600">
              <v:path/>
              <v:fill on="t" focussize="0,0"/>
              <v:stroke on="f"/>
              <v:imagedata o:title=""/>
              <o:lock v:ext="edit"/>
            </v:rect>
            <v:rect id="_x0000_s1302" o:spid="_x0000_s1302" o:spt="1" style="position:absolute;left:3052;top:1830;height:15;width:60;" fillcolor="#000000" filled="t" stroked="f" coordsize="21600,21600">
              <v:path/>
              <v:fill on="t" focussize="0,0"/>
              <v:stroke on="f"/>
              <v:imagedata o:title=""/>
              <o:lock v:ext="edit"/>
            </v:rect>
            <v:rect id="_x0000_s1303" o:spid="_x0000_s1303" o:spt="1" style="position:absolute;left:3157;top:1830;height:15;width:60;" fillcolor="#000000" filled="t" stroked="f" coordsize="21600,21600">
              <v:path/>
              <v:fill on="t" focussize="0,0"/>
              <v:stroke on="f"/>
              <v:imagedata o:title=""/>
              <o:lock v:ext="edit"/>
            </v:rect>
            <v:rect id="_x0000_s1304" o:spid="_x0000_s1304" o:spt="1" style="position:absolute;left:3262;top:1830;height:15;width:60;" fillcolor="#000000" filled="t" stroked="f" coordsize="21600,21600">
              <v:path/>
              <v:fill on="t" focussize="0,0"/>
              <v:stroke on="f"/>
              <v:imagedata o:title=""/>
              <o:lock v:ext="edit"/>
            </v:rect>
            <v:rect id="_x0000_s1305" o:spid="_x0000_s1305" o:spt="1" style="position:absolute;left:3367;top:1830;height:15;width:60;" fillcolor="#000000" filled="t" stroked="f" coordsize="21600,21600">
              <v:path/>
              <v:fill on="t" focussize="0,0"/>
              <v:stroke on="f"/>
              <v:imagedata o:title=""/>
              <o:lock v:ext="edit"/>
            </v:rect>
            <v:rect id="_x0000_s1306" o:spid="_x0000_s1306" o:spt="1" style="position:absolute;left:3472;top:1830;height:15;width:60;" fillcolor="#000000" filled="t" stroked="f" coordsize="21600,21600">
              <v:path/>
              <v:fill on="t" focussize="0,0"/>
              <v:stroke on="f"/>
              <v:imagedata o:title=""/>
              <o:lock v:ext="edit"/>
            </v:rect>
            <v:rect id="_x0000_s1307" o:spid="_x0000_s1307" o:spt="1" style="position:absolute;left:3577;top:1830;height:15;width:60;" fillcolor="#000000" filled="t" stroked="f" coordsize="21600,21600">
              <v:path/>
              <v:fill on="t" focussize="0,0"/>
              <v:stroke on="f"/>
              <v:imagedata o:title=""/>
              <o:lock v:ext="edit"/>
            </v:rect>
            <v:rect id="_x0000_s1308" o:spid="_x0000_s1308" o:spt="1" style="position:absolute;left:3682;top:1830;height:15;width:60;" fillcolor="#000000" filled="t" stroked="f" coordsize="21600,21600">
              <v:path/>
              <v:fill on="t" focussize="0,0"/>
              <v:stroke on="f"/>
              <v:imagedata o:title=""/>
              <o:lock v:ext="edit"/>
            </v:rect>
            <v:rect id="_x0000_s1309" o:spid="_x0000_s1309" o:spt="1" style="position:absolute;left:3787;top:1830;height:15;width:60;" fillcolor="#000000" filled="t" stroked="f" coordsize="21600,21600">
              <v:path/>
              <v:fill on="t" focussize="0,0"/>
              <v:stroke on="f"/>
              <v:imagedata o:title=""/>
              <o:lock v:ext="edit"/>
            </v:rect>
            <v:rect id="_x0000_s1310" o:spid="_x0000_s1310" o:spt="1" style="position:absolute;left:3892;top:1830;height:15;width:60;" fillcolor="#000000" filled="t" stroked="f" coordsize="21600,21600">
              <v:path/>
              <v:fill on="t" focussize="0,0"/>
              <v:stroke on="f"/>
              <v:imagedata o:title=""/>
              <o:lock v:ext="edit"/>
            </v:rect>
            <v:rect id="_x0000_s1311" o:spid="_x0000_s1311" o:spt="1" style="position:absolute;left:3997;top:1830;height:15;width:60;" fillcolor="#000000" filled="t" stroked="f" coordsize="21600,21600">
              <v:path/>
              <v:fill on="t" focussize="0,0"/>
              <v:stroke on="f"/>
              <v:imagedata o:title=""/>
              <o:lock v:ext="edit"/>
            </v:rect>
            <v:rect id="_x0000_s1312" o:spid="_x0000_s1312" o:spt="1" style="position:absolute;left:4102;top:1830;height:15;width:60;" fillcolor="#000000" filled="t" stroked="f" coordsize="21600,21600">
              <v:path/>
              <v:fill on="t" focussize="0,0"/>
              <v:stroke on="f"/>
              <v:imagedata o:title=""/>
              <o:lock v:ext="edit"/>
            </v:rect>
            <v:rect id="_x0000_s1313" o:spid="_x0000_s1313" o:spt="1" style="position:absolute;left:4207;top:1830;height:15;width:60;" fillcolor="#000000" filled="t" stroked="f" coordsize="21600,21600">
              <v:path/>
              <v:fill on="t" focussize="0,0"/>
              <v:stroke on="f"/>
              <v:imagedata o:title=""/>
              <o:lock v:ext="edit"/>
            </v:rect>
            <v:rect id="_x0000_s1314" o:spid="_x0000_s1314" o:spt="1" style="position:absolute;left:4312;top:1830;height:15;width:60;" fillcolor="#000000" filled="t" stroked="f" coordsize="21600,21600">
              <v:path/>
              <v:fill on="t" focussize="0,0"/>
              <v:stroke on="f"/>
              <v:imagedata o:title=""/>
              <o:lock v:ext="edit"/>
            </v:rect>
            <v:rect id="_x0000_s1315" o:spid="_x0000_s1315" o:spt="1" style="position:absolute;left:4417;top:1830;height:15;width:60;" fillcolor="#000000" filled="t" stroked="f" coordsize="21600,21600">
              <v:path/>
              <v:fill on="t" focussize="0,0"/>
              <v:stroke on="f"/>
              <v:imagedata o:title=""/>
              <o:lock v:ext="edit"/>
            </v:rect>
            <v:rect id="_x0000_s1316" o:spid="_x0000_s1316" o:spt="1" style="position:absolute;left:4522;top:1830;height:15;width:60;" fillcolor="#000000" filled="t" stroked="f" coordsize="21600,21600">
              <v:path/>
              <v:fill on="t" focussize="0,0"/>
              <v:stroke on="f"/>
              <v:imagedata o:title=""/>
              <o:lock v:ext="edit"/>
            </v:rect>
            <v:rect id="_x0000_s1317" o:spid="_x0000_s1317" o:spt="1" style="position:absolute;left:4627;top:1830;height:15;width:60;" fillcolor="#000000" filled="t" stroked="f" coordsize="21600,21600">
              <v:path/>
              <v:fill on="t" focussize="0,0"/>
              <v:stroke on="f"/>
              <v:imagedata o:title=""/>
              <o:lock v:ext="edit"/>
            </v:rect>
            <v:rect id="_x0000_s1318" o:spid="_x0000_s1318" o:spt="1" style="position:absolute;left:4732;top:1830;height:15;width:60;" fillcolor="#000000" filled="t" stroked="f" coordsize="21600,21600">
              <v:path/>
              <v:fill on="t" focussize="0,0"/>
              <v:stroke on="f"/>
              <v:imagedata o:title=""/>
              <o:lock v:ext="edit"/>
            </v:rect>
            <v:rect id="_x0000_s1319" o:spid="_x0000_s1319" o:spt="1" style="position:absolute;left:4837;top:1830;height:15;width:60;" fillcolor="#000000" filled="t" stroked="f" coordsize="21600,21600">
              <v:path/>
              <v:fill on="t" focussize="0,0"/>
              <v:stroke on="f"/>
              <v:imagedata o:title=""/>
              <o:lock v:ext="edit"/>
            </v:rect>
            <v:rect id="_x0000_s1320" o:spid="_x0000_s1320" o:spt="1" style="position:absolute;left:4942;top:1830;height:15;width:60;" fillcolor="#000000" filled="t" stroked="f" coordsize="21600,21600">
              <v:path/>
              <v:fill on="t" focussize="0,0"/>
              <v:stroke on="f"/>
              <v:imagedata o:title=""/>
              <o:lock v:ext="edit"/>
            </v:rect>
            <v:rect id="_x0000_s1321" o:spid="_x0000_s1321" o:spt="1" style="position:absolute;left:5047;top:1830;height:15;width:60;" fillcolor="#000000" filled="t" stroked="f" coordsize="21600,21600">
              <v:path/>
              <v:fill on="t" focussize="0,0"/>
              <v:stroke on="f"/>
              <v:imagedata o:title=""/>
              <o:lock v:ext="edit"/>
            </v:rect>
            <v:rect id="_x0000_s1322" o:spid="_x0000_s1322" o:spt="1" style="position:absolute;left:5152;top:1830;height:15;width:60;" fillcolor="#000000" filled="t" stroked="f" coordsize="21600,21600">
              <v:path/>
              <v:fill on="t" focussize="0,0"/>
              <v:stroke on="f"/>
              <v:imagedata o:title=""/>
              <o:lock v:ext="edit"/>
            </v:rect>
            <v:rect id="_x0000_s1323" o:spid="_x0000_s1323" o:spt="1" style="position:absolute;left:5257;top:1830;height:15;width:60;" fillcolor="#000000" filled="t" stroked="f" coordsize="21600,21600">
              <v:path/>
              <v:fill on="t" focussize="0,0"/>
              <v:stroke on="f"/>
              <v:imagedata o:title=""/>
              <o:lock v:ext="edit"/>
            </v:rect>
            <v:rect id="_x0000_s1324" o:spid="_x0000_s1324" o:spt="1" style="position:absolute;left:5362;top:1830;height:15;width:60;" fillcolor="#000000" filled="t" stroked="f" coordsize="21600,21600">
              <v:path/>
              <v:fill on="t" focussize="0,0"/>
              <v:stroke on="f"/>
              <v:imagedata o:title=""/>
              <o:lock v:ext="edit"/>
            </v:rect>
            <v:rect id="_x0000_s1325" o:spid="_x0000_s1325" o:spt="1" style="position:absolute;left:5467;top:1830;height:15;width:60;" fillcolor="#000000" filled="t" stroked="f" coordsize="21600,21600">
              <v:path/>
              <v:fill on="t" focussize="0,0"/>
              <v:stroke on="f"/>
              <v:imagedata o:title=""/>
              <o:lock v:ext="edit"/>
            </v:rect>
            <v:rect id="_x0000_s1326" o:spid="_x0000_s1326" o:spt="1" style="position:absolute;left:5572;top:1830;height:15;width:60;" fillcolor="#000000" filled="t" stroked="f" coordsize="21600,21600">
              <v:path/>
              <v:fill on="t" focussize="0,0"/>
              <v:stroke on="f"/>
              <v:imagedata o:title=""/>
              <o:lock v:ext="edit"/>
            </v:rect>
            <v:rect id="_x0000_s1327" o:spid="_x0000_s1327" o:spt="1" style="position:absolute;left:5677;top:1830;height:15;width:60;" fillcolor="#000000" filled="t" stroked="f" coordsize="21600,21600">
              <v:path/>
              <v:fill on="t" focussize="0,0"/>
              <v:stroke on="f"/>
              <v:imagedata o:title=""/>
              <o:lock v:ext="edit"/>
            </v:rect>
            <v:rect id="_x0000_s1328" o:spid="_x0000_s1328" o:spt="1" style="position:absolute;left:5782;top:1830;height:15;width:60;" fillcolor="#000000" filled="t" stroked="f" coordsize="21600,21600">
              <v:path/>
              <v:fill on="t" focussize="0,0"/>
              <v:stroke on="f"/>
              <v:imagedata o:title=""/>
              <o:lock v:ext="edit"/>
            </v:rect>
            <v:rect id="_x0000_s1329" o:spid="_x0000_s1329" o:spt="1" style="position:absolute;left:5887;top:1830;height:15;width:60;" fillcolor="#000000" filled="t" stroked="f" coordsize="21600,21600">
              <v:path/>
              <v:fill on="t" focussize="0,0"/>
              <v:stroke on="f"/>
              <v:imagedata o:title=""/>
              <o:lock v:ext="edit"/>
            </v:rect>
            <v:rect id="_x0000_s1330" o:spid="_x0000_s1330" o:spt="1" style="position:absolute;left:5992;top:1830;height:15;width:60;" fillcolor="#000000" filled="t" stroked="f" coordsize="21600,21600">
              <v:path/>
              <v:fill on="t" focussize="0,0"/>
              <v:stroke on="f"/>
              <v:imagedata o:title=""/>
              <o:lock v:ext="edit"/>
            </v:rect>
            <v:rect id="_x0000_s1331" o:spid="_x0000_s1331" o:spt="1" style="position:absolute;left:6097;top:1830;height:15;width:60;" fillcolor="#000000" filled="t" stroked="f" coordsize="21600,21600">
              <v:path/>
              <v:fill on="t" focussize="0,0"/>
              <v:stroke on="f"/>
              <v:imagedata o:title=""/>
              <o:lock v:ext="edit"/>
            </v:rect>
            <v:rect id="_x0000_s1332" o:spid="_x0000_s1332" o:spt="1" style="position:absolute;left:6202;top:1830;height:15;width:60;" fillcolor="#000000" filled="t" stroked="f" coordsize="21600,21600">
              <v:path/>
              <v:fill on="t" focussize="0,0"/>
              <v:stroke on="f"/>
              <v:imagedata o:title=""/>
              <o:lock v:ext="edit"/>
            </v:rect>
            <v:rect id="_x0000_s1333" o:spid="_x0000_s1333" o:spt="1" style="position:absolute;left:6307;top:1830;height:15;width:60;" fillcolor="#000000" filled="t" stroked="f" coordsize="21600,21600">
              <v:path/>
              <v:fill on="t" focussize="0,0"/>
              <v:stroke on="f"/>
              <v:imagedata o:title=""/>
              <o:lock v:ext="edit"/>
            </v:rect>
            <v:rect id="_x0000_s1334" o:spid="_x0000_s1334" o:spt="1" style="position:absolute;left:6412;top:1830;height:15;width:60;" fillcolor="#000000" filled="t" stroked="f" coordsize="21600,21600">
              <v:path/>
              <v:fill on="t" focussize="0,0"/>
              <v:stroke on="f"/>
              <v:imagedata o:title=""/>
              <o:lock v:ext="edit"/>
            </v:rect>
            <v:rect id="_x0000_s1335" o:spid="_x0000_s1335" o:spt="1" style="position:absolute;left:6517;top:1830;height:15;width:60;" fillcolor="#000000" filled="t" stroked="f" coordsize="21600,21600">
              <v:path/>
              <v:fill on="t" focussize="0,0"/>
              <v:stroke on="f"/>
              <v:imagedata o:title=""/>
              <o:lock v:ext="edit"/>
            </v:rect>
            <v:rect id="_x0000_s1336" o:spid="_x0000_s1336" o:spt="1" style="position:absolute;left:6622;top:1830;height:15;width:60;" fillcolor="#000000" filled="t" stroked="f" coordsize="21600,21600">
              <v:path/>
              <v:fill on="t" focussize="0,0"/>
              <v:stroke on="f"/>
              <v:imagedata o:title=""/>
              <o:lock v:ext="edit"/>
            </v:rect>
            <v:rect id="_x0000_s1337" o:spid="_x0000_s1337" o:spt="1" style="position:absolute;left:6727;top:1830;height:15;width:60;" fillcolor="#000000" filled="t" stroked="f" coordsize="21600,21600">
              <v:path/>
              <v:fill on="t" focussize="0,0"/>
              <v:stroke on="f"/>
              <v:imagedata o:title=""/>
              <o:lock v:ext="edit"/>
            </v:rect>
            <v:rect id="_x0000_s1338" o:spid="_x0000_s1338" o:spt="1" style="position:absolute;left:6832;top:1830;height:15;width:60;" fillcolor="#000000" filled="t" stroked="f" coordsize="21600,21600">
              <v:path/>
              <v:fill on="t" focussize="0,0"/>
              <v:stroke on="f"/>
              <v:imagedata o:title=""/>
              <o:lock v:ext="edit"/>
            </v:rect>
            <v:rect id="_x0000_s1339" o:spid="_x0000_s1339" o:spt="1" style="position:absolute;left:6937;top:1830;height:15;width:60;" fillcolor="#000000" filled="t" stroked="f" coordsize="21600,21600">
              <v:path/>
              <v:fill on="t" focussize="0,0"/>
              <v:stroke on="f"/>
              <v:imagedata o:title=""/>
              <o:lock v:ext="edit"/>
            </v:rect>
            <v:rect id="_x0000_s1340" o:spid="_x0000_s1340" o:spt="1" style="position:absolute;left:7042;top:1830;height:15;width:60;" fillcolor="#000000" filled="t" stroked="f" coordsize="21600,21600">
              <v:path/>
              <v:fill on="t" focussize="0,0"/>
              <v:stroke on="f"/>
              <v:imagedata o:title=""/>
              <o:lock v:ext="edit"/>
            </v:rect>
            <v:rect id="_x0000_s1341" o:spid="_x0000_s1341" o:spt="1" style="position:absolute;left:7147;top:1830;height:15;width:60;" fillcolor="#000000" filled="t" stroked="f" coordsize="21600,21600">
              <v:path/>
              <v:fill on="t" focussize="0,0"/>
              <v:stroke on="f"/>
              <v:imagedata o:title=""/>
              <o:lock v:ext="edit"/>
            </v:rect>
            <v:rect id="_x0000_s1342" o:spid="_x0000_s1342" o:spt="1" style="position:absolute;left:7200;top:1732;height:60;width:15;" fillcolor="#000000" filled="t" stroked="f" coordsize="21600,21600">
              <v:path/>
              <v:fill on="t" focussize="0,0"/>
              <v:stroke on="f"/>
              <v:imagedata o:title=""/>
              <o:lock v:ext="edit"/>
            </v:rect>
            <v:rect id="_x0000_s1343" o:spid="_x0000_s1343" o:spt="1" style="position:absolute;left:7200;top:1627;height:60;width:15;" fillcolor="#000000" filled="t" stroked="f" coordsize="21600,21600">
              <v:path/>
              <v:fill on="t" focussize="0,0"/>
              <v:stroke on="f"/>
              <v:imagedata o:title=""/>
              <o:lock v:ext="edit"/>
            </v:rect>
            <v:rect id="_x0000_s1344" o:spid="_x0000_s1344" o:spt="1" style="position:absolute;left:7200;top:1522;height:60;width:15;" fillcolor="#000000" filled="t" stroked="f" coordsize="21600,21600">
              <v:path/>
              <v:fill on="t" focussize="0,0"/>
              <v:stroke on="f"/>
              <v:imagedata o:title=""/>
              <o:lock v:ext="edit"/>
            </v:rect>
            <v:rect id="_x0000_s1345" o:spid="_x0000_s1345" o:spt="1" style="position:absolute;left:7200;top:1417;height:60;width:15;" fillcolor="#000000" filled="t" stroked="f" coordsize="21600,21600">
              <v:path/>
              <v:fill on="t" focussize="0,0"/>
              <v:stroke on="f"/>
              <v:imagedata o:title=""/>
              <o:lock v:ext="edit"/>
            </v:rect>
            <v:rect id="_x0000_s1346" o:spid="_x0000_s1346" o:spt="1" style="position:absolute;left:7200;top:1312;height:60;width:15;" fillcolor="#000000" filled="t" stroked="f" coordsize="21600,21600">
              <v:path/>
              <v:fill on="t" focussize="0,0"/>
              <v:stroke on="f"/>
              <v:imagedata o:title=""/>
              <o:lock v:ext="edit"/>
            </v:rect>
            <v:rect id="_x0000_s1347" o:spid="_x0000_s1347" o:spt="1" style="position:absolute;left:7200;top:1207;height:60;width:15;" fillcolor="#000000" filled="t" stroked="f" coordsize="21600,21600">
              <v:path/>
              <v:fill on="t" focussize="0,0"/>
              <v:stroke on="f"/>
              <v:imagedata o:title=""/>
              <o:lock v:ext="edit"/>
            </v:rect>
            <v:rect id="_x0000_s1348" o:spid="_x0000_s1348" o:spt="1" style="position:absolute;left:7200;top:1102;height:60;width:15;" fillcolor="#000000" filled="t" stroked="f" coordsize="21600,21600">
              <v:path/>
              <v:fill on="t" focussize="0,0"/>
              <v:stroke on="f"/>
              <v:imagedata o:title=""/>
              <o:lock v:ext="edit"/>
            </v:rect>
            <v:rect id="_x0000_s1349" o:spid="_x0000_s1349" o:spt="1" style="position:absolute;left:7200;top:997;height:60;width:15;" fillcolor="#000000" filled="t" stroked="f" coordsize="21600,21600">
              <v:path/>
              <v:fill on="t" focussize="0,0"/>
              <v:stroke on="f"/>
              <v:imagedata o:title=""/>
              <o:lock v:ext="edit"/>
            </v:rect>
            <v:rect id="_x0000_s1350" o:spid="_x0000_s1350" o:spt="1" style="position:absolute;left:7200;top:892;height:60;width:15;" fillcolor="#000000" filled="t" stroked="f" coordsize="21600,21600">
              <v:path/>
              <v:fill on="t" focussize="0,0"/>
              <v:stroke on="f"/>
              <v:imagedata o:title=""/>
              <o:lock v:ext="edit"/>
            </v:rect>
            <v:rect id="_x0000_s1351" o:spid="_x0000_s1351" o:spt="1" style="position:absolute;left:7200;top:787;height:60;width:15;" fillcolor="#000000" filled="t" stroked="f" coordsize="21600,21600">
              <v:path/>
              <v:fill on="t" focussize="0,0"/>
              <v:stroke on="f"/>
              <v:imagedata o:title=""/>
              <o:lock v:ext="edit"/>
            </v:rect>
            <v:rect id="_x0000_s1352" o:spid="_x0000_s1352" o:spt="1" style="position:absolute;left:7200;top:682;height:60;width:15;" fillcolor="#000000" filled="t" stroked="f" coordsize="21600,21600">
              <v:path/>
              <v:fill on="t" focussize="0,0"/>
              <v:stroke on="f"/>
              <v:imagedata o:title=""/>
              <o:lock v:ext="edit"/>
            </v:rect>
            <v:rect id="_x0000_s1353" o:spid="_x0000_s1353" o:spt="1" style="position:absolute;left:7200;top:577;height:60;width:15;" fillcolor="#000000" filled="t" stroked="f" coordsize="21600,21600">
              <v:path/>
              <v:fill on="t" focussize="0,0"/>
              <v:stroke on="f"/>
              <v:imagedata o:title=""/>
              <o:lock v:ext="edit"/>
            </v:rect>
            <v:rect id="_x0000_s1354" o:spid="_x0000_s1354" o:spt="1" style="position:absolute;left:7200;top:472;height:60;width:15;" fillcolor="#000000" filled="t" stroked="f" coordsize="21600,21600">
              <v:path/>
              <v:fill on="t" focussize="0,0"/>
              <v:stroke on="f"/>
              <v:imagedata o:title=""/>
              <o:lock v:ext="edit"/>
            </v:rect>
            <v:rect id="_x0000_s1355" o:spid="_x0000_s1355" o:spt="1" style="position:absolute;left:7200;top:367;height:60;width:15;" fillcolor="#000000" filled="t" stroked="f" coordsize="21600,21600">
              <v:path/>
              <v:fill on="t" focussize="0,0"/>
              <v:stroke on="f"/>
              <v:imagedata o:title=""/>
              <o:lock v:ext="edit"/>
            </v:rect>
            <v:rect id="_x0000_s1356" o:spid="_x0000_s1356" o:spt="1" style="position:absolute;left:7200;top:262;height:60;width:15;" fillcolor="#000000" filled="t" stroked="f" coordsize="21600,21600">
              <v:path/>
              <v:fill on="t" focussize="0,0"/>
              <v:stroke on="f"/>
              <v:imagedata o:title=""/>
              <o:lock v:ext="edit"/>
            </v:rect>
            <v:rect id="_x0000_s1357" o:spid="_x0000_s1357" o:spt="1" style="position:absolute;left:7200;top:157;height:60;width:15;" fillcolor="#000000" filled="t" stroked="f" coordsize="21600,21600">
              <v:path/>
              <v:fill on="t" focussize="0,0"/>
              <v:stroke on="f"/>
              <v:imagedata o:title=""/>
              <o:lock v:ext="edit"/>
            </v:rect>
            <v:rect id="_x0000_s1358" o:spid="_x0000_s1358" o:spt="1" style="position:absolute;left:7200;top:52;height:60;width:15;" fillcolor="#000000" filled="t" stroked="f" coordsize="21600,21600">
              <v:path/>
              <v:fill on="t" focussize="0,0"/>
              <v:stroke on="f"/>
              <v:imagedata o:title=""/>
              <o:lock v:ext="edit"/>
            </v:rect>
            <w10:wrap type="none"/>
            <w10:anchorlock/>
          </v:group>
        </w:pict>
      </w:r>
    </w:p>
    <w:p w14:paraId="6F4B6AEC">
      <w:pPr>
        <w:pStyle w:val="7"/>
        <w:spacing w:before="7"/>
        <w:rPr>
          <w:sz w:val="15"/>
        </w:rPr>
      </w:pPr>
    </w:p>
    <w:p w14:paraId="23583182">
      <w:pPr>
        <w:spacing w:before="76"/>
        <w:ind w:left="2430" w:right="0" w:firstLine="0"/>
        <w:jc w:val="left"/>
        <w:rPr>
          <w:b/>
          <w:sz w:val="21"/>
        </w:rPr>
      </w:pPr>
      <w:r>
        <w:rPr>
          <w:b/>
          <w:spacing w:val="-26"/>
          <w:sz w:val="21"/>
        </w:rPr>
        <w:t xml:space="preserve">图 </w:t>
      </w:r>
      <w:r>
        <w:rPr>
          <w:rFonts w:ascii="Times New Roman" w:eastAsia="Times New Roman"/>
          <w:b/>
          <w:sz w:val="21"/>
        </w:rPr>
        <w:t>3.7</w:t>
      </w:r>
      <w:r>
        <w:rPr>
          <w:rFonts w:ascii="Times New Roman" w:eastAsia="Times New Roman"/>
          <w:b/>
          <w:spacing w:val="-9"/>
          <w:sz w:val="21"/>
        </w:rPr>
        <w:t xml:space="preserve">- </w:t>
      </w:r>
      <w:r>
        <w:rPr>
          <w:rFonts w:ascii="Times New Roman" w:eastAsia="Times New Roman"/>
          <w:b/>
          <w:sz w:val="21"/>
        </w:rPr>
        <w:t>1</w:t>
      </w:r>
      <w:r>
        <w:rPr>
          <w:rFonts w:ascii="Times New Roman" w:eastAsia="Times New Roman"/>
          <w:b/>
          <w:spacing w:val="50"/>
          <w:sz w:val="21"/>
        </w:rPr>
        <w:t xml:space="preserve"> </w:t>
      </w:r>
      <w:r>
        <w:rPr>
          <w:b/>
          <w:sz w:val="21"/>
        </w:rPr>
        <w:t>施工期工艺流程及产污节点示意图</w:t>
      </w:r>
    </w:p>
    <w:p w14:paraId="17E7B7F4">
      <w:pPr>
        <w:pStyle w:val="7"/>
        <w:spacing w:before="143"/>
        <w:ind w:left="760"/>
      </w:pPr>
      <w:r>
        <w:t>①施工工艺流程</w:t>
      </w:r>
    </w:p>
    <w:p w14:paraId="37497681">
      <w:pPr>
        <w:pStyle w:val="7"/>
        <w:spacing w:before="158" w:line="364" w:lineRule="auto"/>
        <w:ind w:left="280" w:right="340" w:firstLine="480"/>
      </w:pPr>
      <w:r>
        <w:t xml:space="preserve">本项目施工期计划为 </w:t>
      </w:r>
      <w:r>
        <w:rPr>
          <w:rFonts w:ascii="Times New Roman" w:eastAsia="Times New Roman"/>
        </w:rPr>
        <w:t xml:space="preserve">13 </w:t>
      </w:r>
      <w:r>
        <w:t>个月，项目建设施工过程主要包括待宰间、屠宰间、污水站等构筑物施工，给排水、交通、绿化等公辅工程施工。</w:t>
      </w:r>
    </w:p>
    <w:p w14:paraId="3789349F">
      <w:pPr>
        <w:pStyle w:val="7"/>
        <w:spacing w:line="364" w:lineRule="auto"/>
        <w:ind w:left="280" w:right="337" w:firstLine="480"/>
      </w:pPr>
      <w:r>
        <w:t>施工的基本程序为：场区</w:t>
      </w:r>
      <w:r>
        <w:rPr>
          <w:rFonts w:ascii="Times New Roman" w:hAnsi="Times New Roman" w:eastAsia="Times New Roman"/>
        </w:rPr>
        <w:t>“</w:t>
      </w:r>
      <w:r>
        <w:t>四通一平</w:t>
      </w:r>
      <w:r>
        <w:rPr>
          <w:rFonts w:ascii="Times New Roman" w:hAnsi="Times New Roman" w:eastAsia="Times New Roman"/>
        </w:rPr>
        <w:t>”</w:t>
      </w:r>
      <w:r>
        <w:t>、基础工程、主体工程、装饰施工和竣工验收。</w:t>
      </w:r>
    </w:p>
    <w:p w14:paraId="603B595B">
      <w:pPr>
        <w:pStyle w:val="7"/>
        <w:spacing w:line="306" w:lineRule="exact"/>
        <w:ind w:left="760"/>
      </w:pPr>
      <w:r>
        <w:t>②项目实施进度</w:t>
      </w:r>
    </w:p>
    <w:p w14:paraId="5D093767">
      <w:pPr>
        <w:pStyle w:val="7"/>
        <w:spacing w:before="159" w:line="362" w:lineRule="auto"/>
        <w:ind w:left="280" w:right="283" w:firstLine="480"/>
      </w:pPr>
      <w:r>
        <w:t xml:space="preserve">项目实施进度计划 </w:t>
      </w:r>
      <w:r>
        <w:rPr>
          <w:rFonts w:ascii="Times New Roman" w:eastAsia="Times New Roman"/>
        </w:rPr>
        <w:t xml:space="preserve">19 </w:t>
      </w:r>
      <w:r>
        <w:t xml:space="preserve">个月，前期工作安排约 </w:t>
      </w:r>
      <w:r>
        <w:rPr>
          <w:rFonts w:ascii="Times New Roman" w:eastAsia="Times New Roman"/>
        </w:rPr>
        <w:t xml:space="preserve">5 </w:t>
      </w:r>
      <w:r>
        <w:t xml:space="preserve">个月，施工建设期约 </w:t>
      </w:r>
      <w:r>
        <w:rPr>
          <w:rFonts w:ascii="Times New Roman" w:eastAsia="Times New Roman"/>
        </w:rPr>
        <w:t xml:space="preserve">13 </w:t>
      </w:r>
      <w:r>
        <w:t>个月，</w:t>
      </w:r>
      <w:r>
        <w:rPr>
          <w:rFonts w:ascii="Times New Roman" w:eastAsia="Times New Roman"/>
        </w:rPr>
        <w:t xml:space="preserve">1 </w:t>
      </w:r>
      <w:r>
        <w:t>个月安装调试。</w:t>
      </w:r>
    </w:p>
    <w:p w14:paraId="2B89E1B4">
      <w:pPr>
        <w:pStyle w:val="7"/>
        <w:spacing w:before="5"/>
        <w:ind w:left="760"/>
      </w:pPr>
      <w:r>
        <w:t>③施工期污染源分析</w:t>
      </w:r>
    </w:p>
    <w:p w14:paraId="57157587">
      <w:pPr>
        <w:pStyle w:val="7"/>
        <w:spacing w:before="160" w:line="364" w:lineRule="auto"/>
        <w:ind w:left="280" w:right="337" w:firstLine="480"/>
        <w:jc w:val="both"/>
      </w:pPr>
      <w:r>
        <w:t xml:space="preserve">本项目施工期计划 </w:t>
      </w:r>
      <w:r>
        <w:rPr>
          <w:rFonts w:ascii="Times New Roman" w:eastAsia="Times New Roman"/>
        </w:rPr>
        <w:t xml:space="preserve">13 </w:t>
      </w:r>
      <w:r>
        <w:t>个月，施工期主要污染源有施工扬尘、施工机械尾气；施工人员废水、施工活动产生的废水；施工机械及运输车辆产生的噪声； 施工活动产生的弃土石方和建筑垃圾、施工人员产生的生活垃圾。</w:t>
      </w:r>
    </w:p>
    <w:p w14:paraId="40FEB929">
      <w:pPr>
        <w:pStyle w:val="7"/>
        <w:spacing w:line="304" w:lineRule="exact"/>
        <w:ind w:left="760"/>
      </w:pPr>
      <w:r>
        <w:t>施工期主要污染源及污染物产生情况见下表：</w:t>
      </w:r>
    </w:p>
    <w:p w14:paraId="0C1D8D1D">
      <w:pPr>
        <w:spacing w:before="160" w:after="2"/>
        <w:ind w:left="262" w:right="321" w:firstLine="0"/>
        <w:jc w:val="center"/>
        <w:rPr>
          <w:b/>
          <w:sz w:val="21"/>
        </w:rPr>
      </w:pPr>
      <w:r>
        <w:rPr>
          <w:b/>
          <w:sz w:val="21"/>
        </w:rPr>
        <w:t xml:space="preserve">表 </w:t>
      </w:r>
      <w:r>
        <w:rPr>
          <w:rFonts w:ascii="Times New Roman" w:eastAsia="Times New Roman"/>
          <w:b/>
          <w:sz w:val="21"/>
        </w:rPr>
        <w:t xml:space="preserve">3.7-1  </w:t>
      </w:r>
      <w:r>
        <w:rPr>
          <w:b/>
          <w:sz w:val="21"/>
        </w:rPr>
        <w:t>施工期污染因素一览表</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148"/>
        <w:gridCol w:w="3152"/>
        <w:gridCol w:w="3490"/>
      </w:tblGrid>
      <w:tr w14:paraId="2EC06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7" w:type="dxa"/>
          </w:tcPr>
          <w:p w14:paraId="61641290">
            <w:pPr>
              <w:pStyle w:val="14"/>
              <w:spacing w:before="86"/>
              <w:ind w:left="201"/>
              <w:rPr>
                <w:b/>
                <w:sz w:val="21"/>
              </w:rPr>
            </w:pPr>
            <w:r>
              <w:rPr>
                <w:b/>
                <w:sz w:val="21"/>
              </w:rPr>
              <w:t>时段</w:t>
            </w:r>
          </w:p>
        </w:tc>
        <w:tc>
          <w:tcPr>
            <w:tcW w:w="1148" w:type="dxa"/>
          </w:tcPr>
          <w:p w14:paraId="5D0DD239">
            <w:pPr>
              <w:pStyle w:val="14"/>
              <w:spacing w:before="86"/>
              <w:ind w:left="151"/>
              <w:rPr>
                <w:b/>
                <w:sz w:val="21"/>
              </w:rPr>
            </w:pPr>
            <w:r>
              <w:rPr>
                <w:b/>
                <w:sz w:val="21"/>
              </w:rPr>
              <w:t>污染类型</w:t>
            </w:r>
          </w:p>
        </w:tc>
        <w:tc>
          <w:tcPr>
            <w:tcW w:w="3152" w:type="dxa"/>
          </w:tcPr>
          <w:p w14:paraId="5B91F09E">
            <w:pPr>
              <w:pStyle w:val="14"/>
              <w:spacing w:before="86"/>
              <w:ind w:left="715" w:right="706"/>
              <w:jc w:val="center"/>
              <w:rPr>
                <w:b/>
                <w:sz w:val="21"/>
              </w:rPr>
            </w:pPr>
            <w:r>
              <w:rPr>
                <w:b/>
                <w:sz w:val="21"/>
              </w:rPr>
              <w:t>污染源</w:t>
            </w:r>
          </w:p>
        </w:tc>
        <w:tc>
          <w:tcPr>
            <w:tcW w:w="3490" w:type="dxa"/>
          </w:tcPr>
          <w:p w14:paraId="1CB3DECB">
            <w:pPr>
              <w:pStyle w:val="14"/>
              <w:spacing w:before="86"/>
              <w:ind w:left="448" w:right="438"/>
              <w:jc w:val="center"/>
              <w:rPr>
                <w:b/>
                <w:sz w:val="21"/>
              </w:rPr>
            </w:pPr>
            <w:r>
              <w:rPr>
                <w:b/>
                <w:sz w:val="21"/>
              </w:rPr>
              <w:t>污染物</w:t>
            </w:r>
          </w:p>
        </w:tc>
      </w:tr>
      <w:tr w14:paraId="54C93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27" w:type="dxa"/>
            <w:vMerge w:val="restart"/>
          </w:tcPr>
          <w:p w14:paraId="711D58E6">
            <w:pPr>
              <w:pStyle w:val="14"/>
              <w:spacing w:before="177" w:line="242" w:lineRule="auto"/>
              <w:ind w:left="306" w:right="193" w:hanging="104"/>
              <w:rPr>
                <w:sz w:val="21"/>
              </w:rPr>
            </w:pPr>
            <w:r>
              <w:rPr>
                <w:sz w:val="21"/>
              </w:rPr>
              <w:t>施工期</w:t>
            </w:r>
          </w:p>
        </w:tc>
        <w:tc>
          <w:tcPr>
            <w:tcW w:w="1148" w:type="dxa"/>
            <w:vMerge w:val="restart"/>
          </w:tcPr>
          <w:p w14:paraId="3851DAB9">
            <w:pPr>
              <w:pStyle w:val="14"/>
              <w:spacing w:before="6"/>
              <w:rPr>
                <w:b/>
                <w:sz w:val="24"/>
              </w:rPr>
            </w:pPr>
          </w:p>
          <w:p w14:paraId="1B4BA27D">
            <w:pPr>
              <w:pStyle w:val="14"/>
              <w:ind w:left="363"/>
              <w:rPr>
                <w:sz w:val="21"/>
              </w:rPr>
            </w:pPr>
            <w:r>
              <w:rPr>
                <w:sz w:val="21"/>
              </w:rPr>
              <w:t>废气</w:t>
            </w:r>
          </w:p>
        </w:tc>
        <w:tc>
          <w:tcPr>
            <w:tcW w:w="3152" w:type="dxa"/>
          </w:tcPr>
          <w:p w14:paraId="44856742">
            <w:pPr>
              <w:pStyle w:val="14"/>
              <w:spacing w:before="86"/>
              <w:ind w:left="715" w:right="706"/>
              <w:jc w:val="center"/>
              <w:rPr>
                <w:sz w:val="21"/>
              </w:rPr>
            </w:pPr>
            <w:r>
              <w:rPr>
                <w:sz w:val="21"/>
              </w:rPr>
              <w:t>施工活动</w:t>
            </w:r>
          </w:p>
        </w:tc>
        <w:tc>
          <w:tcPr>
            <w:tcW w:w="3490" w:type="dxa"/>
          </w:tcPr>
          <w:p w14:paraId="053F6C34">
            <w:pPr>
              <w:pStyle w:val="14"/>
              <w:spacing w:before="86"/>
              <w:ind w:left="448" w:right="440"/>
              <w:jc w:val="center"/>
              <w:rPr>
                <w:sz w:val="21"/>
              </w:rPr>
            </w:pPr>
            <w:r>
              <w:rPr>
                <w:sz w:val="21"/>
              </w:rPr>
              <w:t>扬尘</w:t>
            </w:r>
          </w:p>
        </w:tc>
      </w:tr>
      <w:tr w14:paraId="5EC63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827" w:type="dxa"/>
            <w:vMerge w:val="continue"/>
            <w:tcBorders>
              <w:top w:val="nil"/>
            </w:tcBorders>
          </w:tcPr>
          <w:p w14:paraId="39534108">
            <w:pPr>
              <w:rPr>
                <w:sz w:val="2"/>
                <w:szCs w:val="2"/>
              </w:rPr>
            </w:pPr>
          </w:p>
        </w:tc>
        <w:tc>
          <w:tcPr>
            <w:tcW w:w="1148" w:type="dxa"/>
            <w:vMerge w:val="continue"/>
            <w:tcBorders>
              <w:top w:val="nil"/>
            </w:tcBorders>
          </w:tcPr>
          <w:p w14:paraId="67500B3B">
            <w:pPr>
              <w:rPr>
                <w:sz w:val="2"/>
                <w:szCs w:val="2"/>
              </w:rPr>
            </w:pPr>
          </w:p>
        </w:tc>
        <w:tc>
          <w:tcPr>
            <w:tcW w:w="3152" w:type="dxa"/>
          </w:tcPr>
          <w:p w14:paraId="1C2A4E0E">
            <w:pPr>
              <w:pStyle w:val="14"/>
              <w:spacing w:before="85"/>
              <w:ind w:left="715" w:right="706"/>
              <w:jc w:val="center"/>
              <w:rPr>
                <w:sz w:val="21"/>
              </w:rPr>
            </w:pPr>
            <w:r>
              <w:rPr>
                <w:sz w:val="21"/>
              </w:rPr>
              <w:t>施工机械</w:t>
            </w:r>
          </w:p>
        </w:tc>
        <w:tc>
          <w:tcPr>
            <w:tcW w:w="3490" w:type="dxa"/>
          </w:tcPr>
          <w:p w14:paraId="61933161">
            <w:pPr>
              <w:pStyle w:val="14"/>
              <w:spacing w:before="85"/>
              <w:ind w:left="448" w:right="440"/>
              <w:jc w:val="center"/>
              <w:rPr>
                <w:sz w:val="21"/>
              </w:rPr>
            </w:pPr>
            <w:r>
              <w:rPr>
                <w:rFonts w:ascii="Times New Roman" w:eastAsia="Times New Roman"/>
                <w:sz w:val="21"/>
              </w:rPr>
              <w:t>CO</w:t>
            </w:r>
            <w:r>
              <w:rPr>
                <w:sz w:val="21"/>
              </w:rPr>
              <w:t>、</w:t>
            </w:r>
            <w:r>
              <w:rPr>
                <w:rFonts w:ascii="Times New Roman" w:eastAsia="Times New Roman"/>
                <w:sz w:val="21"/>
              </w:rPr>
              <w:t xml:space="preserve">THC </w:t>
            </w:r>
            <w:r>
              <w:rPr>
                <w:sz w:val="21"/>
              </w:rPr>
              <w:t>等机械尾气</w:t>
            </w:r>
          </w:p>
        </w:tc>
      </w:tr>
    </w:tbl>
    <w:p w14:paraId="7F6996BB">
      <w:pPr>
        <w:spacing w:after="0"/>
        <w:jc w:val="center"/>
        <w:rPr>
          <w:sz w:val="21"/>
        </w:rPr>
        <w:sectPr>
          <w:footerReference r:id="rId21" w:type="default"/>
          <w:pgSz w:w="11910" w:h="16840"/>
          <w:pgMar w:top="1360" w:right="1460" w:bottom="1400" w:left="1520" w:header="878" w:footer="1204" w:gutter="0"/>
          <w:pgNumType w:start="60"/>
          <w:cols w:space="720" w:num="1"/>
        </w:sectPr>
      </w:pPr>
    </w:p>
    <w:p w14:paraId="0E4CD1C5">
      <w:pPr>
        <w:pStyle w:val="7"/>
        <w:spacing w:before="3"/>
        <w:rPr>
          <w:b/>
          <w:sz w:val="5"/>
        </w:rPr>
      </w:pP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148"/>
        <w:gridCol w:w="3152"/>
        <w:gridCol w:w="3490"/>
      </w:tblGrid>
      <w:tr w14:paraId="1B8E3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27" w:type="dxa"/>
            <w:vMerge w:val="restart"/>
          </w:tcPr>
          <w:p w14:paraId="772D1C7B">
            <w:pPr>
              <w:pStyle w:val="14"/>
              <w:rPr>
                <w:rFonts w:ascii="Times New Roman"/>
                <w:sz w:val="22"/>
              </w:rPr>
            </w:pPr>
          </w:p>
        </w:tc>
        <w:tc>
          <w:tcPr>
            <w:tcW w:w="1148" w:type="dxa"/>
            <w:vMerge w:val="restart"/>
          </w:tcPr>
          <w:p w14:paraId="1BCF782B">
            <w:pPr>
              <w:pStyle w:val="14"/>
              <w:spacing w:before="6"/>
              <w:rPr>
                <w:b/>
                <w:sz w:val="24"/>
              </w:rPr>
            </w:pPr>
          </w:p>
          <w:p w14:paraId="4A63C263">
            <w:pPr>
              <w:pStyle w:val="14"/>
              <w:ind w:left="363"/>
              <w:rPr>
                <w:sz w:val="21"/>
              </w:rPr>
            </w:pPr>
            <w:r>
              <w:rPr>
                <w:sz w:val="21"/>
              </w:rPr>
              <w:t>废水</w:t>
            </w:r>
          </w:p>
        </w:tc>
        <w:tc>
          <w:tcPr>
            <w:tcW w:w="3152" w:type="dxa"/>
          </w:tcPr>
          <w:p w14:paraId="1BA42588">
            <w:pPr>
              <w:pStyle w:val="14"/>
              <w:spacing w:before="86"/>
              <w:ind w:left="715" w:right="706"/>
              <w:jc w:val="center"/>
              <w:rPr>
                <w:sz w:val="21"/>
              </w:rPr>
            </w:pPr>
            <w:r>
              <w:rPr>
                <w:sz w:val="21"/>
              </w:rPr>
              <w:t>施工活动</w:t>
            </w:r>
          </w:p>
        </w:tc>
        <w:tc>
          <w:tcPr>
            <w:tcW w:w="3490" w:type="dxa"/>
          </w:tcPr>
          <w:p w14:paraId="3580336A">
            <w:pPr>
              <w:pStyle w:val="14"/>
              <w:spacing w:before="86"/>
              <w:ind w:left="448" w:right="440"/>
              <w:jc w:val="center"/>
              <w:rPr>
                <w:sz w:val="21"/>
              </w:rPr>
            </w:pPr>
            <w:r>
              <w:rPr>
                <w:rFonts w:ascii="Times New Roman" w:eastAsia="Times New Roman"/>
                <w:sz w:val="21"/>
              </w:rPr>
              <w:t>SS</w:t>
            </w:r>
            <w:r>
              <w:rPr>
                <w:sz w:val="21"/>
              </w:rPr>
              <w:t>、石油类</w:t>
            </w:r>
          </w:p>
        </w:tc>
      </w:tr>
      <w:tr w14:paraId="2CA87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27" w:type="dxa"/>
            <w:vMerge w:val="continue"/>
            <w:tcBorders>
              <w:top w:val="nil"/>
            </w:tcBorders>
          </w:tcPr>
          <w:p w14:paraId="104A2831">
            <w:pPr>
              <w:rPr>
                <w:sz w:val="2"/>
                <w:szCs w:val="2"/>
              </w:rPr>
            </w:pPr>
          </w:p>
        </w:tc>
        <w:tc>
          <w:tcPr>
            <w:tcW w:w="1148" w:type="dxa"/>
            <w:vMerge w:val="continue"/>
            <w:tcBorders>
              <w:top w:val="nil"/>
            </w:tcBorders>
          </w:tcPr>
          <w:p w14:paraId="4C8966CA">
            <w:pPr>
              <w:rPr>
                <w:sz w:val="2"/>
                <w:szCs w:val="2"/>
              </w:rPr>
            </w:pPr>
          </w:p>
        </w:tc>
        <w:tc>
          <w:tcPr>
            <w:tcW w:w="3152" w:type="dxa"/>
          </w:tcPr>
          <w:p w14:paraId="764CE3C2">
            <w:pPr>
              <w:pStyle w:val="14"/>
              <w:spacing w:before="85"/>
              <w:ind w:left="715" w:right="706"/>
              <w:jc w:val="center"/>
              <w:rPr>
                <w:sz w:val="21"/>
              </w:rPr>
            </w:pPr>
            <w:r>
              <w:rPr>
                <w:sz w:val="21"/>
              </w:rPr>
              <w:t>施工人员生活污水</w:t>
            </w:r>
          </w:p>
        </w:tc>
        <w:tc>
          <w:tcPr>
            <w:tcW w:w="3490" w:type="dxa"/>
          </w:tcPr>
          <w:p w14:paraId="668DC9CC">
            <w:pPr>
              <w:pStyle w:val="14"/>
              <w:spacing w:before="82"/>
              <w:ind w:left="448" w:right="443"/>
              <w:jc w:val="center"/>
              <w:rPr>
                <w:rFonts w:ascii="Times New Roman" w:eastAsia="Times New Roman"/>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p>
        </w:tc>
      </w:tr>
      <w:tr w14:paraId="3EB4F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27" w:type="dxa"/>
            <w:vMerge w:val="continue"/>
            <w:tcBorders>
              <w:top w:val="nil"/>
            </w:tcBorders>
          </w:tcPr>
          <w:p w14:paraId="2AE69FFC">
            <w:pPr>
              <w:rPr>
                <w:sz w:val="2"/>
                <w:szCs w:val="2"/>
              </w:rPr>
            </w:pPr>
          </w:p>
        </w:tc>
        <w:tc>
          <w:tcPr>
            <w:tcW w:w="1148" w:type="dxa"/>
          </w:tcPr>
          <w:p w14:paraId="1699E43A">
            <w:pPr>
              <w:pStyle w:val="14"/>
              <w:spacing w:before="85"/>
              <w:ind w:left="363"/>
              <w:rPr>
                <w:sz w:val="21"/>
              </w:rPr>
            </w:pPr>
            <w:r>
              <w:rPr>
                <w:sz w:val="21"/>
              </w:rPr>
              <w:t>噪声</w:t>
            </w:r>
          </w:p>
        </w:tc>
        <w:tc>
          <w:tcPr>
            <w:tcW w:w="3152" w:type="dxa"/>
          </w:tcPr>
          <w:p w14:paraId="261D9D27">
            <w:pPr>
              <w:pStyle w:val="14"/>
              <w:spacing w:before="19" w:line="270" w:lineRule="atLeast"/>
              <w:ind w:left="1471" w:right="199" w:hanging="1260"/>
              <w:rPr>
                <w:sz w:val="21"/>
              </w:rPr>
            </w:pPr>
            <w:r>
              <w:rPr>
                <w:w w:val="95"/>
                <w:sz w:val="21"/>
              </w:rPr>
              <w:t>施工机械、运输车辆、施工活</w:t>
            </w:r>
            <w:r>
              <w:rPr>
                <w:sz w:val="21"/>
              </w:rPr>
              <w:t>动</w:t>
            </w:r>
          </w:p>
        </w:tc>
        <w:tc>
          <w:tcPr>
            <w:tcW w:w="3490" w:type="dxa"/>
          </w:tcPr>
          <w:p w14:paraId="07E6A9D7">
            <w:pPr>
              <w:pStyle w:val="14"/>
              <w:spacing w:before="85"/>
              <w:ind w:left="448" w:right="440"/>
              <w:jc w:val="center"/>
              <w:rPr>
                <w:sz w:val="21"/>
              </w:rPr>
            </w:pPr>
            <w:r>
              <w:rPr>
                <w:sz w:val="21"/>
              </w:rPr>
              <w:t xml:space="preserve">等效 </w:t>
            </w:r>
            <w:r>
              <w:rPr>
                <w:rFonts w:ascii="Times New Roman" w:eastAsia="Times New Roman"/>
                <w:sz w:val="21"/>
              </w:rPr>
              <w:t xml:space="preserve">A </w:t>
            </w:r>
            <w:r>
              <w:rPr>
                <w:sz w:val="21"/>
              </w:rPr>
              <w:t>声级</w:t>
            </w:r>
          </w:p>
        </w:tc>
      </w:tr>
      <w:tr w14:paraId="01803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27" w:type="dxa"/>
            <w:vMerge w:val="continue"/>
            <w:tcBorders>
              <w:top w:val="nil"/>
            </w:tcBorders>
          </w:tcPr>
          <w:p w14:paraId="726DD2FD">
            <w:pPr>
              <w:rPr>
                <w:sz w:val="2"/>
                <w:szCs w:val="2"/>
              </w:rPr>
            </w:pPr>
          </w:p>
        </w:tc>
        <w:tc>
          <w:tcPr>
            <w:tcW w:w="1148" w:type="dxa"/>
            <w:vMerge w:val="restart"/>
          </w:tcPr>
          <w:p w14:paraId="5C3AC1D8">
            <w:pPr>
              <w:pStyle w:val="14"/>
              <w:spacing w:before="5"/>
              <w:rPr>
                <w:b/>
                <w:sz w:val="15"/>
              </w:rPr>
            </w:pPr>
          </w:p>
          <w:p w14:paraId="1DBC3373">
            <w:pPr>
              <w:pStyle w:val="14"/>
              <w:ind w:left="154"/>
              <w:rPr>
                <w:sz w:val="21"/>
              </w:rPr>
            </w:pPr>
            <w:r>
              <w:rPr>
                <w:sz w:val="21"/>
              </w:rPr>
              <w:t>固体废物</w:t>
            </w:r>
          </w:p>
        </w:tc>
        <w:tc>
          <w:tcPr>
            <w:tcW w:w="3152" w:type="dxa"/>
          </w:tcPr>
          <w:p w14:paraId="460DB0A2">
            <w:pPr>
              <w:pStyle w:val="14"/>
              <w:spacing w:line="241" w:lineRule="exact"/>
              <w:ind w:left="715" w:right="706"/>
              <w:jc w:val="center"/>
              <w:rPr>
                <w:sz w:val="21"/>
              </w:rPr>
            </w:pPr>
            <w:r>
              <w:rPr>
                <w:sz w:val="21"/>
              </w:rPr>
              <w:t>施工活动</w:t>
            </w:r>
          </w:p>
        </w:tc>
        <w:tc>
          <w:tcPr>
            <w:tcW w:w="3490" w:type="dxa"/>
          </w:tcPr>
          <w:p w14:paraId="33F1EA7A">
            <w:pPr>
              <w:pStyle w:val="14"/>
              <w:spacing w:line="241" w:lineRule="exact"/>
              <w:ind w:left="448" w:right="440"/>
              <w:jc w:val="center"/>
              <w:rPr>
                <w:sz w:val="21"/>
              </w:rPr>
            </w:pPr>
            <w:r>
              <w:rPr>
                <w:sz w:val="21"/>
              </w:rPr>
              <w:t>废弃土石方、建筑垃圾</w:t>
            </w:r>
          </w:p>
        </w:tc>
      </w:tr>
      <w:tr w14:paraId="584F7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27" w:type="dxa"/>
            <w:vMerge w:val="continue"/>
            <w:tcBorders>
              <w:top w:val="nil"/>
            </w:tcBorders>
          </w:tcPr>
          <w:p w14:paraId="232A1B65">
            <w:pPr>
              <w:rPr>
                <w:sz w:val="2"/>
                <w:szCs w:val="2"/>
              </w:rPr>
            </w:pPr>
          </w:p>
        </w:tc>
        <w:tc>
          <w:tcPr>
            <w:tcW w:w="1148" w:type="dxa"/>
            <w:vMerge w:val="continue"/>
            <w:tcBorders>
              <w:top w:val="nil"/>
            </w:tcBorders>
          </w:tcPr>
          <w:p w14:paraId="25177F5C">
            <w:pPr>
              <w:rPr>
                <w:sz w:val="2"/>
                <w:szCs w:val="2"/>
              </w:rPr>
            </w:pPr>
          </w:p>
        </w:tc>
        <w:tc>
          <w:tcPr>
            <w:tcW w:w="3152" w:type="dxa"/>
          </w:tcPr>
          <w:p w14:paraId="4B2C67A2">
            <w:pPr>
              <w:pStyle w:val="14"/>
              <w:spacing w:before="86"/>
              <w:ind w:left="715" w:right="706"/>
              <w:jc w:val="center"/>
              <w:rPr>
                <w:sz w:val="21"/>
              </w:rPr>
            </w:pPr>
            <w:r>
              <w:rPr>
                <w:sz w:val="21"/>
              </w:rPr>
              <w:t>施工人员</w:t>
            </w:r>
          </w:p>
        </w:tc>
        <w:tc>
          <w:tcPr>
            <w:tcW w:w="3490" w:type="dxa"/>
          </w:tcPr>
          <w:p w14:paraId="3B8C5E64">
            <w:pPr>
              <w:pStyle w:val="14"/>
              <w:spacing w:before="86"/>
              <w:ind w:left="448" w:right="443"/>
              <w:jc w:val="center"/>
              <w:rPr>
                <w:sz w:val="21"/>
              </w:rPr>
            </w:pPr>
            <w:r>
              <w:rPr>
                <w:sz w:val="21"/>
              </w:rPr>
              <w:t>生活垃圾</w:t>
            </w:r>
          </w:p>
        </w:tc>
      </w:tr>
    </w:tbl>
    <w:p w14:paraId="1EF8F6FA">
      <w:pPr>
        <w:pStyle w:val="13"/>
        <w:numPr>
          <w:ilvl w:val="2"/>
          <w:numId w:val="14"/>
        </w:numPr>
        <w:tabs>
          <w:tab w:val="left" w:pos="900"/>
        </w:tabs>
        <w:spacing w:before="2" w:after="0" w:line="240" w:lineRule="auto"/>
        <w:ind w:left="899" w:right="0" w:hanging="619"/>
        <w:jc w:val="left"/>
        <w:rPr>
          <w:b/>
          <w:sz w:val="28"/>
        </w:rPr>
      </w:pPr>
      <w:bookmarkStart w:id="114" w:name="3.7.2施工期污染源源强核算"/>
      <w:bookmarkEnd w:id="114"/>
      <w:bookmarkStart w:id="115" w:name="3.7.2施工期污染源源强核算"/>
      <w:bookmarkEnd w:id="115"/>
      <w:r>
        <w:rPr>
          <w:b/>
          <w:sz w:val="28"/>
        </w:rPr>
        <w:t>施工期污染源源强核算</w:t>
      </w:r>
    </w:p>
    <w:p w14:paraId="413F9455">
      <w:pPr>
        <w:pStyle w:val="6"/>
        <w:spacing w:before="185"/>
        <w:ind w:left="760"/>
      </w:pPr>
      <w:r>
        <w:t>（</w:t>
      </w:r>
      <w:r>
        <w:rPr>
          <w:rFonts w:ascii="Times New Roman" w:eastAsia="Times New Roman"/>
        </w:rPr>
        <w:t>1</w:t>
      </w:r>
      <w:r>
        <w:t>）施工期废气污染源</w:t>
      </w:r>
    </w:p>
    <w:p w14:paraId="364D09B6">
      <w:pPr>
        <w:pStyle w:val="7"/>
        <w:spacing w:before="161"/>
        <w:ind w:left="760"/>
      </w:pPr>
      <w:r>
        <w:t>施工期的主要大气污染为施工扬尘、施工机械废气和运输车辆尾气。</w:t>
      </w:r>
    </w:p>
    <w:p w14:paraId="5B32156B">
      <w:pPr>
        <w:pStyle w:val="7"/>
        <w:spacing w:before="158"/>
        <w:ind w:left="760"/>
      </w:pPr>
      <w:r>
        <w:t>①施工扬尘</w:t>
      </w:r>
    </w:p>
    <w:p w14:paraId="430BB9EF">
      <w:pPr>
        <w:pStyle w:val="7"/>
        <w:spacing w:before="160" w:line="364" w:lineRule="auto"/>
        <w:ind w:left="280" w:right="337" w:firstLine="480"/>
        <w:jc w:val="both"/>
      </w:pPr>
      <w:r>
        <w:t>施工期的扬尘主要来自于露天堆场和裸露场地的风力扬尘、建筑材料运输所产生的道路扬尘。对整个施工期而言，施工产生的扬尘又主要集中为基础施工阶段，因此应该尽量在风力小的天气施工，并使用商品混凝土。</w:t>
      </w:r>
    </w:p>
    <w:p w14:paraId="318F4EF9">
      <w:pPr>
        <w:pStyle w:val="7"/>
        <w:spacing w:line="305" w:lineRule="exact"/>
        <w:ind w:left="760"/>
      </w:pPr>
      <w:r>
        <w:rPr>
          <w:rFonts w:ascii="Times New Roman" w:eastAsia="Times New Roman"/>
        </w:rPr>
        <w:t>a</w:t>
      </w:r>
      <w:r>
        <w:t>、露天堆场和裸露场地的风力扬尘</w:t>
      </w:r>
    </w:p>
    <w:p w14:paraId="45FFCE30">
      <w:pPr>
        <w:pStyle w:val="7"/>
        <w:spacing w:before="161" w:line="364" w:lineRule="auto"/>
        <w:ind w:left="280" w:right="337" w:firstLine="480"/>
        <w:jc w:val="both"/>
      </w:pPr>
      <w:r>
        <w:t>由于施工的需要，建材需露天临时堆放，施工点表层土壤需人工开挖、堆放，在气候干燥又有风的情况下，会产生扬尘，根据堆放场起尘的经验公式可以看出起尘量与尘粒的含水率有关：</w:t>
      </w:r>
    </w:p>
    <w:p w14:paraId="518A1D30">
      <w:pPr>
        <w:pStyle w:val="7"/>
        <w:spacing w:line="308" w:lineRule="exact"/>
        <w:ind w:left="760"/>
        <w:rPr>
          <w:rFonts w:ascii="Times New Roman" w:hAnsi="Times New Roman" w:eastAsia="Times New Roman"/>
        </w:rPr>
      </w:pPr>
      <w:r>
        <w:rPr>
          <w:rFonts w:ascii="Times New Roman" w:hAnsi="Times New Roman" w:eastAsia="Times New Roman"/>
          <w:position w:val="2"/>
        </w:rPr>
        <w:t>Q</w:t>
      </w:r>
      <w:r>
        <w:rPr>
          <w:position w:val="2"/>
        </w:rPr>
        <w:t>＝</w:t>
      </w:r>
      <w:r>
        <w:rPr>
          <w:rFonts w:ascii="Times New Roman" w:hAnsi="Times New Roman" w:eastAsia="Times New Roman"/>
          <w:position w:val="2"/>
        </w:rPr>
        <w:t>2.1</w:t>
      </w:r>
      <w:r>
        <w:rPr>
          <w:position w:val="2"/>
        </w:rPr>
        <w:t>（</w:t>
      </w:r>
      <w:r>
        <w:rPr>
          <w:rFonts w:ascii="Times New Roman" w:hAnsi="Times New Roman" w:eastAsia="Times New Roman"/>
          <w:position w:val="2"/>
        </w:rPr>
        <w:t>V</w:t>
      </w:r>
      <w:r>
        <w:rPr>
          <w:rFonts w:ascii="Times New Roman" w:hAnsi="Times New Roman" w:eastAsia="Times New Roman"/>
          <w:position w:val="2"/>
          <w:vertAlign w:val="subscript"/>
        </w:rPr>
        <w:t>50</w:t>
      </w:r>
      <w:r>
        <w:rPr>
          <w:position w:val="2"/>
          <w:vertAlign w:val="baseline"/>
        </w:rPr>
        <w:t>－</w:t>
      </w:r>
      <w:r>
        <w:rPr>
          <w:rFonts w:ascii="Times New Roman" w:hAnsi="Times New Roman" w:eastAsia="Times New Roman"/>
          <w:position w:val="2"/>
          <w:vertAlign w:val="baseline"/>
        </w:rPr>
        <w:t>V</w:t>
      </w:r>
      <w:r>
        <w:rPr>
          <w:rFonts w:ascii="Times New Roman" w:hAnsi="Times New Roman" w:eastAsia="Times New Roman"/>
          <w:position w:val="2"/>
          <w:vertAlign w:val="subscript"/>
        </w:rPr>
        <w:t>0</w:t>
      </w:r>
      <w:r>
        <w:rPr>
          <w:position w:val="2"/>
          <w:vertAlign w:val="baseline"/>
        </w:rPr>
        <w:t>）</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·e</w:t>
      </w:r>
      <w:r>
        <w:rPr>
          <w:rFonts w:ascii="Times New Roman" w:hAnsi="Times New Roman" w:eastAsia="Times New Roman"/>
          <w:position w:val="2"/>
          <w:vertAlign w:val="superscript"/>
        </w:rPr>
        <w:t>-1.023w</w:t>
      </w:r>
    </w:p>
    <w:p w14:paraId="093F26FA">
      <w:pPr>
        <w:pStyle w:val="7"/>
        <w:spacing w:before="157"/>
        <w:ind w:left="760"/>
      </w:pPr>
      <w:r>
        <w:t>式中：</w:t>
      </w:r>
      <w:r>
        <w:rPr>
          <w:rFonts w:ascii="Times New Roman" w:hAnsi="Times New Roman" w:eastAsia="Times New Roman"/>
        </w:rPr>
        <w:t>Q——</w:t>
      </w:r>
      <w:r>
        <w:t>起尘量，</w:t>
      </w:r>
      <w:r>
        <w:rPr>
          <w:rFonts w:ascii="Times New Roman" w:hAnsi="Times New Roman" w:eastAsia="Times New Roman"/>
        </w:rPr>
        <w:t>kg/t·a</w:t>
      </w:r>
      <w:r>
        <w:t>；</w:t>
      </w:r>
    </w:p>
    <w:p w14:paraId="2CA9457C">
      <w:pPr>
        <w:pStyle w:val="7"/>
        <w:spacing w:before="157"/>
        <w:ind w:left="1120"/>
      </w:pPr>
      <w:r>
        <w:rPr>
          <w:rFonts w:ascii="Times New Roman" w:hAnsi="Times New Roman" w:eastAsia="Times New Roman"/>
          <w:position w:val="2"/>
        </w:rPr>
        <w:t>V</w:t>
      </w:r>
      <w:r>
        <w:rPr>
          <w:rFonts w:ascii="Times New Roman" w:hAnsi="Times New Roman" w:eastAsia="Times New Roman"/>
          <w:position w:val="2"/>
          <w:vertAlign w:val="subscript"/>
        </w:rPr>
        <w:t>50</w:t>
      </w:r>
      <w:r>
        <w:rPr>
          <w:rFonts w:ascii="Times New Roman" w:hAnsi="Times New Roman" w:eastAsia="Times New Roman"/>
          <w:position w:val="2"/>
          <w:vertAlign w:val="baseline"/>
        </w:rPr>
        <w:t>——</w:t>
      </w:r>
      <w:r>
        <w:rPr>
          <w:position w:val="2"/>
          <w:vertAlign w:val="baseline"/>
        </w:rPr>
        <w:t xml:space="preserve">距地面 </w:t>
      </w:r>
      <w:r>
        <w:rPr>
          <w:rFonts w:ascii="Times New Roman" w:hAnsi="Times New Roman" w:eastAsia="Times New Roman"/>
          <w:position w:val="2"/>
          <w:vertAlign w:val="baseline"/>
        </w:rPr>
        <w:t xml:space="preserve">50 </w:t>
      </w:r>
      <w:r>
        <w:rPr>
          <w:position w:val="2"/>
          <w:vertAlign w:val="baseline"/>
        </w:rPr>
        <w:t>米处风速，</w:t>
      </w:r>
      <w:r>
        <w:rPr>
          <w:rFonts w:ascii="Times New Roman" w:hAnsi="Times New Roman" w:eastAsia="Times New Roman"/>
          <w:position w:val="2"/>
          <w:vertAlign w:val="baseline"/>
        </w:rPr>
        <w:t>m/s</w:t>
      </w:r>
      <w:r>
        <w:rPr>
          <w:position w:val="2"/>
          <w:vertAlign w:val="baseline"/>
        </w:rPr>
        <w:t>；</w:t>
      </w:r>
    </w:p>
    <w:p w14:paraId="3462EFFB">
      <w:pPr>
        <w:pStyle w:val="7"/>
        <w:spacing w:before="154"/>
        <w:ind w:left="1120"/>
      </w:pPr>
      <w:r>
        <w:rPr>
          <w:rFonts w:ascii="Times New Roman" w:hAnsi="Times New Roman" w:eastAsia="Times New Roman"/>
          <w:position w:val="2"/>
        </w:rPr>
        <w:t>V</w:t>
      </w:r>
      <w:r>
        <w:rPr>
          <w:rFonts w:ascii="Times New Roman" w:hAnsi="Times New Roman" w:eastAsia="Times New Roman"/>
          <w:position w:val="2"/>
          <w:vertAlign w:val="subscript"/>
        </w:rPr>
        <w:t>0</w:t>
      </w:r>
      <w:r>
        <w:rPr>
          <w:rFonts w:ascii="Times New Roman" w:hAnsi="Times New Roman" w:eastAsia="Times New Roman"/>
          <w:position w:val="2"/>
          <w:vertAlign w:val="baseline"/>
        </w:rPr>
        <w:t>——</w:t>
      </w:r>
      <w:r>
        <w:rPr>
          <w:position w:val="2"/>
          <w:vertAlign w:val="baseline"/>
        </w:rPr>
        <w:t>起尘风速，</w:t>
      </w:r>
      <w:r>
        <w:rPr>
          <w:rFonts w:ascii="Times New Roman" w:hAnsi="Times New Roman" w:eastAsia="Times New Roman"/>
          <w:position w:val="2"/>
          <w:vertAlign w:val="baseline"/>
        </w:rPr>
        <w:t>m/s</w:t>
      </w:r>
      <w:r>
        <w:rPr>
          <w:position w:val="2"/>
          <w:vertAlign w:val="baseline"/>
        </w:rPr>
        <w:t>；</w:t>
      </w:r>
    </w:p>
    <w:p w14:paraId="7063C3F5">
      <w:pPr>
        <w:pStyle w:val="7"/>
        <w:spacing w:before="157"/>
        <w:ind w:left="1120"/>
      </w:pPr>
      <w:r>
        <w:rPr>
          <w:rFonts w:ascii="Times New Roman" w:hAnsi="Times New Roman" w:eastAsia="Times New Roman"/>
        </w:rPr>
        <w:t>W——</w:t>
      </w:r>
      <w:r>
        <w:t>尘粒的含水率，</w:t>
      </w:r>
      <w:r>
        <w:rPr>
          <w:rFonts w:ascii="Times New Roman" w:hAnsi="Times New Roman" w:eastAsia="Times New Roman"/>
        </w:rPr>
        <w:t>%</w:t>
      </w:r>
      <w:r>
        <w:t>。</w:t>
      </w:r>
    </w:p>
    <w:p w14:paraId="4E5A4F14">
      <w:pPr>
        <w:pStyle w:val="7"/>
        <w:spacing w:before="160" w:line="364" w:lineRule="auto"/>
        <w:ind w:left="280" w:right="337" w:firstLine="480"/>
        <w:jc w:val="both"/>
      </w:pPr>
      <w:r>
        <w:t>起尘量与含水率、气象、风速、起尘风速有关，而起尘风速与粒径和含水率有关。尘粒在空气中的传播扩散情况与风速等气象条件有关，也与尘粒本身的沉降速度有关，不同尘粒的沉降速度见下表。</w:t>
      </w:r>
    </w:p>
    <w:p w14:paraId="76D741DC">
      <w:pPr>
        <w:spacing w:before="0" w:after="3" w:line="267" w:lineRule="exact"/>
        <w:ind w:left="262" w:right="324" w:firstLine="0"/>
        <w:jc w:val="center"/>
        <w:rPr>
          <w:b/>
          <w:sz w:val="21"/>
        </w:rPr>
      </w:pPr>
      <w:r>
        <w:rPr>
          <w:b/>
          <w:spacing w:val="-26"/>
          <w:sz w:val="21"/>
        </w:rPr>
        <w:t xml:space="preserve">表 </w:t>
      </w:r>
      <w:r>
        <w:rPr>
          <w:rFonts w:ascii="Times New Roman" w:eastAsia="Times New Roman"/>
          <w:b/>
          <w:sz w:val="21"/>
        </w:rPr>
        <w:t>3.7-2</w:t>
      </w:r>
      <w:r>
        <w:rPr>
          <w:rFonts w:ascii="Times New Roman" w:eastAsia="Times New Roman"/>
          <w:b/>
          <w:spacing w:val="50"/>
          <w:sz w:val="21"/>
        </w:rPr>
        <w:t xml:space="preserve"> </w:t>
      </w:r>
      <w:r>
        <w:rPr>
          <w:b/>
          <w:sz w:val="21"/>
        </w:rPr>
        <w:t>不同粒径的沉降速度</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935"/>
        <w:gridCol w:w="953"/>
        <w:gridCol w:w="963"/>
        <w:gridCol w:w="967"/>
        <w:gridCol w:w="970"/>
        <w:gridCol w:w="796"/>
        <w:gridCol w:w="877"/>
      </w:tblGrid>
      <w:tr w14:paraId="4148C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14:paraId="7991F321">
            <w:pPr>
              <w:pStyle w:val="14"/>
              <w:spacing w:before="33"/>
              <w:ind w:left="274" w:right="268"/>
              <w:jc w:val="center"/>
              <w:rPr>
                <w:b/>
                <w:sz w:val="21"/>
              </w:rPr>
            </w:pPr>
            <w:r>
              <w:rPr>
                <w:b/>
                <w:sz w:val="21"/>
              </w:rPr>
              <w:t>粒径（</w:t>
            </w:r>
            <w:r>
              <w:rPr>
                <w:rFonts w:ascii="Times New Roman" w:hAnsi="Times New Roman" w:eastAsia="Times New Roman"/>
                <w:b/>
                <w:sz w:val="21"/>
              </w:rPr>
              <w:t>μm</w:t>
            </w:r>
            <w:r>
              <w:rPr>
                <w:b/>
                <w:sz w:val="21"/>
              </w:rPr>
              <w:t>）</w:t>
            </w:r>
          </w:p>
        </w:tc>
        <w:tc>
          <w:tcPr>
            <w:tcW w:w="935" w:type="dxa"/>
          </w:tcPr>
          <w:p w14:paraId="3AB8DD33">
            <w:pPr>
              <w:pStyle w:val="14"/>
              <w:spacing w:before="47"/>
              <w:ind w:left="341" w:right="334"/>
              <w:jc w:val="center"/>
              <w:rPr>
                <w:rFonts w:ascii="Times New Roman"/>
                <w:b/>
                <w:sz w:val="21"/>
              </w:rPr>
            </w:pPr>
            <w:r>
              <w:rPr>
                <w:rFonts w:ascii="Times New Roman"/>
                <w:b/>
                <w:sz w:val="21"/>
              </w:rPr>
              <w:t>10</w:t>
            </w:r>
          </w:p>
        </w:tc>
        <w:tc>
          <w:tcPr>
            <w:tcW w:w="953" w:type="dxa"/>
          </w:tcPr>
          <w:p w14:paraId="67109AE6">
            <w:pPr>
              <w:pStyle w:val="14"/>
              <w:spacing w:before="47"/>
              <w:ind w:left="215" w:right="209"/>
              <w:jc w:val="center"/>
              <w:rPr>
                <w:rFonts w:ascii="Times New Roman"/>
                <w:b/>
                <w:sz w:val="21"/>
              </w:rPr>
            </w:pPr>
            <w:r>
              <w:rPr>
                <w:rFonts w:ascii="Times New Roman"/>
                <w:b/>
                <w:sz w:val="21"/>
              </w:rPr>
              <w:t>20</w:t>
            </w:r>
          </w:p>
        </w:tc>
        <w:tc>
          <w:tcPr>
            <w:tcW w:w="963" w:type="dxa"/>
          </w:tcPr>
          <w:p w14:paraId="15E99678">
            <w:pPr>
              <w:pStyle w:val="14"/>
              <w:spacing w:before="47"/>
              <w:ind w:left="225" w:right="215"/>
              <w:jc w:val="center"/>
              <w:rPr>
                <w:rFonts w:ascii="Times New Roman"/>
                <w:b/>
                <w:sz w:val="21"/>
              </w:rPr>
            </w:pPr>
            <w:r>
              <w:rPr>
                <w:rFonts w:ascii="Times New Roman"/>
                <w:b/>
                <w:sz w:val="21"/>
              </w:rPr>
              <w:t>30</w:t>
            </w:r>
          </w:p>
        </w:tc>
        <w:tc>
          <w:tcPr>
            <w:tcW w:w="967" w:type="dxa"/>
          </w:tcPr>
          <w:p w14:paraId="32C70FE7">
            <w:pPr>
              <w:pStyle w:val="14"/>
              <w:spacing w:before="47"/>
              <w:ind w:left="226" w:right="217"/>
              <w:jc w:val="center"/>
              <w:rPr>
                <w:rFonts w:ascii="Times New Roman"/>
                <w:b/>
                <w:sz w:val="21"/>
              </w:rPr>
            </w:pPr>
            <w:r>
              <w:rPr>
                <w:rFonts w:ascii="Times New Roman"/>
                <w:b/>
                <w:sz w:val="21"/>
              </w:rPr>
              <w:t>40</w:t>
            </w:r>
          </w:p>
        </w:tc>
        <w:tc>
          <w:tcPr>
            <w:tcW w:w="970" w:type="dxa"/>
          </w:tcPr>
          <w:p w14:paraId="4C9744A4">
            <w:pPr>
              <w:pStyle w:val="14"/>
              <w:spacing w:before="47"/>
              <w:ind w:left="227" w:right="220"/>
              <w:jc w:val="center"/>
              <w:rPr>
                <w:rFonts w:ascii="Times New Roman"/>
                <w:b/>
                <w:sz w:val="21"/>
              </w:rPr>
            </w:pPr>
            <w:r>
              <w:rPr>
                <w:rFonts w:ascii="Times New Roman"/>
                <w:b/>
                <w:sz w:val="21"/>
              </w:rPr>
              <w:t>50</w:t>
            </w:r>
          </w:p>
        </w:tc>
        <w:tc>
          <w:tcPr>
            <w:tcW w:w="796" w:type="dxa"/>
          </w:tcPr>
          <w:p w14:paraId="1705B10F">
            <w:pPr>
              <w:pStyle w:val="14"/>
              <w:spacing w:before="47"/>
              <w:ind w:left="140" w:right="133"/>
              <w:jc w:val="center"/>
              <w:rPr>
                <w:rFonts w:ascii="Times New Roman"/>
                <w:b/>
                <w:sz w:val="21"/>
              </w:rPr>
            </w:pPr>
            <w:r>
              <w:rPr>
                <w:rFonts w:ascii="Times New Roman"/>
                <w:b/>
                <w:sz w:val="21"/>
              </w:rPr>
              <w:t>60</w:t>
            </w:r>
          </w:p>
        </w:tc>
        <w:tc>
          <w:tcPr>
            <w:tcW w:w="877" w:type="dxa"/>
          </w:tcPr>
          <w:p w14:paraId="1E030793">
            <w:pPr>
              <w:pStyle w:val="14"/>
              <w:spacing w:before="47"/>
              <w:ind w:left="181" w:right="172"/>
              <w:jc w:val="center"/>
              <w:rPr>
                <w:rFonts w:ascii="Times New Roman"/>
                <w:b/>
                <w:sz w:val="21"/>
              </w:rPr>
            </w:pPr>
            <w:r>
              <w:rPr>
                <w:rFonts w:ascii="Times New Roman"/>
                <w:b/>
                <w:sz w:val="21"/>
              </w:rPr>
              <w:t>70</w:t>
            </w:r>
          </w:p>
        </w:tc>
      </w:tr>
      <w:tr w14:paraId="4034E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14:paraId="222A66E6">
            <w:pPr>
              <w:pStyle w:val="14"/>
              <w:spacing w:before="33"/>
              <w:ind w:left="274" w:right="268"/>
              <w:jc w:val="center"/>
              <w:rPr>
                <w:sz w:val="21"/>
              </w:rPr>
            </w:pPr>
            <w:r>
              <w:rPr>
                <w:sz w:val="21"/>
              </w:rPr>
              <w:t>沉降速度（</w:t>
            </w:r>
            <w:r>
              <w:rPr>
                <w:rFonts w:ascii="Times New Roman" w:eastAsia="Times New Roman"/>
                <w:sz w:val="21"/>
              </w:rPr>
              <w:t>m/s</w:t>
            </w:r>
            <w:r>
              <w:rPr>
                <w:sz w:val="21"/>
              </w:rPr>
              <w:t>）</w:t>
            </w:r>
          </w:p>
        </w:tc>
        <w:tc>
          <w:tcPr>
            <w:tcW w:w="935" w:type="dxa"/>
          </w:tcPr>
          <w:p w14:paraId="7DAD5724">
            <w:pPr>
              <w:pStyle w:val="14"/>
              <w:spacing w:before="47"/>
              <w:ind w:right="219"/>
              <w:jc w:val="right"/>
              <w:rPr>
                <w:rFonts w:ascii="Times New Roman"/>
                <w:sz w:val="21"/>
              </w:rPr>
            </w:pPr>
            <w:r>
              <w:rPr>
                <w:rFonts w:ascii="Times New Roman"/>
                <w:w w:val="95"/>
                <w:sz w:val="21"/>
              </w:rPr>
              <w:t>0.003</w:t>
            </w:r>
          </w:p>
        </w:tc>
        <w:tc>
          <w:tcPr>
            <w:tcW w:w="953" w:type="dxa"/>
          </w:tcPr>
          <w:p w14:paraId="74142179">
            <w:pPr>
              <w:pStyle w:val="14"/>
              <w:spacing w:before="47"/>
              <w:ind w:left="220" w:right="209"/>
              <w:jc w:val="center"/>
              <w:rPr>
                <w:rFonts w:ascii="Times New Roman"/>
                <w:sz w:val="21"/>
              </w:rPr>
            </w:pPr>
            <w:r>
              <w:rPr>
                <w:rFonts w:ascii="Times New Roman"/>
                <w:sz w:val="21"/>
              </w:rPr>
              <w:t>0.012</w:t>
            </w:r>
          </w:p>
        </w:tc>
        <w:tc>
          <w:tcPr>
            <w:tcW w:w="963" w:type="dxa"/>
          </w:tcPr>
          <w:p w14:paraId="74045FD6">
            <w:pPr>
              <w:pStyle w:val="14"/>
              <w:spacing w:before="47"/>
              <w:ind w:left="225" w:right="215"/>
              <w:jc w:val="center"/>
              <w:rPr>
                <w:rFonts w:ascii="Times New Roman"/>
                <w:sz w:val="21"/>
              </w:rPr>
            </w:pPr>
            <w:r>
              <w:rPr>
                <w:rFonts w:ascii="Times New Roman"/>
                <w:sz w:val="21"/>
              </w:rPr>
              <w:t>0.027</w:t>
            </w:r>
          </w:p>
        </w:tc>
        <w:tc>
          <w:tcPr>
            <w:tcW w:w="967" w:type="dxa"/>
          </w:tcPr>
          <w:p w14:paraId="3301CFEC">
            <w:pPr>
              <w:pStyle w:val="14"/>
              <w:spacing w:before="47"/>
              <w:ind w:left="226" w:right="217"/>
              <w:jc w:val="center"/>
              <w:rPr>
                <w:rFonts w:ascii="Times New Roman"/>
                <w:sz w:val="21"/>
              </w:rPr>
            </w:pPr>
            <w:r>
              <w:rPr>
                <w:rFonts w:ascii="Times New Roman"/>
                <w:sz w:val="21"/>
              </w:rPr>
              <w:t>0.048</w:t>
            </w:r>
          </w:p>
        </w:tc>
        <w:tc>
          <w:tcPr>
            <w:tcW w:w="970" w:type="dxa"/>
          </w:tcPr>
          <w:p w14:paraId="44FAA74D">
            <w:pPr>
              <w:pStyle w:val="14"/>
              <w:spacing w:before="47"/>
              <w:ind w:left="227" w:right="220"/>
              <w:jc w:val="center"/>
              <w:rPr>
                <w:rFonts w:ascii="Times New Roman"/>
                <w:sz w:val="21"/>
              </w:rPr>
            </w:pPr>
            <w:r>
              <w:rPr>
                <w:rFonts w:ascii="Times New Roman"/>
                <w:sz w:val="21"/>
              </w:rPr>
              <w:t>0.075</w:t>
            </w:r>
          </w:p>
        </w:tc>
        <w:tc>
          <w:tcPr>
            <w:tcW w:w="796" w:type="dxa"/>
          </w:tcPr>
          <w:p w14:paraId="7449E9E9">
            <w:pPr>
              <w:pStyle w:val="14"/>
              <w:spacing w:before="47"/>
              <w:ind w:left="140" w:right="133"/>
              <w:jc w:val="center"/>
              <w:rPr>
                <w:rFonts w:ascii="Times New Roman"/>
                <w:sz w:val="21"/>
              </w:rPr>
            </w:pPr>
            <w:r>
              <w:rPr>
                <w:rFonts w:ascii="Times New Roman"/>
                <w:sz w:val="21"/>
              </w:rPr>
              <w:t>0.108</w:t>
            </w:r>
          </w:p>
        </w:tc>
        <w:tc>
          <w:tcPr>
            <w:tcW w:w="877" w:type="dxa"/>
          </w:tcPr>
          <w:p w14:paraId="1052FE6C">
            <w:pPr>
              <w:pStyle w:val="14"/>
              <w:spacing w:before="47"/>
              <w:ind w:left="181" w:right="172"/>
              <w:jc w:val="center"/>
              <w:rPr>
                <w:rFonts w:ascii="Times New Roman"/>
                <w:sz w:val="21"/>
              </w:rPr>
            </w:pPr>
            <w:r>
              <w:rPr>
                <w:rFonts w:ascii="Times New Roman"/>
                <w:sz w:val="21"/>
              </w:rPr>
              <w:t>0.147</w:t>
            </w:r>
          </w:p>
        </w:tc>
      </w:tr>
      <w:tr w14:paraId="6AF46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14:paraId="5926BD49">
            <w:pPr>
              <w:pStyle w:val="14"/>
              <w:spacing w:before="34"/>
              <w:ind w:left="274" w:right="265"/>
              <w:jc w:val="center"/>
              <w:rPr>
                <w:sz w:val="21"/>
              </w:rPr>
            </w:pPr>
            <w:r>
              <w:rPr>
                <w:sz w:val="21"/>
              </w:rPr>
              <w:t>粒径（</w:t>
            </w:r>
            <w:r>
              <w:rPr>
                <w:rFonts w:ascii="Times New Roman" w:hAnsi="Times New Roman" w:eastAsia="Times New Roman"/>
                <w:sz w:val="21"/>
              </w:rPr>
              <w:t>μm</w:t>
            </w:r>
            <w:r>
              <w:rPr>
                <w:sz w:val="21"/>
              </w:rPr>
              <w:t>）</w:t>
            </w:r>
          </w:p>
        </w:tc>
        <w:tc>
          <w:tcPr>
            <w:tcW w:w="935" w:type="dxa"/>
          </w:tcPr>
          <w:p w14:paraId="4DA7EA7C">
            <w:pPr>
              <w:pStyle w:val="14"/>
              <w:spacing w:before="47"/>
              <w:ind w:left="341" w:right="334"/>
              <w:jc w:val="center"/>
              <w:rPr>
                <w:rFonts w:ascii="Times New Roman"/>
                <w:sz w:val="21"/>
              </w:rPr>
            </w:pPr>
            <w:r>
              <w:rPr>
                <w:rFonts w:ascii="Times New Roman"/>
                <w:sz w:val="21"/>
              </w:rPr>
              <w:t>80</w:t>
            </w:r>
          </w:p>
        </w:tc>
        <w:tc>
          <w:tcPr>
            <w:tcW w:w="953" w:type="dxa"/>
          </w:tcPr>
          <w:p w14:paraId="5F671582">
            <w:pPr>
              <w:pStyle w:val="14"/>
              <w:spacing w:before="47"/>
              <w:ind w:left="215" w:right="209"/>
              <w:jc w:val="center"/>
              <w:rPr>
                <w:rFonts w:ascii="Times New Roman"/>
                <w:sz w:val="21"/>
              </w:rPr>
            </w:pPr>
            <w:r>
              <w:rPr>
                <w:rFonts w:ascii="Times New Roman"/>
                <w:sz w:val="21"/>
              </w:rPr>
              <w:t>90</w:t>
            </w:r>
          </w:p>
        </w:tc>
        <w:tc>
          <w:tcPr>
            <w:tcW w:w="963" w:type="dxa"/>
          </w:tcPr>
          <w:p w14:paraId="0BF0094E">
            <w:pPr>
              <w:pStyle w:val="14"/>
              <w:spacing w:before="47"/>
              <w:ind w:left="225" w:right="215"/>
              <w:jc w:val="center"/>
              <w:rPr>
                <w:rFonts w:ascii="Times New Roman"/>
                <w:sz w:val="21"/>
              </w:rPr>
            </w:pPr>
            <w:r>
              <w:rPr>
                <w:rFonts w:ascii="Times New Roman"/>
                <w:sz w:val="21"/>
              </w:rPr>
              <w:t>100</w:t>
            </w:r>
          </w:p>
        </w:tc>
        <w:tc>
          <w:tcPr>
            <w:tcW w:w="967" w:type="dxa"/>
          </w:tcPr>
          <w:p w14:paraId="653E071A">
            <w:pPr>
              <w:pStyle w:val="14"/>
              <w:spacing w:before="47"/>
              <w:ind w:left="226" w:right="217"/>
              <w:jc w:val="center"/>
              <w:rPr>
                <w:rFonts w:ascii="Times New Roman"/>
                <w:sz w:val="21"/>
              </w:rPr>
            </w:pPr>
            <w:r>
              <w:rPr>
                <w:rFonts w:ascii="Times New Roman"/>
                <w:sz w:val="21"/>
              </w:rPr>
              <w:t>150</w:t>
            </w:r>
          </w:p>
        </w:tc>
        <w:tc>
          <w:tcPr>
            <w:tcW w:w="970" w:type="dxa"/>
          </w:tcPr>
          <w:p w14:paraId="71D45359">
            <w:pPr>
              <w:pStyle w:val="14"/>
              <w:spacing w:before="47"/>
              <w:ind w:left="227" w:right="220"/>
              <w:jc w:val="center"/>
              <w:rPr>
                <w:rFonts w:ascii="Times New Roman"/>
                <w:sz w:val="21"/>
              </w:rPr>
            </w:pPr>
            <w:r>
              <w:rPr>
                <w:rFonts w:ascii="Times New Roman"/>
                <w:sz w:val="21"/>
              </w:rPr>
              <w:t>200</w:t>
            </w:r>
          </w:p>
        </w:tc>
        <w:tc>
          <w:tcPr>
            <w:tcW w:w="796" w:type="dxa"/>
          </w:tcPr>
          <w:p w14:paraId="17F3CAC9">
            <w:pPr>
              <w:pStyle w:val="14"/>
              <w:spacing w:before="47"/>
              <w:ind w:left="140" w:right="133"/>
              <w:jc w:val="center"/>
              <w:rPr>
                <w:rFonts w:ascii="Times New Roman"/>
                <w:sz w:val="21"/>
              </w:rPr>
            </w:pPr>
            <w:r>
              <w:rPr>
                <w:rFonts w:ascii="Times New Roman"/>
                <w:sz w:val="21"/>
              </w:rPr>
              <w:t>250</w:t>
            </w:r>
          </w:p>
        </w:tc>
        <w:tc>
          <w:tcPr>
            <w:tcW w:w="877" w:type="dxa"/>
          </w:tcPr>
          <w:p w14:paraId="6CA7F7F4">
            <w:pPr>
              <w:pStyle w:val="14"/>
              <w:spacing w:before="47"/>
              <w:ind w:left="181" w:right="172"/>
              <w:jc w:val="center"/>
              <w:rPr>
                <w:rFonts w:ascii="Times New Roman"/>
                <w:sz w:val="21"/>
              </w:rPr>
            </w:pPr>
            <w:r>
              <w:rPr>
                <w:rFonts w:ascii="Times New Roman"/>
                <w:sz w:val="21"/>
              </w:rPr>
              <w:t>300</w:t>
            </w:r>
          </w:p>
        </w:tc>
      </w:tr>
      <w:tr w14:paraId="242A5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14:paraId="041D2649">
            <w:pPr>
              <w:pStyle w:val="14"/>
              <w:spacing w:before="34"/>
              <w:ind w:left="274" w:right="268"/>
              <w:jc w:val="center"/>
              <w:rPr>
                <w:sz w:val="21"/>
              </w:rPr>
            </w:pPr>
            <w:r>
              <w:rPr>
                <w:sz w:val="21"/>
              </w:rPr>
              <w:t>沉降速度（</w:t>
            </w:r>
            <w:r>
              <w:rPr>
                <w:rFonts w:ascii="Times New Roman" w:eastAsia="Times New Roman"/>
                <w:sz w:val="21"/>
              </w:rPr>
              <w:t>m/s</w:t>
            </w:r>
            <w:r>
              <w:rPr>
                <w:sz w:val="21"/>
              </w:rPr>
              <w:t>）</w:t>
            </w:r>
          </w:p>
        </w:tc>
        <w:tc>
          <w:tcPr>
            <w:tcW w:w="935" w:type="dxa"/>
          </w:tcPr>
          <w:p w14:paraId="0A23CAA7">
            <w:pPr>
              <w:pStyle w:val="14"/>
              <w:spacing w:before="48"/>
              <w:ind w:right="272"/>
              <w:jc w:val="right"/>
              <w:rPr>
                <w:rFonts w:ascii="Times New Roman"/>
                <w:sz w:val="21"/>
              </w:rPr>
            </w:pPr>
            <w:r>
              <w:rPr>
                <w:rFonts w:ascii="Times New Roman"/>
                <w:sz w:val="21"/>
              </w:rPr>
              <w:t>0.15</w:t>
            </w:r>
          </w:p>
        </w:tc>
        <w:tc>
          <w:tcPr>
            <w:tcW w:w="953" w:type="dxa"/>
          </w:tcPr>
          <w:p w14:paraId="24A23FD8">
            <w:pPr>
              <w:pStyle w:val="14"/>
              <w:spacing w:before="48"/>
              <w:ind w:left="220" w:right="209"/>
              <w:jc w:val="center"/>
              <w:rPr>
                <w:rFonts w:ascii="Times New Roman"/>
                <w:sz w:val="21"/>
              </w:rPr>
            </w:pPr>
            <w:r>
              <w:rPr>
                <w:rFonts w:ascii="Times New Roman"/>
                <w:sz w:val="21"/>
              </w:rPr>
              <w:t>0.170</w:t>
            </w:r>
          </w:p>
        </w:tc>
        <w:tc>
          <w:tcPr>
            <w:tcW w:w="963" w:type="dxa"/>
          </w:tcPr>
          <w:p w14:paraId="312F514F">
            <w:pPr>
              <w:pStyle w:val="14"/>
              <w:spacing w:before="48"/>
              <w:ind w:left="225" w:right="215"/>
              <w:jc w:val="center"/>
              <w:rPr>
                <w:rFonts w:ascii="Times New Roman"/>
                <w:sz w:val="21"/>
              </w:rPr>
            </w:pPr>
            <w:r>
              <w:rPr>
                <w:rFonts w:ascii="Times New Roman"/>
                <w:sz w:val="21"/>
              </w:rPr>
              <w:t>0.182</w:t>
            </w:r>
          </w:p>
        </w:tc>
        <w:tc>
          <w:tcPr>
            <w:tcW w:w="967" w:type="dxa"/>
          </w:tcPr>
          <w:p w14:paraId="48B0F0E0">
            <w:pPr>
              <w:pStyle w:val="14"/>
              <w:spacing w:before="48"/>
              <w:ind w:left="226" w:right="217"/>
              <w:jc w:val="center"/>
              <w:rPr>
                <w:rFonts w:ascii="Times New Roman"/>
                <w:sz w:val="21"/>
              </w:rPr>
            </w:pPr>
            <w:r>
              <w:rPr>
                <w:rFonts w:ascii="Times New Roman"/>
                <w:sz w:val="21"/>
              </w:rPr>
              <w:t>0.239</w:t>
            </w:r>
          </w:p>
        </w:tc>
        <w:tc>
          <w:tcPr>
            <w:tcW w:w="970" w:type="dxa"/>
          </w:tcPr>
          <w:p w14:paraId="1E4E0700">
            <w:pPr>
              <w:pStyle w:val="14"/>
              <w:spacing w:before="48"/>
              <w:ind w:left="227" w:right="220"/>
              <w:jc w:val="center"/>
              <w:rPr>
                <w:rFonts w:ascii="Times New Roman"/>
                <w:sz w:val="21"/>
              </w:rPr>
            </w:pPr>
            <w:r>
              <w:rPr>
                <w:rFonts w:ascii="Times New Roman"/>
                <w:sz w:val="21"/>
              </w:rPr>
              <w:t>0.804</w:t>
            </w:r>
          </w:p>
        </w:tc>
        <w:tc>
          <w:tcPr>
            <w:tcW w:w="796" w:type="dxa"/>
          </w:tcPr>
          <w:p w14:paraId="1FCE4133">
            <w:pPr>
              <w:pStyle w:val="14"/>
              <w:spacing w:before="48"/>
              <w:ind w:left="140" w:right="133"/>
              <w:jc w:val="center"/>
              <w:rPr>
                <w:rFonts w:ascii="Times New Roman"/>
                <w:sz w:val="21"/>
              </w:rPr>
            </w:pPr>
            <w:r>
              <w:rPr>
                <w:rFonts w:ascii="Times New Roman"/>
                <w:sz w:val="21"/>
              </w:rPr>
              <w:t>1.00</w:t>
            </w:r>
          </w:p>
        </w:tc>
        <w:tc>
          <w:tcPr>
            <w:tcW w:w="877" w:type="dxa"/>
          </w:tcPr>
          <w:p w14:paraId="7B87DD98">
            <w:pPr>
              <w:pStyle w:val="14"/>
              <w:spacing w:before="48"/>
              <w:ind w:left="181" w:right="172"/>
              <w:jc w:val="center"/>
              <w:rPr>
                <w:rFonts w:ascii="Times New Roman"/>
                <w:sz w:val="21"/>
              </w:rPr>
            </w:pPr>
            <w:r>
              <w:rPr>
                <w:rFonts w:ascii="Times New Roman"/>
                <w:sz w:val="21"/>
              </w:rPr>
              <w:t>0.829</w:t>
            </w:r>
          </w:p>
        </w:tc>
      </w:tr>
      <w:tr w14:paraId="6C5E7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14:paraId="1C0B2700">
            <w:pPr>
              <w:pStyle w:val="14"/>
              <w:spacing w:before="32"/>
              <w:ind w:left="274" w:right="265"/>
              <w:jc w:val="center"/>
              <w:rPr>
                <w:sz w:val="21"/>
              </w:rPr>
            </w:pPr>
            <w:r>
              <w:rPr>
                <w:sz w:val="21"/>
              </w:rPr>
              <w:t>粒径（</w:t>
            </w:r>
            <w:r>
              <w:rPr>
                <w:rFonts w:ascii="Times New Roman" w:hAnsi="Times New Roman" w:eastAsia="Times New Roman"/>
                <w:sz w:val="21"/>
              </w:rPr>
              <w:t>μm</w:t>
            </w:r>
            <w:r>
              <w:rPr>
                <w:sz w:val="21"/>
              </w:rPr>
              <w:t>）</w:t>
            </w:r>
          </w:p>
        </w:tc>
        <w:tc>
          <w:tcPr>
            <w:tcW w:w="935" w:type="dxa"/>
          </w:tcPr>
          <w:p w14:paraId="678F3DC0">
            <w:pPr>
              <w:pStyle w:val="14"/>
              <w:spacing w:before="48"/>
              <w:ind w:left="308"/>
              <w:rPr>
                <w:rFonts w:ascii="Times New Roman"/>
                <w:sz w:val="21"/>
              </w:rPr>
            </w:pPr>
            <w:r>
              <w:rPr>
                <w:rFonts w:ascii="Times New Roman"/>
                <w:sz w:val="21"/>
              </w:rPr>
              <w:t>450</w:t>
            </w:r>
          </w:p>
        </w:tc>
        <w:tc>
          <w:tcPr>
            <w:tcW w:w="953" w:type="dxa"/>
          </w:tcPr>
          <w:p w14:paraId="3C2F31D9">
            <w:pPr>
              <w:pStyle w:val="14"/>
              <w:spacing w:before="48"/>
              <w:ind w:left="220" w:right="209"/>
              <w:jc w:val="center"/>
              <w:rPr>
                <w:rFonts w:ascii="Times New Roman"/>
                <w:sz w:val="21"/>
              </w:rPr>
            </w:pPr>
            <w:r>
              <w:rPr>
                <w:rFonts w:ascii="Times New Roman"/>
                <w:sz w:val="21"/>
              </w:rPr>
              <w:t>550</w:t>
            </w:r>
          </w:p>
        </w:tc>
        <w:tc>
          <w:tcPr>
            <w:tcW w:w="963" w:type="dxa"/>
          </w:tcPr>
          <w:p w14:paraId="1D7EC4DB">
            <w:pPr>
              <w:pStyle w:val="14"/>
              <w:spacing w:before="48"/>
              <w:ind w:left="225" w:right="215"/>
              <w:jc w:val="center"/>
              <w:rPr>
                <w:rFonts w:ascii="Times New Roman"/>
                <w:sz w:val="21"/>
              </w:rPr>
            </w:pPr>
            <w:r>
              <w:rPr>
                <w:rFonts w:ascii="Times New Roman"/>
                <w:sz w:val="21"/>
              </w:rPr>
              <w:t>650</w:t>
            </w:r>
          </w:p>
        </w:tc>
        <w:tc>
          <w:tcPr>
            <w:tcW w:w="967" w:type="dxa"/>
          </w:tcPr>
          <w:p w14:paraId="0A81DDF2">
            <w:pPr>
              <w:pStyle w:val="14"/>
              <w:spacing w:before="48"/>
              <w:ind w:left="226" w:right="217"/>
              <w:jc w:val="center"/>
              <w:rPr>
                <w:rFonts w:ascii="Times New Roman"/>
                <w:sz w:val="21"/>
              </w:rPr>
            </w:pPr>
            <w:r>
              <w:rPr>
                <w:rFonts w:ascii="Times New Roman"/>
                <w:sz w:val="21"/>
              </w:rPr>
              <w:t>750</w:t>
            </w:r>
          </w:p>
        </w:tc>
        <w:tc>
          <w:tcPr>
            <w:tcW w:w="970" w:type="dxa"/>
          </w:tcPr>
          <w:p w14:paraId="3017A552">
            <w:pPr>
              <w:pStyle w:val="14"/>
              <w:spacing w:before="48"/>
              <w:ind w:left="227" w:right="220"/>
              <w:jc w:val="center"/>
              <w:rPr>
                <w:rFonts w:ascii="Times New Roman"/>
                <w:sz w:val="21"/>
              </w:rPr>
            </w:pPr>
            <w:r>
              <w:rPr>
                <w:rFonts w:ascii="Times New Roman"/>
                <w:sz w:val="21"/>
              </w:rPr>
              <w:t>850</w:t>
            </w:r>
          </w:p>
        </w:tc>
        <w:tc>
          <w:tcPr>
            <w:tcW w:w="796" w:type="dxa"/>
          </w:tcPr>
          <w:p w14:paraId="1C8B7CE9">
            <w:pPr>
              <w:pStyle w:val="14"/>
              <w:spacing w:before="48"/>
              <w:ind w:left="140" w:right="133"/>
              <w:jc w:val="center"/>
              <w:rPr>
                <w:rFonts w:ascii="Times New Roman"/>
                <w:sz w:val="21"/>
              </w:rPr>
            </w:pPr>
            <w:r>
              <w:rPr>
                <w:rFonts w:ascii="Times New Roman"/>
                <w:sz w:val="21"/>
              </w:rPr>
              <w:t>950</w:t>
            </w:r>
          </w:p>
        </w:tc>
        <w:tc>
          <w:tcPr>
            <w:tcW w:w="877" w:type="dxa"/>
          </w:tcPr>
          <w:p w14:paraId="249F86F1">
            <w:pPr>
              <w:pStyle w:val="14"/>
              <w:spacing w:before="48"/>
              <w:ind w:left="181" w:right="172"/>
              <w:jc w:val="center"/>
              <w:rPr>
                <w:rFonts w:ascii="Times New Roman"/>
                <w:sz w:val="21"/>
              </w:rPr>
            </w:pPr>
            <w:r>
              <w:rPr>
                <w:rFonts w:ascii="Times New Roman"/>
                <w:sz w:val="21"/>
              </w:rPr>
              <w:t>1050</w:t>
            </w:r>
          </w:p>
        </w:tc>
      </w:tr>
      <w:tr w14:paraId="50A69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14:paraId="0EC37EAE">
            <w:pPr>
              <w:pStyle w:val="14"/>
              <w:spacing w:before="32"/>
              <w:ind w:left="274" w:right="268"/>
              <w:jc w:val="center"/>
              <w:rPr>
                <w:sz w:val="21"/>
              </w:rPr>
            </w:pPr>
            <w:r>
              <w:rPr>
                <w:sz w:val="21"/>
              </w:rPr>
              <w:t>沉降速度（</w:t>
            </w:r>
            <w:r>
              <w:rPr>
                <w:rFonts w:ascii="Times New Roman" w:eastAsia="Times New Roman"/>
                <w:sz w:val="21"/>
              </w:rPr>
              <w:t>m/s</w:t>
            </w:r>
            <w:r>
              <w:rPr>
                <w:sz w:val="21"/>
              </w:rPr>
              <w:t>）</w:t>
            </w:r>
          </w:p>
        </w:tc>
        <w:tc>
          <w:tcPr>
            <w:tcW w:w="935" w:type="dxa"/>
          </w:tcPr>
          <w:p w14:paraId="2C686FC8">
            <w:pPr>
              <w:pStyle w:val="14"/>
              <w:spacing w:before="49"/>
              <w:ind w:right="219"/>
              <w:jc w:val="right"/>
              <w:rPr>
                <w:rFonts w:ascii="Times New Roman"/>
                <w:sz w:val="21"/>
              </w:rPr>
            </w:pPr>
            <w:r>
              <w:rPr>
                <w:rFonts w:ascii="Times New Roman"/>
                <w:w w:val="95"/>
                <w:sz w:val="21"/>
              </w:rPr>
              <w:t>2.211</w:t>
            </w:r>
          </w:p>
        </w:tc>
        <w:tc>
          <w:tcPr>
            <w:tcW w:w="953" w:type="dxa"/>
          </w:tcPr>
          <w:p w14:paraId="3F9926F7">
            <w:pPr>
              <w:pStyle w:val="14"/>
              <w:spacing w:before="49"/>
              <w:ind w:left="220" w:right="209"/>
              <w:jc w:val="center"/>
              <w:rPr>
                <w:rFonts w:ascii="Times New Roman"/>
                <w:sz w:val="21"/>
              </w:rPr>
            </w:pPr>
            <w:r>
              <w:rPr>
                <w:rFonts w:ascii="Times New Roman"/>
                <w:sz w:val="21"/>
              </w:rPr>
              <w:t>2.614</w:t>
            </w:r>
          </w:p>
        </w:tc>
        <w:tc>
          <w:tcPr>
            <w:tcW w:w="963" w:type="dxa"/>
          </w:tcPr>
          <w:p w14:paraId="46896CB8">
            <w:pPr>
              <w:pStyle w:val="14"/>
              <w:spacing w:before="49"/>
              <w:ind w:left="225" w:right="215"/>
              <w:jc w:val="center"/>
              <w:rPr>
                <w:rFonts w:ascii="Times New Roman"/>
                <w:sz w:val="21"/>
              </w:rPr>
            </w:pPr>
            <w:r>
              <w:rPr>
                <w:rFonts w:ascii="Times New Roman"/>
                <w:sz w:val="21"/>
              </w:rPr>
              <w:t>3.016</w:t>
            </w:r>
          </w:p>
        </w:tc>
        <w:tc>
          <w:tcPr>
            <w:tcW w:w="967" w:type="dxa"/>
          </w:tcPr>
          <w:p w14:paraId="3493651B">
            <w:pPr>
              <w:pStyle w:val="14"/>
              <w:spacing w:before="49"/>
              <w:ind w:left="226" w:right="217"/>
              <w:jc w:val="center"/>
              <w:rPr>
                <w:rFonts w:ascii="Times New Roman"/>
                <w:sz w:val="21"/>
              </w:rPr>
            </w:pPr>
            <w:r>
              <w:rPr>
                <w:rFonts w:ascii="Times New Roman"/>
                <w:sz w:val="21"/>
              </w:rPr>
              <w:t>3.41</w:t>
            </w:r>
          </w:p>
        </w:tc>
        <w:tc>
          <w:tcPr>
            <w:tcW w:w="970" w:type="dxa"/>
          </w:tcPr>
          <w:p w14:paraId="1AD9DEDF">
            <w:pPr>
              <w:pStyle w:val="14"/>
              <w:spacing w:before="49"/>
              <w:ind w:left="227" w:right="220"/>
              <w:jc w:val="center"/>
              <w:rPr>
                <w:rFonts w:ascii="Times New Roman"/>
                <w:sz w:val="21"/>
              </w:rPr>
            </w:pPr>
            <w:r>
              <w:rPr>
                <w:rFonts w:ascii="Times New Roman"/>
                <w:sz w:val="21"/>
              </w:rPr>
              <w:t>3.820</w:t>
            </w:r>
          </w:p>
        </w:tc>
        <w:tc>
          <w:tcPr>
            <w:tcW w:w="796" w:type="dxa"/>
          </w:tcPr>
          <w:p w14:paraId="30980AB3">
            <w:pPr>
              <w:pStyle w:val="14"/>
              <w:spacing w:before="49"/>
              <w:ind w:left="140" w:right="133"/>
              <w:jc w:val="center"/>
              <w:rPr>
                <w:rFonts w:ascii="Times New Roman"/>
                <w:sz w:val="21"/>
              </w:rPr>
            </w:pPr>
            <w:r>
              <w:rPr>
                <w:rFonts w:ascii="Times New Roman"/>
                <w:sz w:val="21"/>
              </w:rPr>
              <w:t>4.222</w:t>
            </w:r>
          </w:p>
        </w:tc>
        <w:tc>
          <w:tcPr>
            <w:tcW w:w="877" w:type="dxa"/>
          </w:tcPr>
          <w:p w14:paraId="2B85C2C2">
            <w:pPr>
              <w:pStyle w:val="14"/>
              <w:spacing w:before="49"/>
              <w:ind w:left="181" w:right="172"/>
              <w:jc w:val="center"/>
              <w:rPr>
                <w:rFonts w:ascii="Times New Roman"/>
                <w:sz w:val="21"/>
              </w:rPr>
            </w:pPr>
            <w:r>
              <w:rPr>
                <w:rFonts w:ascii="Times New Roman"/>
                <w:sz w:val="21"/>
              </w:rPr>
              <w:t>4.624</w:t>
            </w:r>
          </w:p>
        </w:tc>
      </w:tr>
    </w:tbl>
    <w:p w14:paraId="47CC54F7">
      <w:pPr>
        <w:pStyle w:val="7"/>
        <w:ind w:left="760"/>
      </w:pPr>
      <w:r>
        <w:t>因此，减少沙土的露天堆放和保证沙土一定的含水率及减少裸露地面是减</w:t>
      </w:r>
    </w:p>
    <w:p w14:paraId="1BDBCF35">
      <w:pPr>
        <w:spacing w:after="0"/>
        <w:sectPr>
          <w:pgSz w:w="11910" w:h="16840"/>
          <w:pgMar w:top="1360" w:right="1460" w:bottom="1400" w:left="1520" w:header="878" w:footer="1204" w:gutter="0"/>
          <w:cols w:space="720" w:num="1"/>
        </w:sectPr>
      </w:pPr>
    </w:p>
    <w:p w14:paraId="24E7DC84">
      <w:pPr>
        <w:pStyle w:val="7"/>
        <w:spacing w:before="68"/>
        <w:ind w:left="280"/>
      </w:pPr>
      <w:r>
        <w:t>少风力起尘的有效手段。</w:t>
      </w:r>
    </w:p>
    <w:p w14:paraId="1D2CE2FC">
      <w:pPr>
        <w:pStyle w:val="7"/>
        <w:spacing w:before="160"/>
        <w:ind w:left="760"/>
      </w:pPr>
      <w:r>
        <w:rPr>
          <w:rFonts w:ascii="Times New Roman" w:eastAsia="Times New Roman"/>
        </w:rPr>
        <w:t>b</w:t>
      </w:r>
      <w:r>
        <w:t>、车辆行驶的动力起尘</w:t>
      </w:r>
    </w:p>
    <w:p w14:paraId="6ECF5C67">
      <w:pPr>
        <w:pStyle w:val="7"/>
        <w:spacing w:before="159" w:line="364" w:lineRule="auto"/>
        <w:ind w:left="280" w:right="337" w:firstLine="480"/>
        <w:jc w:val="both"/>
      </w:pPr>
      <w:r>
        <w:t xml:space="preserve">据有关文献，车辆行驶产生的扬尘占总扬尘的 </w:t>
      </w:r>
      <w:r>
        <w:rPr>
          <w:rFonts w:ascii="Times New Roman" w:eastAsia="Times New Roman"/>
        </w:rPr>
        <w:t>60%</w:t>
      </w:r>
      <w:r>
        <w:t>以上，车辆行驶产生的扬尘，在完全干燥情况下，可按下列经验公式计算：</w:t>
      </w:r>
    </w:p>
    <w:p w14:paraId="30225190">
      <w:pPr>
        <w:spacing w:before="0" w:line="306" w:lineRule="exact"/>
        <w:ind w:left="2478" w:right="0" w:firstLine="0"/>
        <w:jc w:val="left"/>
        <w:rPr>
          <w:rFonts w:ascii="Times New Roman" w:eastAsia="Times New Roman"/>
          <w:sz w:val="15"/>
        </w:rPr>
      </w:pPr>
      <w:r>
        <w:rPr>
          <w:rFonts w:ascii="Times New Roman" w:eastAsia="Times New Roman"/>
          <w:sz w:val="24"/>
        </w:rPr>
        <w:t>Q</w:t>
      </w:r>
      <w:r>
        <w:rPr>
          <w:sz w:val="24"/>
        </w:rPr>
        <w:t>＝</w:t>
      </w:r>
      <w:r>
        <w:rPr>
          <w:rFonts w:ascii="Times New Roman" w:eastAsia="Times New Roman"/>
          <w:sz w:val="24"/>
        </w:rPr>
        <w:t>0.123</w:t>
      </w:r>
      <w:r>
        <w:rPr>
          <w:sz w:val="24"/>
        </w:rPr>
        <w:t>（</w:t>
      </w:r>
      <w:r>
        <w:rPr>
          <w:rFonts w:ascii="Times New Roman" w:eastAsia="Times New Roman"/>
          <w:sz w:val="24"/>
        </w:rPr>
        <w:t>V/5</w:t>
      </w:r>
      <w:r>
        <w:rPr>
          <w:sz w:val="24"/>
        </w:rPr>
        <w:t>）（</w:t>
      </w:r>
      <w:r>
        <w:rPr>
          <w:rFonts w:ascii="Times New Roman" w:eastAsia="Times New Roman"/>
          <w:sz w:val="24"/>
        </w:rPr>
        <w:t>W/6.8</w:t>
      </w:r>
      <w:r>
        <w:rPr>
          <w:sz w:val="24"/>
        </w:rPr>
        <w:t>）</w:t>
      </w:r>
      <w:r>
        <w:rPr>
          <w:rFonts w:ascii="Times New Roman" w:eastAsia="Times New Roman"/>
          <w:position w:val="8"/>
          <w:sz w:val="15"/>
        </w:rPr>
        <w:t>0.85</w:t>
      </w:r>
      <w:r>
        <w:rPr>
          <w:sz w:val="24"/>
        </w:rPr>
        <w:t>（</w:t>
      </w:r>
      <w:r>
        <w:rPr>
          <w:rFonts w:ascii="Times New Roman" w:eastAsia="Times New Roman"/>
          <w:sz w:val="24"/>
        </w:rPr>
        <w:t>P/0.5</w:t>
      </w:r>
      <w:r>
        <w:rPr>
          <w:sz w:val="24"/>
        </w:rPr>
        <w:t>）</w:t>
      </w:r>
      <w:r>
        <w:rPr>
          <w:rFonts w:ascii="Times New Roman" w:eastAsia="Times New Roman"/>
          <w:position w:val="8"/>
          <w:sz w:val="15"/>
        </w:rPr>
        <w:t>0.72</w:t>
      </w:r>
    </w:p>
    <w:p w14:paraId="5E9D6677">
      <w:pPr>
        <w:pStyle w:val="7"/>
        <w:spacing w:before="160"/>
        <w:ind w:left="760"/>
      </w:pPr>
      <w:r>
        <w:t>式中：</w:t>
      </w:r>
      <w:r>
        <w:rPr>
          <w:rFonts w:ascii="Times New Roman" w:hAnsi="Times New Roman" w:eastAsia="Times New Roman"/>
        </w:rPr>
        <w:t>Q——</w:t>
      </w:r>
      <w:r>
        <w:t>汽车行驶时的扬尘，</w:t>
      </w:r>
      <w:r>
        <w:rPr>
          <w:rFonts w:ascii="Times New Roman" w:hAnsi="Times New Roman" w:eastAsia="Times New Roman"/>
        </w:rPr>
        <w:t>kg/</w:t>
      </w:r>
      <w:r>
        <w:t>辆</w:t>
      </w:r>
      <w:r>
        <w:rPr>
          <w:rFonts w:ascii="Times New Roman" w:hAnsi="Times New Roman" w:eastAsia="Times New Roman"/>
        </w:rPr>
        <w:t>·km</w:t>
      </w:r>
      <w:r>
        <w:t>；</w:t>
      </w:r>
    </w:p>
    <w:p w14:paraId="6A184EA8">
      <w:pPr>
        <w:pStyle w:val="7"/>
        <w:spacing w:before="158"/>
        <w:ind w:left="1480"/>
      </w:pPr>
      <w:r>
        <w:rPr>
          <w:rFonts w:ascii="Times New Roman" w:hAnsi="Times New Roman" w:eastAsia="Times New Roman"/>
        </w:rPr>
        <w:t>V——</w:t>
      </w:r>
      <w:r>
        <w:t>汽车行使速度，</w:t>
      </w:r>
      <w:r>
        <w:rPr>
          <w:rFonts w:ascii="Times New Roman" w:hAnsi="Times New Roman" w:eastAsia="Times New Roman"/>
        </w:rPr>
        <w:t>km/h</w:t>
      </w:r>
      <w:r>
        <w:t>；</w:t>
      </w:r>
    </w:p>
    <w:p w14:paraId="6627F798">
      <w:pPr>
        <w:pStyle w:val="7"/>
        <w:spacing w:before="161"/>
        <w:ind w:left="1480"/>
      </w:pPr>
      <w:r>
        <w:rPr>
          <w:rFonts w:ascii="Times New Roman" w:hAnsi="Times New Roman" w:eastAsia="Times New Roman"/>
        </w:rPr>
        <w:t>W——</w:t>
      </w:r>
      <w:r>
        <w:t>汽车载重量，</w:t>
      </w:r>
      <w:r>
        <w:rPr>
          <w:rFonts w:ascii="Times New Roman" w:hAnsi="Times New Roman" w:eastAsia="Times New Roman"/>
        </w:rPr>
        <w:t>t</w:t>
      </w:r>
      <w:r>
        <w:t>；</w:t>
      </w:r>
    </w:p>
    <w:p w14:paraId="733D92CF">
      <w:pPr>
        <w:pStyle w:val="7"/>
        <w:spacing w:before="160"/>
        <w:ind w:left="1480"/>
      </w:pPr>
      <w:r>
        <w:rPr>
          <w:rFonts w:ascii="Times New Roman" w:hAnsi="Times New Roman" w:eastAsia="Times New Roman"/>
        </w:rPr>
        <w:t>P——</w:t>
      </w:r>
      <w:r>
        <w:t>道路表面粉尘量，</w:t>
      </w:r>
      <w:r>
        <w:rPr>
          <w:rFonts w:ascii="Times New Roman" w:hAnsi="Times New Roman" w:eastAsia="Times New Roman"/>
        </w:rPr>
        <w:t>kg/m²</w:t>
      </w:r>
      <w:r>
        <w:t>。</w:t>
      </w:r>
    </w:p>
    <w:p w14:paraId="5B93FB90">
      <w:pPr>
        <w:pStyle w:val="7"/>
        <w:spacing w:before="158" w:line="362" w:lineRule="auto"/>
        <w:ind w:left="280" w:right="337" w:firstLine="480"/>
        <w:jc w:val="both"/>
      </w:pPr>
      <w:r>
        <w:rPr>
          <w:spacing w:val="-9"/>
        </w:rPr>
        <w:t xml:space="preserve">下表为一辆 </w:t>
      </w:r>
      <w:r>
        <w:rPr>
          <w:rFonts w:ascii="Times New Roman" w:eastAsia="Times New Roman"/>
        </w:rPr>
        <w:t xml:space="preserve">10 </w:t>
      </w:r>
      <w:r>
        <w:rPr>
          <w:spacing w:val="-5"/>
        </w:rPr>
        <w:t xml:space="preserve">吨卡车，通过一段长度为 </w:t>
      </w:r>
      <w:r>
        <w:rPr>
          <w:rFonts w:ascii="Times New Roman" w:eastAsia="Times New Roman"/>
        </w:rPr>
        <w:t xml:space="preserve">1 </w:t>
      </w:r>
      <w:r>
        <w:t>千米的路面时，不同路面清洁程度（</w:t>
      </w:r>
      <w:r>
        <w:rPr>
          <w:rFonts w:ascii="Times New Roman" w:eastAsia="Times New Roman"/>
        </w:rPr>
        <w:t>P</w:t>
      </w:r>
      <w:r>
        <w:t>）、不同行驶速度（</w:t>
      </w:r>
      <w:r>
        <w:rPr>
          <w:rFonts w:ascii="Times New Roman" w:eastAsia="Times New Roman"/>
        </w:rPr>
        <w:t>V</w:t>
      </w:r>
      <w:r>
        <w:t>）情况下的扬尘量。</w:t>
      </w:r>
    </w:p>
    <w:p w14:paraId="689F19BE">
      <w:pPr>
        <w:pStyle w:val="7"/>
        <w:spacing w:before="3"/>
        <w:rPr>
          <w:sz w:val="19"/>
        </w:rPr>
      </w:pPr>
    </w:p>
    <w:p w14:paraId="32AC52D9">
      <w:pPr>
        <w:spacing w:before="0"/>
        <w:ind w:left="1232" w:right="0" w:firstLine="0"/>
        <w:jc w:val="left"/>
        <w:rPr>
          <w:b/>
          <w:sz w:val="21"/>
        </w:rPr>
      </w:pPr>
      <w:r>
        <w:pict>
          <v:line id="_x0000_s1359" o:spid="_x0000_s1359" o:spt="20" style="position:absolute;left:0pt;margin-left:82.3pt;margin-top:13.9pt;height:27.45pt;width:68.5pt;mso-position-horizontal-relative:page;z-index:-251650048;mso-width-relative:page;mso-height-relative:page;" stroked="t" coordsize="21600,21600">
            <v:path arrowok="t"/>
            <v:fill focussize="0,0"/>
            <v:stroke weight="0.5pt" color="#000000"/>
            <v:imagedata o:title=""/>
            <o:lock v:ext="edit"/>
          </v:line>
        </w:pict>
      </w:r>
      <w:r>
        <w:rPr>
          <w:b/>
          <w:spacing w:val="-28"/>
          <w:sz w:val="21"/>
        </w:rPr>
        <w:t xml:space="preserve">表 </w:t>
      </w:r>
      <w:r>
        <w:rPr>
          <w:rFonts w:ascii="Times New Roman" w:hAnsi="Times New Roman" w:eastAsia="Times New Roman"/>
          <w:b/>
          <w:sz w:val="21"/>
        </w:rPr>
        <w:t>3.7-3</w:t>
      </w:r>
      <w:r>
        <w:rPr>
          <w:rFonts w:ascii="Times New Roman" w:hAnsi="Times New Roman" w:eastAsia="Times New Roman"/>
          <w:b/>
          <w:spacing w:val="51"/>
          <w:sz w:val="21"/>
        </w:rPr>
        <w:t xml:space="preserve"> </w:t>
      </w:r>
      <w:r>
        <w:rPr>
          <w:b/>
          <w:sz w:val="21"/>
        </w:rPr>
        <w:t>在不同车速和地面清洁程度的汽车扬尘 （单位：</w:t>
      </w:r>
      <w:r>
        <w:rPr>
          <w:rFonts w:ascii="Times New Roman" w:hAnsi="Times New Roman" w:eastAsia="Times New Roman"/>
          <w:b/>
          <w:sz w:val="21"/>
        </w:rPr>
        <w:t>kg/</w:t>
      </w:r>
      <w:r>
        <w:rPr>
          <w:b/>
          <w:sz w:val="21"/>
        </w:rPr>
        <w:t>辆</w:t>
      </w:r>
      <w:r>
        <w:rPr>
          <w:rFonts w:ascii="Times New Roman" w:hAnsi="Times New Roman" w:eastAsia="Times New Roman"/>
          <w:b/>
          <w:sz w:val="21"/>
        </w:rPr>
        <w:t>·km</w:t>
      </w:r>
      <w:r>
        <w:rPr>
          <w:b/>
          <w:sz w:val="21"/>
        </w:rPr>
        <w:t>）</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5"/>
        <w:gridCol w:w="1212"/>
        <w:gridCol w:w="1206"/>
        <w:gridCol w:w="1208"/>
        <w:gridCol w:w="1206"/>
        <w:gridCol w:w="1207"/>
        <w:gridCol w:w="1203"/>
      </w:tblGrid>
      <w:tr w14:paraId="07356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375" w:type="dxa"/>
          </w:tcPr>
          <w:p w14:paraId="75BF9EB2">
            <w:pPr>
              <w:pStyle w:val="14"/>
              <w:ind w:left="635"/>
              <w:rPr>
                <w:b/>
                <w:sz w:val="21"/>
              </w:rPr>
            </w:pPr>
            <w:r>
              <w:rPr>
                <w:b/>
                <w:sz w:val="21"/>
              </w:rPr>
              <w:t>粉尘量</w:t>
            </w:r>
          </w:p>
          <w:p w14:paraId="407676AE">
            <w:pPr>
              <w:pStyle w:val="14"/>
              <w:spacing w:before="4" w:line="251" w:lineRule="exact"/>
              <w:ind w:left="107"/>
              <w:rPr>
                <w:b/>
                <w:sz w:val="21"/>
              </w:rPr>
            </w:pPr>
            <w:r>
              <w:rPr>
                <w:b/>
                <w:sz w:val="21"/>
              </w:rPr>
              <w:t>车速</w:t>
            </w:r>
          </w:p>
        </w:tc>
        <w:tc>
          <w:tcPr>
            <w:tcW w:w="1212" w:type="dxa"/>
          </w:tcPr>
          <w:p w14:paraId="5A03E073">
            <w:pPr>
              <w:pStyle w:val="14"/>
              <w:spacing w:before="14"/>
              <w:ind w:left="113" w:right="107"/>
              <w:jc w:val="center"/>
              <w:rPr>
                <w:rFonts w:ascii="Times New Roman"/>
                <w:b/>
                <w:sz w:val="21"/>
              </w:rPr>
            </w:pPr>
            <w:r>
              <w:rPr>
                <w:rFonts w:ascii="Times New Roman"/>
                <w:b/>
                <w:sz w:val="21"/>
              </w:rPr>
              <w:t>0.1</w:t>
            </w:r>
          </w:p>
          <w:p w14:paraId="6160A744">
            <w:pPr>
              <w:pStyle w:val="14"/>
              <w:spacing w:before="1" w:line="268" w:lineRule="exact"/>
              <w:ind w:left="114" w:right="107"/>
              <w:jc w:val="center"/>
              <w:rPr>
                <w:b/>
                <w:sz w:val="21"/>
              </w:rPr>
            </w:pPr>
            <w:r>
              <w:rPr>
                <w:b/>
                <w:sz w:val="21"/>
              </w:rPr>
              <w:t>（</w:t>
            </w:r>
            <w:r>
              <w:rPr>
                <w:rFonts w:ascii="Times New Roman" w:hAnsi="Times New Roman" w:eastAsia="Times New Roman"/>
                <w:b/>
                <w:sz w:val="21"/>
              </w:rPr>
              <w:t>kg/m²</w:t>
            </w:r>
            <w:r>
              <w:rPr>
                <w:b/>
                <w:sz w:val="21"/>
              </w:rPr>
              <w:t>）</w:t>
            </w:r>
          </w:p>
        </w:tc>
        <w:tc>
          <w:tcPr>
            <w:tcW w:w="1206" w:type="dxa"/>
          </w:tcPr>
          <w:p w14:paraId="603A3680">
            <w:pPr>
              <w:pStyle w:val="14"/>
              <w:spacing w:before="14"/>
              <w:ind w:left="110" w:right="103"/>
              <w:jc w:val="center"/>
              <w:rPr>
                <w:rFonts w:ascii="Times New Roman"/>
                <w:b/>
                <w:sz w:val="21"/>
              </w:rPr>
            </w:pPr>
            <w:r>
              <w:rPr>
                <w:rFonts w:ascii="Times New Roman"/>
                <w:b/>
                <w:sz w:val="21"/>
              </w:rPr>
              <w:t>0.2</w:t>
            </w:r>
          </w:p>
          <w:p w14:paraId="5DB22D31">
            <w:pPr>
              <w:pStyle w:val="14"/>
              <w:spacing w:before="1" w:line="268" w:lineRule="exact"/>
              <w:ind w:left="110" w:right="104"/>
              <w:jc w:val="center"/>
              <w:rPr>
                <w:b/>
                <w:sz w:val="21"/>
              </w:rPr>
            </w:pPr>
            <w:r>
              <w:rPr>
                <w:b/>
                <w:sz w:val="21"/>
              </w:rPr>
              <w:t>（</w:t>
            </w:r>
            <w:r>
              <w:rPr>
                <w:rFonts w:ascii="Times New Roman" w:hAnsi="Times New Roman" w:eastAsia="Times New Roman"/>
                <w:b/>
                <w:sz w:val="21"/>
              </w:rPr>
              <w:t>kg/m²</w:t>
            </w:r>
            <w:r>
              <w:rPr>
                <w:b/>
                <w:sz w:val="21"/>
              </w:rPr>
              <w:t>）</w:t>
            </w:r>
          </w:p>
        </w:tc>
        <w:tc>
          <w:tcPr>
            <w:tcW w:w="1208" w:type="dxa"/>
          </w:tcPr>
          <w:p w14:paraId="5C9A9449">
            <w:pPr>
              <w:pStyle w:val="14"/>
              <w:spacing w:before="14"/>
              <w:ind w:left="112" w:right="104"/>
              <w:jc w:val="center"/>
              <w:rPr>
                <w:rFonts w:ascii="Times New Roman"/>
                <w:b/>
                <w:sz w:val="21"/>
              </w:rPr>
            </w:pPr>
            <w:r>
              <w:rPr>
                <w:rFonts w:ascii="Times New Roman"/>
                <w:b/>
                <w:sz w:val="21"/>
              </w:rPr>
              <w:t>0.3</w:t>
            </w:r>
          </w:p>
          <w:p w14:paraId="01293F66">
            <w:pPr>
              <w:pStyle w:val="14"/>
              <w:spacing w:before="1" w:line="268" w:lineRule="exact"/>
              <w:ind w:left="112" w:right="105"/>
              <w:jc w:val="center"/>
              <w:rPr>
                <w:b/>
                <w:sz w:val="21"/>
              </w:rPr>
            </w:pPr>
            <w:r>
              <w:rPr>
                <w:b/>
                <w:sz w:val="21"/>
              </w:rPr>
              <w:t>（</w:t>
            </w:r>
            <w:r>
              <w:rPr>
                <w:rFonts w:ascii="Times New Roman" w:hAnsi="Times New Roman" w:eastAsia="Times New Roman"/>
                <w:b/>
                <w:sz w:val="21"/>
              </w:rPr>
              <w:t>kg/m²</w:t>
            </w:r>
            <w:r>
              <w:rPr>
                <w:b/>
                <w:sz w:val="21"/>
              </w:rPr>
              <w:t>）</w:t>
            </w:r>
          </w:p>
        </w:tc>
        <w:tc>
          <w:tcPr>
            <w:tcW w:w="1206" w:type="dxa"/>
          </w:tcPr>
          <w:p w14:paraId="28B5B17A">
            <w:pPr>
              <w:pStyle w:val="14"/>
              <w:spacing w:before="14"/>
              <w:ind w:left="110" w:right="102"/>
              <w:jc w:val="center"/>
              <w:rPr>
                <w:rFonts w:ascii="Times New Roman"/>
                <w:b/>
                <w:sz w:val="21"/>
              </w:rPr>
            </w:pPr>
            <w:r>
              <w:rPr>
                <w:rFonts w:ascii="Times New Roman"/>
                <w:b/>
                <w:sz w:val="21"/>
              </w:rPr>
              <w:t>0.4</w:t>
            </w:r>
          </w:p>
          <w:p w14:paraId="456B5BFA">
            <w:pPr>
              <w:pStyle w:val="14"/>
              <w:spacing w:before="1" w:line="268" w:lineRule="exact"/>
              <w:ind w:left="110" w:right="105"/>
              <w:jc w:val="center"/>
              <w:rPr>
                <w:b/>
                <w:sz w:val="21"/>
              </w:rPr>
            </w:pPr>
            <w:r>
              <w:rPr>
                <w:b/>
                <w:sz w:val="21"/>
              </w:rPr>
              <w:t>（</w:t>
            </w:r>
            <w:r>
              <w:rPr>
                <w:rFonts w:ascii="Times New Roman" w:hAnsi="Times New Roman" w:eastAsia="Times New Roman"/>
                <w:b/>
                <w:sz w:val="21"/>
              </w:rPr>
              <w:t>kg/m²</w:t>
            </w:r>
            <w:r>
              <w:rPr>
                <w:b/>
                <w:sz w:val="21"/>
              </w:rPr>
              <w:t>）</w:t>
            </w:r>
          </w:p>
        </w:tc>
        <w:tc>
          <w:tcPr>
            <w:tcW w:w="1207" w:type="dxa"/>
          </w:tcPr>
          <w:p w14:paraId="21623827">
            <w:pPr>
              <w:pStyle w:val="14"/>
              <w:spacing w:before="14"/>
              <w:ind w:left="111" w:right="102"/>
              <w:jc w:val="center"/>
              <w:rPr>
                <w:rFonts w:ascii="Times New Roman"/>
                <w:b/>
                <w:sz w:val="21"/>
              </w:rPr>
            </w:pPr>
            <w:r>
              <w:rPr>
                <w:rFonts w:ascii="Times New Roman"/>
                <w:b/>
                <w:sz w:val="21"/>
              </w:rPr>
              <w:t>0.5</w:t>
            </w:r>
          </w:p>
          <w:p w14:paraId="3B5939CC">
            <w:pPr>
              <w:pStyle w:val="14"/>
              <w:spacing w:before="1" w:line="268" w:lineRule="exact"/>
              <w:ind w:left="111" w:right="105"/>
              <w:jc w:val="center"/>
              <w:rPr>
                <w:b/>
                <w:sz w:val="21"/>
              </w:rPr>
            </w:pPr>
            <w:r>
              <w:rPr>
                <w:b/>
                <w:sz w:val="21"/>
              </w:rPr>
              <w:t>（</w:t>
            </w:r>
            <w:r>
              <w:rPr>
                <w:rFonts w:ascii="Times New Roman" w:hAnsi="Times New Roman" w:eastAsia="Times New Roman"/>
                <w:b/>
                <w:sz w:val="21"/>
              </w:rPr>
              <w:t>kg/m²</w:t>
            </w:r>
            <w:r>
              <w:rPr>
                <w:b/>
                <w:sz w:val="21"/>
              </w:rPr>
              <w:t>）</w:t>
            </w:r>
          </w:p>
        </w:tc>
        <w:tc>
          <w:tcPr>
            <w:tcW w:w="1203" w:type="dxa"/>
          </w:tcPr>
          <w:p w14:paraId="0A24E6AF">
            <w:pPr>
              <w:pStyle w:val="14"/>
              <w:spacing w:before="14"/>
              <w:ind w:left="80" w:right="71"/>
              <w:jc w:val="center"/>
              <w:rPr>
                <w:rFonts w:ascii="Times New Roman"/>
                <w:b/>
                <w:sz w:val="21"/>
              </w:rPr>
            </w:pPr>
            <w:r>
              <w:rPr>
                <w:rFonts w:ascii="Times New Roman"/>
                <w:b/>
                <w:sz w:val="21"/>
              </w:rPr>
              <w:t>1.0</w:t>
            </w:r>
          </w:p>
          <w:p w14:paraId="212D01D9">
            <w:pPr>
              <w:pStyle w:val="14"/>
              <w:spacing w:before="1" w:line="268" w:lineRule="exact"/>
              <w:ind w:left="80" w:right="74"/>
              <w:jc w:val="center"/>
              <w:rPr>
                <w:b/>
                <w:sz w:val="21"/>
              </w:rPr>
            </w:pPr>
            <w:r>
              <w:rPr>
                <w:b/>
                <w:sz w:val="21"/>
              </w:rPr>
              <w:t>（</w:t>
            </w:r>
            <w:r>
              <w:rPr>
                <w:rFonts w:ascii="Times New Roman" w:hAnsi="Times New Roman" w:eastAsia="Times New Roman"/>
                <w:b/>
                <w:sz w:val="21"/>
              </w:rPr>
              <w:t>kg/m²</w:t>
            </w:r>
            <w:r>
              <w:rPr>
                <w:b/>
                <w:sz w:val="21"/>
              </w:rPr>
              <w:t>）</w:t>
            </w:r>
          </w:p>
        </w:tc>
      </w:tr>
      <w:tr w14:paraId="2B61D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14:paraId="0CFE19EB">
            <w:pPr>
              <w:pStyle w:val="14"/>
              <w:spacing w:before="33"/>
              <w:ind w:left="208"/>
              <w:rPr>
                <w:sz w:val="21"/>
              </w:rPr>
            </w:pPr>
            <w:r>
              <w:rPr>
                <w:rFonts w:ascii="Times New Roman" w:eastAsia="Times New Roman"/>
                <w:sz w:val="21"/>
              </w:rPr>
              <w:t>5</w:t>
            </w:r>
            <w:r>
              <w:rPr>
                <w:sz w:val="21"/>
              </w:rPr>
              <w:t>（</w:t>
            </w:r>
            <w:r>
              <w:rPr>
                <w:rFonts w:ascii="Times New Roman" w:eastAsia="Times New Roman"/>
                <w:sz w:val="21"/>
              </w:rPr>
              <w:t>km/h</w:t>
            </w:r>
            <w:r>
              <w:rPr>
                <w:sz w:val="21"/>
              </w:rPr>
              <w:t>）</w:t>
            </w:r>
          </w:p>
        </w:tc>
        <w:tc>
          <w:tcPr>
            <w:tcW w:w="1212" w:type="dxa"/>
          </w:tcPr>
          <w:p w14:paraId="5DB9CDF5">
            <w:pPr>
              <w:pStyle w:val="14"/>
              <w:spacing w:before="49"/>
              <w:ind w:left="369"/>
              <w:rPr>
                <w:rFonts w:ascii="Times New Roman"/>
                <w:sz w:val="21"/>
              </w:rPr>
            </w:pPr>
            <w:r>
              <w:rPr>
                <w:rFonts w:ascii="Times New Roman"/>
                <w:sz w:val="21"/>
              </w:rPr>
              <w:t>0.051</w:t>
            </w:r>
          </w:p>
        </w:tc>
        <w:tc>
          <w:tcPr>
            <w:tcW w:w="1206" w:type="dxa"/>
          </w:tcPr>
          <w:p w14:paraId="34396F9E">
            <w:pPr>
              <w:pStyle w:val="14"/>
              <w:spacing w:before="49"/>
              <w:ind w:left="110" w:right="100"/>
              <w:jc w:val="center"/>
              <w:rPr>
                <w:rFonts w:ascii="Times New Roman"/>
                <w:sz w:val="21"/>
              </w:rPr>
            </w:pPr>
            <w:r>
              <w:rPr>
                <w:rFonts w:ascii="Times New Roman"/>
                <w:sz w:val="21"/>
              </w:rPr>
              <w:t>0.0859</w:t>
            </w:r>
          </w:p>
        </w:tc>
        <w:tc>
          <w:tcPr>
            <w:tcW w:w="1208" w:type="dxa"/>
          </w:tcPr>
          <w:p w14:paraId="052313BC">
            <w:pPr>
              <w:pStyle w:val="14"/>
              <w:spacing w:before="49"/>
              <w:ind w:left="112" w:right="102"/>
              <w:jc w:val="center"/>
              <w:rPr>
                <w:rFonts w:ascii="Times New Roman"/>
                <w:sz w:val="21"/>
              </w:rPr>
            </w:pPr>
            <w:r>
              <w:rPr>
                <w:rFonts w:ascii="Times New Roman"/>
                <w:sz w:val="21"/>
              </w:rPr>
              <w:t>0.1164</w:t>
            </w:r>
          </w:p>
        </w:tc>
        <w:tc>
          <w:tcPr>
            <w:tcW w:w="1206" w:type="dxa"/>
          </w:tcPr>
          <w:p w14:paraId="3FC9E39C">
            <w:pPr>
              <w:pStyle w:val="14"/>
              <w:spacing w:before="49"/>
              <w:ind w:left="110" w:right="100"/>
              <w:jc w:val="center"/>
              <w:rPr>
                <w:rFonts w:ascii="Times New Roman"/>
                <w:sz w:val="21"/>
              </w:rPr>
            </w:pPr>
            <w:r>
              <w:rPr>
                <w:rFonts w:ascii="Times New Roman"/>
                <w:sz w:val="21"/>
              </w:rPr>
              <w:t>0.1444</w:t>
            </w:r>
          </w:p>
        </w:tc>
        <w:tc>
          <w:tcPr>
            <w:tcW w:w="1207" w:type="dxa"/>
          </w:tcPr>
          <w:p w14:paraId="27B1DBDF">
            <w:pPr>
              <w:pStyle w:val="14"/>
              <w:spacing w:before="49"/>
              <w:ind w:left="111" w:right="104"/>
              <w:jc w:val="center"/>
              <w:rPr>
                <w:rFonts w:ascii="Times New Roman"/>
                <w:sz w:val="21"/>
              </w:rPr>
            </w:pPr>
            <w:r>
              <w:rPr>
                <w:rFonts w:ascii="Times New Roman"/>
                <w:sz w:val="21"/>
              </w:rPr>
              <w:t>0.1707</w:t>
            </w:r>
          </w:p>
        </w:tc>
        <w:tc>
          <w:tcPr>
            <w:tcW w:w="1203" w:type="dxa"/>
          </w:tcPr>
          <w:p w14:paraId="65B201D3">
            <w:pPr>
              <w:pStyle w:val="14"/>
              <w:spacing w:before="49"/>
              <w:ind w:left="80" w:right="73"/>
              <w:jc w:val="center"/>
              <w:rPr>
                <w:rFonts w:ascii="Times New Roman"/>
                <w:sz w:val="21"/>
              </w:rPr>
            </w:pPr>
            <w:r>
              <w:rPr>
                <w:rFonts w:ascii="Times New Roman"/>
                <w:sz w:val="21"/>
              </w:rPr>
              <w:t>0.2871</w:t>
            </w:r>
          </w:p>
        </w:tc>
      </w:tr>
      <w:tr w14:paraId="750E6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14:paraId="4D2C0FCA">
            <w:pPr>
              <w:pStyle w:val="14"/>
              <w:spacing w:before="33"/>
              <w:ind w:left="155"/>
              <w:rPr>
                <w:sz w:val="21"/>
              </w:rPr>
            </w:pPr>
            <w:r>
              <w:rPr>
                <w:rFonts w:ascii="Times New Roman" w:eastAsia="Times New Roman"/>
                <w:sz w:val="21"/>
              </w:rPr>
              <w:t>10</w:t>
            </w:r>
            <w:r>
              <w:rPr>
                <w:sz w:val="21"/>
              </w:rPr>
              <w:t>（</w:t>
            </w:r>
            <w:r>
              <w:rPr>
                <w:rFonts w:ascii="Times New Roman" w:eastAsia="Times New Roman"/>
                <w:sz w:val="21"/>
              </w:rPr>
              <w:t>km/h</w:t>
            </w:r>
            <w:r>
              <w:rPr>
                <w:sz w:val="21"/>
              </w:rPr>
              <w:t>）</w:t>
            </w:r>
          </w:p>
        </w:tc>
        <w:tc>
          <w:tcPr>
            <w:tcW w:w="1212" w:type="dxa"/>
          </w:tcPr>
          <w:p w14:paraId="43BADC6E">
            <w:pPr>
              <w:pStyle w:val="14"/>
              <w:spacing w:before="50"/>
              <w:ind w:left="316"/>
              <w:rPr>
                <w:rFonts w:ascii="Times New Roman"/>
                <w:sz w:val="21"/>
              </w:rPr>
            </w:pPr>
            <w:r>
              <w:rPr>
                <w:rFonts w:ascii="Times New Roman"/>
                <w:sz w:val="21"/>
              </w:rPr>
              <w:t>0.1021</w:t>
            </w:r>
          </w:p>
        </w:tc>
        <w:tc>
          <w:tcPr>
            <w:tcW w:w="1206" w:type="dxa"/>
          </w:tcPr>
          <w:p w14:paraId="3DAA7082">
            <w:pPr>
              <w:pStyle w:val="14"/>
              <w:spacing w:before="50"/>
              <w:ind w:left="110" w:right="100"/>
              <w:jc w:val="center"/>
              <w:rPr>
                <w:rFonts w:ascii="Times New Roman"/>
                <w:sz w:val="21"/>
              </w:rPr>
            </w:pPr>
            <w:r>
              <w:rPr>
                <w:rFonts w:ascii="Times New Roman"/>
                <w:sz w:val="21"/>
              </w:rPr>
              <w:t>0.1717</w:t>
            </w:r>
          </w:p>
        </w:tc>
        <w:tc>
          <w:tcPr>
            <w:tcW w:w="1208" w:type="dxa"/>
          </w:tcPr>
          <w:p w14:paraId="406C6D5C">
            <w:pPr>
              <w:pStyle w:val="14"/>
              <w:spacing w:before="50"/>
              <w:ind w:left="112" w:right="102"/>
              <w:jc w:val="center"/>
              <w:rPr>
                <w:rFonts w:ascii="Times New Roman"/>
                <w:sz w:val="21"/>
              </w:rPr>
            </w:pPr>
            <w:r>
              <w:rPr>
                <w:rFonts w:ascii="Times New Roman"/>
                <w:sz w:val="21"/>
              </w:rPr>
              <w:t>0.2328</w:t>
            </w:r>
          </w:p>
        </w:tc>
        <w:tc>
          <w:tcPr>
            <w:tcW w:w="1206" w:type="dxa"/>
          </w:tcPr>
          <w:p w14:paraId="450D7C4C">
            <w:pPr>
              <w:pStyle w:val="14"/>
              <w:spacing w:before="50"/>
              <w:ind w:left="110" w:right="100"/>
              <w:jc w:val="center"/>
              <w:rPr>
                <w:rFonts w:ascii="Times New Roman"/>
                <w:sz w:val="21"/>
              </w:rPr>
            </w:pPr>
            <w:r>
              <w:rPr>
                <w:rFonts w:ascii="Times New Roman"/>
                <w:sz w:val="21"/>
              </w:rPr>
              <w:t>0.2888</w:t>
            </w:r>
          </w:p>
        </w:tc>
        <w:tc>
          <w:tcPr>
            <w:tcW w:w="1207" w:type="dxa"/>
          </w:tcPr>
          <w:p w14:paraId="4AFBACF1">
            <w:pPr>
              <w:pStyle w:val="14"/>
              <w:spacing w:before="50"/>
              <w:ind w:left="111" w:right="102"/>
              <w:jc w:val="center"/>
              <w:rPr>
                <w:rFonts w:ascii="Times New Roman"/>
                <w:sz w:val="21"/>
              </w:rPr>
            </w:pPr>
            <w:r>
              <w:rPr>
                <w:rFonts w:ascii="Times New Roman"/>
                <w:sz w:val="21"/>
              </w:rPr>
              <w:t>0.414</w:t>
            </w:r>
          </w:p>
        </w:tc>
        <w:tc>
          <w:tcPr>
            <w:tcW w:w="1203" w:type="dxa"/>
          </w:tcPr>
          <w:p w14:paraId="6A985886">
            <w:pPr>
              <w:pStyle w:val="14"/>
              <w:spacing w:before="50"/>
              <w:ind w:left="80" w:right="73"/>
              <w:jc w:val="center"/>
              <w:rPr>
                <w:rFonts w:ascii="Times New Roman"/>
                <w:sz w:val="21"/>
              </w:rPr>
            </w:pPr>
            <w:r>
              <w:rPr>
                <w:rFonts w:ascii="Times New Roman"/>
                <w:sz w:val="21"/>
              </w:rPr>
              <w:t>0.5742</w:t>
            </w:r>
          </w:p>
        </w:tc>
      </w:tr>
      <w:tr w14:paraId="2F98B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14:paraId="0FAFE12A">
            <w:pPr>
              <w:pStyle w:val="14"/>
              <w:spacing w:before="34"/>
              <w:ind w:left="155"/>
              <w:rPr>
                <w:sz w:val="21"/>
              </w:rPr>
            </w:pPr>
            <w:r>
              <w:rPr>
                <w:rFonts w:ascii="Times New Roman" w:eastAsia="Times New Roman"/>
                <w:sz w:val="21"/>
              </w:rPr>
              <w:t>15</w:t>
            </w:r>
            <w:r>
              <w:rPr>
                <w:sz w:val="21"/>
              </w:rPr>
              <w:t>（</w:t>
            </w:r>
            <w:r>
              <w:rPr>
                <w:rFonts w:ascii="Times New Roman" w:eastAsia="Times New Roman"/>
                <w:sz w:val="21"/>
              </w:rPr>
              <w:t>km/h</w:t>
            </w:r>
            <w:r>
              <w:rPr>
                <w:sz w:val="21"/>
              </w:rPr>
              <w:t>）</w:t>
            </w:r>
          </w:p>
        </w:tc>
        <w:tc>
          <w:tcPr>
            <w:tcW w:w="1212" w:type="dxa"/>
          </w:tcPr>
          <w:p w14:paraId="636C3831">
            <w:pPr>
              <w:pStyle w:val="14"/>
              <w:spacing w:before="48"/>
              <w:ind w:left="316"/>
              <w:rPr>
                <w:rFonts w:ascii="Times New Roman"/>
                <w:sz w:val="21"/>
              </w:rPr>
            </w:pPr>
            <w:r>
              <w:rPr>
                <w:rFonts w:ascii="Times New Roman"/>
                <w:sz w:val="21"/>
              </w:rPr>
              <w:t>0.1532</w:t>
            </w:r>
          </w:p>
        </w:tc>
        <w:tc>
          <w:tcPr>
            <w:tcW w:w="1206" w:type="dxa"/>
          </w:tcPr>
          <w:p w14:paraId="0A300494">
            <w:pPr>
              <w:pStyle w:val="14"/>
              <w:spacing w:before="48"/>
              <w:ind w:left="110" w:right="100"/>
              <w:jc w:val="center"/>
              <w:rPr>
                <w:rFonts w:ascii="Times New Roman"/>
                <w:sz w:val="21"/>
              </w:rPr>
            </w:pPr>
            <w:r>
              <w:rPr>
                <w:rFonts w:ascii="Times New Roman"/>
                <w:sz w:val="21"/>
              </w:rPr>
              <w:t>0.2576</w:t>
            </w:r>
          </w:p>
        </w:tc>
        <w:tc>
          <w:tcPr>
            <w:tcW w:w="1208" w:type="dxa"/>
          </w:tcPr>
          <w:p w14:paraId="26B729F7">
            <w:pPr>
              <w:pStyle w:val="14"/>
              <w:spacing w:before="48"/>
              <w:ind w:left="112" w:right="102"/>
              <w:jc w:val="center"/>
              <w:rPr>
                <w:rFonts w:ascii="Times New Roman"/>
                <w:sz w:val="21"/>
              </w:rPr>
            </w:pPr>
            <w:r>
              <w:rPr>
                <w:rFonts w:ascii="Times New Roman"/>
                <w:sz w:val="21"/>
              </w:rPr>
              <w:t>0.3491</w:t>
            </w:r>
          </w:p>
        </w:tc>
        <w:tc>
          <w:tcPr>
            <w:tcW w:w="1206" w:type="dxa"/>
          </w:tcPr>
          <w:p w14:paraId="1C3F3E85">
            <w:pPr>
              <w:pStyle w:val="14"/>
              <w:spacing w:before="48"/>
              <w:ind w:left="110" w:right="100"/>
              <w:jc w:val="center"/>
              <w:rPr>
                <w:rFonts w:ascii="Times New Roman"/>
                <w:sz w:val="21"/>
              </w:rPr>
            </w:pPr>
            <w:r>
              <w:rPr>
                <w:rFonts w:ascii="Times New Roman"/>
                <w:sz w:val="21"/>
              </w:rPr>
              <w:t>0.4332</w:t>
            </w:r>
          </w:p>
        </w:tc>
        <w:tc>
          <w:tcPr>
            <w:tcW w:w="1207" w:type="dxa"/>
          </w:tcPr>
          <w:p w14:paraId="5A388641">
            <w:pPr>
              <w:pStyle w:val="14"/>
              <w:spacing w:before="48"/>
              <w:ind w:left="111" w:right="104"/>
              <w:jc w:val="center"/>
              <w:rPr>
                <w:rFonts w:ascii="Times New Roman"/>
                <w:sz w:val="21"/>
              </w:rPr>
            </w:pPr>
            <w:r>
              <w:rPr>
                <w:rFonts w:ascii="Times New Roman"/>
                <w:sz w:val="21"/>
              </w:rPr>
              <w:t>0.5121</w:t>
            </w:r>
          </w:p>
        </w:tc>
        <w:tc>
          <w:tcPr>
            <w:tcW w:w="1203" w:type="dxa"/>
          </w:tcPr>
          <w:p w14:paraId="63587E3E">
            <w:pPr>
              <w:pStyle w:val="14"/>
              <w:spacing w:before="48"/>
              <w:ind w:left="80" w:right="73"/>
              <w:jc w:val="center"/>
              <w:rPr>
                <w:rFonts w:ascii="Times New Roman"/>
                <w:sz w:val="21"/>
              </w:rPr>
            </w:pPr>
            <w:r>
              <w:rPr>
                <w:rFonts w:ascii="Times New Roman"/>
                <w:sz w:val="21"/>
              </w:rPr>
              <w:t>0.8613</w:t>
            </w:r>
          </w:p>
        </w:tc>
      </w:tr>
      <w:tr w14:paraId="3FA5E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14:paraId="3F0BDB2F">
            <w:pPr>
              <w:pStyle w:val="14"/>
              <w:spacing w:before="34"/>
              <w:ind w:left="155"/>
              <w:rPr>
                <w:sz w:val="21"/>
              </w:rPr>
            </w:pPr>
            <w:r>
              <w:rPr>
                <w:rFonts w:ascii="Times New Roman" w:eastAsia="Times New Roman"/>
                <w:sz w:val="21"/>
              </w:rPr>
              <w:t>25</w:t>
            </w:r>
            <w:r>
              <w:rPr>
                <w:sz w:val="21"/>
              </w:rPr>
              <w:t>（</w:t>
            </w:r>
            <w:r>
              <w:rPr>
                <w:rFonts w:ascii="Times New Roman" w:eastAsia="Times New Roman"/>
                <w:sz w:val="21"/>
              </w:rPr>
              <w:t>km/h</w:t>
            </w:r>
            <w:r>
              <w:rPr>
                <w:sz w:val="21"/>
              </w:rPr>
              <w:t>）</w:t>
            </w:r>
          </w:p>
        </w:tc>
        <w:tc>
          <w:tcPr>
            <w:tcW w:w="1212" w:type="dxa"/>
          </w:tcPr>
          <w:p w14:paraId="66F20FAA">
            <w:pPr>
              <w:pStyle w:val="14"/>
              <w:spacing w:before="48"/>
              <w:ind w:left="316"/>
              <w:rPr>
                <w:rFonts w:ascii="Times New Roman"/>
                <w:sz w:val="21"/>
              </w:rPr>
            </w:pPr>
            <w:r>
              <w:rPr>
                <w:rFonts w:ascii="Times New Roman"/>
                <w:sz w:val="21"/>
              </w:rPr>
              <w:t>0.2553</w:t>
            </w:r>
          </w:p>
        </w:tc>
        <w:tc>
          <w:tcPr>
            <w:tcW w:w="1206" w:type="dxa"/>
          </w:tcPr>
          <w:p w14:paraId="650D2F46">
            <w:pPr>
              <w:pStyle w:val="14"/>
              <w:spacing w:before="48"/>
              <w:ind w:left="110" w:right="100"/>
              <w:jc w:val="center"/>
              <w:rPr>
                <w:rFonts w:ascii="Times New Roman"/>
                <w:sz w:val="21"/>
              </w:rPr>
            </w:pPr>
            <w:r>
              <w:rPr>
                <w:rFonts w:ascii="Times New Roman"/>
                <w:sz w:val="21"/>
              </w:rPr>
              <w:t>0.4293</w:t>
            </w:r>
          </w:p>
        </w:tc>
        <w:tc>
          <w:tcPr>
            <w:tcW w:w="1208" w:type="dxa"/>
          </w:tcPr>
          <w:p w14:paraId="34E27AA7">
            <w:pPr>
              <w:pStyle w:val="14"/>
              <w:spacing w:before="48"/>
              <w:ind w:left="112" w:right="102"/>
              <w:jc w:val="center"/>
              <w:rPr>
                <w:rFonts w:ascii="Times New Roman"/>
                <w:sz w:val="21"/>
              </w:rPr>
            </w:pPr>
            <w:r>
              <w:rPr>
                <w:rFonts w:ascii="Times New Roman"/>
                <w:sz w:val="21"/>
              </w:rPr>
              <w:t>0.5819</w:t>
            </w:r>
          </w:p>
        </w:tc>
        <w:tc>
          <w:tcPr>
            <w:tcW w:w="1206" w:type="dxa"/>
          </w:tcPr>
          <w:p w14:paraId="54915707">
            <w:pPr>
              <w:pStyle w:val="14"/>
              <w:spacing w:before="48"/>
              <w:ind w:left="110" w:right="100"/>
              <w:jc w:val="center"/>
              <w:rPr>
                <w:rFonts w:ascii="Times New Roman"/>
                <w:sz w:val="21"/>
              </w:rPr>
            </w:pPr>
            <w:r>
              <w:rPr>
                <w:rFonts w:ascii="Times New Roman"/>
                <w:sz w:val="21"/>
              </w:rPr>
              <w:t>0.7220</w:t>
            </w:r>
          </w:p>
        </w:tc>
        <w:tc>
          <w:tcPr>
            <w:tcW w:w="1207" w:type="dxa"/>
          </w:tcPr>
          <w:p w14:paraId="3152F4EE">
            <w:pPr>
              <w:pStyle w:val="14"/>
              <w:spacing w:before="48"/>
              <w:ind w:left="111" w:right="104"/>
              <w:jc w:val="center"/>
              <w:rPr>
                <w:rFonts w:ascii="Times New Roman"/>
                <w:sz w:val="21"/>
              </w:rPr>
            </w:pPr>
            <w:r>
              <w:rPr>
                <w:rFonts w:ascii="Times New Roman"/>
                <w:sz w:val="21"/>
              </w:rPr>
              <w:t>0.8536</w:t>
            </w:r>
          </w:p>
        </w:tc>
        <w:tc>
          <w:tcPr>
            <w:tcW w:w="1203" w:type="dxa"/>
          </w:tcPr>
          <w:p w14:paraId="483C44D2">
            <w:pPr>
              <w:pStyle w:val="14"/>
              <w:spacing w:before="48"/>
              <w:ind w:left="80" w:right="73"/>
              <w:jc w:val="center"/>
              <w:rPr>
                <w:rFonts w:ascii="Times New Roman"/>
                <w:sz w:val="21"/>
              </w:rPr>
            </w:pPr>
            <w:r>
              <w:rPr>
                <w:rFonts w:ascii="Times New Roman"/>
                <w:sz w:val="21"/>
              </w:rPr>
              <w:t>1.4355</w:t>
            </w:r>
          </w:p>
        </w:tc>
      </w:tr>
    </w:tbl>
    <w:p w14:paraId="053CDD89">
      <w:pPr>
        <w:pStyle w:val="7"/>
        <w:spacing w:before="2" w:line="364" w:lineRule="auto"/>
        <w:ind w:left="280" w:right="337" w:firstLine="480"/>
        <w:jc w:val="both"/>
      </w:pPr>
      <w:r>
        <w:t>由此可见，在同样路面清洁程度条件下，车速越快，扬尘量越大；而在同样车速情况下，路面越脏，扬尘量越大。因此限速行驶及保持路面的清洁是减少汽车扬尘的有效办法。</w:t>
      </w:r>
    </w:p>
    <w:p w14:paraId="167BBB43">
      <w:pPr>
        <w:pStyle w:val="7"/>
        <w:spacing w:line="364" w:lineRule="auto"/>
        <w:ind w:left="280" w:right="337" w:firstLine="480"/>
        <w:jc w:val="both"/>
      </w:pPr>
      <w:r>
        <w:t>本项目的扬尘主要表现在运输沿线和工地附近，尤其是天气干燥及风速较大时影响更为明显，使该区域及周围地区大气中总悬浮颗粒浓度增大。粉尘的排放量大小直接与施工期的管理措施有关，因此较难估算。</w:t>
      </w:r>
    </w:p>
    <w:p w14:paraId="41651BD4">
      <w:pPr>
        <w:pStyle w:val="7"/>
        <w:spacing w:line="307" w:lineRule="exact"/>
        <w:ind w:left="760"/>
      </w:pPr>
      <w:r>
        <w:t>②施工机械燃油废气和运输车辆尾气</w:t>
      </w:r>
    </w:p>
    <w:p w14:paraId="05223CED">
      <w:pPr>
        <w:pStyle w:val="7"/>
        <w:spacing w:before="158" w:line="362" w:lineRule="auto"/>
        <w:ind w:left="280" w:right="337" w:firstLine="480"/>
        <w:jc w:val="both"/>
      </w:pPr>
      <w:r>
        <w:t>施工机械和大型建筑材料运输车辆一般都以柴油为燃料。由柴油燃烧产生</w:t>
      </w:r>
      <w:r>
        <w:rPr>
          <w:position w:val="2"/>
        </w:rPr>
        <w:t>的废气中主要污染因子为烯烃类、</w:t>
      </w:r>
      <w:r>
        <w:rPr>
          <w:rFonts w:ascii="Times New Roman" w:hAnsi="Times New Roman" w:eastAsia="Times New Roman"/>
          <w:position w:val="2"/>
        </w:rPr>
        <w:t xml:space="preserve">CO </w:t>
      </w:r>
      <w:r>
        <w:rPr>
          <w:position w:val="2"/>
        </w:rPr>
        <w:t xml:space="preserve">和 </w:t>
      </w:r>
      <w:r>
        <w:rPr>
          <w:rFonts w:ascii="Times New Roman" w:hAnsi="Times New Roman" w:eastAsia="Times New Roman"/>
          <w:position w:val="2"/>
        </w:rPr>
        <w:t>NO</w:t>
      </w:r>
      <w:r>
        <w:rPr>
          <w:rFonts w:ascii="Times New Roman" w:hAnsi="Times New Roman" w:eastAsia="Times New Roman"/>
          <w:position w:val="2"/>
          <w:vertAlign w:val="subscript"/>
        </w:rPr>
        <w:t>X</w:t>
      </w:r>
      <w:r>
        <w:rPr>
          <w:position w:val="2"/>
          <w:vertAlign w:val="baseline"/>
        </w:rPr>
        <w:t>，产生量主要取决于燃料油种</w:t>
      </w:r>
      <w:r>
        <w:rPr>
          <w:vertAlign w:val="baseline"/>
        </w:rPr>
        <w:t>类、机械性能、作业方式和风力等，其特点是排放量小，且属间断性无组织排放。据调查，一般大型工程车辆废气污染物排放量为：</w:t>
      </w:r>
      <w:r>
        <w:rPr>
          <w:rFonts w:ascii="Times New Roman" w:hAnsi="Times New Roman" w:eastAsia="Times New Roman"/>
          <w:vertAlign w:val="baseline"/>
        </w:rPr>
        <w:t>CO</w:t>
      </w:r>
      <w:r>
        <w:rPr>
          <w:vertAlign w:val="baseline"/>
        </w:rPr>
        <w:t>：</w:t>
      </w:r>
      <w:r>
        <w:rPr>
          <w:rFonts w:ascii="Times New Roman" w:hAnsi="Times New Roman" w:eastAsia="Times New Roman"/>
          <w:vertAlign w:val="baseline"/>
        </w:rPr>
        <w:t>5.25g/</w:t>
      </w:r>
      <w:r>
        <w:rPr>
          <w:vertAlign w:val="baseline"/>
        </w:rPr>
        <w:t>辆</w:t>
      </w:r>
      <w:r>
        <w:rPr>
          <w:rFonts w:ascii="Times New Roman" w:hAnsi="Times New Roman" w:eastAsia="Times New Roman"/>
          <w:vertAlign w:val="baseline"/>
        </w:rPr>
        <w:t>·km</w:t>
      </w:r>
      <w:r>
        <w:rPr>
          <w:vertAlign w:val="baseline"/>
        </w:rPr>
        <w:t>；</w:t>
      </w:r>
    </w:p>
    <w:p w14:paraId="4A098C6D">
      <w:pPr>
        <w:pStyle w:val="7"/>
        <w:spacing w:before="3"/>
        <w:ind w:left="280"/>
      </w:pPr>
      <w:r>
        <w:rPr>
          <w:rFonts w:ascii="Times New Roman" w:hAnsi="Times New Roman" w:eastAsia="Times New Roman"/>
        </w:rPr>
        <w:t>THC</w:t>
      </w:r>
      <w:r>
        <w:t>：</w:t>
      </w:r>
      <w:r>
        <w:rPr>
          <w:rFonts w:ascii="Times New Roman" w:hAnsi="Times New Roman" w:eastAsia="Times New Roman"/>
        </w:rPr>
        <w:t>2.08g/</w:t>
      </w:r>
      <w:r>
        <w:t>辆</w:t>
      </w:r>
      <w:r>
        <w:rPr>
          <w:rFonts w:ascii="Times New Roman" w:hAnsi="Times New Roman" w:eastAsia="Times New Roman"/>
        </w:rPr>
        <w:t>·km</w:t>
      </w:r>
      <w:r>
        <w:t>；</w:t>
      </w:r>
      <w:r>
        <w:rPr>
          <w:rFonts w:ascii="Times New Roman" w:hAnsi="Times New Roman" w:eastAsia="Times New Roman"/>
        </w:rPr>
        <w:t>NOx</w:t>
      </w:r>
      <w:r>
        <w:t>：</w:t>
      </w:r>
      <w:r>
        <w:rPr>
          <w:rFonts w:ascii="Times New Roman" w:hAnsi="Times New Roman" w:eastAsia="Times New Roman"/>
        </w:rPr>
        <w:t>10.44g/</w:t>
      </w:r>
      <w:r>
        <w:t>辆</w:t>
      </w:r>
      <w:r>
        <w:rPr>
          <w:rFonts w:ascii="Times New Roman" w:hAnsi="Times New Roman" w:eastAsia="Times New Roman"/>
        </w:rPr>
        <w:t>·km</w:t>
      </w:r>
      <w:r>
        <w:t>。</w:t>
      </w:r>
    </w:p>
    <w:p w14:paraId="7E4ECAAD">
      <w:pPr>
        <w:pStyle w:val="6"/>
        <w:spacing w:before="160"/>
        <w:ind w:left="760"/>
      </w:pPr>
      <w:r>
        <w:t>（</w:t>
      </w:r>
      <w:r>
        <w:rPr>
          <w:rFonts w:ascii="Times New Roman" w:eastAsia="Times New Roman"/>
        </w:rPr>
        <w:t>2</w:t>
      </w:r>
      <w:r>
        <w:t>）施工期废水污染源</w:t>
      </w:r>
    </w:p>
    <w:p w14:paraId="441E4251">
      <w:pPr>
        <w:spacing w:after="0"/>
        <w:sectPr>
          <w:pgSz w:w="11910" w:h="16840"/>
          <w:pgMar w:top="1360" w:right="1460" w:bottom="1400" w:left="1520" w:header="878" w:footer="1204" w:gutter="0"/>
          <w:cols w:space="720" w:num="1"/>
        </w:sectPr>
      </w:pPr>
    </w:p>
    <w:p w14:paraId="436DAE4F">
      <w:pPr>
        <w:pStyle w:val="7"/>
        <w:spacing w:before="68" w:line="364" w:lineRule="auto"/>
        <w:ind w:left="280" w:right="337" w:firstLine="480"/>
        <w:jc w:val="both"/>
      </w:pPr>
      <w:r>
        <w:t>施工期废水主要是来自施工废水、施工人员生活污水及暴雨地表径流。项目无地下工程，无需进行地下开挖工作，无地下水产生。施工废水包括开挖和钻孔产生的泥浆水、机械设备运转的冷却水和洗涤水；生活污水包括施工人员的盥洗水、食堂含油污水和厕所冲刷水；地下水主要指开挖断面含水地层的排水；暴雨地表径流冲刷浮土、建筑砂石、垃圾、弃土、不但会夹带大量泥沙， 而且会携带油类、水泥和化学品等各种类污染物。</w:t>
      </w:r>
    </w:p>
    <w:p w14:paraId="79A41D98">
      <w:pPr>
        <w:pStyle w:val="7"/>
        <w:spacing w:line="364" w:lineRule="auto"/>
        <w:ind w:left="280" w:right="337" w:firstLine="480"/>
        <w:jc w:val="both"/>
      </w:pPr>
      <w:r>
        <w:rPr>
          <w:spacing w:val="-4"/>
        </w:rPr>
        <w:t xml:space="preserve">施工废水含有的污染物主要是 </w:t>
      </w:r>
      <w:r>
        <w:rPr>
          <w:rFonts w:ascii="Times New Roman" w:eastAsia="Times New Roman"/>
        </w:rPr>
        <w:t xml:space="preserve">SS </w:t>
      </w:r>
      <w:r>
        <w:t>和石油类等。这些废水可经沉砂池沉淀后用作施工、绿化或降尘用水，不外排。</w:t>
      </w:r>
    </w:p>
    <w:p w14:paraId="038EF834">
      <w:pPr>
        <w:pStyle w:val="7"/>
        <w:spacing w:line="362" w:lineRule="auto"/>
        <w:ind w:left="280" w:right="337" w:firstLine="480"/>
        <w:jc w:val="both"/>
      </w:pPr>
      <w:r>
        <w:rPr>
          <w:spacing w:val="-5"/>
        </w:rPr>
        <w:t xml:space="preserve">本项目施工高峰期人员约 </w:t>
      </w:r>
      <w:r>
        <w:rPr>
          <w:rFonts w:ascii="Times New Roman" w:eastAsia="Times New Roman"/>
        </w:rPr>
        <w:t xml:space="preserve">50 </w:t>
      </w:r>
      <w:r>
        <w:rPr>
          <w:spacing w:val="-6"/>
        </w:rPr>
        <w:t xml:space="preserve">人，人均日用水定额以 </w:t>
      </w:r>
      <w:r>
        <w:rPr>
          <w:rFonts w:ascii="Times New Roman" w:eastAsia="Times New Roman"/>
        </w:rPr>
        <w:t>0.15m</w:t>
      </w:r>
      <w:r>
        <w:rPr>
          <w:rFonts w:ascii="Times New Roman" w:eastAsia="Times New Roman"/>
          <w:position w:val="8"/>
          <w:sz w:val="15"/>
        </w:rPr>
        <w:t>3</w:t>
      </w:r>
      <w:r>
        <w:rPr>
          <w:rFonts w:ascii="Times New Roman" w:eastAsia="Times New Roman"/>
        </w:rPr>
        <w:t xml:space="preserve">/d </w:t>
      </w:r>
      <w:r>
        <w:t>计，污水产生</w:t>
      </w:r>
      <w:r>
        <w:rPr>
          <w:spacing w:val="-14"/>
        </w:rPr>
        <w:t xml:space="preserve">系数 </w:t>
      </w:r>
      <w:r>
        <w:rPr>
          <w:rFonts w:ascii="Times New Roman" w:eastAsia="Times New Roman"/>
        </w:rPr>
        <w:t xml:space="preserve">0.8 </w:t>
      </w:r>
      <w:r>
        <w:rPr>
          <w:spacing w:val="-2"/>
        </w:rPr>
        <w:t xml:space="preserve">计，则施工高峰期施工人员生活污水产生量为 </w:t>
      </w:r>
      <w:r>
        <w:rPr>
          <w:rFonts w:ascii="Times New Roman" w:eastAsia="Times New Roman"/>
        </w:rPr>
        <w:t>6m</w:t>
      </w:r>
      <w:r>
        <w:rPr>
          <w:rFonts w:ascii="Times New Roman" w:eastAsia="Times New Roman"/>
          <w:position w:val="8"/>
          <w:sz w:val="15"/>
        </w:rPr>
        <w:t>3</w:t>
      </w:r>
      <w:r>
        <w:rPr>
          <w:rFonts w:ascii="Times New Roman" w:eastAsia="Times New Roman"/>
        </w:rPr>
        <w:t>/d</w:t>
      </w:r>
      <w:r>
        <w:t>。生活污水中主要</w:t>
      </w:r>
      <w:r>
        <w:rPr>
          <w:spacing w:val="-11"/>
          <w:position w:val="2"/>
        </w:rPr>
        <w:t xml:space="preserve">污染物为 </w:t>
      </w:r>
      <w:r>
        <w:rPr>
          <w:rFonts w:ascii="Times New Roman" w:eastAsia="Times New Roman"/>
          <w:position w:val="2"/>
        </w:rPr>
        <w:t>COD</w:t>
      </w:r>
      <w:r>
        <w:rPr>
          <w:rFonts w:ascii="Times New Roman" w:eastAsia="Times New Roman"/>
          <w:position w:val="2"/>
          <w:vertAlign w:val="subscript"/>
        </w:rPr>
        <w:t>Cr</w:t>
      </w:r>
      <w:r>
        <w:rPr>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、氨氮、动植物油。生活污水经收集处理后回用于</w:t>
      </w:r>
      <w:r>
        <w:rPr>
          <w:spacing w:val="10"/>
          <w:vertAlign w:val="baseline"/>
        </w:rPr>
        <w:t>周边绿化灌溉，不外排。施工人员生活污水中主要污染物及其水质浓度如下表。</w:t>
      </w:r>
    </w:p>
    <w:p w14:paraId="075DAECF">
      <w:pPr>
        <w:spacing w:before="3" w:after="4"/>
        <w:ind w:left="2420" w:right="0" w:firstLine="0"/>
        <w:jc w:val="left"/>
        <w:rPr>
          <w:b/>
          <w:sz w:val="21"/>
        </w:rPr>
      </w:pPr>
      <w:r>
        <w:rPr>
          <w:b/>
          <w:sz w:val="21"/>
        </w:rPr>
        <w:t xml:space="preserve">表 </w:t>
      </w:r>
      <w:r>
        <w:rPr>
          <w:rFonts w:ascii="Times New Roman" w:eastAsia="Times New Roman"/>
          <w:b/>
          <w:sz w:val="21"/>
        </w:rPr>
        <w:t xml:space="preserve">3.7-4 </w:t>
      </w:r>
      <w:r>
        <w:rPr>
          <w:b/>
          <w:sz w:val="21"/>
        </w:rPr>
        <w:t>施工人员生活污水污染物产生情况</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7"/>
        <w:gridCol w:w="1366"/>
        <w:gridCol w:w="1367"/>
        <w:gridCol w:w="1367"/>
        <w:gridCol w:w="1367"/>
        <w:gridCol w:w="1373"/>
      </w:tblGrid>
      <w:tr w14:paraId="6B118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77" w:type="dxa"/>
          </w:tcPr>
          <w:p w14:paraId="724F6A1E">
            <w:pPr>
              <w:pStyle w:val="14"/>
              <w:spacing w:before="63"/>
              <w:ind w:left="165" w:right="159"/>
              <w:jc w:val="center"/>
              <w:rPr>
                <w:b/>
                <w:sz w:val="21"/>
              </w:rPr>
            </w:pPr>
            <w:r>
              <w:rPr>
                <w:b/>
                <w:sz w:val="21"/>
              </w:rPr>
              <w:t>项目</w:t>
            </w:r>
          </w:p>
        </w:tc>
        <w:tc>
          <w:tcPr>
            <w:tcW w:w="1366" w:type="dxa"/>
          </w:tcPr>
          <w:p w14:paraId="6519A91A">
            <w:pPr>
              <w:pStyle w:val="14"/>
              <w:spacing w:before="74"/>
              <w:ind w:left="350" w:right="340"/>
              <w:jc w:val="center"/>
              <w:rPr>
                <w:rFonts w:ascii="Times New Roman"/>
                <w:b/>
                <w:sz w:val="21"/>
              </w:rPr>
            </w:pPr>
            <w:r>
              <w:rPr>
                <w:rFonts w:ascii="Times New Roman"/>
                <w:b/>
                <w:position w:val="2"/>
                <w:sz w:val="21"/>
              </w:rPr>
              <w:t>COD</w:t>
            </w:r>
            <w:r>
              <w:rPr>
                <w:rFonts w:ascii="Times New Roman"/>
                <w:b/>
                <w:position w:val="2"/>
                <w:sz w:val="21"/>
                <w:vertAlign w:val="subscript"/>
              </w:rPr>
              <w:t>Cr</w:t>
            </w:r>
          </w:p>
        </w:tc>
        <w:tc>
          <w:tcPr>
            <w:tcW w:w="1367" w:type="dxa"/>
          </w:tcPr>
          <w:p w14:paraId="623CB2D9">
            <w:pPr>
              <w:pStyle w:val="14"/>
              <w:spacing w:before="74"/>
              <w:ind w:left="401" w:right="392"/>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1367" w:type="dxa"/>
          </w:tcPr>
          <w:p w14:paraId="2AB8477D">
            <w:pPr>
              <w:pStyle w:val="14"/>
              <w:spacing w:before="77"/>
              <w:ind w:right="557"/>
              <w:jc w:val="right"/>
              <w:rPr>
                <w:rFonts w:ascii="Times New Roman"/>
                <w:b/>
                <w:sz w:val="21"/>
              </w:rPr>
            </w:pPr>
            <w:r>
              <w:rPr>
                <w:rFonts w:ascii="Times New Roman"/>
                <w:b/>
                <w:w w:val="95"/>
                <w:sz w:val="21"/>
              </w:rPr>
              <w:t>SS</w:t>
            </w:r>
          </w:p>
        </w:tc>
        <w:tc>
          <w:tcPr>
            <w:tcW w:w="1367" w:type="dxa"/>
          </w:tcPr>
          <w:p w14:paraId="4E70F352">
            <w:pPr>
              <w:pStyle w:val="14"/>
              <w:spacing w:before="63"/>
              <w:ind w:left="396" w:right="392"/>
              <w:jc w:val="center"/>
              <w:rPr>
                <w:b/>
                <w:sz w:val="21"/>
              </w:rPr>
            </w:pPr>
            <w:r>
              <w:rPr>
                <w:b/>
                <w:sz w:val="21"/>
              </w:rPr>
              <w:t>氨氮</w:t>
            </w:r>
          </w:p>
        </w:tc>
        <w:tc>
          <w:tcPr>
            <w:tcW w:w="1373" w:type="dxa"/>
          </w:tcPr>
          <w:p w14:paraId="77159B23">
            <w:pPr>
              <w:pStyle w:val="14"/>
              <w:spacing w:before="63"/>
              <w:ind w:left="36" w:right="26"/>
              <w:jc w:val="center"/>
              <w:rPr>
                <w:b/>
                <w:sz w:val="21"/>
              </w:rPr>
            </w:pPr>
            <w:r>
              <w:rPr>
                <w:b/>
                <w:sz w:val="21"/>
              </w:rPr>
              <w:t>动植物油</w:t>
            </w:r>
          </w:p>
        </w:tc>
      </w:tr>
      <w:tr w14:paraId="0D8A7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77" w:type="dxa"/>
          </w:tcPr>
          <w:p w14:paraId="2B2E9D2A">
            <w:pPr>
              <w:pStyle w:val="14"/>
              <w:spacing w:before="62"/>
              <w:ind w:left="168" w:right="159"/>
              <w:jc w:val="center"/>
              <w:rPr>
                <w:rFonts w:ascii="Times New Roman" w:eastAsia="Times New Roman"/>
                <w:sz w:val="21"/>
              </w:rPr>
            </w:pPr>
            <w:r>
              <w:rPr>
                <w:sz w:val="21"/>
              </w:rPr>
              <w:t xml:space="preserve">产生浓度 </w:t>
            </w:r>
            <w:r>
              <w:rPr>
                <w:rFonts w:ascii="Times New Roman" w:eastAsia="Times New Roman"/>
                <w:sz w:val="21"/>
              </w:rPr>
              <w:t>mg/L</w:t>
            </w:r>
          </w:p>
        </w:tc>
        <w:tc>
          <w:tcPr>
            <w:tcW w:w="1366" w:type="dxa"/>
          </w:tcPr>
          <w:p w14:paraId="7D53E77E">
            <w:pPr>
              <w:pStyle w:val="14"/>
              <w:spacing w:before="75"/>
              <w:ind w:left="348" w:right="340"/>
              <w:jc w:val="center"/>
              <w:rPr>
                <w:rFonts w:ascii="Times New Roman"/>
                <w:sz w:val="21"/>
              </w:rPr>
            </w:pPr>
            <w:r>
              <w:rPr>
                <w:rFonts w:ascii="Times New Roman"/>
                <w:sz w:val="21"/>
              </w:rPr>
              <w:t>350</w:t>
            </w:r>
          </w:p>
        </w:tc>
        <w:tc>
          <w:tcPr>
            <w:tcW w:w="1367" w:type="dxa"/>
          </w:tcPr>
          <w:p w14:paraId="5D384C5E">
            <w:pPr>
              <w:pStyle w:val="14"/>
              <w:spacing w:before="75"/>
              <w:ind w:left="401" w:right="390"/>
              <w:jc w:val="center"/>
              <w:rPr>
                <w:rFonts w:ascii="Times New Roman"/>
                <w:sz w:val="21"/>
              </w:rPr>
            </w:pPr>
            <w:r>
              <w:rPr>
                <w:rFonts w:ascii="Times New Roman"/>
                <w:sz w:val="21"/>
              </w:rPr>
              <w:t>200</w:t>
            </w:r>
          </w:p>
        </w:tc>
        <w:tc>
          <w:tcPr>
            <w:tcW w:w="1367" w:type="dxa"/>
          </w:tcPr>
          <w:p w14:paraId="1F59E7A9">
            <w:pPr>
              <w:pStyle w:val="14"/>
              <w:spacing w:before="75"/>
              <w:ind w:right="514"/>
              <w:jc w:val="right"/>
              <w:rPr>
                <w:rFonts w:ascii="Times New Roman"/>
                <w:sz w:val="21"/>
              </w:rPr>
            </w:pPr>
            <w:r>
              <w:rPr>
                <w:rFonts w:ascii="Times New Roman"/>
                <w:sz w:val="21"/>
              </w:rPr>
              <w:t>220</w:t>
            </w:r>
          </w:p>
        </w:tc>
        <w:tc>
          <w:tcPr>
            <w:tcW w:w="1367" w:type="dxa"/>
          </w:tcPr>
          <w:p w14:paraId="2BAE8D95">
            <w:pPr>
              <w:pStyle w:val="14"/>
              <w:spacing w:before="75"/>
              <w:ind w:left="401" w:right="391"/>
              <w:jc w:val="center"/>
              <w:rPr>
                <w:rFonts w:ascii="Times New Roman"/>
                <w:sz w:val="21"/>
              </w:rPr>
            </w:pPr>
            <w:r>
              <w:rPr>
                <w:rFonts w:ascii="Times New Roman"/>
                <w:sz w:val="21"/>
              </w:rPr>
              <w:t>30</w:t>
            </w:r>
          </w:p>
        </w:tc>
        <w:tc>
          <w:tcPr>
            <w:tcW w:w="1373" w:type="dxa"/>
          </w:tcPr>
          <w:p w14:paraId="600CD890">
            <w:pPr>
              <w:pStyle w:val="14"/>
              <w:spacing w:before="75"/>
              <w:ind w:left="36" w:right="30"/>
              <w:jc w:val="center"/>
              <w:rPr>
                <w:rFonts w:ascii="Times New Roman"/>
                <w:sz w:val="21"/>
              </w:rPr>
            </w:pPr>
            <w:r>
              <w:rPr>
                <w:rFonts w:ascii="Times New Roman"/>
                <w:sz w:val="21"/>
              </w:rPr>
              <w:t>40</w:t>
            </w:r>
          </w:p>
        </w:tc>
      </w:tr>
      <w:tr w14:paraId="106A6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777" w:type="dxa"/>
          </w:tcPr>
          <w:p w14:paraId="7D6B002C">
            <w:pPr>
              <w:pStyle w:val="14"/>
              <w:spacing w:before="62"/>
              <w:ind w:left="164" w:right="159"/>
              <w:jc w:val="center"/>
              <w:rPr>
                <w:rFonts w:ascii="Times New Roman" w:eastAsia="Times New Roman"/>
                <w:sz w:val="21"/>
              </w:rPr>
            </w:pPr>
            <w:r>
              <w:rPr>
                <w:sz w:val="21"/>
              </w:rPr>
              <w:t xml:space="preserve">产生量 </w:t>
            </w:r>
            <w:r>
              <w:rPr>
                <w:rFonts w:ascii="Times New Roman" w:eastAsia="Times New Roman"/>
                <w:sz w:val="21"/>
              </w:rPr>
              <w:t>kg/d</w:t>
            </w:r>
          </w:p>
        </w:tc>
        <w:tc>
          <w:tcPr>
            <w:tcW w:w="1366" w:type="dxa"/>
          </w:tcPr>
          <w:p w14:paraId="60D3FD06">
            <w:pPr>
              <w:pStyle w:val="14"/>
              <w:spacing w:before="76"/>
              <w:ind w:left="348" w:right="340"/>
              <w:jc w:val="center"/>
              <w:rPr>
                <w:rFonts w:ascii="Times New Roman"/>
                <w:sz w:val="21"/>
              </w:rPr>
            </w:pPr>
            <w:r>
              <w:rPr>
                <w:rFonts w:ascii="Times New Roman"/>
                <w:sz w:val="21"/>
              </w:rPr>
              <w:t>2.1</w:t>
            </w:r>
          </w:p>
        </w:tc>
        <w:tc>
          <w:tcPr>
            <w:tcW w:w="1367" w:type="dxa"/>
          </w:tcPr>
          <w:p w14:paraId="20EDB9F4">
            <w:pPr>
              <w:pStyle w:val="14"/>
              <w:spacing w:before="76"/>
              <w:ind w:left="401" w:right="390"/>
              <w:jc w:val="center"/>
              <w:rPr>
                <w:rFonts w:ascii="Times New Roman"/>
                <w:sz w:val="21"/>
              </w:rPr>
            </w:pPr>
            <w:r>
              <w:rPr>
                <w:rFonts w:ascii="Times New Roman"/>
                <w:sz w:val="21"/>
              </w:rPr>
              <w:t>1.2</w:t>
            </w:r>
          </w:p>
        </w:tc>
        <w:tc>
          <w:tcPr>
            <w:tcW w:w="1367" w:type="dxa"/>
          </w:tcPr>
          <w:p w14:paraId="2B636034">
            <w:pPr>
              <w:pStyle w:val="14"/>
              <w:spacing w:before="76"/>
              <w:ind w:right="487"/>
              <w:jc w:val="right"/>
              <w:rPr>
                <w:rFonts w:ascii="Times New Roman"/>
                <w:sz w:val="21"/>
              </w:rPr>
            </w:pPr>
            <w:r>
              <w:rPr>
                <w:rFonts w:ascii="Times New Roman"/>
                <w:sz w:val="21"/>
              </w:rPr>
              <w:t>1.32</w:t>
            </w:r>
          </w:p>
        </w:tc>
        <w:tc>
          <w:tcPr>
            <w:tcW w:w="1367" w:type="dxa"/>
          </w:tcPr>
          <w:p w14:paraId="0405920D">
            <w:pPr>
              <w:pStyle w:val="14"/>
              <w:spacing w:before="76"/>
              <w:ind w:left="401" w:right="391"/>
              <w:jc w:val="center"/>
              <w:rPr>
                <w:rFonts w:ascii="Times New Roman"/>
                <w:sz w:val="21"/>
              </w:rPr>
            </w:pPr>
            <w:r>
              <w:rPr>
                <w:rFonts w:ascii="Times New Roman"/>
                <w:sz w:val="21"/>
              </w:rPr>
              <w:t>0.18</w:t>
            </w:r>
          </w:p>
        </w:tc>
        <w:tc>
          <w:tcPr>
            <w:tcW w:w="1373" w:type="dxa"/>
          </w:tcPr>
          <w:p w14:paraId="25A16A5C">
            <w:pPr>
              <w:pStyle w:val="14"/>
              <w:spacing w:before="76"/>
              <w:ind w:left="36" w:right="30"/>
              <w:jc w:val="center"/>
              <w:rPr>
                <w:rFonts w:ascii="Times New Roman"/>
                <w:sz w:val="21"/>
              </w:rPr>
            </w:pPr>
            <w:r>
              <w:rPr>
                <w:rFonts w:ascii="Times New Roman"/>
                <w:sz w:val="21"/>
              </w:rPr>
              <w:t>0.24</w:t>
            </w:r>
          </w:p>
        </w:tc>
      </w:tr>
    </w:tbl>
    <w:p w14:paraId="4D70B1D5">
      <w:pPr>
        <w:pStyle w:val="7"/>
        <w:spacing w:line="364" w:lineRule="auto"/>
        <w:ind w:left="280" w:right="337" w:firstLine="480"/>
        <w:jc w:val="both"/>
      </w:pPr>
      <w:r>
        <w:t>暴雨地表径流冲刷浮土、建筑砂石、垃圾、弃土等，径流中包含各种污染物。建议建设单位应设置沉淀池对暴雨期的排水进行收集，充分沉淀处理后再外排。</w:t>
      </w:r>
    </w:p>
    <w:p w14:paraId="450028EC">
      <w:pPr>
        <w:pStyle w:val="6"/>
        <w:spacing w:line="307" w:lineRule="exact"/>
        <w:ind w:left="760"/>
      </w:pPr>
      <w:r>
        <w:t>（</w:t>
      </w:r>
      <w:r>
        <w:rPr>
          <w:rFonts w:ascii="Times New Roman" w:eastAsia="Times New Roman"/>
        </w:rPr>
        <w:t>3</w:t>
      </w:r>
      <w:r>
        <w:t>）施工期噪声污染源</w:t>
      </w:r>
    </w:p>
    <w:p w14:paraId="0361D5AA">
      <w:pPr>
        <w:pStyle w:val="7"/>
        <w:spacing w:before="161" w:line="362" w:lineRule="auto"/>
        <w:ind w:left="280" w:right="337" w:firstLine="480"/>
        <w:jc w:val="both"/>
      </w:pPr>
      <w:r>
        <w:t xml:space="preserve">施工噪声主要来自施工机械和运输车辆，施工机械和运输车辆的单体声级一般均在 </w:t>
      </w:r>
      <w:r>
        <w:rPr>
          <w:rFonts w:ascii="Times New Roman" w:eastAsia="Times New Roman"/>
        </w:rPr>
        <w:t>80dB</w:t>
      </w:r>
      <w:r>
        <w:t>（</w:t>
      </w:r>
      <w:r>
        <w:rPr>
          <w:rFonts w:ascii="Times New Roman" w:eastAsia="Times New Roman"/>
        </w:rPr>
        <w:t>A</w:t>
      </w:r>
      <w:r>
        <w:t xml:space="preserve">）以上，其中声级最大的是打桩机，声级达 </w:t>
      </w:r>
      <w:r>
        <w:rPr>
          <w:rFonts w:ascii="Times New Roman" w:eastAsia="Times New Roman"/>
        </w:rPr>
        <w:t>105dB</w:t>
      </w:r>
      <w:r>
        <w:t>（</w:t>
      </w:r>
      <w:r>
        <w:rPr>
          <w:rFonts w:ascii="Times New Roman" w:eastAsia="Times New Roman"/>
        </w:rPr>
        <w:t>A</w:t>
      </w:r>
      <w:r>
        <w:t>）， 施工机械和运输车辆的噪声将影响施工场地周围区域声环境质量。</w:t>
      </w:r>
    </w:p>
    <w:p w14:paraId="47A41AEA">
      <w:pPr>
        <w:pStyle w:val="7"/>
        <w:spacing w:before="6"/>
        <w:ind w:left="760"/>
      </w:pPr>
      <w:r>
        <w:t>①施工机械噪声</w:t>
      </w:r>
    </w:p>
    <w:p w14:paraId="2C132599">
      <w:pPr>
        <w:pStyle w:val="7"/>
        <w:spacing w:before="160" w:line="362" w:lineRule="auto"/>
        <w:ind w:left="280" w:right="337" w:firstLine="480"/>
        <w:jc w:val="both"/>
      </w:pPr>
      <w:r>
        <w:t>施工设备中噪声级较高的机械设备有挖掘机、装载机、振捣棒、吊车等， 其噪声级详见下表。</w:t>
      </w:r>
    </w:p>
    <w:p w14:paraId="5E8AA18C">
      <w:pPr>
        <w:spacing w:before="4" w:after="3"/>
        <w:ind w:left="262" w:right="319" w:firstLine="0"/>
        <w:jc w:val="center"/>
        <w:rPr>
          <w:rFonts w:ascii="Times New Roman" w:eastAsia="Times New Roman"/>
          <w:b/>
          <w:sz w:val="21"/>
        </w:rPr>
      </w:pPr>
      <w:r>
        <w:rPr>
          <w:b/>
          <w:sz w:val="21"/>
        </w:rPr>
        <w:t xml:space="preserve">表 </w:t>
      </w:r>
      <w:r>
        <w:rPr>
          <w:rFonts w:ascii="Times New Roman" w:eastAsia="Times New Roman"/>
          <w:b/>
          <w:sz w:val="21"/>
        </w:rPr>
        <w:t xml:space="preserve">3.7-5 </w:t>
      </w:r>
      <w:r>
        <w:rPr>
          <w:b/>
          <w:sz w:val="21"/>
        </w:rPr>
        <w:t>各种施工机械设备的噪声值 单位：</w:t>
      </w:r>
      <w:r>
        <w:rPr>
          <w:rFonts w:ascii="Times New Roman" w:eastAsia="Times New Roman"/>
          <w:b/>
          <w:sz w:val="21"/>
        </w:rPr>
        <w:t>dB(A)</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1"/>
        <w:gridCol w:w="1421"/>
        <w:gridCol w:w="1420"/>
        <w:gridCol w:w="1232"/>
        <w:gridCol w:w="1607"/>
        <w:gridCol w:w="1421"/>
      </w:tblGrid>
      <w:tr w14:paraId="789F6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421" w:type="dxa"/>
          </w:tcPr>
          <w:p w14:paraId="0E994B24">
            <w:pPr>
              <w:pStyle w:val="14"/>
              <w:spacing w:before="136"/>
              <w:ind w:left="287"/>
              <w:rPr>
                <w:b/>
                <w:sz w:val="21"/>
              </w:rPr>
            </w:pPr>
            <w:r>
              <w:rPr>
                <w:b/>
                <w:sz w:val="21"/>
              </w:rPr>
              <w:t>施工阶段</w:t>
            </w:r>
          </w:p>
        </w:tc>
        <w:tc>
          <w:tcPr>
            <w:tcW w:w="1421" w:type="dxa"/>
          </w:tcPr>
          <w:p w14:paraId="547058E7">
            <w:pPr>
              <w:pStyle w:val="14"/>
              <w:spacing w:line="268" w:lineRule="exact"/>
              <w:ind w:left="160" w:right="156"/>
              <w:jc w:val="center"/>
              <w:rPr>
                <w:b/>
                <w:sz w:val="21"/>
              </w:rPr>
            </w:pPr>
            <w:r>
              <w:rPr>
                <w:b/>
                <w:sz w:val="21"/>
              </w:rPr>
              <w:t>主要施工机</w:t>
            </w:r>
          </w:p>
          <w:p w14:paraId="4CD07F60">
            <w:pPr>
              <w:pStyle w:val="14"/>
              <w:spacing w:before="4" w:line="252" w:lineRule="exact"/>
              <w:ind w:left="6"/>
              <w:jc w:val="center"/>
              <w:rPr>
                <w:b/>
                <w:sz w:val="21"/>
              </w:rPr>
            </w:pPr>
            <w:r>
              <w:rPr>
                <w:b/>
                <w:w w:val="99"/>
                <w:sz w:val="21"/>
              </w:rPr>
              <w:t>械</w:t>
            </w:r>
          </w:p>
        </w:tc>
        <w:tc>
          <w:tcPr>
            <w:tcW w:w="1420" w:type="dxa"/>
          </w:tcPr>
          <w:p w14:paraId="103793E6">
            <w:pPr>
              <w:pStyle w:val="14"/>
              <w:spacing w:line="268" w:lineRule="exact"/>
              <w:ind w:left="227"/>
              <w:rPr>
                <w:rFonts w:ascii="Times New Roman" w:eastAsia="Times New Roman"/>
                <w:b/>
                <w:sz w:val="21"/>
              </w:rPr>
            </w:pPr>
            <w:r>
              <w:rPr>
                <w:b/>
                <w:sz w:val="21"/>
              </w:rPr>
              <w:t xml:space="preserve">距声源 </w:t>
            </w:r>
            <w:r>
              <w:rPr>
                <w:rFonts w:ascii="Times New Roman" w:eastAsia="Times New Roman"/>
                <w:b/>
                <w:sz w:val="21"/>
              </w:rPr>
              <w:t>1m</w:t>
            </w:r>
          </w:p>
          <w:p w14:paraId="2CAF9CC7">
            <w:pPr>
              <w:pStyle w:val="14"/>
              <w:spacing w:before="4" w:line="252" w:lineRule="exact"/>
              <w:ind w:left="287"/>
              <w:rPr>
                <w:b/>
                <w:sz w:val="21"/>
              </w:rPr>
            </w:pPr>
            <w:r>
              <w:rPr>
                <w:b/>
                <w:sz w:val="21"/>
              </w:rPr>
              <w:t>处噪声级</w:t>
            </w:r>
          </w:p>
        </w:tc>
        <w:tc>
          <w:tcPr>
            <w:tcW w:w="1232" w:type="dxa"/>
          </w:tcPr>
          <w:p w14:paraId="376E615D">
            <w:pPr>
              <w:pStyle w:val="14"/>
              <w:spacing w:before="136"/>
              <w:ind w:left="194"/>
              <w:rPr>
                <w:b/>
                <w:sz w:val="21"/>
              </w:rPr>
            </w:pPr>
            <w:r>
              <w:rPr>
                <w:b/>
                <w:sz w:val="21"/>
              </w:rPr>
              <w:t>施工阶段</w:t>
            </w:r>
          </w:p>
        </w:tc>
        <w:tc>
          <w:tcPr>
            <w:tcW w:w="1607" w:type="dxa"/>
          </w:tcPr>
          <w:p w14:paraId="0ECD31D6">
            <w:pPr>
              <w:pStyle w:val="14"/>
              <w:spacing w:before="136"/>
              <w:ind w:left="148" w:right="143"/>
              <w:jc w:val="center"/>
              <w:rPr>
                <w:b/>
                <w:sz w:val="21"/>
              </w:rPr>
            </w:pPr>
            <w:r>
              <w:rPr>
                <w:b/>
                <w:sz w:val="21"/>
              </w:rPr>
              <w:t>主要施工机械</w:t>
            </w:r>
          </w:p>
        </w:tc>
        <w:tc>
          <w:tcPr>
            <w:tcW w:w="1421" w:type="dxa"/>
          </w:tcPr>
          <w:p w14:paraId="5DC8EBC1">
            <w:pPr>
              <w:pStyle w:val="14"/>
              <w:spacing w:line="268" w:lineRule="exact"/>
              <w:ind w:left="228"/>
              <w:rPr>
                <w:rFonts w:ascii="Times New Roman" w:eastAsia="Times New Roman"/>
                <w:b/>
                <w:sz w:val="21"/>
              </w:rPr>
            </w:pPr>
            <w:r>
              <w:rPr>
                <w:b/>
                <w:sz w:val="21"/>
              </w:rPr>
              <w:t xml:space="preserve">距声源 </w:t>
            </w:r>
            <w:r>
              <w:rPr>
                <w:rFonts w:ascii="Times New Roman" w:eastAsia="Times New Roman"/>
                <w:b/>
                <w:sz w:val="21"/>
              </w:rPr>
              <w:t>1m</w:t>
            </w:r>
          </w:p>
          <w:p w14:paraId="4C621AFB">
            <w:pPr>
              <w:pStyle w:val="14"/>
              <w:spacing w:before="4" w:line="252" w:lineRule="exact"/>
              <w:ind w:left="288"/>
              <w:rPr>
                <w:b/>
                <w:sz w:val="21"/>
              </w:rPr>
            </w:pPr>
            <w:r>
              <w:rPr>
                <w:b/>
                <w:sz w:val="21"/>
              </w:rPr>
              <w:t>处噪声级</w:t>
            </w:r>
          </w:p>
        </w:tc>
      </w:tr>
      <w:tr w14:paraId="09223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21" w:type="dxa"/>
            <w:vMerge w:val="restart"/>
          </w:tcPr>
          <w:p w14:paraId="3C2421DE">
            <w:pPr>
              <w:pStyle w:val="14"/>
              <w:rPr>
                <w:rFonts w:ascii="Times New Roman"/>
                <w:b/>
                <w:sz w:val="18"/>
              </w:rPr>
            </w:pPr>
          </w:p>
          <w:p w14:paraId="39EEA609">
            <w:pPr>
              <w:pStyle w:val="14"/>
              <w:ind w:left="395"/>
              <w:rPr>
                <w:sz w:val="21"/>
              </w:rPr>
            </w:pPr>
            <w:r>
              <w:rPr>
                <w:sz w:val="21"/>
              </w:rPr>
              <w:t>土石方</w:t>
            </w:r>
          </w:p>
        </w:tc>
        <w:tc>
          <w:tcPr>
            <w:tcW w:w="1421" w:type="dxa"/>
          </w:tcPr>
          <w:p w14:paraId="4727E219">
            <w:pPr>
              <w:pStyle w:val="14"/>
              <w:spacing w:before="32"/>
              <w:ind w:left="160" w:right="151"/>
              <w:jc w:val="center"/>
              <w:rPr>
                <w:sz w:val="21"/>
              </w:rPr>
            </w:pPr>
            <w:r>
              <w:rPr>
                <w:sz w:val="21"/>
              </w:rPr>
              <w:t>推土机</w:t>
            </w:r>
          </w:p>
        </w:tc>
        <w:tc>
          <w:tcPr>
            <w:tcW w:w="1420" w:type="dxa"/>
          </w:tcPr>
          <w:p w14:paraId="5A333FBB">
            <w:pPr>
              <w:pStyle w:val="14"/>
              <w:spacing w:before="48"/>
              <w:ind w:right="540"/>
              <w:jc w:val="right"/>
              <w:rPr>
                <w:rFonts w:ascii="Times New Roman"/>
                <w:sz w:val="21"/>
              </w:rPr>
            </w:pPr>
            <w:r>
              <w:rPr>
                <w:rFonts w:ascii="Times New Roman"/>
                <w:sz w:val="21"/>
              </w:rPr>
              <w:t>100</w:t>
            </w:r>
          </w:p>
        </w:tc>
        <w:tc>
          <w:tcPr>
            <w:tcW w:w="1232" w:type="dxa"/>
            <w:vMerge w:val="restart"/>
          </w:tcPr>
          <w:p w14:paraId="4903C1FE">
            <w:pPr>
              <w:pStyle w:val="14"/>
              <w:rPr>
                <w:rFonts w:ascii="Times New Roman"/>
                <w:b/>
                <w:sz w:val="18"/>
              </w:rPr>
            </w:pPr>
          </w:p>
          <w:p w14:paraId="32BF934B">
            <w:pPr>
              <w:pStyle w:val="14"/>
              <w:ind w:left="405"/>
              <w:rPr>
                <w:sz w:val="21"/>
              </w:rPr>
            </w:pPr>
            <w:r>
              <w:rPr>
                <w:sz w:val="21"/>
              </w:rPr>
              <w:t>结构</w:t>
            </w:r>
          </w:p>
        </w:tc>
        <w:tc>
          <w:tcPr>
            <w:tcW w:w="1607" w:type="dxa"/>
          </w:tcPr>
          <w:p w14:paraId="227E469B">
            <w:pPr>
              <w:pStyle w:val="14"/>
              <w:spacing w:before="32"/>
              <w:ind w:left="148" w:right="143"/>
              <w:jc w:val="center"/>
              <w:rPr>
                <w:sz w:val="21"/>
              </w:rPr>
            </w:pPr>
            <w:r>
              <w:rPr>
                <w:sz w:val="21"/>
              </w:rPr>
              <w:t>振捣棒</w:t>
            </w:r>
          </w:p>
        </w:tc>
        <w:tc>
          <w:tcPr>
            <w:tcW w:w="1421" w:type="dxa"/>
          </w:tcPr>
          <w:p w14:paraId="546AF7D2">
            <w:pPr>
              <w:pStyle w:val="14"/>
              <w:spacing w:before="48"/>
              <w:ind w:left="557"/>
              <w:rPr>
                <w:rFonts w:ascii="Times New Roman"/>
                <w:sz w:val="21"/>
              </w:rPr>
            </w:pPr>
            <w:r>
              <w:rPr>
                <w:rFonts w:ascii="Times New Roman"/>
                <w:sz w:val="21"/>
              </w:rPr>
              <w:t>110</w:t>
            </w:r>
          </w:p>
        </w:tc>
      </w:tr>
      <w:tr w14:paraId="125AE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421" w:type="dxa"/>
            <w:vMerge w:val="continue"/>
            <w:tcBorders>
              <w:top w:val="nil"/>
            </w:tcBorders>
          </w:tcPr>
          <w:p w14:paraId="21F1B065">
            <w:pPr>
              <w:rPr>
                <w:sz w:val="2"/>
                <w:szCs w:val="2"/>
              </w:rPr>
            </w:pPr>
          </w:p>
        </w:tc>
        <w:tc>
          <w:tcPr>
            <w:tcW w:w="1421" w:type="dxa"/>
          </w:tcPr>
          <w:p w14:paraId="78FC94D0">
            <w:pPr>
              <w:pStyle w:val="14"/>
              <w:spacing w:before="32"/>
              <w:ind w:left="160" w:right="151"/>
              <w:jc w:val="center"/>
              <w:rPr>
                <w:sz w:val="21"/>
              </w:rPr>
            </w:pPr>
            <w:r>
              <w:rPr>
                <w:sz w:val="21"/>
              </w:rPr>
              <w:t>挖掘机</w:t>
            </w:r>
          </w:p>
        </w:tc>
        <w:tc>
          <w:tcPr>
            <w:tcW w:w="1420" w:type="dxa"/>
          </w:tcPr>
          <w:p w14:paraId="3D983FC3">
            <w:pPr>
              <w:pStyle w:val="14"/>
              <w:spacing w:before="49"/>
              <w:ind w:right="540"/>
              <w:jc w:val="right"/>
              <w:rPr>
                <w:rFonts w:ascii="Times New Roman"/>
                <w:sz w:val="21"/>
              </w:rPr>
            </w:pPr>
            <w:r>
              <w:rPr>
                <w:rFonts w:ascii="Times New Roman"/>
                <w:sz w:val="21"/>
              </w:rPr>
              <w:t>100</w:t>
            </w:r>
          </w:p>
        </w:tc>
        <w:tc>
          <w:tcPr>
            <w:tcW w:w="1232" w:type="dxa"/>
            <w:vMerge w:val="continue"/>
            <w:tcBorders>
              <w:top w:val="nil"/>
            </w:tcBorders>
          </w:tcPr>
          <w:p w14:paraId="06761F11">
            <w:pPr>
              <w:rPr>
                <w:sz w:val="2"/>
                <w:szCs w:val="2"/>
              </w:rPr>
            </w:pPr>
          </w:p>
        </w:tc>
        <w:tc>
          <w:tcPr>
            <w:tcW w:w="1607" w:type="dxa"/>
          </w:tcPr>
          <w:p w14:paraId="4FC41795">
            <w:pPr>
              <w:pStyle w:val="14"/>
              <w:spacing w:before="32"/>
              <w:ind w:left="148" w:right="143"/>
              <w:jc w:val="center"/>
              <w:rPr>
                <w:sz w:val="21"/>
              </w:rPr>
            </w:pPr>
            <w:r>
              <w:rPr>
                <w:sz w:val="21"/>
              </w:rPr>
              <w:t>搅拌机</w:t>
            </w:r>
          </w:p>
        </w:tc>
        <w:tc>
          <w:tcPr>
            <w:tcW w:w="1421" w:type="dxa"/>
          </w:tcPr>
          <w:p w14:paraId="5F937B3C">
            <w:pPr>
              <w:pStyle w:val="14"/>
              <w:spacing w:before="49"/>
              <w:ind w:left="605"/>
              <w:rPr>
                <w:rFonts w:ascii="Times New Roman"/>
                <w:sz w:val="21"/>
              </w:rPr>
            </w:pPr>
            <w:r>
              <w:rPr>
                <w:rFonts w:ascii="Times New Roman"/>
                <w:sz w:val="21"/>
              </w:rPr>
              <w:t>90</w:t>
            </w:r>
          </w:p>
        </w:tc>
      </w:tr>
    </w:tbl>
    <w:p w14:paraId="64E193D5">
      <w:pPr>
        <w:spacing w:after="0"/>
        <w:rPr>
          <w:rFonts w:ascii="Times New Roman"/>
          <w:sz w:val="21"/>
        </w:rPr>
        <w:sectPr>
          <w:pgSz w:w="11910" w:h="16840"/>
          <w:pgMar w:top="1360" w:right="1460" w:bottom="1400" w:left="1520" w:header="878" w:footer="1204" w:gutter="0"/>
          <w:cols w:space="720" w:num="1"/>
        </w:sectPr>
      </w:pPr>
    </w:p>
    <w:p w14:paraId="578DFD37">
      <w:pPr>
        <w:pStyle w:val="7"/>
        <w:spacing w:before="9"/>
        <w:rPr>
          <w:rFonts w:ascii="Times New Roman"/>
          <w:b/>
          <w:sz w:val="5"/>
        </w:rPr>
      </w:pP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1"/>
        <w:gridCol w:w="1421"/>
        <w:gridCol w:w="1420"/>
        <w:gridCol w:w="1232"/>
        <w:gridCol w:w="1607"/>
        <w:gridCol w:w="1421"/>
      </w:tblGrid>
      <w:tr w14:paraId="4A36A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21" w:type="dxa"/>
            <w:vMerge w:val="restart"/>
          </w:tcPr>
          <w:p w14:paraId="6B08E94D">
            <w:pPr>
              <w:pStyle w:val="14"/>
              <w:rPr>
                <w:rFonts w:ascii="Times New Roman"/>
                <w:sz w:val="22"/>
              </w:rPr>
            </w:pPr>
          </w:p>
        </w:tc>
        <w:tc>
          <w:tcPr>
            <w:tcW w:w="1421" w:type="dxa"/>
          </w:tcPr>
          <w:p w14:paraId="0DC86AA8">
            <w:pPr>
              <w:pStyle w:val="14"/>
              <w:spacing w:before="33"/>
              <w:ind w:left="160" w:right="151"/>
              <w:jc w:val="center"/>
              <w:rPr>
                <w:sz w:val="21"/>
              </w:rPr>
            </w:pPr>
            <w:r>
              <w:rPr>
                <w:sz w:val="21"/>
              </w:rPr>
              <w:t>载重机</w:t>
            </w:r>
          </w:p>
        </w:tc>
        <w:tc>
          <w:tcPr>
            <w:tcW w:w="1420" w:type="dxa"/>
          </w:tcPr>
          <w:p w14:paraId="41B0C611">
            <w:pPr>
              <w:pStyle w:val="14"/>
              <w:spacing w:before="49"/>
              <w:ind w:left="604"/>
              <w:rPr>
                <w:rFonts w:ascii="Times New Roman"/>
                <w:sz w:val="21"/>
              </w:rPr>
            </w:pPr>
            <w:r>
              <w:rPr>
                <w:rFonts w:ascii="Times New Roman"/>
                <w:sz w:val="21"/>
              </w:rPr>
              <w:t>89</w:t>
            </w:r>
          </w:p>
        </w:tc>
        <w:tc>
          <w:tcPr>
            <w:tcW w:w="1232" w:type="dxa"/>
            <w:vMerge w:val="restart"/>
          </w:tcPr>
          <w:p w14:paraId="14552945">
            <w:pPr>
              <w:pStyle w:val="14"/>
              <w:rPr>
                <w:rFonts w:ascii="Times New Roman"/>
                <w:sz w:val="22"/>
              </w:rPr>
            </w:pPr>
          </w:p>
        </w:tc>
        <w:tc>
          <w:tcPr>
            <w:tcW w:w="1607" w:type="dxa"/>
          </w:tcPr>
          <w:p w14:paraId="52DFBAE3">
            <w:pPr>
              <w:pStyle w:val="14"/>
              <w:spacing w:before="33"/>
              <w:ind w:left="148" w:right="143"/>
              <w:jc w:val="center"/>
              <w:rPr>
                <w:sz w:val="21"/>
              </w:rPr>
            </w:pPr>
            <w:r>
              <w:rPr>
                <w:sz w:val="21"/>
              </w:rPr>
              <w:t>电锯</w:t>
            </w:r>
          </w:p>
        </w:tc>
        <w:tc>
          <w:tcPr>
            <w:tcW w:w="1421" w:type="dxa"/>
          </w:tcPr>
          <w:p w14:paraId="1C32DA9A">
            <w:pPr>
              <w:pStyle w:val="14"/>
              <w:spacing w:before="49"/>
              <w:ind w:left="605"/>
              <w:rPr>
                <w:rFonts w:ascii="Times New Roman"/>
                <w:sz w:val="21"/>
              </w:rPr>
            </w:pPr>
            <w:r>
              <w:rPr>
                <w:rFonts w:ascii="Times New Roman"/>
                <w:sz w:val="21"/>
              </w:rPr>
              <w:t>95</w:t>
            </w:r>
          </w:p>
        </w:tc>
      </w:tr>
      <w:tr w14:paraId="234FF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21" w:type="dxa"/>
            <w:vMerge w:val="continue"/>
            <w:tcBorders>
              <w:top w:val="nil"/>
            </w:tcBorders>
          </w:tcPr>
          <w:p w14:paraId="4E55F40A">
            <w:pPr>
              <w:rPr>
                <w:sz w:val="2"/>
                <w:szCs w:val="2"/>
              </w:rPr>
            </w:pPr>
          </w:p>
        </w:tc>
        <w:tc>
          <w:tcPr>
            <w:tcW w:w="1421" w:type="dxa"/>
          </w:tcPr>
          <w:p w14:paraId="3B3BE54F">
            <w:pPr>
              <w:pStyle w:val="14"/>
              <w:spacing w:before="33"/>
              <w:ind w:left="160" w:right="154"/>
              <w:jc w:val="center"/>
              <w:rPr>
                <w:sz w:val="21"/>
              </w:rPr>
            </w:pPr>
            <w:r>
              <w:rPr>
                <w:sz w:val="21"/>
              </w:rPr>
              <w:t>运输车辆</w:t>
            </w:r>
          </w:p>
        </w:tc>
        <w:tc>
          <w:tcPr>
            <w:tcW w:w="1420" w:type="dxa"/>
          </w:tcPr>
          <w:p w14:paraId="57886215">
            <w:pPr>
              <w:pStyle w:val="14"/>
              <w:spacing w:before="50"/>
              <w:ind w:left="604"/>
              <w:rPr>
                <w:rFonts w:ascii="Times New Roman"/>
                <w:sz w:val="21"/>
              </w:rPr>
            </w:pPr>
            <w:r>
              <w:rPr>
                <w:rFonts w:ascii="Times New Roman"/>
                <w:sz w:val="21"/>
              </w:rPr>
              <w:t>90</w:t>
            </w:r>
          </w:p>
        </w:tc>
        <w:tc>
          <w:tcPr>
            <w:tcW w:w="1232" w:type="dxa"/>
            <w:vMerge w:val="continue"/>
            <w:tcBorders>
              <w:top w:val="nil"/>
            </w:tcBorders>
          </w:tcPr>
          <w:p w14:paraId="39E1016B">
            <w:pPr>
              <w:rPr>
                <w:sz w:val="2"/>
                <w:szCs w:val="2"/>
              </w:rPr>
            </w:pPr>
          </w:p>
        </w:tc>
        <w:tc>
          <w:tcPr>
            <w:tcW w:w="1607" w:type="dxa"/>
          </w:tcPr>
          <w:p w14:paraId="04B59067">
            <w:pPr>
              <w:pStyle w:val="14"/>
              <w:spacing w:before="33"/>
              <w:ind w:left="148" w:right="143"/>
              <w:jc w:val="center"/>
              <w:rPr>
                <w:sz w:val="21"/>
              </w:rPr>
            </w:pPr>
            <w:r>
              <w:rPr>
                <w:sz w:val="21"/>
              </w:rPr>
              <w:t>吊车、升降机</w:t>
            </w:r>
          </w:p>
        </w:tc>
        <w:tc>
          <w:tcPr>
            <w:tcW w:w="1421" w:type="dxa"/>
          </w:tcPr>
          <w:p w14:paraId="0FF05CB2">
            <w:pPr>
              <w:pStyle w:val="14"/>
              <w:spacing w:before="50"/>
              <w:ind w:left="605"/>
              <w:rPr>
                <w:rFonts w:ascii="Times New Roman"/>
                <w:sz w:val="21"/>
              </w:rPr>
            </w:pPr>
            <w:r>
              <w:rPr>
                <w:rFonts w:ascii="Times New Roman"/>
                <w:sz w:val="21"/>
              </w:rPr>
              <w:t>90</w:t>
            </w:r>
          </w:p>
        </w:tc>
      </w:tr>
      <w:tr w14:paraId="4B847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421" w:type="dxa"/>
            <w:vMerge w:val="restart"/>
          </w:tcPr>
          <w:p w14:paraId="5A7C79C5">
            <w:pPr>
              <w:pStyle w:val="14"/>
              <w:spacing w:before="2"/>
              <w:rPr>
                <w:rFonts w:ascii="Times New Roman"/>
                <w:b/>
                <w:sz w:val="18"/>
              </w:rPr>
            </w:pPr>
          </w:p>
          <w:p w14:paraId="213399A4">
            <w:pPr>
              <w:pStyle w:val="14"/>
              <w:ind w:left="160" w:right="156"/>
              <w:jc w:val="center"/>
              <w:rPr>
                <w:sz w:val="21"/>
              </w:rPr>
            </w:pPr>
            <w:r>
              <w:rPr>
                <w:sz w:val="21"/>
              </w:rPr>
              <w:t>基础</w:t>
            </w:r>
          </w:p>
        </w:tc>
        <w:tc>
          <w:tcPr>
            <w:tcW w:w="1421" w:type="dxa"/>
          </w:tcPr>
          <w:p w14:paraId="7A4744DA">
            <w:pPr>
              <w:pStyle w:val="14"/>
              <w:spacing w:before="34"/>
              <w:ind w:left="160" w:right="151"/>
              <w:jc w:val="center"/>
              <w:rPr>
                <w:sz w:val="21"/>
              </w:rPr>
            </w:pPr>
            <w:r>
              <w:rPr>
                <w:sz w:val="21"/>
              </w:rPr>
              <w:t>液压桩</w:t>
            </w:r>
          </w:p>
        </w:tc>
        <w:tc>
          <w:tcPr>
            <w:tcW w:w="1420" w:type="dxa"/>
          </w:tcPr>
          <w:p w14:paraId="6EA4AB2E">
            <w:pPr>
              <w:pStyle w:val="14"/>
              <w:spacing w:before="48"/>
              <w:ind w:left="551"/>
              <w:rPr>
                <w:rFonts w:ascii="Times New Roman"/>
                <w:sz w:val="21"/>
              </w:rPr>
            </w:pPr>
            <w:r>
              <w:rPr>
                <w:rFonts w:ascii="Times New Roman"/>
                <w:sz w:val="21"/>
              </w:rPr>
              <w:t>100</w:t>
            </w:r>
          </w:p>
        </w:tc>
        <w:tc>
          <w:tcPr>
            <w:tcW w:w="1232" w:type="dxa"/>
            <w:vMerge w:val="restart"/>
          </w:tcPr>
          <w:p w14:paraId="3B4FAF3C">
            <w:pPr>
              <w:pStyle w:val="14"/>
              <w:spacing w:before="2"/>
              <w:rPr>
                <w:rFonts w:ascii="Times New Roman"/>
                <w:b/>
                <w:sz w:val="18"/>
              </w:rPr>
            </w:pPr>
          </w:p>
          <w:p w14:paraId="718F3C41">
            <w:pPr>
              <w:pStyle w:val="14"/>
              <w:ind w:left="405"/>
              <w:rPr>
                <w:sz w:val="21"/>
              </w:rPr>
            </w:pPr>
            <w:r>
              <w:rPr>
                <w:sz w:val="21"/>
              </w:rPr>
              <w:t>装修</w:t>
            </w:r>
          </w:p>
        </w:tc>
        <w:tc>
          <w:tcPr>
            <w:tcW w:w="1607" w:type="dxa"/>
          </w:tcPr>
          <w:p w14:paraId="3F6E66CA">
            <w:pPr>
              <w:pStyle w:val="14"/>
              <w:spacing w:before="34"/>
              <w:ind w:left="148" w:right="143"/>
              <w:jc w:val="center"/>
              <w:rPr>
                <w:sz w:val="21"/>
              </w:rPr>
            </w:pPr>
            <w:r>
              <w:rPr>
                <w:sz w:val="21"/>
              </w:rPr>
              <w:t>切割机</w:t>
            </w:r>
          </w:p>
        </w:tc>
        <w:tc>
          <w:tcPr>
            <w:tcW w:w="1421" w:type="dxa"/>
          </w:tcPr>
          <w:p w14:paraId="1FE888E4">
            <w:pPr>
              <w:pStyle w:val="14"/>
              <w:spacing w:before="48"/>
              <w:ind w:left="605"/>
              <w:rPr>
                <w:rFonts w:ascii="Times New Roman"/>
                <w:sz w:val="21"/>
              </w:rPr>
            </w:pPr>
            <w:r>
              <w:rPr>
                <w:rFonts w:ascii="Times New Roman"/>
                <w:sz w:val="21"/>
              </w:rPr>
              <w:t>90</w:t>
            </w:r>
          </w:p>
        </w:tc>
      </w:tr>
      <w:tr w14:paraId="5B6A6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21" w:type="dxa"/>
            <w:vMerge w:val="continue"/>
            <w:tcBorders>
              <w:top w:val="nil"/>
            </w:tcBorders>
          </w:tcPr>
          <w:p w14:paraId="36B166F2">
            <w:pPr>
              <w:rPr>
                <w:sz w:val="2"/>
                <w:szCs w:val="2"/>
              </w:rPr>
            </w:pPr>
          </w:p>
        </w:tc>
        <w:tc>
          <w:tcPr>
            <w:tcW w:w="1421" w:type="dxa"/>
          </w:tcPr>
          <w:p w14:paraId="17C6570F">
            <w:pPr>
              <w:pStyle w:val="14"/>
              <w:spacing w:before="34"/>
              <w:ind w:left="160" w:right="151"/>
              <w:jc w:val="center"/>
              <w:rPr>
                <w:sz w:val="21"/>
              </w:rPr>
            </w:pPr>
            <w:r>
              <w:rPr>
                <w:sz w:val="21"/>
              </w:rPr>
              <w:t>钻孔机</w:t>
            </w:r>
          </w:p>
        </w:tc>
        <w:tc>
          <w:tcPr>
            <w:tcW w:w="1420" w:type="dxa"/>
          </w:tcPr>
          <w:p w14:paraId="4FF6C328">
            <w:pPr>
              <w:pStyle w:val="14"/>
              <w:spacing w:before="48"/>
              <w:ind w:left="551"/>
              <w:rPr>
                <w:rFonts w:ascii="Times New Roman"/>
                <w:sz w:val="21"/>
              </w:rPr>
            </w:pPr>
            <w:r>
              <w:rPr>
                <w:rFonts w:ascii="Times New Roman"/>
                <w:sz w:val="21"/>
              </w:rPr>
              <w:t>100</w:t>
            </w:r>
          </w:p>
        </w:tc>
        <w:tc>
          <w:tcPr>
            <w:tcW w:w="1232" w:type="dxa"/>
            <w:vMerge w:val="continue"/>
            <w:tcBorders>
              <w:top w:val="nil"/>
            </w:tcBorders>
          </w:tcPr>
          <w:p w14:paraId="42B54CE4">
            <w:pPr>
              <w:rPr>
                <w:sz w:val="2"/>
                <w:szCs w:val="2"/>
              </w:rPr>
            </w:pPr>
          </w:p>
        </w:tc>
        <w:tc>
          <w:tcPr>
            <w:tcW w:w="1607" w:type="dxa"/>
          </w:tcPr>
          <w:p w14:paraId="2939291A">
            <w:pPr>
              <w:pStyle w:val="14"/>
              <w:spacing w:before="34"/>
              <w:ind w:left="148" w:right="143"/>
              <w:jc w:val="center"/>
              <w:rPr>
                <w:sz w:val="21"/>
              </w:rPr>
            </w:pPr>
            <w:r>
              <w:rPr>
                <w:sz w:val="21"/>
              </w:rPr>
              <w:t>冲击钻</w:t>
            </w:r>
          </w:p>
        </w:tc>
        <w:tc>
          <w:tcPr>
            <w:tcW w:w="1421" w:type="dxa"/>
          </w:tcPr>
          <w:p w14:paraId="58C9DF69">
            <w:pPr>
              <w:pStyle w:val="14"/>
              <w:spacing w:before="48"/>
              <w:ind w:left="605"/>
              <w:rPr>
                <w:rFonts w:ascii="Times New Roman"/>
                <w:sz w:val="21"/>
              </w:rPr>
            </w:pPr>
            <w:r>
              <w:rPr>
                <w:rFonts w:ascii="Times New Roman"/>
                <w:sz w:val="21"/>
              </w:rPr>
              <w:t>90</w:t>
            </w:r>
          </w:p>
        </w:tc>
      </w:tr>
    </w:tbl>
    <w:p w14:paraId="3D59EE8D">
      <w:pPr>
        <w:pStyle w:val="7"/>
        <w:spacing w:before="3"/>
        <w:ind w:left="760"/>
      </w:pPr>
      <w:r>
        <w:t>②运输车辆噪声</w:t>
      </w:r>
    </w:p>
    <w:p w14:paraId="1CE22B77">
      <w:pPr>
        <w:pStyle w:val="7"/>
        <w:spacing w:before="158" w:line="364" w:lineRule="auto"/>
        <w:ind w:left="280" w:right="337" w:firstLine="480"/>
        <w:jc w:val="both"/>
      </w:pPr>
      <w:r>
        <w:t xml:space="preserve">施工期需要运输大量的土石方、原材料，物料运输车流量增加，施工过程中使用的大型货运卡车，其噪声级高达 </w:t>
      </w:r>
      <w:r>
        <w:rPr>
          <w:rFonts w:ascii="Times New Roman" w:eastAsia="Times New Roman"/>
        </w:rPr>
        <w:t>95dB</w:t>
      </w:r>
      <w:r>
        <w:t>（</w:t>
      </w:r>
      <w:r>
        <w:rPr>
          <w:rFonts w:ascii="Times New Roman" w:eastAsia="Times New Roman"/>
        </w:rPr>
        <w:t>A</w:t>
      </w:r>
      <w:r>
        <w:t>），施工期交通运输车辆噪声源强见下表。</w:t>
      </w:r>
    </w:p>
    <w:p w14:paraId="18E48051">
      <w:pPr>
        <w:spacing w:before="0" w:after="3" w:line="268" w:lineRule="exact"/>
        <w:ind w:left="2166" w:right="0" w:firstLine="0"/>
        <w:jc w:val="left"/>
        <w:rPr>
          <w:b/>
          <w:sz w:val="21"/>
        </w:rPr>
      </w:pPr>
      <w:r>
        <w:rPr>
          <w:b/>
          <w:spacing w:val="-28"/>
          <w:sz w:val="21"/>
        </w:rPr>
        <w:t xml:space="preserve">表 </w:t>
      </w:r>
      <w:r>
        <w:rPr>
          <w:rFonts w:ascii="Times New Roman" w:eastAsia="Times New Roman"/>
          <w:b/>
          <w:sz w:val="21"/>
        </w:rPr>
        <w:t>3.7-6</w:t>
      </w:r>
      <w:r>
        <w:rPr>
          <w:rFonts w:ascii="Times New Roman" w:eastAsia="Times New Roman"/>
          <w:b/>
          <w:spacing w:val="50"/>
          <w:sz w:val="21"/>
        </w:rPr>
        <w:t xml:space="preserve"> </w:t>
      </w:r>
      <w:r>
        <w:rPr>
          <w:b/>
          <w:spacing w:val="0"/>
          <w:sz w:val="21"/>
        </w:rPr>
        <w:t>施工期运输车辆噪声级 单位：</w:t>
      </w:r>
      <w:r>
        <w:rPr>
          <w:rFonts w:ascii="Times New Roman" w:eastAsia="Times New Roman"/>
          <w:b/>
          <w:sz w:val="21"/>
        </w:rPr>
        <w:t>dB</w:t>
      </w:r>
      <w:r>
        <w:rPr>
          <w:b/>
          <w:sz w:val="21"/>
        </w:rPr>
        <w:t>（</w:t>
      </w:r>
      <w:r>
        <w:rPr>
          <w:rFonts w:ascii="Times New Roman" w:eastAsia="Times New Roman"/>
          <w:b/>
          <w:sz w:val="21"/>
        </w:rPr>
        <w:t>A</w:t>
      </w:r>
      <w:r>
        <w:rPr>
          <w:b/>
          <w:sz w:val="21"/>
        </w:rPr>
        <w:t>）</w:t>
      </w: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4"/>
        <w:gridCol w:w="2062"/>
        <w:gridCol w:w="2644"/>
        <w:gridCol w:w="2517"/>
      </w:tblGrid>
      <w:tr w14:paraId="5C026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94" w:type="dxa"/>
          </w:tcPr>
          <w:p w14:paraId="56F890C6">
            <w:pPr>
              <w:pStyle w:val="14"/>
              <w:spacing w:before="61"/>
              <w:ind w:left="142" w:right="137"/>
              <w:jc w:val="center"/>
              <w:rPr>
                <w:b/>
                <w:sz w:val="21"/>
              </w:rPr>
            </w:pPr>
            <w:r>
              <w:rPr>
                <w:b/>
                <w:sz w:val="21"/>
              </w:rPr>
              <w:t>声源</w:t>
            </w:r>
          </w:p>
        </w:tc>
        <w:tc>
          <w:tcPr>
            <w:tcW w:w="2062" w:type="dxa"/>
          </w:tcPr>
          <w:p w14:paraId="44A60404">
            <w:pPr>
              <w:pStyle w:val="14"/>
              <w:spacing w:before="61"/>
              <w:ind w:left="482" w:right="475"/>
              <w:jc w:val="center"/>
              <w:rPr>
                <w:b/>
                <w:sz w:val="21"/>
              </w:rPr>
            </w:pPr>
            <w:r>
              <w:rPr>
                <w:b/>
                <w:sz w:val="21"/>
              </w:rPr>
              <w:t>大型载重车</w:t>
            </w:r>
          </w:p>
        </w:tc>
        <w:tc>
          <w:tcPr>
            <w:tcW w:w="2644" w:type="dxa"/>
          </w:tcPr>
          <w:p w14:paraId="66D9F080">
            <w:pPr>
              <w:pStyle w:val="14"/>
              <w:spacing w:before="61"/>
              <w:ind w:left="120" w:right="115"/>
              <w:jc w:val="center"/>
              <w:rPr>
                <w:b/>
                <w:sz w:val="21"/>
              </w:rPr>
            </w:pPr>
            <w:r>
              <w:rPr>
                <w:b/>
                <w:sz w:val="21"/>
              </w:rPr>
              <w:t>混凝土罐车、载重车</w:t>
            </w:r>
          </w:p>
        </w:tc>
        <w:tc>
          <w:tcPr>
            <w:tcW w:w="2517" w:type="dxa"/>
          </w:tcPr>
          <w:p w14:paraId="4CB4039A">
            <w:pPr>
              <w:pStyle w:val="14"/>
              <w:spacing w:before="61"/>
              <w:ind w:left="603" w:right="599"/>
              <w:jc w:val="center"/>
              <w:rPr>
                <w:b/>
                <w:sz w:val="21"/>
              </w:rPr>
            </w:pPr>
            <w:r>
              <w:rPr>
                <w:b/>
                <w:sz w:val="21"/>
              </w:rPr>
              <w:t>轻型载重卡车</w:t>
            </w:r>
          </w:p>
        </w:tc>
      </w:tr>
      <w:tr w14:paraId="6E432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94" w:type="dxa"/>
          </w:tcPr>
          <w:p w14:paraId="611B771D">
            <w:pPr>
              <w:pStyle w:val="14"/>
              <w:spacing w:before="62"/>
              <w:ind w:left="144" w:right="137"/>
              <w:jc w:val="center"/>
              <w:rPr>
                <w:rFonts w:ascii="Times New Roman" w:eastAsia="Times New Roman"/>
                <w:sz w:val="21"/>
              </w:rPr>
            </w:pPr>
            <w:r>
              <w:rPr>
                <w:sz w:val="21"/>
              </w:rPr>
              <w:t xml:space="preserve">声级 </w:t>
            </w:r>
            <w:r>
              <w:rPr>
                <w:rFonts w:ascii="Times New Roman" w:eastAsia="Times New Roman"/>
                <w:sz w:val="21"/>
              </w:rPr>
              <w:t>dB(A)</w:t>
            </w:r>
          </w:p>
        </w:tc>
        <w:tc>
          <w:tcPr>
            <w:tcW w:w="2062" w:type="dxa"/>
          </w:tcPr>
          <w:p w14:paraId="5BB1E77E">
            <w:pPr>
              <w:pStyle w:val="14"/>
              <w:spacing w:before="76"/>
              <w:ind w:left="482" w:right="471"/>
              <w:jc w:val="center"/>
              <w:rPr>
                <w:rFonts w:ascii="Times New Roman"/>
                <w:sz w:val="21"/>
              </w:rPr>
            </w:pPr>
            <w:r>
              <w:rPr>
                <w:rFonts w:ascii="Times New Roman"/>
                <w:sz w:val="21"/>
              </w:rPr>
              <w:t>95</w:t>
            </w:r>
          </w:p>
        </w:tc>
        <w:tc>
          <w:tcPr>
            <w:tcW w:w="2644" w:type="dxa"/>
          </w:tcPr>
          <w:p w14:paraId="675BBB45">
            <w:pPr>
              <w:pStyle w:val="14"/>
              <w:spacing w:before="76"/>
              <w:ind w:left="124" w:right="113"/>
              <w:jc w:val="center"/>
              <w:rPr>
                <w:rFonts w:ascii="Times New Roman"/>
                <w:sz w:val="21"/>
              </w:rPr>
            </w:pPr>
            <w:r>
              <w:rPr>
                <w:rFonts w:ascii="Times New Roman"/>
                <w:sz w:val="21"/>
              </w:rPr>
              <w:t>80~85</w:t>
            </w:r>
          </w:p>
        </w:tc>
        <w:tc>
          <w:tcPr>
            <w:tcW w:w="2517" w:type="dxa"/>
          </w:tcPr>
          <w:p w14:paraId="4B6FB522">
            <w:pPr>
              <w:pStyle w:val="14"/>
              <w:spacing w:before="76"/>
              <w:ind w:left="603" w:right="595"/>
              <w:jc w:val="center"/>
              <w:rPr>
                <w:rFonts w:ascii="Times New Roman"/>
                <w:sz w:val="21"/>
              </w:rPr>
            </w:pPr>
            <w:r>
              <w:rPr>
                <w:rFonts w:ascii="Times New Roman"/>
                <w:sz w:val="21"/>
              </w:rPr>
              <w:t>75</w:t>
            </w:r>
          </w:p>
        </w:tc>
      </w:tr>
    </w:tbl>
    <w:p w14:paraId="0C5D47DA">
      <w:pPr>
        <w:pStyle w:val="7"/>
        <w:spacing w:line="364" w:lineRule="auto"/>
        <w:ind w:left="280" w:right="337" w:firstLine="480"/>
      </w:pPr>
      <w:r>
        <w:t>建议在本项目的施工过程中，严格控制施工时间，加强施工管理，减轻施工噪声对周围环境的影响。</w:t>
      </w:r>
    </w:p>
    <w:p w14:paraId="157FB543">
      <w:pPr>
        <w:pStyle w:val="6"/>
        <w:spacing w:before="1"/>
        <w:ind w:left="760"/>
      </w:pPr>
      <w:r>
        <w:t>（</w:t>
      </w:r>
      <w:r>
        <w:rPr>
          <w:rFonts w:ascii="Times New Roman" w:eastAsia="Times New Roman"/>
        </w:rPr>
        <w:t>4</w:t>
      </w:r>
      <w:r>
        <w:t>）施工期固体废物</w:t>
      </w:r>
    </w:p>
    <w:p w14:paraId="6CFDD6B9">
      <w:pPr>
        <w:pStyle w:val="7"/>
        <w:spacing w:before="158"/>
        <w:ind w:left="760"/>
      </w:pPr>
      <w:r>
        <w:t>施工期固体废物主要包括废弃土石方、建筑垃圾、施工人员生活垃圾。</w:t>
      </w:r>
    </w:p>
    <w:p w14:paraId="37FF7F2F">
      <w:pPr>
        <w:pStyle w:val="7"/>
        <w:spacing w:before="161"/>
        <w:ind w:left="760"/>
      </w:pPr>
      <w:r>
        <w:t>①废弃土石方</w:t>
      </w:r>
    </w:p>
    <w:p w14:paraId="5F66EF80">
      <w:pPr>
        <w:pStyle w:val="7"/>
        <w:spacing w:before="158"/>
        <w:ind w:left="760"/>
      </w:pPr>
      <w:r>
        <w:t xml:space="preserve">土石方工程：本项目施工期开挖土石方 </w:t>
      </w:r>
      <w:r>
        <w:rPr>
          <w:rFonts w:ascii="Times New Roman" w:eastAsia="Times New Roman"/>
        </w:rPr>
        <w:t xml:space="preserve">2 </w:t>
      </w:r>
      <w:r>
        <w:t xml:space="preserve">万 </w:t>
      </w:r>
      <w:r>
        <w:rPr>
          <w:rFonts w:ascii="Times New Roman" w:eastAsia="Times New Roman"/>
        </w:rPr>
        <w:t>m</w:t>
      </w:r>
      <w:r>
        <w:rPr>
          <w:rFonts w:ascii="Times New Roman" w:eastAsia="Times New Roman"/>
          <w:position w:val="8"/>
          <w:sz w:val="15"/>
        </w:rPr>
        <w:t>3</w:t>
      </w:r>
      <w:r>
        <w:t xml:space="preserve">，填方 </w:t>
      </w:r>
      <w:r>
        <w:rPr>
          <w:rFonts w:ascii="Times New Roman" w:eastAsia="Times New Roman"/>
        </w:rPr>
        <w:t xml:space="preserve">1 </w:t>
      </w:r>
      <w:r>
        <w:t xml:space="preserve">万 </w:t>
      </w:r>
      <w:r>
        <w:rPr>
          <w:rFonts w:ascii="Times New Roman" w:eastAsia="Times New Roman"/>
        </w:rPr>
        <w:t>m</w:t>
      </w:r>
      <w:r>
        <w:rPr>
          <w:rFonts w:ascii="Times New Roman" w:eastAsia="Times New Roman"/>
          <w:position w:val="8"/>
          <w:sz w:val="15"/>
        </w:rPr>
        <w:t>3</w:t>
      </w:r>
      <w:r>
        <w:t>，弃土方约为</w:t>
      </w:r>
    </w:p>
    <w:p w14:paraId="63D0CCE0">
      <w:pPr>
        <w:pStyle w:val="7"/>
        <w:spacing w:before="160" w:line="362" w:lineRule="auto"/>
        <w:ind w:left="280" w:right="337"/>
      </w:pPr>
      <w:r>
        <w:rPr>
          <w:rFonts w:ascii="Times New Roman" w:eastAsia="Times New Roman"/>
        </w:rPr>
        <w:t xml:space="preserve">1 </w:t>
      </w:r>
      <w:r>
        <w:t xml:space="preserve">万 </w:t>
      </w:r>
      <w:r>
        <w:rPr>
          <w:rFonts w:ascii="Times New Roman" w:eastAsia="Times New Roman"/>
        </w:rPr>
        <w:t>m</w:t>
      </w:r>
      <w:r>
        <w:rPr>
          <w:rFonts w:ascii="Times New Roman" w:eastAsia="Times New Roman"/>
          <w:position w:val="8"/>
          <w:sz w:val="15"/>
        </w:rPr>
        <w:t>3</w:t>
      </w:r>
      <w:r>
        <w:t>，本项目不自行设置弃土场，弃土运至市政土方平衡堆存场地，实现区域取弃土平衡。</w:t>
      </w:r>
    </w:p>
    <w:p w14:paraId="68EC1CE6">
      <w:pPr>
        <w:pStyle w:val="7"/>
        <w:spacing w:before="5"/>
        <w:ind w:left="760"/>
      </w:pPr>
      <w:r>
        <w:t>②建筑垃圾</w:t>
      </w:r>
    </w:p>
    <w:p w14:paraId="1861CEA9">
      <w:pPr>
        <w:pStyle w:val="7"/>
        <w:spacing w:before="158" w:line="364" w:lineRule="auto"/>
        <w:ind w:left="280" w:right="337" w:firstLine="480"/>
        <w:jc w:val="both"/>
      </w:pPr>
      <w:r>
        <w:t>建筑过程中建筑垃圾的产生量与施工水平、建筑类型等多种因素有关，数据之间相差较大。在施工建筑的不同阶段，所产生的垃圾种类和数量有较大差别。</w:t>
      </w:r>
    </w:p>
    <w:p w14:paraId="386FF1DD">
      <w:pPr>
        <w:pStyle w:val="7"/>
        <w:spacing w:line="307" w:lineRule="exact"/>
        <w:ind w:left="760"/>
      </w:pPr>
      <w:r>
        <w:t>本项目不同阶段产生的固体废物如下：</w:t>
      </w:r>
    </w:p>
    <w:p w14:paraId="66C3B8B5">
      <w:pPr>
        <w:pStyle w:val="7"/>
        <w:spacing w:before="161" w:line="362" w:lineRule="auto"/>
        <w:ind w:left="280" w:right="337" w:firstLine="480"/>
      </w:pPr>
      <w:r>
        <w:rPr>
          <w:rFonts w:ascii="Times New Roman" w:eastAsia="Times New Roman"/>
        </w:rPr>
        <w:t>a</w:t>
      </w:r>
      <w:r>
        <w:t>、基础工程阶段：包括打桩、砌筑基础等。这个阶段产生的建筑垃圾主要是弃土、混凝土碎块、废弃钢筋。</w:t>
      </w:r>
    </w:p>
    <w:p w14:paraId="13CCFCE3">
      <w:pPr>
        <w:pStyle w:val="7"/>
        <w:spacing w:before="2" w:line="364" w:lineRule="auto"/>
        <w:ind w:left="280" w:right="337" w:firstLine="480"/>
        <w:jc w:val="both"/>
      </w:pPr>
      <w:r>
        <w:rPr>
          <w:rFonts w:ascii="Times New Roman" w:eastAsia="Times New Roman"/>
        </w:rPr>
        <w:t>b</w:t>
      </w:r>
      <w:r>
        <w:t>、结构工程阶段：包括钢筋、混凝土工程、钢木工程、砌体工程等。这个阶段产生的建筑垃圾主要有弃土砖瓦、混凝土碎块、废弃钢筋、施工下脚料等。</w:t>
      </w:r>
    </w:p>
    <w:p w14:paraId="561C7DE5">
      <w:pPr>
        <w:pStyle w:val="7"/>
        <w:spacing w:line="364" w:lineRule="auto"/>
        <w:ind w:left="280" w:right="337" w:firstLine="480"/>
      </w:pPr>
      <w:r>
        <w:rPr>
          <w:rFonts w:ascii="Times New Roman" w:eastAsia="Times New Roman"/>
        </w:rPr>
        <w:t>c</w:t>
      </w:r>
      <w:r>
        <w:t>、装修阶段：这个阶段产生的建筑垃圾主要有废砖头、砂、水泥、木屑以及废涂料等。</w:t>
      </w:r>
    </w:p>
    <w:p w14:paraId="68B84CCE">
      <w:pPr>
        <w:spacing w:after="0" w:line="364" w:lineRule="auto"/>
        <w:sectPr>
          <w:pgSz w:w="11910" w:h="16840"/>
          <w:pgMar w:top="1360" w:right="1460" w:bottom="1400" w:left="1520" w:header="878" w:footer="1204" w:gutter="0"/>
          <w:cols w:space="720" w:num="1"/>
        </w:sectPr>
      </w:pPr>
    </w:p>
    <w:p w14:paraId="39B227B6">
      <w:pPr>
        <w:pStyle w:val="7"/>
        <w:spacing w:before="68"/>
        <w:ind w:left="760"/>
      </w:pPr>
      <w:r>
        <w:t>③生活垃圾</w:t>
      </w:r>
    </w:p>
    <w:p w14:paraId="796FA211">
      <w:pPr>
        <w:pStyle w:val="7"/>
        <w:spacing w:before="160" w:line="362" w:lineRule="auto"/>
        <w:ind w:left="280" w:right="337" w:firstLine="480"/>
        <w:jc w:val="both"/>
      </w:pPr>
      <w:r>
        <w:t>施工期生活垃圾，生活垃圾经建设单位集中收集，由环卫部门统一清运处理。</w:t>
      </w:r>
    </w:p>
    <w:p w14:paraId="590E1A4C">
      <w:pPr>
        <w:pStyle w:val="7"/>
        <w:spacing w:before="5"/>
        <w:ind w:left="760"/>
      </w:pPr>
      <w:r>
        <w:t>预测本项目建设施工期固体废物产生情况见下表。</w:t>
      </w:r>
    </w:p>
    <w:p w14:paraId="3D713686">
      <w:pPr>
        <w:spacing w:before="157" w:after="5"/>
        <w:ind w:left="2869" w:right="0" w:firstLine="0"/>
        <w:jc w:val="left"/>
        <w:rPr>
          <w:b/>
          <w:sz w:val="21"/>
        </w:rPr>
      </w:pPr>
      <w:r>
        <w:rPr>
          <w:b/>
          <w:sz w:val="21"/>
        </w:rPr>
        <w:t xml:space="preserve">表 </w:t>
      </w:r>
      <w:r>
        <w:rPr>
          <w:rFonts w:ascii="Times New Roman" w:eastAsia="Times New Roman"/>
          <w:b/>
          <w:sz w:val="21"/>
        </w:rPr>
        <w:t xml:space="preserve">3.7-7 </w:t>
      </w:r>
      <w:r>
        <w:rPr>
          <w:b/>
          <w:sz w:val="21"/>
        </w:rPr>
        <w:t>施工期固体废物产生情况</w:t>
      </w:r>
    </w:p>
    <w:tbl>
      <w:tblPr>
        <w:tblStyle w:val="10"/>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699"/>
        <w:gridCol w:w="1352"/>
        <w:gridCol w:w="1446"/>
        <w:gridCol w:w="1001"/>
        <w:gridCol w:w="3508"/>
      </w:tblGrid>
      <w:tr w14:paraId="71A79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16" w:type="dxa"/>
          </w:tcPr>
          <w:p w14:paraId="0CC2FB9A">
            <w:pPr>
              <w:pStyle w:val="14"/>
              <w:ind w:left="150"/>
              <w:rPr>
                <w:b/>
                <w:sz w:val="21"/>
              </w:rPr>
            </w:pPr>
            <w:r>
              <w:rPr>
                <w:b/>
                <w:w w:val="99"/>
                <w:sz w:val="21"/>
              </w:rPr>
              <w:t>序</w:t>
            </w:r>
          </w:p>
          <w:p w14:paraId="4DEB3034">
            <w:pPr>
              <w:pStyle w:val="14"/>
              <w:spacing w:before="2" w:line="253" w:lineRule="exact"/>
              <w:ind w:left="150"/>
              <w:rPr>
                <w:b/>
                <w:sz w:val="21"/>
              </w:rPr>
            </w:pPr>
            <w:r>
              <w:rPr>
                <w:b/>
                <w:w w:val="99"/>
                <w:sz w:val="21"/>
              </w:rPr>
              <w:t>号</w:t>
            </w:r>
          </w:p>
        </w:tc>
        <w:tc>
          <w:tcPr>
            <w:tcW w:w="699" w:type="dxa"/>
          </w:tcPr>
          <w:p w14:paraId="3735A05B">
            <w:pPr>
              <w:pStyle w:val="14"/>
              <w:ind w:left="136"/>
              <w:rPr>
                <w:b/>
                <w:sz w:val="21"/>
              </w:rPr>
            </w:pPr>
            <w:r>
              <w:rPr>
                <w:b/>
                <w:w w:val="95"/>
                <w:sz w:val="21"/>
              </w:rPr>
              <w:t>固废</w:t>
            </w:r>
          </w:p>
          <w:p w14:paraId="2F85CACF">
            <w:pPr>
              <w:pStyle w:val="14"/>
              <w:spacing w:before="2" w:line="253" w:lineRule="exact"/>
              <w:ind w:left="136"/>
              <w:rPr>
                <w:b/>
                <w:sz w:val="21"/>
              </w:rPr>
            </w:pPr>
            <w:r>
              <w:rPr>
                <w:b/>
                <w:w w:val="95"/>
                <w:sz w:val="21"/>
              </w:rPr>
              <w:t>类别</w:t>
            </w:r>
          </w:p>
        </w:tc>
        <w:tc>
          <w:tcPr>
            <w:tcW w:w="1352" w:type="dxa"/>
          </w:tcPr>
          <w:p w14:paraId="6E7CB7FA">
            <w:pPr>
              <w:pStyle w:val="14"/>
              <w:spacing w:before="135"/>
              <w:ind w:left="153" w:right="146"/>
              <w:jc w:val="center"/>
              <w:rPr>
                <w:b/>
                <w:sz w:val="21"/>
              </w:rPr>
            </w:pPr>
            <w:r>
              <w:rPr>
                <w:b/>
                <w:sz w:val="21"/>
              </w:rPr>
              <w:t>产生系数</w:t>
            </w:r>
          </w:p>
        </w:tc>
        <w:tc>
          <w:tcPr>
            <w:tcW w:w="1446" w:type="dxa"/>
          </w:tcPr>
          <w:p w14:paraId="65CEBFB3">
            <w:pPr>
              <w:pStyle w:val="14"/>
              <w:spacing w:before="135"/>
              <w:ind w:left="123" w:right="115"/>
              <w:jc w:val="center"/>
              <w:rPr>
                <w:b/>
                <w:sz w:val="21"/>
              </w:rPr>
            </w:pPr>
            <w:r>
              <w:rPr>
                <w:b/>
                <w:sz w:val="21"/>
              </w:rPr>
              <w:t>数量</w:t>
            </w:r>
          </w:p>
        </w:tc>
        <w:tc>
          <w:tcPr>
            <w:tcW w:w="1001" w:type="dxa"/>
          </w:tcPr>
          <w:p w14:paraId="439B1E26">
            <w:pPr>
              <w:pStyle w:val="14"/>
              <w:ind w:left="128" w:right="119"/>
              <w:jc w:val="center"/>
              <w:rPr>
                <w:b/>
                <w:sz w:val="21"/>
              </w:rPr>
            </w:pPr>
            <w:r>
              <w:rPr>
                <w:b/>
                <w:sz w:val="21"/>
              </w:rPr>
              <w:t>固废产</w:t>
            </w:r>
          </w:p>
          <w:p w14:paraId="62A6E9D2">
            <w:pPr>
              <w:pStyle w:val="14"/>
              <w:spacing w:before="2" w:line="253" w:lineRule="exact"/>
              <w:ind w:left="125" w:right="121"/>
              <w:jc w:val="center"/>
              <w:rPr>
                <w:b/>
                <w:sz w:val="21"/>
              </w:rPr>
            </w:pPr>
            <w:r>
              <w:rPr>
                <w:b/>
                <w:sz w:val="21"/>
              </w:rPr>
              <w:t>生量</w:t>
            </w:r>
          </w:p>
        </w:tc>
        <w:tc>
          <w:tcPr>
            <w:tcW w:w="3508" w:type="dxa"/>
          </w:tcPr>
          <w:p w14:paraId="22EA026C">
            <w:pPr>
              <w:pStyle w:val="14"/>
              <w:spacing w:before="135"/>
              <w:ind w:left="573" w:right="569"/>
              <w:jc w:val="center"/>
              <w:rPr>
                <w:b/>
                <w:sz w:val="21"/>
              </w:rPr>
            </w:pPr>
            <w:r>
              <w:rPr>
                <w:b/>
                <w:sz w:val="21"/>
              </w:rPr>
              <w:t>建议处理措施</w:t>
            </w:r>
          </w:p>
        </w:tc>
      </w:tr>
      <w:tr w14:paraId="46590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16" w:type="dxa"/>
          </w:tcPr>
          <w:p w14:paraId="1BBFF800">
            <w:pPr>
              <w:pStyle w:val="14"/>
              <w:spacing w:before="150"/>
              <w:ind w:left="6"/>
              <w:jc w:val="center"/>
              <w:rPr>
                <w:rFonts w:ascii="Times New Roman"/>
                <w:sz w:val="21"/>
              </w:rPr>
            </w:pPr>
            <w:r>
              <w:rPr>
                <w:rFonts w:ascii="Times New Roman"/>
                <w:w w:val="99"/>
                <w:sz w:val="21"/>
              </w:rPr>
              <w:t>1</w:t>
            </w:r>
          </w:p>
        </w:tc>
        <w:tc>
          <w:tcPr>
            <w:tcW w:w="699" w:type="dxa"/>
          </w:tcPr>
          <w:p w14:paraId="3E4D1CF5">
            <w:pPr>
              <w:pStyle w:val="14"/>
              <w:ind w:left="138"/>
              <w:rPr>
                <w:sz w:val="21"/>
              </w:rPr>
            </w:pPr>
            <w:r>
              <w:rPr>
                <w:w w:val="95"/>
                <w:sz w:val="21"/>
              </w:rPr>
              <w:t>生活</w:t>
            </w:r>
          </w:p>
          <w:p w14:paraId="21934C9F">
            <w:pPr>
              <w:pStyle w:val="14"/>
              <w:spacing w:before="2" w:line="253" w:lineRule="exact"/>
              <w:ind w:left="138"/>
              <w:rPr>
                <w:sz w:val="21"/>
              </w:rPr>
            </w:pPr>
            <w:r>
              <w:rPr>
                <w:w w:val="95"/>
                <w:sz w:val="21"/>
              </w:rPr>
              <w:t>垃圾</w:t>
            </w:r>
          </w:p>
        </w:tc>
        <w:tc>
          <w:tcPr>
            <w:tcW w:w="1352" w:type="dxa"/>
          </w:tcPr>
          <w:p w14:paraId="1E788F2B">
            <w:pPr>
              <w:pStyle w:val="14"/>
              <w:spacing w:before="134"/>
              <w:ind w:left="153" w:right="145"/>
              <w:jc w:val="center"/>
              <w:rPr>
                <w:rFonts w:ascii="Times New Roman" w:hAnsi="Times New Roman" w:eastAsia="Times New Roman"/>
                <w:sz w:val="21"/>
              </w:rPr>
            </w:pPr>
            <w:r>
              <w:rPr>
                <w:rFonts w:ascii="Times New Roman" w:hAnsi="Times New Roman" w:eastAsia="Times New Roman"/>
                <w:sz w:val="21"/>
              </w:rPr>
              <w:t>1kg/</w:t>
            </w:r>
            <w:r>
              <w:rPr>
                <w:sz w:val="21"/>
              </w:rPr>
              <w:t>人</w:t>
            </w:r>
            <w:r>
              <w:rPr>
                <w:rFonts w:ascii="Times New Roman" w:hAnsi="Times New Roman" w:eastAsia="Times New Roman"/>
                <w:sz w:val="21"/>
              </w:rPr>
              <w:t>·d</w:t>
            </w:r>
          </w:p>
        </w:tc>
        <w:tc>
          <w:tcPr>
            <w:tcW w:w="1446" w:type="dxa"/>
          </w:tcPr>
          <w:p w14:paraId="38D7EC6F">
            <w:pPr>
              <w:pStyle w:val="14"/>
              <w:ind w:left="123" w:right="117"/>
              <w:jc w:val="center"/>
              <w:rPr>
                <w:rFonts w:ascii="Times New Roman" w:eastAsia="Times New Roman"/>
                <w:sz w:val="21"/>
              </w:rPr>
            </w:pPr>
            <w:r>
              <w:rPr>
                <w:sz w:val="21"/>
              </w:rPr>
              <w:t xml:space="preserve">施工期按 </w:t>
            </w:r>
            <w:r>
              <w:rPr>
                <w:rFonts w:ascii="Times New Roman" w:eastAsia="Times New Roman"/>
                <w:sz w:val="21"/>
              </w:rPr>
              <w:t>50</w:t>
            </w:r>
          </w:p>
          <w:p w14:paraId="54565C0D">
            <w:pPr>
              <w:pStyle w:val="14"/>
              <w:spacing w:before="2" w:line="253" w:lineRule="exact"/>
              <w:ind w:left="122" w:right="117"/>
              <w:jc w:val="center"/>
              <w:rPr>
                <w:sz w:val="21"/>
              </w:rPr>
            </w:pPr>
            <w:r>
              <w:rPr>
                <w:sz w:val="21"/>
              </w:rPr>
              <w:t>人计</w:t>
            </w:r>
          </w:p>
        </w:tc>
        <w:tc>
          <w:tcPr>
            <w:tcW w:w="1001" w:type="dxa"/>
          </w:tcPr>
          <w:p w14:paraId="4E63397E">
            <w:pPr>
              <w:pStyle w:val="14"/>
              <w:spacing w:before="150"/>
              <w:ind w:left="128" w:right="121"/>
              <w:jc w:val="center"/>
              <w:rPr>
                <w:rFonts w:ascii="Times New Roman"/>
                <w:sz w:val="21"/>
              </w:rPr>
            </w:pPr>
            <w:r>
              <w:rPr>
                <w:rFonts w:ascii="Times New Roman"/>
                <w:sz w:val="21"/>
              </w:rPr>
              <w:t>50kg/d</w:t>
            </w:r>
          </w:p>
        </w:tc>
        <w:tc>
          <w:tcPr>
            <w:tcW w:w="3508" w:type="dxa"/>
          </w:tcPr>
          <w:p w14:paraId="14CB20C1">
            <w:pPr>
              <w:pStyle w:val="14"/>
              <w:spacing w:before="134"/>
              <w:ind w:left="573" w:right="569"/>
              <w:jc w:val="center"/>
              <w:rPr>
                <w:sz w:val="21"/>
              </w:rPr>
            </w:pPr>
            <w:r>
              <w:rPr>
                <w:sz w:val="21"/>
              </w:rPr>
              <w:t>收集后交环卫部门处理</w:t>
            </w:r>
          </w:p>
        </w:tc>
      </w:tr>
      <w:tr w14:paraId="5D126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16" w:type="dxa"/>
          </w:tcPr>
          <w:p w14:paraId="265E4B91">
            <w:pPr>
              <w:pStyle w:val="14"/>
              <w:spacing w:before="151"/>
              <w:ind w:left="6"/>
              <w:jc w:val="center"/>
              <w:rPr>
                <w:rFonts w:ascii="Times New Roman"/>
                <w:sz w:val="21"/>
              </w:rPr>
            </w:pPr>
            <w:r>
              <w:rPr>
                <w:rFonts w:ascii="Times New Roman"/>
                <w:w w:val="99"/>
                <w:sz w:val="21"/>
              </w:rPr>
              <w:t>2</w:t>
            </w:r>
          </w:p>
        </w:tc>
        <w:tc>
          <w:tcPr>
            <w:tcW w:w="699" w:type="dxa"/>
          </w:tcPr>
          <w:p w14:paraId="636E353B">
            <w:pPr>
              <w:pStyle w:val="14"/>
              <w:ind w:left="138"/>
              <w:rPr>
                <w:sz w:val="21"/>
              </w:rPr>
            </w:pPr>
            <w:r>
              <w:rPr>
                <w:w w:val="95"/>
                <w:sz w:val="21"/>
              </w:rPr>
              <w:t>建筑</w:t>
            </w:r>
          </w:p>
          <w:p w14:paraId="3763D3C6">
            <w:pPr>
              <w:pStyle w:val="14"/>
              <w:spacing w:before="4" w:line="251" w:lineRule="exact"/>
              <w:ind w:left="138"/>
              <w:rPr>
                <w:sz w:val="21"/>
              </w:rPr>
            </w:pPr>
            <w:r>
              <w:rPr>
                <w:w w:val="95"/>
                <w:sz w:val="21"/>
              </w:rPr>
              <w:t>垃圾</w:t>
            </w:r>
          </w:p>
        </w:tc>
        <w:tc>
          <w:tcPr>
            <w:tcW w:w="1352" w:type="dxa"/>
          </w:tcPr>
          <w:p w14:paraId="267B8187">
            <w:pPr>
              <w:pStyle w:val="14"/>
              <w:ind w:left="153" w:right="146"/>
              <w:jc w:val="center"/>
              <w:rPr>
                <w:sz w:val="21"/>
              </w:rPr>
            </w:pPr>
            <w:r>
              <w:rPr>
                <w:rFonts w:ascii="Times New Roman" w:eastAsia="Times New Roman"/>
                <w:sz w:val="21"/>
              </w:rPr>
              <w:t>1.5kg/m</w:t>
            </w:r>
            <w:r>
              <w:rPr>
                <w:rFonts w:ascii="Times New Roman" w:eastAsia="Times New Roman"/>
                <w:position w:val="7"/>
                <w:sz w:val="13"/>
              </w:rPr>
              <w:t xml:space="preserve">2 </w:t>
            </w:r>
            <w:r>
              <w:rPr>
                <w:sz w:val="21"/>
              </w:rPr>
              <w:t>建</w:t>
            </w:r>
          </w:p>
          <w:p w14:paraId="32477A63">
            <w:pPr>
              <w:pStyle w:val="14"/>
              <w:spacing w:before="4" w:line="251" w:lineRule="exact"/>
              <w:ind w:left="153" w:right="143"/>
              <w:jc w:val="center"/>
              <w:rPr>
                <w:sz w:val="21"/>
              </w:rPr>
            </w:pPr>
            <w:r>
              <w:rPr>
                <w:sz w:val="21"/>
              </w:rPr>
              <w:t>筑面积</w:t>
            </w:r>
          </w:p>
        </w:tc>
        <w:tc>
          <w:tcPr>
            <w:tcW w:w="1446" w:type="dxa"/>
          </w:tcPr>
          <w:p w14:paraId="4608F500">
            <w:pPr>
              <w:pStyle w:val="14"/>
              <w:spacing w:before="17"/>
              <w:ind w:left="123" w:right="115"/>
              <w:jc w:val="center"/>
              <w:rPr>
                <w:sz w:val="21"/>
              </w:rPr>
            </w:pPr>
            <w:r>
              <w:rPr>
                <w:sz w:val="21"/>
              </w:rPr>
              <w:t>总建筑面积</w:t>
            </w:r>
          </w:p>
          <w:p w14:paraId="1E086842">
            <w:pPr>
              <w:pStyle w:val="14"/>
              <w:spacing w:before="1" w:line="237" w:lineRule="exact"/>
              <w:ind w:left="123" w:right="114"/>
              <w:jc w:val="center"/>
              <w:rPr>
                <w:rFonts w:ascii="Times New Roman"/>
                <w:sz w:val="13"/>
              </w:rPr>
            </w:pPr>
            <w:r>
              <w:rPr>
                <w:rFonts w:ascii="Times New Roman"/>
                <w:sz w:val="21"/>
              </w:rPr>
              <w:t>29760m</w:t>
            </w:r>
            <w:r>
              <w:rPr>
                <w:rFonts w:ascii="Times New Roman"/>
                <w:position w:val="7"/>
                <w:sz w:val="13"/>
              </w:rPr>
              <w:t>2</w:t>
            </w:r>
          </w:p>
        </w:tc>
        <w:tc>
          <w:tcPr>
            <w:tcW w:w="1001" w:type="dxa"/>
          </w:tcPr>
          <w:p w14:paraId="01EDA5E9">
            <w:pPr>
              <w:pStyle w:val="14"/>
              <w:spacing w:before="151"/>
              <w:ind w:left="128" w:right="119"/>
              <w:jc w:val="center"/>
              <w:rPr>
                <w:rFonts w:ascii="Times New Roman"/>
                <w:sz w:val="21"/>
              </w:rPr>
            </w:pPr>
            <w:r>
              <w:rPr>
                <w:rFonts w:ascii="Times New Roman"/>
                <w:sz w:val="21"/>
              </w:rPr>
              <w:t>44.6t</w:t>
            </w:r>
          </w:p>
        </w:tc>
        <w:tc>
          <w:tcPr>
            <w:tcW w:w="3508" w:type="dxa"/>
          </w:tcPr>
          <w:p w14:paraId="71473A8E">
            <w:pPr>
              <w:pStyle w:val="14"/>
              <w:spacing w:before="137"/>
              <w:ind w:left="578" w:right="569"/>
              <w:jc w:val="center"/>
              <w:rPr>
                <w:sz w:val="21"/>
              </w:rPr>
            </w:pPr>
            <w:r>
              <w:rPr>
                <w:sz w:val="21"/>
              </w:rPr>
              <w:t>集中后外运并按规定处理</w:t>
            </w:r>
          </w:p>
        </w:tc>
      </w:tr>
      <w:tr w14:paraId="15DC5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16" w:type="dxa"/>
          </w:tcPr>
          <w:p w14:paraId="3491DCA9">
            <w:pPr>
              <w:pStyle w:val="14"/>
              <w:spacing w:before="150"/>
              <w:ind w:left="6"/>
              <w:jc w:val="center"/>
              <w:rPr>
                <w:rFonts w:ascii="Times New Roman"/>
                <w:sz w:val="21"/>
              </w:rPr>
            </w:pPr>
            <w:r>
              <w:rPr>
                <w:rFonts w:ascii="Times New Roman"/>
                <w:w w:val="99"/>
                <w:sz w:val="21"/>
              </w:rPr>
              <w:t>3</w:t>
            </w:r>
          </w:p>
        </w:tc>
        <w:tc>
          <w:tcPr>
            <w:tcW w:w="699" w:type="dxa"/>
          </w:tcPr>
          <w:p w14:paraId="0CEB1F37">
            <w:pPr>
              <w:pStyle w:val="14"/>
              <w:spacing w:before="134"/>
              <w:ind w:left="138"/>
              <w:rPr>
                <w:sz w:val="21"/>
              </w:rPr>
            </w:pPr>
            <w:r>
              <w:rPr>
                <w:sz w:val="21"/>
              </w:rPr>
              <w:t>弃方</w:t>
            </w:r>
          </w:p>
        </w:tc>
        <w:tc>
          <w:tcPr>
            <w:tcW w:w="1352" w:type="dxa"/>
          </w:tcPr>
          <w:p w14:paraId="10ECAD43">
            <w:pPr>
              <w:pStyle w:val="14"/>
              <w:spacing w:before="150"/>
              <w:ind w:left="10"/>
              <w:jc w:val="center"/>
              <w:rPr>
                <w:rFonts w:ascii="Times New Roman"/>
                <w:sz w:val="21"/>
              </w:rPr>
            </w:pPr>
            <w:r>
              <w:rPr>
                <w:rFonts w:ascii="Times New Roman"/>
                <w:w w:val="99"/>
                <w:sz w:val="21"/>
              </w:rPr>
              <w:t>/</w:t>
            </w:r>
          </w:p>
        </w:tc>
        <w:tc>
          <w:tcPr>
            <w:tcW w:w="1446" w:type="dxa"/>
          </w:tcPr>
          <w:p w14:paraId="3BBAB97F">
            <w:pPr>
              <w:pStyle w:val="14"/>
              <w:spacing w:before="150"/>
              <w:ind w:left="10"/>
              <w:jc w:val="center"/>
              <w:rPr>
                <w:rFonts w:ascii="Times New Roman"/>
                <w:sz w:val="21"/>
              </w:rPr>
            </w:pPr>
            <w:r>
              <w:rPr>
                <w:rFonts w:ascii="Times New Roman"/>
                <w:w w:val="99"/>
                <w:sz w:val="21"/>
              </w:rPr>
              <w:t>/</w:t>
            </w:r>
          </w:p>
        </w:tc>
        <w:tc>
          <w:tcPr>
            <w:tcW w:w="1001" w:type="dxa"/>
          </w:tcPr>
          <w:p w14:paraId="653472FD">
            <w:pPr>
              <w:pStyle w:val="14"/>
              <w:spacing w:before="134"/>
              <w:ind w:left="128" w:right="121"/>
              <w:jc w:val="center"/>
              <w:rPr>
                <w:rFonts w:ascii="Times New Roman" w:eastAsia="Times New Roman"/>
                <w:sz w:val="13"/>
              </w:rPr>
            </w:pPr>
            <w:r>
              <w:rPr>
                <w:rFonts w:ascii="Times New Roman" w:eastAsia="Times New Roman"/>
                <w:sz w:val="21"/>
              </w:rPr>
              <w:t xml:space="preserve">1 </w:t>
            </w:r>
            <w:r>
              <w:rPr>
                <w:sz w:val="21"/>
              </w:rPr>
              <w:t xml:space="preserve">万 </w:t>
            </w:r>
            <w:r>
              <w:rPr>
                <w:rFonts w:ascii="Times New Roman" w:eastAsia="Times New Roman"/>
                <w:sz w:val="21"/>
              </w:rPr>
              <w:t>m</w:t>
            </w:r>
            <w:r>
              <w:rPr>
                <w:rFonts w:ascii="Times New Roman" w:eastAsia="Times New Roman"/>
                <w:position w:val="7"/>
                <w:sz w:val="13"/>
              </w:rPr>
              <w:t>3</w:t>
            </w:r>
          </w:p>
        </w:tc>
        <w:tc>
          <w:tcPr>
            <w:tcW w:w="3508" w:type="dxa"/>
          </w:tcPr>
          <w:p w14:paraId="61130923">
            <w:pPr>
              <w:pStyle w:val="14"/>
              <w:spacing w:line="269" w:lineRule="exact"/>
              <w:ind w:left="179"/>
              <w:rPr>
                <w:sz w:val="21"/>
              </w:rPr>
            </w:pPr>
            <w:r>
              <w:rPr>
                <w:w w:val="95"/>
                <w:sz w:val="21"/>
              </w:rPr>
              <w:t>不设弃土场，定期运至市政土方平</w:t>
            </w:r>
          </w:p>
          <w:p w14:paraId="3118391D">
            <w:pPr>
              <w:pStyle w:val="14"/>
              <w:spacing w:before="4" w:line="252" w:lineRule="exact"/>
              <w:ind w:left="179"/>
              <w:rPr>
                <w:sz w:val="21"/>
              </w:rPr>
            </w:pPr>
            <w:r>
              <w:rPr>
                <w:w w:val="95"/>
                <w:sz w:val="21"/>
              </w:rPr>
              <w:t>衡堆存场地，实现区域取弃土平衡</w:t>
            </w:r>
          </w:p>
        </w:tc>
      </w:tr>
    </w:tbl>
    <w:p w14:paraId="00F9BD6F">
      <w:pPr>
        <w:pStyle w:val="6"/>
        <w:ind w:left="760"/>
      </w:pPr>
      <w:r>
        <w:t>（</w:t>
      </w:r>
      <w:r>
        <w:rPr>
          <w:rFonts w:ascii="Times New Roman" w:eastAsia="Times New Roman"/>
        </w:rPr>
        <w:t>5</w:t>
      </w:r>
      <w:r>
        <w:t>）施工期生态环境影响</w:t>
      </w:r>
    </w:p>
    <w:p w14:paraId="488834E0">
      <w:pPr>
        <w:pStyle w:val="7"/>
        <w:spacing w:before="161" w:line="364" w:lineRule="auto"/>
        <w:ind w:left="280" w:right="337" w:firstLine="480"/>
        <w:jc w:val="both"/>
      </w:pPr>
      <w:r>
        <w:t>项目建设占用土地会破坏地表植被，产生一定的生态影响。随着土地和道路的平整建设，原有的生态结构在性质上发生了实质性的变化。工程在挖土、填土后裸露表面被雨水冲刷后将造成水土流失，影响陆地生态系统及其稳定性。</w:t>
      </w:r>
    </w:p>
    <w:p w14:paraId="403FC6A8">
      <w:pPr>
        <w:pStyle w:val="7"/>
        <w:spacing w:line="364" w:lineRule="auto"/>
        <w:ind w:left="280" w:right="337" w:firstLine="480"/>
        <w:jc w:val="both"/>
      </w:pPr>
      <w:r>
        <w:t>施工期导致水土流失的主要原因是地表开挖、弃土堆放及暴雨。项目土建施工是引起水土流失的工程因素，在施工过程中，土壤暴露在雨、风和其它干扰之下，另外，土方填挖，陡坡、边坡的形成和整理、弃土的堆放等，会使土壤暴露情况加剧，土壤结构会受到破坏，土壤抵抗侵蚀的能力将会大大减弱， 项目所在地夏季暴雨较集中，降雨大，降雨时间长，在暴雨中由降雨所产生的土壤侵蚀，将会造成项目建设施工过程中的水土流失。</w:t>
      </w:r>
    </w:p>
    <w:p w14:paraId="73B428BF">
      <w:pPr>
        <w:pStyle w:val="7"/>
        <w:spacing w:line="364" w:lineRule="auto"/>
        <w:ind w:left="280" w:right="337" w:firstLine="480"/>
        <w:jc w:val="both"/>
      </w:pPr>
      <w:r>
        <w:t>在工程建设过程中，将造成大面积的土地裸露，导致不同程度的土壤侵蚀，水土流失现象。从而对地表植被、水体、土壤结构等产生潜在的危害。这种土壤侵蚀、水土流失现象，尤其是在梅雨季节和强降水季节会变得更为突出。本次评价采用经验公式（无明显侵蚀地区）计算水土流失量：</w:t>
      </w:r>
    </w:p>
    <w:p w14:paraId="62146EE5">
      <w:pPr>
        <w:pStyle w:val="7"/>
        <w:spacing w:line="305" w:lineRule="exact"/>
        <w:ind w:left="760"/>
      </w:pPr>
      <w:r>
        <w:t>水土流失量</w:t>
      </w:r>
      <w:r>
        <w:rPr>
          <w:rFonts w:ascii="Times New Roman" w:hAnsi="Times New Roman" w:eastAsia="Times New Roman"/>
        </w:rPr>
        <w:t>=</w:t>
      </w:r>
      <w:r>
        <w:t>土壤侵蚀模数×侵蚀面积×影响时段</w:t>
      </w:r>
    </w:p>
    <w:p w14:paraId="3817FCB8">
      <w:pPr>
        <w:pStyle w:val="7"/>
        <w:spacing w:before="154" w:line="364" w:lineRule="auto"/>
        <w:ind w:left="280" w:right="337" w:firstLine="480"/>
        <w:jc w:val="both"/>
      </w:pPr>
      <w:r>
        <w:rPr>
          <w:spacing w:val="2"/>
        </w:rPr>
        <w:t>根据《土壤侵蚀分类分级标准》</w:t>
      </w:r>
      <w:r>
        <w:t>（</w:t>
      </w:r>
      <w:r>
        <w:rPr>
          <w:rFonts w:ascii="Times New Roman" w:eastAsia="Times New Roman"/>
        </w:rPr>
        <w:t>SL190-2007</w:t>
      </w:r>
      <w:r>
        <w:t>）</w:t>
      </w:r>
      <w:r>
        <w:rPr>
          <w:spacing w:val="1"/>
        </w:rPr>
        <w:t>提出的全国土壤侵蚀类型</w:t>
      </w:r>
      <w:r>
        <w:t>区划，项目建设所在区域属于南方红壤丘陵区。经过类比同区域建设项目建设</w:t>
      </w:r>
      <w:r>
        <w:rPr>
          <w:spacing w:val="-2"/>
        </w:rPr>
        <w:t xml:space="preserve">期侵蚀模数，确定本项目建设期侵蚀模数为 </w:t>
      </w:r>
      <w:r>
        <w:rPr>
          <w:rFonts w:ascii="Times New Roman" w:eastAsia="Times New Roman"/>
        </w:rPr>
        <w:t>4500t/km</w:t>
      </w:r>
      <w:r>
        <w:rPr>
          <w:rFonts w:ascii="Times New Roman" w:eastAsia="Times New Roman"/>
          <w:position w:val="8"/>
          <w:sz w:val="15"/>
        </w:rPr>
        <w:t>2</w:t>
      </w:r>
      <w:r>
        <w:rPr>
          <w:rFonts w:ascii="Times New Roman" w:eastAsia="Times New Roman"/>
        </w:rPr>
        <w:t>.a</w:t>
      </w:r>
      <w:r>
        <w:rPr>
          <w:spacing w:val="-4"/>
        </w:rPr>
        <w:t xml:space="preserve">。本项目建设期约为 </w:t>
      </w:r>
      <w:r>
        <w:rPr>
          <w:rFonts w:ascii="Times New Roman" w:eastAsia="Times New Roman"/>
        </w:rPr>
        <w:t xml:space="preserve">13 </w:t>
      </w:r>
      <w:r>
        <w:rPr>
          <w:spacing w:val="-3"/>
        </w:rPr>
        <w:t xml:space="preserve">个月，本项目建筑物和非生产性建筑物占地面积为 </w:t>
      </w:r>
      <w:r>
        <w:rPr>
          <w:rFonts w:ascii="Times New Roman" w:eastAsia="Times New Roman"/>
        </w:rPr>
        <w:t>26933.3m</w:t>
      </w:r>
      <w:r>
        <w:rPr>
          <w:rFonts w:ascii="Times New Roman" w:eastAsia="Times New Roman"/>
          <w:position w:val="8"/>
          <w:sz w:val="15"/>
        </w:rPr>
        <w:t>2</w:t>
      </w:r>
      <w:r>
        <w:t>，因此本项目建设</w:t>
      </w:r>
    </w:p>
    <w:p w14:paraId="4247B20F">
      <w:pPr>
        <w:spacing w:after="0" w:line="364" w:lineRule="auto"/>
        <w:jc w:val="both"/>
        <w:sectPr>
          <w:pgSz w:w="11910" w:h="16840"/>
          <w:pgMar w:top="1360" w:right="1460" w:bottom="1400" w:left="1520" w:header="878" w:footer="1204" w:gutter="0"/>
          <w:cols w:space="720" w:num="1"/>
        </w:sectPr>
      </w:pPr>
    </w:p>
    <w:p w14:paraId="0F5A9E83">
      <w:pPr>
        <w:pStyle w:val="7"/>
        <w:spacing w:before="68"/>
        <w:ind w:left="280"/>
      </w:pPr>
      <w:r>
        <w:t xml:space="preserve">期间的水土流失新增量为 </w:t>
      </w:r>
      <w:r>
        <w:rPr>
          <w:rFonts w:ascii="Times New Roman" w:eastAsia="Times New Roman"/>
        </w:rPr>
        <w:t>129.6t</w:t>
      </w:r>
      <w:r>
        <w:t>。</w:t>
      </w:r>
    </w:p>
    <w:p w14:paraId="1F92C7A3">
      <w:pPr>
        <w:pStyle w:val="7"/>
        <w:spacing w:before="160" w:line="364" w:lineRule="auto"/>
        <w:ind w:left="280" w:right="337" w:firstLine="480"/>
        <w:jc w:val="both"/>
      </w:pPr>
      <w:r>
        <w:t>项目土建施工是引起水土流失的工程因素，在施工过程中，土壤暴露在雨、风和其它干扰之中，另外，施工期中土方填挖会施工过程中，使土壤暴露情况加剧。在施工过程中必将形成新的开挖面，经开挖处或者清理的植被，由于土体结构的扰动，破坏了原来的地貌和地表植被，使土壤的抗侵蚀能力大大减弱，会导致不同程度的水土流失；特别是降雨期，在径流的冲刷作用下，施工场地的水土流失量将会大量增加，污染附近水体，其后果是水变浑浊，透明度降低。为减小水土流失量应采取下列防治措施：</w:t>
      </w:r>
    </w:p>
    <w:p w14:paraId="50BE083E">
      <w:pPr>
        <w:pStyle w:val="7"/>
        <w:spacing w:line="305" w:lineRule="exact"/>
        <w:ind w:left="760"/>
      </w:pPr>
      <w:r>
        <w:t>①施工上做好各项排水、截水、防止水土流失的设计。</w:t>
      </w:r>
    </w:p>
    <w:p w14:paraId="548C82D5">
      <w:pPr>
        <w:pStyle w:val="7"/>
        <w:spacing w:before="158" w:line="364" w:lineRule="auto"/>
        <w:ind w:left="280" w:right="337" w:firstLine="480"/>
        <w:jc w:val="both"/>
      </w:pPr>
      <w:r>
        <w:t>②在施工中，应合理安排施工计划、施工程序，协调好各个施工步骤，在降雨时，还应采取应急措施，尽量用覆盖物覆盖新开挖的陡坡，防止冲刷和塌崩。</w:t>
      </w:r>
    </w:p>
    <w:p w14:paraId="6C76CCCF">
      <w:pPr>
        <w:pStyle w:val="7"/>
        <w:spacing w:line="362" w:lineRule="auto"/>
        <w:ind w:left="280" w:right="337" w:firstLine="480"/>
        <w:jc w:val="both"/>
      </w:pPr>
      <w:r>
        <w:t>③在场区以及道路施工场地，争取做到土料随填随压，不留松土。同时， 要开边沟，边坡要用石块铺砌。</w:t>
      </w:r>
    </w:p>
    <w:p w14:paraId="54C74414">
      <w:pPr>
        <w:pStyle w:val="7"/>
        <w:spacing w:before="5" w:line="362" w:lineRule="auto"/>
        <w:ind w:left="280" w:right="337" w:firstLine="480"/>
        <w:jc w:val="both"/>
      </w:pPr>
      <w:r>
        <w:t>④运土、运砂石卡车要保持完好，运输时装载不宜太满，保证运载过程不散落。</w:t>
      </w:r>
    </w:p>
    <w:p w14:paraId="737E5D6E">
      <w:pPr>
        <w:pStyle w:val="7"/>
        <w:spacing w:before="5" w:line="364" w:lineRule="auto"/>
        <w:ind w:left="280" w:right="337" w:firstLine="480"/>
        <w:jc w:val="both"/>
      </w:pPr>
      <w:r>
        <w:t>采取上述措施后，施工期水土流失程度将得到较大的改善，且土建工程结束后，水土流失便得到控制，因土建工程施工期较短，施工期不在雨季，对环境影响不大。</w:t>
      </w:r>
    </w:p>
    <w:p w14:paraId="05CCA6CE">
      <w:pPr>
        <w:pStyle w:val="7"/>
        <w:spacing w:line="364" w:lineRule="auto"/>
        <w:ind w:left="280" w:right="337" w:firstLine="480"/>
        <w:jc w:val="both"/>
      </w:pPr>
      <w:r>
        <w:t>通过进行合理施工布置，精心组织施工管理，严格将工程施工区控制在最小范围内；施工后进行地貌、植被恢复，以植被护土，防止或减轻水土流失； 对土壤、植被的恢复，遵循“破坏多少，恢复多少”的原则；做好现场施工人员的宣传、教育、管理工作；在施工过程中，尽量减少开挖量，回填应按原有的土层顺序进行等生态保护措施后，可最大程度的降低和减轻本项目建设对生态环境的影响和破坏。</w:t>
      </w:r>
    </w:p>
    <w:p w14:paraId="26C404FC">
      <w:pPr>
        <w:pStyle w:val="13"/>
        <w:numPr>
          <w:ilvl w:val="2"/>
          <w:numId w:val="14"/>
        </w:numPr>
        <w:tabs>
          <w:tab w:val="left" w:pos="900"/>
        </w:tabs>
        <w:spacing w:before="0" w:after="0" w:line="356" w:lineRule="exact"/>
        <w:ind w:left="899" w:right="0" w:hanging="619"/>
        <w:jc w:val="left"/>
        <w:rPr>
          <w:b/>
          <w:sz w:val="28"/>
        </w:rPr>
      </w:pPr>
      <w:bookmarkStart w:id="116" w:name="3.7.3运营期工艺流程及产排污节点"/>
      <w:bookmarkEnd w:id="116"/>
      <w:bookmarkStart w:id="117" w:name="3.7.3运营期工艺流程及产排污节点"/>
      <w:bookmarkEnd w:id="117"/>
      <w:r>
        <w:rPr>
          <w:b/>
          <w:sz w:val="28"/>
        </w:rPr>
        <w:t>运营期工艺流程及产排污节点</w:t>
      </w:r>
    </w:p>
    <w:p w14:paraId="524ED41D">
      <w:pPr>
        <w:pStyle w:val="6"/>
        <w:spacing w:before="182"/>
        <w:ind w:left="760"/>
      </w:pPr>
      <w:r>
        <w:t>（</w:t>
      </w:r>
      <w:r>
        <w:rPr>
          <w:rFonts w:ascii="Times New Roman" w:eastAsia="Times New Roman"/>
        </w:rPr>
        <w:t>1</w:t>
      </w:r>
      <w:r>
        <w:t>）生猪屠宰工艺流程</w:t>
      </w:r>
    </w:p>
    <w:p w14:paraId="4D3D238A">
      <w:pPr>
        <w:pStyle w:val="7"/>
        <w:spacing w:before="161"/>
        <w:ind w:left="760"/>
      </w:pPr>
      <w:r>
        <w:t>生猪屠宰工艺流程及产污节点见下图。</w:t>
      </w:r>
    </w:p>
    <w:p w14:paraId="35173FE2">
      <w:pPr>
        <w:spacing w:after="0"/>
        <w:sectPr>
          <w:pgSz w:w="11910" w:h="16840"/>
          <w:pgMar w:top="1360" w:right="1460" w:bottom="1400" w:left="1520" w:header="878" w:footer="1204" w:gutter="0"/>
          <w:cols w:space="720" w:num="1"/>
        </w:sectPr>
      </w:pPr>
    </w:p>
    <w:p w14:paraId="6F2765EE">
      <w:pPr>
        <w:spacing w:before="47" w:after="19"/>
        <w:ind w:left="4107" w:right="0" w:firstLine="0"/>
        <w:jc w:val="left"/>
        <w:rPr>
          <w:sz w:val="18"/>
        </w:rPr>
      </w:pPr>
      <w:r>
        <w:rPr>
          <w:sz w:val="18"/>
        </w:rPr>
        <w:t>岳阳县惠康农业有限公司岳阳县畜禽屠宰场及冷链物流建设项目环境影响报告书</w:t>
      </w:r>
    </w:p>
    <w:p w14:paraId="066E708C">
      <w:pPr>
        <w:pStyle w:val="7"/>
        <w:spacing w:line="20" w:lineRule="exact"/>
        <w:ind w:left="92"/>
        <w:rPr>
          <w:sz w:val="2"/>
        </w:rPr>
      </w:pPr>
      <w:r>
        <w:rPr>
          <w:sz w:val="2"/>
        </w:rPr>
        <w:pict>
          <v:group id="_x0000_s1360" o:spid="_x0000_s1360" o:spt="203" style="height:0.75pt;width:697.9pt;" coordsize="13958,15">
            <o:lock v:ext="edit"/>
            <v:line id="_x0000_s1361" o:spid="_x0000_s1361" o:spt="20" style="position:absolute;left:0;top:7;height:0;width:13958;" stroked="t" coordsize="21600,21600">
              <v:path arrowok="t"/>
              <v:fill focussize="0,0"/>
              <v:stroke weight="0.72pt" color="#000000"/>
              <v:imagedata o:title=""/>
              <o:lock v:ext="edit"/>
            </v:line>
            <w10:wrap type="none"/>
            <w10:anchorlock/>
          </v:group>
        </w:pict>
      </w:r>
    </w:p>
    <w:p w14:paraId="44C53C4E">
      <w:pPr>
        <w:pStyle w:val="7"/>
        <w:rPr>
          <w:sz w:val="20"/>
        </w:rPr>
      </w:pPr>
    </w:p>
    <w:p w14:paraId="44977694">
      <w:pPr>
        <w:pStyle w:val="7"/>
        <w:rPr>
          <w:sz w:val="20"/>
        </w:rPr>
      </w:pPr>
    </w:p>
    <w:p w14:paraId="3400FCD2">
      <w:pPr>
        <w:pStyle w:val="7"/>
        <w:spacing w:before="8"/>
        <w:rPr>
          <w:sz w:val="15"/>
        </w:rPr>
      </w:pPr>
      <w:r>
        <w:drawing>
          <wp:anchor distT="0" distB="0" distL="0" distR="0" simplePos="0" relativeHeight="251659264" behindDoc="0" locked="0" layoutInCell="1" allowOverlap="1">
            <wp:simplePos x="0" y="0"/>
            <wp:positionH relativeFrom="page">
              <wp:posOffset>914400</wp:posOffset>
            </wp:positionH>
            <wp:positionV relativeFrom="paragraph">
              <wp:posOffset>152400</wp:posOffset>
            </wp:positionV>
            <wp:extent cx="8834120" cy="3312160"/>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jpeg"/>
                    <pic:cNvPicPr>
                      <a:picLocks noChangeAspect="1"/>
                    </pic:cNvPicPr>
                  </pic:nvPicPr>
                  <pic:blipFill>
                    <a:blip r:embed="rId71" cstate="print"/>
                    <a:stretch>
                      <a:fillRect/>
                    </a:stretch>
                  </pic:blipFill>
                  <pic:spPr>
                    <a:xfrm>
                      <a:off x="0" y="0"/>
                      <a:ext cx="8833838" cy="3312414"/>
                    </a:xfrm>
                    <a:prstGeom prst="rect">
                      <a:avLst/>
                    </a:prstGeom>
                  </pic:spPr>
                </pic:pic>
              </a:graphicData>
            </a:graphic>
          </wp:anchor>
        </w:drawing>
      </w:r>
    </w:p>
    <w:p w14:paraId="6A09D38D">
      <w:pPr>
        <w:pStyle w:val="7"/>
        <w:spacing w:before="7"/>
        <w:rPr>
          <w:sz w:val="5"/>
        </w:rPr>
      </w:pPr>
    </w:p>
    <w:p w14:paraId="51B6F4FD">
      <w:pPr>
        <w:spacing w:before="77"/>
        <w:ind w:left="4619" w:right="0" w:firstLine="0"/>
        <w:jc w:val="left"/>
        <w:rPr>
          <w:b/>
          <w:sz w:val="21"/>
        </w:rPr>
      </w:pPr>
      <w:r>
        <w:rPr>
          <w:b/>
          <w:sz w:val="21"/>
        </w:rPr>
        <w:t xml:space="preserve">图 </w:t>
      </w:r>
      <w:r>
        <w:rPr>
          <w:rFonts w:ascii="Times New Roman" w:hAnsi="Times New Roman" w:eastAsia="Times New Roman"/>
          <w:b/>
          <w:sz w:val="21"/>
        </w:rPr>
        <w:t xml:space="preserve">3.7-2 </w:t>
      </w:r>
      <w:r>
        <w:rPr>
          <w:b/>
          <w:sz w:val="21"/>
        </w:rPr>
        <w:t>生猪屠宰加工工艺流程图（</w:t>
      </w:r>
      <w:r>
        <w:rPr>
          <w:rFonts w:ascii="Times New Roman" w:hAnsi="Times New Roman" w:eastAsia="Times New Roman"/>
          <w:b/>
          <w:sz w:val="21"/>
        </w:rPr>
        <w:t>HJ 1285</w:t>
      </w:r>
      <w:r>
        <w:rPr>
          <w:b/>
          <w:sz w:val="21"/>
        </w:rPr>
        <w:t>—</w:t>
      </w:r>
      <w:r>
        <w:rPr>
          <w:rFonts w:ascii="Times New Roman" w:hAnsi="Times New Roman" w:eastAsia="Times New Roman"/>
          <w:b/>
          <w:sz w:val="21"/>
        </w:rPr>
        <w:t>2023</w:t>
      </w:r>
      <w:r>
        <w:rPr>
          <w:b/>
          <w:sz w:val="21"/>
        </w:rPr>
        <w:t>）</w:t>
      </w:r>
    </w:p>
    <w:p w14:paraId="61DF178A">
      <w:pPr>
        <w:pStyle w:val="7"/>
        <w:rPr>
          <w:b/>
          <w:sz w:val="20"/>
        </w:rPr>
      </w:pPr>
    </w:p>
    <w:p w14:paraId="50A7AD1B">
      <w:pPr>
        <w:pStyle w:val="7"/>
        <w:rPr>
          <w:b/>
          <w:sz w:val="20"/>
        </w:rPr>
      </w:pPr>
    </w:p>
    <w:p w14:paraId="4CAE88A2">
      <w:pPr>
        <w:pStyle w:val="7"/>
        <w:rPr>
          <w:b/>
          <w:sz w:val="20"/>
        </w:rPr>
      </w:pPr>
    </w:p>
    <w:p w14:paraId="69CCB2F6">
      <w:pPr>
        <w:pStyle w:val="7"/>
        <w:rPr>
          <w:b/>
          <w:sz w:val="20"/>
        </w:rPr>
      </w:pPr>
    </w:p>
    <w:p w14:paraId="5BB09E20">
      <w:pPr>
        <w:pStyle w:val="7"/>
        <w:rPr>
          <w:b/>
          <w:sz w:val="20"/>
        </w:rPr>
      </w:pPr>
    </w:p>
    <w:p w14:paraId="6DF00379">
      <w:pPr>
        <w:pStyle w:val="7"/>
        <w:rPr>
          <w:b/>
          <w:sz w:val="20"/>
        </w:rPr>
      </w:pPr>
    </w:p>
    <w:p w14:paraId="3E48A6A7">
      <w:pPr>
        <w:pStyle w:val="7"/>
        <w:rPr>
          <w:b/>
          <w:sz w:val="20"/>
        </w:rPr>
      </w:pPr>
    </w:p>
    <w:p w14:paraId="57E072A1">
      <w:pPr>
        <w:pStyle w:val="7"/>
        <w:rPr>
          <w:b/>
          <w:sz w:val="20"/>
        </w:rPr>
      </w:pPr>
    </w:p>
    <w:p w14:paraId="1201EE0A">
      <w:pPr>
        <w:pStyle w:val="7"/>
        <w:rPr>
          <w:b/>
          <w:sz w:val="20"/>
        </w:rPr>
      </w:pPr>
    </w:p>
    <w:p w14:paraId="20CAFCA1">
      <w:pPr>
        <w:pStyle w:val="7"/>
        <w:rPr>
          <w:b/>
          <w:sz w:val="20"/>
        </w:rPr>
      </w:pPr>
    </w:p>
    <w:p w14:paraId="78D4200D">
      <w:pPr>
        <w:pStyle w:val="7"/>
        <w:spacing w:before="6"/>
        <w:rPr>
          <w:b/>
          <w:sz w:val="23"/>
        </w:rPr>
      </w:pPr>
    </w:p>
    <w:p w14:paraId="2DA05E30">
      <w:pPr>
        <w:spacing w:after="0"/>
        <w:rPr>
          <w:sz w:val="23"/>
        </w:rPr>
        <w:sectPr>
          <w:headerReference r:id="rId22" w:type="default"/>
          <w:footerReference r:id="rId23" w:type="default"/>
          <w:pgSz w:w="16840" w:h="11910" w:orient="landscape"/>
          <w:pgMar w:top="800" w:right="1320" w:bottom="280" w:left="1340" w:header="0" w:footer="0" w:gutter="0"/>
          <w:cols w:space="720" w:num="1"/>
        </w:sectPr>
      </w:pPr>
    </w:p>
    <w:p w14:paraId="1F74B0BF">
      <w:pPr>
        <w:pStyle w:val="7"/>
        <w:spacing w:before="11"/>
        <w:rPr>
          <w:b/>
          <w:sz w:val="23"/>
        </w:rPr>
      </w:pPr>
    </w:p>
    <w:p w14:paraId="13988C37">
      <w:pPr>
        <w:spacing w:before="0"/>
        <w:ind w:left="0" w:right="0" w:firstLine="0"/>
        <w:jc w:val="right"/>
        <w:rPr>
          <w:rFonts w:ascii="Times New Roman"/>
          <w:sz w:val="18"/>
        </w:rPr>
      </w:pPr>
      <w:r>
        <w:rPr>
          <w:rFonts w:ascii="Times New Roman"/>
          <w:sz w:val="18"/>
        </w:rPr>
        <w:t>- 67 -</w:t>
      </w:r>
    </w:p>
    <w:p w14:paraId="3E8938FF">
      <w:pPr>
        <w:spacing w:before="75"/>
        <w:ind w:left="3394" w:right="0" w:firstLine="0"/>
        <w:jc w:val="left"/>
        <w:rPr>
          <w:sz w:val="18"/>
        </w:rPr>
      </w:pPr>
      <w:r>
        <w:br w:type="column"/>
      </w:r>
      <w:r>
        <w:rPr>
          <w:sz w:val="18"/>
        </w:rPr>
        <w:t>编制单位：湖南明启环保工程股份有限公司</w:t>
      </w:r>
    </w:p>
    <w:p w14:paraId="1022EF03">
      <w:pPr>
        <w:spacing w:after="0"/>
        <w:jc w:val="left"/>
        <w:rPr>
          <w:sz w:val="18"/>
        </w:rPr>
        <w:sectPr>
          <w:type w:val="continuous"/>
          <w:pgSz w:w="16840" w:h="11910" w:orient="landscape"/>
          <w:pgMar w:top="1580" w:right="1320" w:bottom="280" w:left="1340" w:header="720" w:footer="720" w:gutter="0"/>
          <w:cols w:equalWidth="0" w:num="2">
            <w:col w:w="7204" w:space="40"/>
            <w:col w:w="6936"/>
          </w:cols>
        </w:sectPr>
      </w:pPr>
    </w:p>
    <w:p w14:paraId="0794C7D1">
      <w:pPr>
        <w:pStyle w:val="6"/>
        <w:spacing w:before="68"/>
        <w:ind w:left="740"/>
      </w:pPr>
      <w:r>
        <w:t>（</w:t>
      </w:r>
      <w:r>
        <w:rPr>
          <w:rFonts w:ascii="Times New Roman" w:eastAsia="Times New Roman"/>
        </w:rPr>
        <w:t>2</w:t>
      </w:r>
      <w:r>
        <w:t>）工艺流程工序简介：</w:t>
      </w:r>
    </w:p>
    <w:p w14:paraId="6F9372D4">
      <w:pPr>
        <w:pStyle w:val="7"/>
        <w:spacing w:before="160" w:line="364" w:lineRule="auto"/>
        <w:ind w:left="260" w:right="977" w:firstLine="480"/>
        <w:jc w:val="both"/>
      </w:pPr>
      <w:r>
        <w:t xml:space="preserve">①宰前准备：活猪进场，经检疫合格后送入待宰车间停食静养 </w:t>
      </w:r>
      <w:r>
        <w:rPr>
          <w:rFonts w:ascii="Times New Roman" w:hAnsi="Times New Roman" w:eastAsia="Times New Roman"/>
        </w:rPr>
        <w:t>12</w:t>
      </w:r>
      <w:r>
        <w:t>～</w:t>
      </w:r>
      <w:r>
        <w:rPr>
          <w:rFonts w:ascii="Times New Roman" w:hAnsi="Times New Roman" w:eastAsia="Times New Roman"/>
        </w:rPr>
        <w:t>24h</w:t>
      </w:r>
      <w:r>
        <w:t xml:space="preserve">， 宰前 </w:t>
      </w:r>
      <w:r>
        <w:rPr>
          <w:rFonts w:ascii="Times New Roman" w:hAnsi="Times New Roman" w:eastAsia="Times New Roman"/>
        </w:rPr>
        <w:t xml:space="preserve">3h </w:t>
      </w:r>
      <w:r>
        <w:t>充分喂水</w:t>
      </w:r>
      <w:r>
        <w:rPr>
          <w:rFonts w:ascii="Times New Roman" w:hAnsi="Times New Roman" w:eastAsia="Times New Roman"/>
        </w:rPr>
        <w:t>(</w:t>
      </w:r>
      <w:r>
        <w:t>最好是盐水</w:t>
      </w:r>
      <w:r>
        <w:rPr>
          <w:rFonts w:ascii="Times New Roman" w:hAnsi="Times New Roman" w:eastAsia="Times New Roman"/>
        </w:rPr>
        <w:t>)</w:t>
      </w:r>
      <w:r>
        <w:t xml:space="preserve">，以利于宰后胴体达到尸僵时能降低 </w:t>
      </w:r>
      <w:r>
        <w:rPr>
          <w:rFonts w:ascii="Times New Roman" w:hAnsi="Times New Roman" w:eastAsia="Times New Roman"/>
        </w:rPr>
        <w:t xml:space="preserve">pH </w:t>
      </w:r>
      <w:r>
        <w:t>值，抑制微生物的繁殖，防止胴体被污染。</w:t>
      </w:r>
    </w:p>
    <w:p w14:paraId="18DB6371">
      <w:pPr>
        <w:pStyle w:val="7"/>
        <w:spacing w:line="364" w:lineRule="auto"/>
        <w:ind w:left="260" w:right="977" w:firstLine="480"/>
        <w:jc w:val="both"/>
      </w:pPr>
      <w:r>
        <w:t>②宰前检验：宰前检验的目的是通过检疫、检测，以控制各种疫病的传入和扩散，减少污染，维护产品质量。对于检验不合格的生猪（或产品）进行无害化处理，其无害化处理方式、处理设施及防治措施严格按照《畜禽病害肉尸及其产品无害化处理规程》</w:t>
      </w:r>
      <w:r>
        <w:rPr>
          <w:rFonts w:ascii="Times New Roman" w:hAnsi="Times New Roman" w:eastAsia="Times New Roman"/>
        </w:rPr>
        <w:t>(GB/T16548</w:t>
      </w:r>
      <w:r>
        <w:t>—</w:t>
      </w:r>
      <w:r>
        <w:rPr>
          <w:rFonts w:ascii="Times New Roman" w:hAnsi="Times New Roman" w:eastAsia="Times New Roman"/>
        </w:rPr>
        <w:t>1996</w:t>
      </w:r>
      <w:r>
        <w:t>）等相关规范进行。</w:t>
      </w:r>
    </w:p>
    <w:p w14:paraId="024DF6C0">
      <w:pPr>
        <w:pStyle w:val="7"/>
        <w:spacing w:line="362" w:lineRule="auto"/>
        <w:ind w:left="260" w:right="977" w:firstLine="480"/>
      </w:pPr>
      <w:r>
        <w:t>③称重、冲淋：主要是用水进行全身清洗，以减少屠宰过程中猪身上的附着物对胴体的污染。</w:t>
      </w:r>
    </w:p>
    <w:p w14:paraId="08752667">
      <w:pPr>
        <w:pStyle w:val="7"/>
        <w:ind w:left="740"/>
      </w:pPr>
      <w:r>
        <w:t>④电麻至晕</w:t>
      </w:r>
    </w:p>
    <w:p w14:paraId="05CD1D7B">
      <w:pPr>
        <w:pStyle w:val="7"/>
        <w:spacing w:before="160" w:line="364" w:lineRule="auto"/>
        <w:ind w:left="260" w:right="977" w:firstLine="480"/>
      </w:pPr>
      <w:r>
        <w:t xml:space="preserve">将待宰生猪赶入屠宰间，在 </w:t>
      </w:r>
      <w:r>
        <w:rPr>
          <w:rFonts w:ascii="Times New Roman" w:eastAsia="Times New Roman"/>
        </w:rPr>
        <w:t xml:space="preserve">90V </w:t>
      </w:r>
      <w:r>
        <w:t xml:space="preserve">左右的电压下进行约 </w:t>
      </w:r>
      <w:r>
        <w:rPr>
          <w:rFonts w:ascii="Times New Roman" w:eastAsia="Times New Roman"/>
        </w:rPr>
        <w:t xml:space="preserve">5-10s </w:t>
      </w:r>
      <w:r>
        <w:t>的电麻，将其击晕。</w:t>
      </w:r>
    </w:p>
    <w:p w14:paraId="66967617">
      <w:pPr>
        <w:pStyle w:val="7"/>
        <w:spacing w:line="364" w:lineRule="auto"/>
        <w:ind w:left="260" w:right="926" w:firstLine="480"/>
      </w:pPr>
      <w:r>
        <w:t xml:space="preserve">⑤刺杀放血：从第一肋骨咽喉正中偏右 </w:t>
      </w:r>
      <w:r>
        <w:rPr>
          <w:rFonts w:ascii="Times New Roman" w:hAnsi="Times New Roman" w:eastAsia="Times New Roman"/>
        </w:rPr>
        <w:t>0.5</w:t>
      </w:r>
      <w:r>
        <w:t>～</w:t>
      </w:r>
      <w:r>
        <w:rPr>
          <w:rFonts w:ascii="Times New Roman" w:hAnsi="Times New Roman" w:eastAsia="Times New Roman"/>
        </w:rPr>
        <w:t xml:space="preserve">1cm </w:t>
      </w:r>
      <w:r>
        <w:t xml:space="preserve">处向心脏方向刺入，再侧刀下拖切断颈部动脉和静脉进行放血，放血时间约为 </w:t>
      </w:r>
      <w:r>
        <w:rPr>
          <w:rFonts w:ascii="Times New Roman" w:hAnsi="Times New Roman" w:eastAsia="Times New Roman"/>
        </w:rPr>
        <w:t>10min</w:t>
      </w:r>
      <w:r>
        <w:t>。</w:t>
      </w:r>
    </w:p>
    <w:p w14:paraId="21628428">
      <w:pPr>
        <w:pStyle w:val="7"/>
        <w:spacing w:line="364" w:lineRule="auto"/>
        <w:ind w:left="260" w:right="977" w:firstLine="480"/>
      </w:pPr>
      <w:r>
        <w:t>⑥浸烫脱毛：放血后的猪体应用喷淋水或清洗机冲淋，清洗血污、粪污及其他污物后进入烫池浸烫脱毛。</w:t>
      </w:r>
    </w:p>
    <w:p w14:paraId="7E1707B4">
      <w:pPr>
        <w:pStyle w:val="7"/>
        <w:spacing w:line="306" w:lineRule="exact"/>
        <w:ind w:left="740"/>
      </w:pPr>
      <w:r>
        <w:t>⑦清洗：浸烫脱毛后的猪通过清水池清洗后，由胴体提升机提升。</w:t>
      </w:r>
    </w:p>
    <w:p w14:paraId="1C038169">
      <w:pPr>
        <w:pStyle w:val="7"/>
        <w:spacing w:before="159"/>
        <w:ind w:left="740"/>
      </w:pPr>
      <w:r>
        <w:t>⑧开膛、净腔劈半：使用电动劈半锯将猪劈开，一分为二。</w:t>
      </w:r>
    </w:p>
    <w:p w14:paraId="3A7A36D5">
      <w:pPr>
        <w:pStyle w:val="7"/>
        <w:spacing w:before="158" w:line="364" w:lineRule="auto"/>
        <w:ind w:left="260" w:right="977" w:firstLine="480"/>
        <w:jc w:val="both"/>
      </w:pPr>
      <w:r>
        <w:rPr>
          <w:spacing w:val="0"/>
        </w:rPr>
        <w:t>⑨宰后检验：将胴体、猪头、内脏、蹄等实施同步卫生检验。根据《中华</w:t>
      </w:r>
      <w:r>
        <w:t>人民共和国动物防疫法》、《畜禽屠宰卫生检疫规范》（</w:t>
      </w:r>
      <w:r>
        <w:rPr>
          <w:rFonts w:ascii="Times New Roman" w:hAnsi="Times New Roman" w:eastAsia="Times New Roman"/>
        </w:rPr>
        <w:t>NY467-2001</w:t>
      </w:r>
      <w:r>
        <w:t>）、《生</w:t>
      </w:r>
      <w:r>
        <w:rPr>
          <w:spacing w:val="22"/>
        </w:rPr>
        <w:t>猪屠宰产品品质检验规程》</w:t>
      </w:r>
      <w:r>
        <w:t>（</w:t>
      </w:r>
      <w:r>
        <w:rPr>
          <w:spacing w:val="-92"/>
        </w:rPr>
        <w:t xml:space="preserve"> </w:t>
      </w:r>
      <w:r>
        <w:rPr>
          <w:rFonts w:ascii="Times New Roman" w:hAnsi="Times New Roman" w:eastAsia="Times New Roman"/>
        </w:rPr>
        <w:t xml:space="preserve">GB/T17996-1999 </w:t>
      </w:r>
      <w:r>
        <w:t>）</w:t>
      </w:r>
      <w:r>
        <w:rPr>
          <w:spacing w:val="8"/>
        </w:rPr>
        <w:t xml:space="preserve"> 、《生猪屠宰操作规程》</w:t>
      </w:r>
      <w:r>
        <w:rPr>
          <w:rFonts w:ascii="Times New Roman" w:hAnsi="Times New Roman" w:eastAsia="Times New Roman"/>
          <w:spacing w:val="8"/>
        </w:rPr>
        <w:t>(GB/T</w:t>
      </w:r>
      <w:r>
        <w:rPr>
          <w:rFonts w:ascii="Times New Roman" w:hAnsi="Times New Roman" w:eastAsia="Times New Roman"/>
          <w:spacing w:val="7"/>
        </w:rPr>
        <w:t xml:space="preserve"> </w:t>
      </w:r>
      <w:r>
        <w:rPr>
          <w:rFonts w:ascii="Times New Roman" w:hAnsi="Times New Roman" w:eastAsia="Times New Roman"/>
        </w:rPr>
        <w:t>17236-2008)</w:t>
      </w:r>
      <w:r>
        <w:t>等相关规定进行处理。</w:t>
      </w:r>
    </w:p>
    <w:p w14:paraId="77B00562">
      <w:pPr>
        <w:pStyle w:val="6"/>
        <w:ind w:left="740"/>
      </w:pPr>
      <w:r>
        <w:t>（</w:t>
      </w:r>
      <w:r>
        <w:rPr>
          <w:rFonts w:ascii="Times New Roman" w:eastAsia="Times New Roman"/>
        </w:rPr>
        <w:t>3</w:t>
      </w:r>
      <w:r>
        <w:t>）屠宰废水处理工艺</w:t>
      </w:r>
    </w:p>
    <w:p w14:paraId="6AF1AF46">
      <w:pPr>
        <w:pStyle w:val="7"/>
        <w:spacing w:before="158"/>
        <w:ind w:left="740"/>
      </w:pPr>
      <w:r>
        <w:t>项目污水处理工艺严格按照《屠宰与肉类加工废水治理工程技术规范》</w:t>
      </w:r>
    </w:p>
    <w:p w14:paraId="70765F27">
      <w:pPr>
        <w:pStyle w:val="7"/>
        <w:spacing w:before="158" w:line="364" w:lineRule="auto"/>
        <w:ind w:left="260" w:right="977"/>
        <w:jc w:val="both"/>
      </w:pPr>
      <w:r>
        <w:rPr>
          <w:spacing w:val="2"/>
        </w:rPr>
        <w:t>（</w:t>
      </w:r>
      <w:r>
        <w:rPr>
          <w:rFonts w:ascii="Times New Roman" w:eastAsia="Times New Roman"/>
          <w:spacing w:val="2"/>
        </w:rPr>
        <w:t>HJ</w:t>
      </w:r>
      <w:r>
        <w:rPr>
          <w:rFonts w:ascii="Times New Roman" w:eastAsia="Times New Roman"/>
          <w:spacing w:val="1"/>
        </w:rPr>
        <w:t xml:space="preserve"> 2004-2010</w:t>
      </w:r>
      <w:r>
        <w:rPr>
          <w:spacing w:val="1"/>
        </w:rPr>
        <w:t>）</w:t>
      </w:r>
      <w:r>
        <w:rPr>
          <w:spacing w:val="6"/>
        </w:rPr>
        <w:t xml:space="preserve">中相关要求明确，猪屠宰单位动物废水产生量为 </w:t>
      </w:r>
      <w:r>
        <w:rPr>
          <w:rFonts w:ascii="Times New Roman" w:eastAsia="Times New Roman"/>
        </w:rPr>
        <w:t>0.5~0.7m</w:t>
      </w:r>
      <w:r>
        <w:rPr>
          <w:rFonts w:ascii="Times New Roman" w:eastAsia="Times New Roman"/>
          <w:position w:val="8"/>
          <w:sz w:val="15"/>
        </w:rPr>
        <w:t>3</w:t>
      </w:r>
      <w:r>
        <w:rPr>
          <w:rFonts w:ascii="Times New Roman" w:eastAsia="Times New Roman"/>
        </w:rPr>
        <w:t xml:space="preserve">/ </w:t>
      </w:r>
      <w:r>
        <w:rPr>
          <w:spacing w:val="-2"/>
        </w:rPr>
        <w:t xml:space="preserve">头，折合本项目废水产生量为 </w:t>
      </w:r>
      <w:r>
        <w:rPr>
          <w:rFonts w:ascii="Times New Roman" w:eastAsia="Times New Roman"/>
        </w:rPr>
        <w:t xml:space="preserve">20 </w:t>
      </w:r>
      <w:r>
        <w:rPr>
          <w:spacing w:val="-23"/>
        </w:rP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 xml:space="preserve">~28 </w:t>
      </w:r>
      <w:r>
        <w:rPr>
          <w:spacing w:val="-23"/>
        </w:rPr>
        <w:t xml:space="preserve">万 </w:t>
      </w:r>
      <w:r>
        <w:rPr>
          <w:rFonts w:ascii="Times New Roman" w:eastAsia="Times New Roman"/>
        </w:rPr>
        <w:t>m</w:t>
      </w:r>
      <w:r>
        <w:rPr>
          <w:rFonts w:ascii="Times New Roman" w:eastAsia="Times New Roman"/>
          <w:position w:val="8"/>
          <w:sz w:val="15"/>
        </w:rPr>
        <w:t>3</w:t>
      </w:r>
      <w:r>
        <w:rPr>
          <w:spacing w:val="1"/>
        </w:rPr>
        <w:t>，单独的肉类加工厂废水量应</w:t>
      </w:r>
      <w:r>
        <w:rPr>
          <w:spacing w:val="-1"/>
        </w:rPr>
        <w:t xml:space="preserve">根据实际情况具体确定，一般不应超过 </w:t>
      </w:r>
      <w:r>
        <w:rPr>
          <w:rFonts w:ascii="Times New Roman" w:eastAsia="Times New Roman"/>
        </w:rPr>
        <w:t>5.8m/t(</w:t>
      </w:r>
      <w:r>
        <w:t>原料肉</w:t>
      </w:r>
      <w:r>
        <w:rPr>
          <w:rFonts w:ascii="Times New Roman" w:eastAsia="Times New Roman"/>
        </w:rPr>
        <w:t>)</w:t>
      </w:r>
      <w:r>
        <w:t>，折合本项目废水量应为</w:t>
      </w:r>
      <w:r>
        <w:rPr>
          <w:rFonts w:ascii="Times New Roman" w:eastAsia="Times New Roman"/>
        </w:rPr>
        <w:t>242440 m</w:t>
      </w:r>
      <w:r>
        <w:rPr>
          <w:rFonts w:ascii="Times New Roman" w:eastAsia="Times New Roman"/>
          <w:position w:val="8"/>
          <w:sz w:val="15"/>
        </w:rPr>
        <w:t xml:space="preserve">3 </w:t>
      </w:r>
      <w:r>
        <w:rPr>
          <w:spacing w:val="13"/>
        </w:rPr>
        <w:t>，按全厂用水量估算总废水排放量时，废水量宜取全厂用水量的</w:t>
      </w:r>
    </w:p>
    <w:p w14:paraId="575C7B9A">
      <w:pPr>
        <w:pStyle w:val="7"/>
        <w:ind w:left="260"/>
        <w:jc w:val="both"/>
      </w:pPr>
      <w:r>
        <w:rPr>
          <w:rFonts w:ascii="Times New Roman" w:eastAsia="Times New Roman"/>
        </w:rPr>
        <w:t>80%~90%</w:t>
      </w:r>
      <w:r>
        <w:t>。</w:t>
      </w:r>
    </w:p>
    <w:p w14:paraId="79546CAA">
      <w:pPr>
        <w:spacing w:after="0"/>
        <w:jc w:val="both"/>
        <w:sectPr>
          <w:headerReference r:id="rId24" w:type="default"/>
          <w:footerReference r:id="rId25" w:type="default"/>
          <w:pgSz w:w="11910" w:h="16840"/>
          <w:pgMar w:top="1360" w:right="820" w:bottom="1400" w:left="1540" w:header="878" w:footer="1204" w:gutter="0"/>
          <w:pgNumType w:start="68"/>
          <w:cols w:space="720" w:num="1"/>
        </w:sectPr>
      </w:pPr>
    </w:p>
    <w:p w14:paraId="47E2FC8D">
      <w:pPr>
        <w:pStyle w:val="7"/>
        <w:spacing w:before="68" w:line="364" w:lineRule="auto"/>
        <w:ind w:left="260" w:right="977" w:firstLine="480"/>
        <w:jc w:val="both"/>
        <w:rPr>
          <w:rFonts w:ascii="Times New Roman" w:eastAsia="Times New Roman"/>
        </w:rPr>
      </w:pPr>
      <w:r>
        <w:rPr>
          <w:spacing w:val="-3"/>
        </w:rPr>
        <w:t xml:space="preserve">根据前述水平衡及源强核算可知，本项目屠宰加工工序废水 </w:t>
      </w:r>
      <w:r>
        <w:rPr>
          <w:rFonts w:ascii="Times New Roman" w:eastAsia="Times New Roman"/>
        </w:rPr>
        <w:t>214000 m</w:t>
      </w:r>
      <w:r>
        <w:rPr>
          <w:rFonts w:ascii="Times New Roman" w:eastAsia="Times New Roman"/>
          <w:position w:val="8"/>
          <w:sz w:val="15"/>
        </w:rPr>
        <w:t>3</w:t>
      </w:r>
      <w:r>
        <w:t xml:space="preserve">，符合相关废水量要求，未采取全厂用水总量估算，根据湖南省用水定额和国家源强核算手册进行定量分析，因此本次评价水平衡基本符合实际并满足 </w:t>
      </w:r>
      <w:r>
        <w:rPr>
          <w:rFonts w:ascii="Times New Roman" w:eastAsia="Times New Roman"/>
        </w:rPr>
        <w:t>HJ 2004-</w:t>
      </w:r>
    </w:p>
    <w:p w14:paraId="0635A9E9">
      <w:pPr>
        <w:pStyle w:val="7"/>
        <w:spacing w:line="307" w:lineRule="exact"/>
        <w:ind w:left="260"/>
      </w:pPr>
      <w:r>
        <w:rPr>
          <w:rFonts w:ascii="Times New Roman" w:eastAsia="Times New Roman"/>
        </w:rPr>
        <w:t xml:space="preserve">2010 </w:t>
      </w:r>
      <w:r>
        <w:t>中相关要求和后续废水处理设施配套设计规范。</w:t>
      </w:r>
    </w:p>
    <w:p w14:paraId="6F63D3E7">
      <w:pPr>
        <w:pStyle w:val="7"/>
        <w:spacing w:before="158" w:line="364" w:lineRule="auto"/>
        <w:ind w:left="260" w:right="977" w:firstLine="480"/>
        <w:jc w:val="both"/>
      </w:pPr>
      <w:r>
        <w:t xml:space="preserve">本项目配套建设一座污水处理站，设计处理能力为 </w:t>
      </w:r>
      <w:r>
        <w:rPr>
          <w:rFonts w:ascii="Times New Roman" w:eastAsia="Times New Roman"/>
        </w:rPr>
        <w:t>800m</w:t>
      </w:r>
      <w:r>
        <w:rPr>
          <w:rFonts w:ascii="Times New Roman" w:eastAsia="Times New Roman"/>
          <w:position w:val="8"/>
          <w:sz w:val="15"/>
        </w:rPr>
        <w:t>3</w:t>
      </w:r>
      <w:r>
        <w:rPr>
          <w:rFonts w:ascii="Times New Roman" w:eastAsia="Times New Roman"/>
        </w:rPr>
        <w:t>/d</w:t>
      </w:r>
      <w:r>
        <w:t>，用于处理生产废水，生产废水包括牲畜尿液、屠宰废水、分割车间冲洗废水、车辆清洗废水。具体工艺流程如下：</w:t>
      </w:r>
    </w:p>
    <w:p w14:paraId="752EC0DB">
      <w:pPr>
        <w:pStyle w:val="7"/>
        <w:spacing w:before="8"/>
        <w:rPr>
          <w:sz w:val="10"/>
        </w:rPr>
      </w:pPr>
      <w:r>
        <w:drawing>
          <wp:anchor distT="0" distB="0" distL="0" distR="0" simplePos="0" relativeHeight="251659264" behindDoc="0" locked="0" layoutInCell="1" allowOverlap="1">
            <wp:simplePos x="0" y="0"/>
            <wp:positionH relativeFrom="page">
              <wp:posOffset>1239520</wp:posOffset>
            </wp:positionH>
            <wp:positionV relativeFrom="paragraph">
              <wp:posOffset>111125</wp:posOffset>
            </wp:positionV>
            <wp:extent cx="5707380" cy="2987040"/>
            <wp:effectExtent l="0" t="0" r="0" b="0"/>
            <wp:wrapTopAndBottom/>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jpeg"/>
                    <pic:cNvPicPr>
                      <a:picLocks noChangeAspect="1"/>
                    </pic:cNvPicPr>
                  </pic:nvPicPr>
                  <pic:blipFill>
                    <a:blip r:embed="rId72" cstate="print"/>
                    <a:stretch>
                      <a:fillRect/>
                    </a:stretch>
                  </pic:blipFill>
                  <pic:spPr>
                    <a:xfrm>
                      <a:off x="0" y="0"/>
                      <a:ext cx="5707540" cy="2987040"/>
                    </a:xfrm>
                    <a:prstGeom prst="rect">
                      <a:avLst/>
                    </a:prstGeom>
                  </pic:spPr>
                </pic:pic>
              </a:graphicData>
            </a:graphic>
          </wp:anchor>
        </w:drawing>
      </w:r>
    </w:p>
    <w:p w14:paraId="539D0D48">
      <w:pPr>
        <w:pStyle w:val="7"/>
        <w:rPr>
          <w:sz w:val="20"/>
        </w:rPr>
      </w:pPr>
    </w:p>
    <w:p w14:paraId="681B68AB">
      <w:pPr>
        <w:spacing w:before="1"/>
        <w:ind w:left="2638" w:right="0" w:firstLine="0"/>
        <w:jc w:val="left"/>
        <w:rPr>
          <w:b/>
          <w:sz w:val="21"/>
        </w:rPr>
      </w:pPr>
      <w:r>
        <w:rPr>
          <w:b/>
          <w:sz w:val="21"/>
        </w:rPr>
        <w:t xml:space="preserve">图 </w:t>
      </w:r>
      <w:r>
        <w:rPr>
          <w:rFonts w:ascii="Times New Roman" w:eastAsia="Times New Roman"/>
          <w:b/>
          <w:sz w:val="21"/>
        </w:rPr>
        <w:t xml:space="preserve">3.7-3 </w:t>
      </w:r>
      <w:r>
        <w:rPr>
          <w:b/>
          <w:sz w:val="21"/>
        </w:rPr>
        <w:t>项目污水处理站处理工艺流程图</w:t>
      </w:r>
    </w:p>
    <w:p w14:paraId="64691897">
      <w:pPr>
        <w:pStyle w:val="7"/>
        <w:spacing w:before="3"/>
        <w:ind w:left="740"/>
      </w:pPr>
      <w:r>
        <w:t>本项目废水处理工艺说明：</w:t>
      </w:r>
    </w:p>
    <w:p w14:paraId="5E69905B">
      <w:pPr>
        <w:pStyle w:val="7"/>
        <w:spacing w:before="158"/>
        <w:ind w:left="740"/>
      </w:pPr>
      <w:r>
        <w:t>废水处理站采取“生物法为主、化学法为辅”</w:t>
      </w:r>
    </w:p>
    <w:p w14:paraId="6E357109">
      <w:pPr>
        <w:pStyle w:val="7"/>
        <w:spacing w:before="160" w:line="364" w:lineRule="auto"/>
        <w:ind w:left="260" w:right="706" w:firstLine="480"/>
        <w:jc w:val="both"/>
      </w:pPr>
      <w:r>
        <w:t xml:space="preserve">屠宰废水经过管道收集至污水站收集池，在收集池前端设置格栅渠，去除污水中的猪毛、动物内脏杂物、碎皮肉等较大杂物。收集池内污水经过泵提升至固液分离机进一步去除污水中的悬浮物，在收集池内设置搅拌装置，防止悬浮物在收集池内沉淀，固液分离机的出水进入调节池调节水量水质，调节池出水经提升泵进入气浮装置，通过投加 </w:t>
      </w:r>
      <w:r>
        <w:rPr>
          <w:rFonts w:ascii="Times New Roman" w:eastAsia="Times New Roman"/>
        </w:rPr>
        <w:t>PAC</w:t>
      </w:r>
      <w:r>
        <w:t>、</w:t>
      </w:r>
      <w:r>
        <w:rPr>
          <w:rFonts w:ascii="Times New Roman" w:eastAsia="Times New Roman"/>
        </w:rPr>
        <w:t xml:space="preserve">PAM </w:t>
      </w:r>
      <w:r>
        <w:t xml:space="preserve">药剂进一步去除污水中细小 </w:t>
      </w:r>
      <w:r>
        <w:rPr>
          <w:rFonts w:ascii="Times New Roman" w:eastAsia="Times New Roman"/>
        </w:rPr>
        <w:t xml:space="preserve">SS </w:t>
      </w:r>
      <w:r>
        <w:t xml:space="preserve">及油脂。气浮出水自流进入水解酸化池，在水解池内降解部分有机污染物，并将大分子有机物降解成小分子有机物，提高污水的可生化性。水解酸化池出水进入缺氧池， 缺氧池出水进入好氧池，缺氧池和好氧组合成 </w:t>
      </w:r>
      <w:r>
        <w:rPr>
          <w:rFonts w:ascii="Times New Roman" w:eastAsia="Times New Roman"/>
        </w:rPr>
        <w:t xml:space="preserve">AO </w:t>
      </w:r>
      <w:r>
        <w:t>系统，是本流程的核心工艺污水中的主要污染物主要在本工艺段降解，好氧池出水进入二沉池，二沉池内的污</w:t>
      </w:r>
    </w:p>
    <w:p w14:paraId="3D8168A7">
      <w:pPr>
        <w:spacing w:after="0" w:line="364" w:lineRule="auto"/>
        <w:jc w:val="both"/>
        <w:sectPr>
          <w:pgSz w:w="11910" w:h="16840"/>
          <w:pgMar w:top="1360" w:right="820" w:bottom="1400" w:left="1540" w:header="878" w:footer="1204" w:gutter="0"/>
          <w:cols w:space="720" w:num="1"/>
        </w:sectPr>
      </w:pPr>
    </w:p>
    <w:p w14:paraId="7292F40A">
      <w:pPr>
        <w:pStyle w:val="7"/>
        <w:spacing w:before="68"/>
        <w:ind w:left="260"/>
      </w:pPr>
      <w:r>
        <w:t xml:space="preserve">水回流至缺氧池和水解酸化池。二沉池出水进入混凝沉淀池，通过投加 </w:t>
      </w:r>
      <w:r>
        <w:rPr>
          <w:rFonts w:ascii="Times New Roman" w:eastAsia="Times New Roman"/>
        </w:rPr>
        <w:t>PAC</w:t>
      </w:r>
      <w:r>
        <w:t>、</w:t>
      </w:r>
    </w:p>
    <w:p w14:paraId="4CA1BE4B">
      <w:pPr>
        <w:pStyle w:val="7"/>
        <w:spacing w:before="160" w:line="362" w:lineRule="auto"/>
        <w:ind w:left="260" w:right="706"/>
      </w:pPr>
      <w:r>
        <w:rPr>
          <w:rFonts w:ascii="Times New Roman" w:eastAsia="Times New Roman"/>
        </w:rPr>
        <w:t xml:space="preserve">PAM </w:t>
      </w:r>
      <w:r>
        <w:t>通过化学方法进一步去除污水中的磷，保证出水总磷达标。混凝沉淀池的出水进入消毒排放渠，经过次氯酸钠消毒后达标排放至污水管网。</w:t>
      </w:r>
    </w:p>
    <w:p w14:paraId="6351964F">
      <w:pPr>
        <w:pStyle w:val="7"/>
        <w:spacing w:before="5" w:line="362" w:lineRule="auto"/>
        <w:ind w:left="260" w:right="980" w:firstLine="480"/>
        <w:jc w:val="both"/>
      </w:pPr>
      <w:r>
        <w:t>沉淀池及生化池等处理单元产生的排入污泥池，污泥经叠螺机脱水后委外处理，滤液回调节池。</w:t>
      </w:r>
    </w:p>
    <w:p w14:paraId="06E02CF7">
      <w:pPr>
        <w:spacing w:before="4" w:after="3"/>
        <w:ind w:left="2532" w:right="0" w:firstLine="0"/>
        <w:jc w:val="left"/>
        <w:rPr>
          <w:b/>
          <w:sz w:val="21"/>
        </w:rPr>
      </w:pPr>
      <w:r>
        <w:rPr>
          <w:b/>
          <w:sz w:val="21"/>
        </w:rPr>
        <w:t xml:space="preserve">表 </w:t>
      </w:r>
      <w:r>
        <w:rPr>
          <w:rFonts w:ascii="Times New Roman" w:eastAsia="Times New Roman"/>
          <w:b/>
          <w:sz w:val="21"/>
        </w:rPr>
        <w:t xml:space="preserve">3.7-8 </w:t>
      </w:r>
      <w:r>
        <w:rPr>
          <w:b/>
          <w:sz w:val="21"/>
        </w:rPr>
        <w:t>项目废水处理站设计出水水质标准</w:t>
      </w:r>
    </w:p>
    <w:tbl>
      <w:tblPr>
        <w:tblStyle w:val="10"/>
        <w:tblW w:w="0" w:type="auto"/>
        <w:tblInd w:w="1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02"/>
        <w:gridCol w:w="1095"/>
        <w:gridCol w:w="947"/>
        <w:gridCol w:w="701"/>
        <w:gridCol w:w="1081"/>
        <w:gridCol w:w="1317"/>
        <w:gridCol w:w="825"/>
        <w:gridCol w:w="826"/>
      </w:tblGrid>
      <w:tr w14:paraId="39DA80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7" w:hRule="atLeast"/>
        </w:trPr>
        <w:tc>
          <w:tcPr>
            <w:tcW w:w="1802" w:type="dxa"/>
          </w:tcPr>
          <w:p w14:paraId="1842E071">
            <w:pPr>
              <w:pStyle w:val="14"/>
              <w:spacing w:before="162"/>
              <w:ind w:left="249" w:right="230"/>
              <w:jc w:val="center"/>
              <w:rPr>
                <w:b/>
                <w:sz w:val="21"/>
              </w:rPr>
            </w:pPr>
            <w:r>
              <w:rPr>
                <w:b/>
                <w:sz w:val="21"/>
              </w:rPr>
              <w:t>污染物</w:t>
            </w:r>
          </w:p>
        </w:tc>
        <w:tc>
          <w:tcPr>
            <w:tcW w:w="1095" w:type="dxa"/>
          </w:tcPr>
          <w:p w14:paraId="40034319">
            <w:pPr>
              <w:pStyle w:val="14"/>
              <w:spacing w:before="178"/>
              <w:ind w:left="199" w:right="181"/>
              <w:jc w:val="center"/>
              <w:rPr>
                <w:rFonts w:ascii="Times New Roman"/>
                <w:b/>
                <w:sz w:val="21"/>
              </w:rPr>
            </w:pPr>
            <w:r>
              <w:rPr>
                <w:rFonts w:ascii="Times New Roman"/>
                <w:b/>
                <w:sz w:val="21"/>
              </w:rPr>
              <w:t>CODcr</w:t>
            </w:r>
          </w:p>
        </w:tc>
        <w:tc>
          <w:tcPr>
            <w:tcW w:w="947" w:type="dxa"/>
          </w:tcPr>
          <w:p w14:paraId="0DA412F8">
            <w:pPr>
              <w:pStyle w:val="14"/>
              <w:spacing w:before="175"/>
              <w:ind w:left="190" w:right="172"/>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701" w:type="dxa"/>
          </w:tcPr>
          <w:p w14:paraId="6DC707D0">
            <w:pPr>
              <w:pStyle w:val="14"/>
              <w:spacing w:before="178"/>
              <w:ind w:left="233"/>
              <w:rPr>
                <w:rFonts w:ascii="Times New Roman"/>
                <w:b/>
                <w:sz w:val="21"/>
              </w:rPr>
            </w:pPr>
            <w:r>
              <w:rPr>
                <w:rFonts w:ascii="Times New Roman"/>
                <w:b/>
                <w:sz w:val="21"/>
              </w:rPr>
              <w:t>SS</w:t>
            </w:r>
          </w:p>
        </w:tc>
        <w:tc>
          <w:tcPr>
            <w:tcW w:w="1081" w:type="dxa"/>
          </w:tcPr>
          <w:p w14:paraId="5678726D">
            <w:pPr>
              <w:pStyle w:val="14"/>
              <w:spacing w:before="175"/>
              <w:ind w:left="216" w:right="200"/>
              <w:jc w:val="center"/>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vertAlign w:val="baseline"/>
              </w:rPr>
              <w:t>-N</w:t>
            </w:r>
          </w:p>
        </w:tc>
        <w:tc>
          <w:tcPr>
            <w:tcW w:w="1317" w:type="dxa"/>
          </w:tcPr>
          <w:p w14:paraId="4E8CFD10">
            <w:pPr>
              <w:pStyle w:val="14"/>
              <w:spacing w:before="162"/>
              <w:ind w:left="216" w:right="197"/>
              <w:jc w:val="center"/>
              <w:rPr>
                <w:b/>
                <w:sz w:val="21"/>
              </w:rPr>
            </w:pPr>
            <w:r>
              <w:rPr>
                <w:b/>
                <w:sz w:val="21"/>
              </w:rPr>
              <w:t>动植物油</w:t>
            </w:r>
          </w:p>
        </w:tc>
        <w:tc>
          <w:tcPr>
            <w:tcW w:w="825" w:type="dxa"/>
          </w:tcPr>
          <w:p w14:paraId="30AD3F2E">
            <w:pPr>
              <w:pStyle w:val="14"/>
              <w:spacing w:before="162"/>
              <w:ind w:left="175" w:right="158"/>
              <w:jc w:val="center"/>
              <w:rPr>
                <w:b/>
                <w:sz w:val="21"/>
              </w:rPr>
            </w:pPr>
            <w:r>
              <w:rPr>
                <w:b/>
                <w:sz w:val="21"/>
              </w:rPr>
              <w:t>总磷</w:t>
            </w:r>
          </w:p>
        </w:tc>
        <w:tc>
          <w:tcPr>
            <w:tcW w:w="826" w:type="dxa"/>
          </w:tcPr>
          <w:p w14:paraId="0BEAECE5">
            <w:pPr>
              <w:pStyle w:val="14"/>
              <w:spacing w:before="162"/>
              <w:ind w:left="181" w:right="163"/>
              <w:jc w:val="center"/>
              <w:rPr>
                <w:b/>
                <w:sz w:val="21"/>
              </w:rPr>
            </w:pPr>
            <w:r>
              <w:rPr>
                <w:b/>
                <w:sz w:val="21"/>
              </w:rPr>
              <w:t>总氮</w:t>
            </w:r>
          </w:p>
        </w:tc>
      </w:tr>
      <w:tr w14:paraId="618F1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7" w:hRule="atLeast"/>
        </w:trPr>
        <w:tc>
          <w:tcPr>
            <w:tcW w:w="1802" w:type="dxa"/>
          </w:tcPr>
          <w:p w14:paraId="2A83D994">
            <w:pPr>
              <w:pStyle w:val="14"/>
              <w:spacing w:before="163"/>
              <w:ind w:left="249" w:right="232"/>
              <w:jc w:val="center"/>
              <w:rPr>
                <w:sz w:val="21"/>
              </w:rPr>
            </w:pPr>
            <w:r>
              <w:rPr>
                <w:sz w:val="21"/>
              </w:rPr>
              <w:t>设计排放限值</w:t>
            </w:r>
          </w:p>
        </w:tc>
        <w:tc>
          <w:tcPr>
            <w:tcW w:w="1095" w:type="dxa"/>
          </w:tcPr>
          <w:p w14:paraId="277249FC">
            <w:pPr>
              <w:pStyle w:val="14"/>
              <w:spacing w:before="177"/>
              <w:ind w:left="199" w:right="181"/>
              <w:jc w:val="center"/>
              <w:rPr>
                <w:rFonts w:ascii="Times New Roman"/>
                <w:sz w:val="21"/>
              </w:rPr>
            </w:pPr>
            <w:r>
              <w:rPr>
                <w:rFonts w:ascii="Times New Roman"/>
                <w:sz w:val="21"/>
              </w:rPr>
              <w:t>450</w:t>
            </w:r>
          </w:p>
        </w:tc>
        <w:tc>
          <w:tcPr>
            <w:tcW w:w="947" w:type="dxa"/>
          </w:tcPr>
          <w:p w14:paraId="57153C6A">
            <w:pPr>
              <w:pStyle w:val="14"/>
              <w:spacing w:before="177"/>
              <w:ind w:left="188" w:right="172"/>
              <w:jc w:val="center"/>
              <w:rPr>
                <w:rFonts w:ascii="Times New Roman"/>
                <w:sz w:val="21"/>
              </w:rPr>
            </w:pPr>
            <w:r>
              <w:rPr>
                <w:rFonts w:ascii="Times New Roman"/>
                <w:sz w:val="21"/>
              </w:rPr>
              <w:t>70</w:t>
            </w:r>
          </w:p>
        </w:tc>
        <w:tc>
          <w:tcPr>
            <w:tcW w:w="701" w:type="dxa"/>
          </w:tcPr>
          <w:p w14:paraId="30BAA7D6">
            <w:pPr>
              <w:pStyle w:val="14"/>
              <w:spacing w:before="177"/>
              <w:ind w:left="192"/>
              <w:rPr>
                <w:rFonts w:ascii="Times New Roman"/>
                <w:sz w:val="21"/>
              </w:rPr>
            </w:pPr>
            <w:r>
              <w:rPr>
                <w:rFonts w:ascii="Times New Roman"/>
                <w:sz w:val="21"/>
              </w:rPr>
              <w:t>300</w:t>
            </w:r>
          </w:p>
        </w:tc>
        <w:tc>
          <w:tcPr>
            <w:tcW w:w="1081" w:type="dxa"/>
          </w:tcPr>
          <w:p w14:paraId="5C348933">
            <w:pPr>
              <w:pStyle w:val="14"/>
              <w:spacing w:before="177"/>
              <w:ind w:left="216" w:right="198"/>
              <w:jc w:val="center"/>
              <w:rPr>
                <w:rFonts w:ascii="Times New Roman"/>
                <w:sz w:val="21"/>
              </w:rPr>
            </w:pPr>
            <w:r>
              <w:rPr>
                <w:rFonts w:ascii="Times New Roman"/>
                <w:sz w:val="21"/>
              </w:rPr>
              <w:t>35</w:t>
            </w:r>
          </w:p>
        </w:tc>
        <w:tc>
          <w:tcPr>
            <w:tcW w:w="1317" w:type="dxa"/>
          </w:tcPr>
          <w:p w14:paraId="0E05610E">
            <w:pPr>
              <w:pStyle w:val="14"/>
              <w:spacing w:before="177"/>
              <w:ind w:left="216" w:right="196"/>
              <w:jc w:val="center"/>
              <w:rPr>
                <w:rFonts w:ascii="Times New Roman"/>
                <w:sz w:val="21"/>
              </w:rPr>
            </w:pPr>
            <w:r>
              <w:rPr>
                <w:rFonts w:ascii="Times New Roman"/>
                <w:sz w:val="21"/>
              </w:rPr>
              <w:t>60</w:t>
            </w:r>
          </w:p>
        </w:tc>
        <w:tc>
          <w:tcPr>
            <w:tcW w:w="825" w:type="dxa"/>
          </w:tcPr>
          <w:p w14:paraId="643C52F6">
            <w:pPr>
              <w:pStyle w:val="14"/>
              <w:spacing w:before="177"/>
              <w:ind w:left="19"/>
              <w:jc w:val="center"/>
              <w:rPr>
                <w:rFonts w:ascii="Times New Roman"/>
                <w:sz w:val="21"/>
              </w:rPr>
            </w:pPr>
            <w:r>
              <w:rPr>
                <w:rFonts w:ascii="Times New Roman"/>
                <w:w w:val="99"/>
                <w:sz w:val="21"/>
              </w:rPr>
              <w:t>5</w:t>
            </w:r>
          </w:p>
        </w:tc>
        <w:tc>
          <w:tcPr>
            <w:tcW w:w="826" w:type="dxa"/>
          </w:tcPr>
          <w:p w14:paraId="67CF9533">
            <w:pPr>
              <w:pStyle w:val="14"/>
              <w:spacing w:before="177"/>
              <w:ind w:left="181" w:right="162"/>
              <w:jc w:val="center"/>
              <w:rPr>
                <w:rFonts w:ascii="Times New Roman"/>
                <w:sz w:val="21"/>
              </w:rPr>
            </w:pPr>
            <w:r>
              <w:rPr>
                <w:rFonts w:ascii="Times New Roman"/>
                <w:sz w:val="21"/>
              </w:rPr>
              <w:t>45</w:t>
            </w:r>
          </w:p>
        </w:tc>
      </w:tr>
    </w:tbl>
    <w:p w14:paraId="7825C1F9">
      <w:pPr>
        <w:pStyle w:val="6"/>
        <w:spacing w:before="2"/>
        <w:ind w:left="740"/>
      </w:pPr>
      <w:r>
        <w:t>（</w:t>
      </w:r>
      <w:r>
        <w:rPr>
          <w:rFonts w:ascii="Times New Roman" w:eastAsia="Times New Roman"/>
        </w:rPr>
        <w:t>4</w:t>
      </w:r>
      <w:r>
        <w:t>）恶臭气体处理工艺</w:t>
      </w:r>
    </w:p>
    <w:p w14:paraId="7EBBBFDB">
      <w:pPr>
        <w:pStyle w:val="7"/>
        <w:spacing w:before="159" w:line="364" w:lineRule="auto"/>
        <w:ind w:left="260" w:right="977" w:firstLine="480"/>
        <w:jc w:val="both"/>
      </w:pPr>
      <w:r>
        <w:t>本处理工艺过程中产生气味物质主要由碳、氮和硫元素组成。只有少数的</w:t>
      </w:r>
      <w:r>
        <w:rPr>
          <w:position w:val="2"/>
        </w:rPr>
        <w:t>气味物质是无机化合物，例如：氨（</w:t>
      </w:r>
      <w:r>
        <w:rPr>
          <w:rFonts w:ascii="Times New Roman" w:eastAsia="Times New Roman"/>
          <w:position w:val="2"/>
        </w:rPr>
        <w:t>NH</w:t>
      </w:r>
      <w:r>
        <w:rPr>
          <w:rFonts w:ascii="Times New Roman" w:eastAsia="Times New Roman"/>
          <w:position w:val="2"/>
          <w:vertAlign w:val="subscript"/>
        </w:rPr>
        <w:t>3</w:t>
      </w:r>
      <w:r>
        <w:rPr>
          <w:position w:val="2"/>
          <w:vertAlign w:val="baseline"/>
        </w:rPr>
        <w:t>）和硫化氢（</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）；大多数的气味物</w:t>
      </w:r>
      <w:r>
        <w:rPr>
          <w:vertAlign w:val="baseline"/>
        </w:rPr>
        <w:t>质是有机物，比如：低分子脂肪酸、胺类、醛类、酮类、醚类、卤代烃以及脂肪族的、芳香族的、杂环的氮或硫化物。值得注意的是：这些物质都带有活性基团，容易发生化学反应，特别是被氧化。当活性基团被氧化后，气味就消失，生物除臭工艺就是基于这一原理。本项目恶臭气体拟采用喷淋吸收塔</w:t>
      </w:r>
      <w:r>
        <w:rPr>
          <w:rFonts w:ascii="Times New Roman" w:eastAsia="Times New Roman"/>
          <w:vertAlign w:val="baseline"/>
        </w:rPr>
        <w:t>+</w:t>
      </w:r>
      <w:r>
        <w:rPr>
          <w:vertAlign w:val="baseline"/>
        </w:rPr>
        <w:t>生物除臭系统进行处理。</w:t>
      </w:r>
    </w:p>
    <w:p w14:paraId="2261D0D9">
      <w:pPr>
        <w:pStyle w:val="7"/>
        <w:spacing w:line="300" w:lineRule="exact"/>
        <w:ind w:left="740"/>
      </w:pPr>
      <w:r>
        <w:t>生物除臭过程主要以三个步骤进行：（</w:t>
      </w:r>
      <w:r>
        <w:rPr>
          <w:rFonts w:ascii="Times New Roman" w:eastAsia="Times New Roman"/>
        </w:rPr>
        <w:t>1</w:t>
      </w:r>
      <w:r>
        <w:t>）水溶渗透；（</w:t>
      </w:r>
      <w:r>
        <w:rPr>
          <w:rFonts w:ascii="Times New Roman" w:eastAsia="Times New Roman"/>
        </w:rPr>
        <w:t>2</w:t>
      </w:r>
      <w:r>
        <w:t>）生物吸收；</w:t>
      </w:r>
    </w:p>
    <w:p w14:paraId="644002D4">
      <w:pPr>
        <w:pStyle w:val="7"/>
        <w:spacing w:before="158"/>
        <w:ind w:left="260"/>
      </w:pPr>
      <w:r>
        <w:t>（</w:t>
      </w:r>
      <w:r>
        <w:rPr>
          <w:rFonts w:ascii="Times New Roman" w:eastAsia="Times New Roman"/>
        </w:rPr>
        <w:t>3</w:t>
      </w:r>
      <w:r>
        <w:t>）生物氧化。</w:t>
      </w:r>
    </w:p>
    <w:p w14:paraId="34D72DFC">
      <w:pPr>
        <w:pStyle w:val="7"/>
        <w:spacing w:before="160" w:line="364" w:lineRule="auto"/>
        <w:ind w:left="260" w:right="977" w:firstLine="480"/>
        <w:jc w:val="both"/>
      </w:pPr>
      <w:r>
        <w:t>水溶渗透过程是生物除臭的第一步。滤料表面覆盖有水层，臭气中的化学物质与滤料接触后在表层溶解，并从气相转化为水相，以利于滤料中的细菌作进一步的吸收和分解。另外，滤料的多孔性使其具有超大的比表面积，使气、水两相有更大的接触面积，有效增大了气相化学物质在水相中的传送扩散速率</w:t>
      </w:r>
    </w:p>
    <w:p w14:paraId="60CA2737">
      <w:pPr>
        <w:pStyle w:val="7"/>
        <w:spacing w:line="364" w:lineRule="auto"/>
        <w:ind w:left="260" w:right="977"/>
        <w:jc w:val="both"/>
      </w:pPr>
      <w:r>
        <w:t>（经实验测试所得，其产生的瞬时效应是化学清洗的好几百倍）。所以，水溶渗透过程其实是一物理作用过程，高速的传送扩散意味着滤料可迅速将臭气的浓度降至极低的水平。</w:t>
      </w:r>
    </w:p>
    <w:p w14:paraId="50246296">
      <w:pPr>
        <w:pStyle w:val="7"/>
        <w:spacing w:line="362" w:lineRule="auto"/>
        <w:ind w:left="260" w:right="977" w:firstLine="480"/>
        <w:jc w:val="both"/>
      </w:pPr>
      <w:r>
        <w:t>第二步：水溶液中的恶臭成分被微生物吸附、吸收，恶臭成分从水中转移至微生物体内；</w:t>
      </w:r>
    </w:p>
    <w:p w14:paraId="67C3AF21">
      <w:pPr>
        <w:pStyle w:val="7"/>
        <w:spacing w:before="2" w:line="362" w:lineRule="auto"/>
        <w:ind w:left="260" w:right="977" w:firstLine="480"/>
        <w:jc w:val="both"/>
      </w:pPr>
      <w:r>
        <w:t>第三步是通过生物氧化来降解污染物的过程。滤料中的专性细菌（根据臭源的类型筛选而得到的处理菌种）将以污染物为食，把污染物转化为自身的营</w:t>
      </w:r>
    </w:p>
    <w:p w14:paraId="1FAB259F">
      <w:pPr>
        <w:spacing w:after="0" w:line="362" w:lineRule="auto"/>
        <w:jc w:val="both"/>
        <w:sectPr>
          <w:footerReference r:id="rId26" w:type="default"/>
          <w:pgSz w:w="11910" w:h="16840"/>
          <w:pgMar w:top="1360" w:right="820" w:bottom="1400" w:left="1540" w:header="878" w:footer="1204" w:gutter="0"/>
          <w:pgNumType w:start="70"/>
          <w:cols w:space="720" w:num="1"/>
        </w:sectPr>
      </w:pPr>
    </w:p>
    <w:p w14:paraId="5E90D926">
      <w:pPr>
        <w:pStyle w:val="7"/>
        <w:spacing w:before="68" w:line="364" w:lineRule="auto"/>
        <w:ind w:left="260" w:right="977"/>
        <w:jc w:val="both"/>
      </w:pPr>
      <w:r>
        <w:t>养物质，使碳、氢、氧、氮、硫等元素从化合物的形式转化为游离态，进入微生物的自身循环过程，从而达到降解的目的。与此同时，专性细菌等微生物又可实现自身的繁殖过程。当作为食物的污染化合物与专性细菌的营养需要达到平衡，而水分、温度、酸碱程度等条件均符合微生物所需时，专性细菌的代谢繁殖将会达到一稳定的平衡，而最终的产物是无污染的二氧化碳、水和盐。从而使污染物得以去除。</w:t>
      </w:r>
    </w:p>
    <w:p w14:paraId="1DED88CD">
      <w:pPr>
        <w:spacing w:before="0" w:line="254" w:lineRule="exact"/>
        <w:ind w:left="0" w:right="980" w:firstLine="0"/>
        <w:jc w:val="right"/>
        <w:rPr>
          <w:sz w:val="20"/>
        </w:rPr>
      </w:pPr>
      <w:r>
        <w:rPr>
          <w:w w:val="95"/>
          <w:sz w:val="20"/>
        </w:rPr>
        <w:t>净化空气排入大气</w:t>
      </w:r>
    </w:p>
    <w:p w14:paraId="30CBA6C6">
      <w:pPr>
        <w:pStyle w:val="7"/>
        <w:spacing w:before="6"/>
        <w:rPr>
          <w:sz w:val="22"/>
        </w:rPr>
      </w:pPr>
    </w:p>
    <w:p w14:paraId="3BA08FB0">
      <w:pPr>
        <w:tabs>
          <w:tab w:val="left" w:pos="491"/>
        </w:tabs>
        <w:spacing w:before="0"/>
        <w:ind w:left="0" w:right="955" w:firstLine="0"/>
        <w:jc w:val="right"/>
        <w:rPr>
          <w:rFonts w:ascii="Times New Roman"/>
          <w:sz w:val="21"/>
        </w:rPr>
      </w:pPr>
      <w:r>
        <w:pict>
          <v:group id="_x0000_s1362" o:spid="_x0000_s1362" o:spt="203" style="position:absolute;left:0pt;margin-left:101.95pt;margin-top:-6.25pt;height:30.1pt;width:380.25pt;mso-position-horizontal-relative:page;z-index:251659264;mso-width-relative:page;mso-height-relative:page;" coordorigin="2040,-125" coordsize="7605,602">
            <o:lock v:ext="edit"/>
            <v:shape id="_x0000_s1363" o:spid="_x0000_s1363" style="position:absolute;left:2687;top:-19;height:474;width:1590;" fillcolor="#000000" filled="t" stroked="f" coordorigin="2688,-19" coordsize="1590,474" path="m4263,-4l4150,-4,4150,-19,4270,-19,4270,-11,4263,-11,4263,-4xm4278,97l4263,97,4263,-11,4270,-11,4270,-4,4278,-4,4278,97xm4278,-4l4270,-4,4270,-11,4278,-11,4278,-4xm4105,-4l3985,-4,3985,-19,4105,-19,4105,-4xm3940,-4l3820,-4,3820,-19,3940,-19,3940,-4xm3775,-4l3655,-4,3655,-19,3775,-19,3775,-4xm3610,-4l3490,-4,3490,-19,3610,-19,3610,-4xm3445,-4l3325,-4,3325,-19,3445,-19,3445,-4xm3280,-4l3160,-4,3160,-19,3280,-19,3280,-4xm3115,-4l2995,-4,2995,-19,3115,-19,3115,-4xm2950,-4l2830,-4,2830,-19,2950,-19,2950,-4xm2703,19l2688,19,2688,-19,2785,-19,2785,-11,2703,-11,2695,-4,2703,-4,2703,19xm2703,-4l2695,-4,2703,-11,2703,-4xm2785,-4l2703,-4,2703,-11,2785,-11,2785,-4xm2703,184l2688,184,2688,64,2703,64,2703,184xm2703,349l2688,349,2688,229,2703,229,2703,349xm2761,455l2688,455,2688,394,2703,394,2703,440,2695,440,2703,448,2761,448,2761,455xm2703,448l2695,440,2703,440,2703,448xm2761,448l2703,448,2703,440,2761,440,2761,448xm2926,455l2806,455,2806,440,2926,440,2926,455xm3091,455l2971,455,2971,440,3091,440,3091,455xm3256,455l3136,455,3136,440,3256,440,3256,455xm3421,455l3301,455,3301,440,3421,440,3421,455xm3586,455l3466,455,3466,440,3586,440,3586,455xm3751,455l3631,455,3631,440,3751,440,3751,455xm3916,455l3796,455,3796,440,3916,440,3916,455xm4081,455l3961,455,3961,440,4081,440,4081,455xm4246,455l4126,455,4126,440,4246,440,4246,455xm4278,427l4263,427,4263,307,4278,307,4278,427xm4278,262l4263,262,4263,142,4278,142,4278,262xe">
              <v:path arrowok="t"/>
              <v:fill on="t" focussize="0,0"/>
              <v:stroke on="f"/>
              <v:imagedata o:title=""/>
              <o:lock v:ext="edit"/>
            </v:shape>
            <v:shape id="_x0000_s1364" o:spid="_x0000_s1364" style="position:absolute;left:2039;top:186;height:120;width:631;" fillcolor="#000000" filled="t" stroked="f" coordorigin="2040,186" coordsize="631,120" path="m2655,254l2580,254,2580,239,2550,239,2550,186,2670,247,2655,254xm2550,254l2040,253,2040,238,2550,239,2550,254xm2580,254l2550,254,2550,239,2580,239,2580,254xm2550,306l2550,254,2655,254,2550,306xe">
              <v:path arrowok="t"/>
              <v:fill on="t" focussize="0,0"/>
              <v:stroke on="f"/>
              <v:imagedata o:title=""/>
              <o:lock v:ext="edit"/>
            </v:shape>
            <v:shape id="_x0000_s1365" o:spid="_x0000_s1365" o:spt="75" type="#_x0000_t75" style="position:absolute;left:4254;top:186;height:120;width:361;" filled="f" stroked="f" coordsize="21600,21600">
              <v:path/>
              <v:fill on="f" focussize="0,0"/>
              <v:stroke on="f"/>
              <v:imagedata r:id="rId73" o:title=""/>
              <o:lock v:ext="edit" aspectratio="t"/>
            </v:shape>
            <v:shape id="_x0000_s1366" o:spid="_x0000_s1366" style="position:absolute;left:4618;top:-15;height:491;width:3580;" fillcolor="#000000" filled="t" stroked="f" coordorigin="4619,-15" coordsize="3580,491" path="m5955,15l5940,15,5940,30,5940,461,4634,461,4634,30,5940,30,5940,15,4619,15,4619,476,5955,476,5955,469,5955,461,5955,30,5955,23,5955,15m8199,-15l8184,-15,8184,0,8184,444,6339,444,6339,0,8184,0,8184,-15,6324,-15,6324,459,8199,459,8199,452,8199,444,8199,0,8199,-7,8199,-15e">
              <v:path arrowok="t"/>
              <v:fill on="t" focussize="0,0"/>
              <v:stroke on="f"/>
              <v:imagedata o:title=""/>
              <o:lock v:ext="edit"/>
            </v:shape>
            <v:shape id="_x0000_s1367" o:spid="_x0000_s1367" o:spt="75" type="#_x0000_t75" style="position:absolute;left:8184;top:156;height:120;width:331;" filled="f" stroked="f" coordsize="21600,21600">
              <v:path/>
              <v:fill on="f" focussize="0,0"/>
              <v:stroke on="f"/>
              <v:imagedata r:id="rId74" o:title=""/>
              <o:lock v:ext="edit" aspectratio="t"/>
            </v:shape>
            <v:shape id="_x0000_s1368" o:spid="_x0000_s1368" style="position:absolute;left:8503;top:-30;height:461;width:1141;" fillcolor="#000000" filled="t" stroked="f" coordorigin="8503,-30" coordsize="1141,461" path="m9644,431l8503,431,8503,-30,9644,-30,9644,-22,8518,-22,8511,-15,8518,-15,8518,416,8511,416,8518,424,9644,424,9644,431xm8518,-15l8511,-15,8518,-22,8518,-15xm9629,-15l8518,-15,8518,-22,9629,-22,9629,-15xm9629,424l9629,-22,9637,-15,9644,-15,9644,416,9637,416,9629,424xm9644,-15l9637,-15,9629,-22,9644,-22,9644,-15xm8518,424l8511,416,8518,416,8518,424xm9629,424l8518,424,8518,416,9629,416,9629,424xm9644,424l9629,424,9637,416,9644,416,9644,424xe">
              <v:path arrowok="t"/>
              <v:fill on="t" focussize="0,0"/>
              <v:stroke on="f"/>
              <v:imagedata o:title=""/>
              <o:lock v:ext="edit"/>
            </v:shape>
            <v:shape id="_x0000_s1369" o:spid="_x0000_s1369" o:spt="75" type="#_x0000_t75" style="position:absolute;left:5964;top:171;height:120;width:361;" filled="f" stroked="f" coordsize="21600,21600">
              <v:path/>
              <v:fill on="f" focussize="0,0"/>
              <v:stroke on="f"/>
              <v:imagedata r:id="rId73" o:title=""/>
              <o:lock v:ext="edit" aspectratio="t"/>
            </v:shape>
            <v:shape id="_x0000_s1370" o:spid="_x0000_s1370" o:spt="202" type="#_x0000_t202" style="position:absolute;left:2220;top:-126;height:209;width:428;" filled="f" stroked="f" coordsize="21600,21600">
              <v:path/>
              <v:fill on="f" focussize="0,0"/>
              <v:stroke on="f" joinstyle="miter"/>
              <v:imagedata o:title=""/>
              <o:lock v:ext="edit"/>
              <v:textbox inset="0mm,0mm,0mm,0mm">
                <w:txbxContent>
                  <w:p w14:paraId="77B886AA">
                    <w:pPr>
                      <w:spacing w:before="0" w:line="209" w:lineRule="exact"/>
                      <w:ind w:left="0" w:right="0" w:firstLine="0"/>
                      <w:jc w:val="left"/>
                      <w:rPr>
                        <w:sz w:val="20"/>
                      </w:rPr>
                    </w:pPr>
                    <w:r>
                      <w:rPr>
                        <w:sz w:val="21"/>
                      </w:rPr>
                      <w:t>臭</w:t>
                    </w:r>
                    <w:r>
                      <w:rPr>
                        <w:sz w:val="20"/>
                      </w:rPr>
                      <w:t>气</w:t>
                    </w:r>
                  </w:p>
                </w:txbxContent>
              </v:textbox>
            </v:shape>
            <v:shape id="_x0000_s1371" o:spid="_x0000_s1371" o:spt="202" type="#_x0000_t202" style="position:absolute;left:2851;top:28;height:209;width:1278;" filled="f" stroked="f" coordsize="21600,21600">
              <v:path/>
              <v:fill on="f" focussize="0,0"/>
              <v:stroke on="f" joinstyle="miter"/>
              <v:imagedata o:title=""/>
              <o:lock v:ext="edit"/>
              <v:textbox inset="0mm,0mm,0mm,0mm">
                <w:txbxContent>
                  <w:p w14:paraId="0F7868EC">
                    <w:pPr>
                      <w:spacing w:before="0" w:line="209" w:lineRule="exact"/>
                      <w:ind w:left="0" w:right="0" w:firstLine="0"/>
                      <w:jc w:val="left"/>
                      <w:rPr>
                        <w:sz w:val="21"/>
                      </w:rPr>
                    </w:pPr>
                    <w:r>
                      <w:rPr>
                        <w:sz w:val="21"/>
                      </w:rPr>
                      <w:t>臭气收集系统</w:t>
                    </w:r>
                  </w:p>
                </w:txbxContent>
              </v:textbox>
            </v:shape>
            <v:shape id="_x0000_s1372" o:spid="_x0000_s1372" o:spt="202" type="#_x0000_t202" style="position:absolute;left:4761;top:62;height:209;width:1069;" filled="f" stroked="f" coordsize="21600,21600">
              <v:path/>
              <v:fill on="f" focussize="0,0"/>
              <v:stroke on="f" joinstyle="miter"/>
              <v:imagedata o:title=""/>
              <o:lock v:ext="edit"/>
              <v:textbox inset="0mm,0mm,0mm,0mm">
                <w:txbxContent>
                  <w:p w14:paraId="7D042E98">
                    <w:pPr>
                      <w:spacing w:before="0" w:line="209" w:lineRule="exact"/>
                      <w:ind w:left="0" w:right="0" w:firstLine="0"/>
                      <w:jc w:val="left"/>
                      <w:rPr>
                        <w:sz w:val="21"/>
                      </w:rPr>
                    </w:pPr>
                    <w:r>
                      <w:rPr>
                        <w:sz w:val="21"/>
                      </w:rPr>
                      <w:t>喷淋吸收塔</w:t>
                    </w:r>
                  </w:p>
                </w:txbxContent>
              </v:textbox>
            </v:shape>
            <v:shape id="_x0000_s1373" o:spid="_x0000_s1373" o:spt="202" type="#_x0000_t202" style="position:absolute;left:6420;top:30;height:209;width:1698;" filled="f" stroked="f" coordsize="21600,21600">
              <v:path/>
              <v:fill on="f" focussize="0,0"/>
              <v:stroke on="f" joinstyle="miter"/>
              <v:imagedata o:title=""/>
              <o:lock v:ext="edit"/>
              <v:textbox inset="0mm,0mm,0mm,0mm">
                <w:txbxContent>
                  <w:p w14:paraId="2303E22D">
                    <w:pPr>
                      <w:spacing w:before="0" w:line="209" w:lineRule="exact"/>
                      <w:ind w:left="0" w:right="0" w:firstLine="0"/>
                      <w:jc w:val="left"/>
                      <w:rPr>
                        <w:sz w:val="21"/>
                      </w:rPr>
                    </w:pPr>
                    <w:r>
                      <w:rPr>
                        <w:sz w:val="21"/>
                      </w:rPr>
                      <w:t>一体化生物除臭箱</w:t>
                    </w:r>
                  </w:p>
                </w:txbxContent>
              </v:textbox>
            </v:shape>
            <v:shape id="_x0000_s1374" o:spid="_x0000_s1374" o:spt="202" type="#_x0000_t202" style="position:absolute;left:8654;top:16;height:209;width:858;" filled="f" stroked="f" coordsize="21600,21600">
              <v:path/>
              <v:fill on="f" focussize="0,0"/>
              <v:stroke on="f" joinstyle="miter"/>
              <v:imagedata o:title=""/>
              <o:lock v:ext="edit"/>
              <v:textbox inset="0mm,0mm,0mm,0mm">
                <w:txbxContent>
                  <w:p w14:paraId="0EA9D089">
                    <w:pPr>
                      <w:spacing w:before="0" w:line="209" w:lineRule="exact"/>
                      <w:ind w:left="0" w:right="0" w:firstLine="0"/>
                      <w:jc w:val="left"/>
                      <w:rPr>
                        <w:sz w:val="21"/>
                      </w:rPr>
                    </w:pPr>
                    <w:r>
                      <w:rPr>
                        <w:sz w:val="21"/>
                      </w:rPr>
                      <w:t>离心风机</w:t>
                    </w:r>
                  </w:p>
                </w:txbxContent>
              </v:textbox>
            </v:shape>
          </v:group>
        </w:pict>
      </w:r>
      <w:r>
        <w:drawing>
          <wp:anchor distT="0" distB="0" distL="0" distR="0" simplePos="0" relativeHeight="251662336" behindDoc="1" locked="0" layoutInCell="1" allowOverlap="1">
            <wp:simplePos x="0" y="0"/>
            <wp:positionH relativeFrom="page">
              <wp:posOffset>6359525</wp:posOffset>
            </wp:positionH>
            <wp:positionV relativeFrom="paragraph">
              <wp:posOffset>-54610</wp:posOffset>
            </wp:positionV>
            <wp:extent cx="76200" cy="211455"/>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png"/>
                    <pic:cNvPicPr>
                      <a:picLocks noChangeAspect="1"/>
                    </pic:cNvPicPr>
                  </pic:nvPicPr>
                  <pic:blipFill>
                    <a:blip r:embed="rId75" cstate="print"/>
                    <a:stretch>
                      <a:fillRect/>
                    </a:stretch>
                  </pic:blipFill>
                  <pic:spPr>
                    <a:xfrm>
                      <a:off x="0" y="0"/>
                      <a:ext cx="76200" cy="211454"/>
                    </a:xfrm>
                    <a:prstGeom prst="rect">
                      <a:avLst/>
                    </a:prstGeom>
                  </pic:spPr>
                </pic:pic>
              </a:graphicData>
            </a:graphic>
          </wp:anchor>
        </w:drawing>
      </w:r>
      <w:r>
        <w:rPr>
          <w:rFonts w:ascii="Times New Roman"/>
          <w:w w:val="99"/>
          <w:sz w:val="21"/>
          <w:u w:val="single"/>
        </w:rPr>
        <w:t xml:space="preserve"> </w:t>
      </w:r>
      <w:r>
        <w:rPr>
          <w:rFonts w:ascii="Times New Roman"/>
          <w:sz w:val="21"/>
          <w:u w:val="single"/>
        </w:rPr>
        <w:tab/>
      </w:r>
    </w:p>
    <w:p w14:paraId="2F0B8C81">
      <w:pPr>
        <w:pStyle w:val="7"/>
        <w:rPr>
          <w:rFonts w:ascii="Times New Roman"/>
          <w:sz w:val="20"/>
        </w:rPr>
      </w:pPr>
    </w:p>
    <w:p w14:paraId="78E737D0">
      <w:pPr>
        <w:spacing w:before="194"/>
        <w:ind w:left="3060" w:right="0" w:firstLine="0"/>
        <w:jc w:val="left"/>
        <w:rPr>
          <w:b/>
          <w:sz w:val="21"/>
        </w:rPr>
      </w:pPr>
      <w:r>
        <w:rPr>
          <w:b/>
          <w:sz w:val="21"/>
        </w:rPr>
        <w:t xml:space="preserve">图 </w:t>
      </w:r>
      <w:r>
        <w:rPr>
          <w:rFonts w:ascii="Times New Roman" w:eastAsia="Times New Roman"/>
          <w:b/>
          <w:sz w:val="21"/>
        </w:rPr>
        <w:t xml:space="preserve">3.7-4 </w:t>
      </w:r>
      <w:r>
        <w:rPr>
          <w:b/>
          <w:sz w:val="21"/>
        </w:rPr>
        <w:t>项目生物除臭流程简图</w:t>
      </w:r>
    </w:p>
    <w:p w14:paraId="3E4B5C4D">
      <w:pPr>
        <w:pStyle w:val="7"/>
        <w:spacing w:before="140" w:line="364" w:lineRule="auto"/>
        <w:ind w:left="260" w:right="977" w:firstLine="480"/>
        <w:jc w:val="both"/>
      </w:pPr>
      <w:r>
        <w:rPr>
          <w:spacing w:val="-3"/>
        </w:rPr>
        <w:t xml:space="preserve">车间采取负压收集的废气，经 </w:t>
      </w:r>
      <w:r>
        <w:rPr>
          <w:rFonts w:ascii="Times New Roman" w:eastAsia="Times New Roman"/>
        </w:rPr>
        <w:t xml:space="preserve">1 </w:t>
      </w:r>
      <w:r>
        <w:t>套喷淋吸收塔</w:t>
      </w:r>
      <w:r>
        <w:rPr>
          <w:rFonts w:ascii="Times New Roman" w:eastAsia="Times New Roman"/>
        </w:rPr>
        <w:t>+</w:t>
      </w:r>
      <w:r>
        <w:rPr>
          <w:spacing w:val="-3"/>
        </w:rPr>
        <w:t xml:space="preserve">生物除臭箱处理后经顶部 </w:t>
      </w:r>
      <w:r>
        <w:rPr>
          <w:rFonts w:ascii="Times New Roman" w:eastAsia="Times New Roman"/>
        </w:rPr>
        <w:t xml:space="preserve">1 </w:t>
      </w:r>
      <w:r>
        <w:rPr>
          <w:spacing w:val="-18"/>
        </w:rPr>
        <w:t xml:space="preserve">根 </w:t>
      </w:r>
      <w:r>
        <w:rPr>
          <w:rFonts w:ascii="Times New Roman" w:eastAsia="Times New Roman"/>
        </w:rPr>
        <w:t xml:space="preserve">15m </w:t>
      </w:r>
      <w:r>
        <w:rPr>
          <w:spacing w:val="3"/>
        </w:rPr>
        <w:t xml:space="preserve">高排气筒处理后排放；建成后整个厂区有 </w:t>
      </w:r>
      <w:r>
        <w:rPr>
          <w:rFonts w:ascii="Times New Roman" w:eastAsia="Times New Roman"/>
        </w:rPr>
        <w:t xml:space="preserve">3 </w:t>
      </w:r>
      <w:r>
        <w:rPr>
          <w:spacing w:val="-13"/>
        </w:rPr>
        <w:t xml:space="preserve">套和 </w:t>
      </w:r>
      <w:r>
        <w:rPr>
          <w:rFonts w:ascii="Times New Roman" w:eastAsia="Times New Roman"/>
        </w:rPr>
        <w:t xml:space="preserve">3 </w:t>
      </w:r>
      <w:r>
        <w:rPr>
          <w:spacing w:val="5"/>
        </w:rPr>
        <w:t>根排气筒，两用一</w:t>
      </w:r>
      <w:r>
        <w:t>备，分别设置在暂养间东南角、屠宰加工间南侧</w:t>
      </w:r>
      <w:r>
        <w:rPr>
          <w:spacing w:val="2"/>
        </w:rPr>
        <w:t>（</w:t>
      </w:r>
      <w:r>
        <w:t>地埋污水处理站上方</w:t>
      </w:r>
      <w:r>
        <w:rPr>
          <w:spacing w:val="2"/>
        </w:rPr>
        <w:t>）</w:t>
      </w:r>
      <w:r>
        <w:rPr>
          <w:spacing w:val="0"/>
        </w:rPr>
        <w:t>以及预留生产车间消毒池旁。</w:t>
      </w:r>
    </w:p>
    <w:p w14:paraId="025EA7AE">
      <w:pPr>
        <w:pStyle w:val="6"/>
        <w:spacing w:line="305" w:lineRule="exact"/>
        <w:ind w:left="740"/>
      </w:pPr>
      <w:r>
        <w:t>（</w:t>
      </w:r>
      <w:r>
        <w:rPr>
          <w:rFonts w:ascii="Times New Roman" w:eastAsia="Times New Roman"/>
        </w:rPr>
        <w:t>5</w:t>
      </w:r>
      <w:r>
        <w:t>）运营期污染影响因素分析</w:t>
      </w:r>
    </w:p>
    <w:p w14:paraId="01102E50">
      <w:pPr>
        <w:pStyle w:val="7"/>
        <w:spacing w:before="160" w:line="364" w:lineRule="auto"/>
        <w:ind w:left="260" w:right="981" w:firstLine="480"/>
        <w:jc w:val="both"/>
      </w:pPr>
      <w:r>
        <w:t>项目营运期废气污染源主要为待宰间恶臭、屠宰间恶臭、污水处理站恶臭、运输车辆恶臭、运输车辆尾气以及食堂油烟。</w:t>
      </w:r>
    </w:p>
    <w:p w14:paraId="183C8511">
      <w:pPr>
        <w:pStyle w:val="7"/>
        <w:spacing w:line="364" w:lineRule="auto"/>
        <w:ind w:left="260" w:right="977" w:firstLine="480"/>
        <w:jc w:val="both"/>
      </w:pPr>
      <w:r>
        <w:t>废水污源主要为牲畜尿液、屠宰废水（含车间冲洗废水）、锅炉清净下水及生活污水。</w:t>
      </w:r>
    </w:p>
    <w:p w14:paraId="2D6F100E">
      <w:pPr>
        <w:pStyle w:val="7"/>
        <w:spacing w:line="306" w:lineRule="exact"/>
        <w:ind w:left="740"/>
      </w:pPr>
      <w:r>
        <w:t>噪声污染源为牲畜叫声、设备运行噪声，运输车辆交通噪声。</w:t>
      </w:r>
    </w:p>
    <w:p w14:paraId="62153D6F">
      <w:pPr>
        <w:pStyle w:val="7"/>
        <w:spacing w:before="159" w:line="364" w:lineRule="auto"/>
        <w:ind w:left="260" w:right="977" w:firstLine="480"/>
        <w:jc w:val="both"/>
      </w:pPr>
      <w:r>
        <w:t>固体废物主要为粪便、猪毛、猪蹄壳、胃内容物、肠内容物、不可食用部分（含不可食用内脏）、病死猪、污泥、隔油池废油，机修产生的含油废物以及员工生活垃圾。</w:t>
      </w:r>
    </w:p>
    <w:p w14:paraId="53CB02D2">
      <w:pPr>
        <w:pStyle w:val="7"/>
        <w:spacing w:line="304" w:lineRule="exact"/>
        <w:ind w:left="740"/>
      </w:pPr>
      <w:r>
        <w:t>项目营运期主要污染源及污染物产生情况见下表。</w:t>
      </w:r>
    </w:p>
    <w:p w14:paraId="34D9A129">
      <w:pPr>
        <w:spacing w:before="160" w:after="3"/>
        <w:ind w:left="2487" w:right="3000" w:firstLine="0"/>
        <w:jc w:val="center"/>
        <w:rPr>
          <w:b/>
          <w:sz w:val="21"/>
        </w:rPr>
      </w:pPr>
      <w:r>
        <w:rPr>
          <w:b/>
          <w:sz w:val="21"/>
        </w:rPr>
        <w:t xml:space="preserve">表 </w:t>
      </w:r>
      <w:r>
        <w:rPr>
          <w:rFonts w:ascii="Times New Roman" w:eastAsia="Times New Roman"/>
          <w:b/>
          <w:sz w:val="21"/>
        </w:rPr>
        <w:t xml:space="preserve">3.7- 9 </w:t>
      </w:r>
      <w:r>
        <w:rPr>
          <w:b/>
          <w:sz w:val="21"/>
        </w:rPr>
        <w:t>项目营运期污染源及污染物一览表</w:t>
      </w: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840"/>
        <w:gridCol w:w="2009"/>
        <w:gridCol w:w="4972"/>
      </w:tblGrid>
      <w:tr w14:paraId="3743A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01" w:type="dxa"/>
          </w:tcPr>
          <w:p w14:paraId="71A7075C">
            <w:pPr>
              <w:pStyle w:val="14"/>
              <w:spacing w:before="155"/>
              <w:ind w:left="138"/>
              <w:rPr>
                <w:b/>
                <w:sz w:val="21"/>
              </w:rPr>
            </w:pPr>
            <w:r>
              <w:rPr>
                <w:b/>
                <w:sz w:val="21"/>
              </w:rPr>
              <w:t>时段</w:t>
            </w:r>
          </w:p>
        </w:tc>
        <w:tc>
          <w:tcPr>
            <w:tcW w:w="840" w:type="dxa"/>
          </w:tcPr>
          <w:p w14:paraId="3D50A77B">
            <w:pPr>
              <w:pStyle w:val="14"/>
              <w:spacing w:before="21" w:line="242" w:lineRule="auto"/>
              <w:ind w:left="208" w:right="199"/>
              <w:rPr>
                <w:b/>
                <w:sz w:val="21"/>
              </w:rPr>
            </w:pPr>
            <w:r>
              <w:rPr>
                <w:b/>
                <w:sz w:val="21"/>
              </w:rPr>
              <w:t>污染类型</w:t>
            </w:r>
          </w:p>
        </w:tc>
        <w:tc>
          <w:tcPr>
            <w:tcW w:w="2009" w:type="dxa"/>
          </w:tcPr>
          <w:p w14:paraId="6F4B0758">
            <w:pPr>
              <w:pStyle w:val="14"/>
              <w:spacing w:before="155"/>
              <w:ind w:left="352" w:right="343"/>
              <w:jc w:val="center"/>
              <w:rPr>
                <w:b/>
                <w:sz w:val="21"/>
              </w:rPr>
            </w:pPr>
            <w:r>
              <w:rPr>
                <w:b/>
                <w:sz w:val="21"/>
              </w:rPr>
              <w:t>污染源</w:t>
            </w:r>
          </w:p>
        </w:tc>
        <w:tc>
          <w:tcPr>
            <w:tcW w:w="4972" w:type="dxa"/>
          </w:tcPr>
          <w:p w14:paraId="7C3E3B1D">
            <w:pPr>
              <w:pStyle w:val="14"/>
              <w:spacing w:before="155"/>
              <w:ind w:left="103" w:right="96"/>
              <w:jc w:val="center"/>
              <w:rPr>
                <w:b/>
                <w:sz w:val="21"/>
              </w:rPr>
            </w:pPr>
            <w:r>
              <w:rPr>
                <w:b/>
                <w:sz w:val="21"/>
              </w:rPr>
              <w:t>污染物</w:t>
            </w:r>
          </w:p>
        </w:tc>
      </w:tr>
      <w:tr w14:paraId="1FC57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restart"/>
          </w:tcPr>
          <w:p w14:paraId="46DAC395">
            <w:pPr>
              <w:pStyle w:val="14"/>
              <w:rPr>
                <w:b/>
                <w:sz w:val="20"/>
              </w:rPr>
            </w:pPr>
          </w:p>
          <w:p w14:paraId="434D5918">
            <w:pPr>
              <w:pStyle w:val="14"/>
              <w:rPr>
                <w:b/>
                <w:sz w:val="20"/>
              </w:rPr>
            </w:pPr>
          </w:p>
          <w:p w14:paraId="3A52EDFB">
            <w:pPr>
              <w:pStyle w:val="14"/>
              <w:spacing w:before="151" w:line="242" w:lineRule="auto"/>
              <w:ind w:left="244" w:right="132" w:hanging="106"/>
              <w:rPr>
                <w:sz w:val="21"/>
              </w:rPr>
            </w:pPr>
            <w:r>
              <w:rPr>
                <w:w w:val="95"/>
                <w:sz w:val="21"/>
              </w:rPr>
              <w:t>营运</w:t>
            </w:r>
            <w:r>
              <w:rPr>
                <w:sz w:val="21"/>
              </w:rPr>
              <w:t>期</w:t>
            </w:r>
          </w:p>
        </w:tc>
        <w:tc>
          <w:tcPr>
            <w:tcW w:w="840" w:type="dxa"/>
            <w:vMerge w:val="restart"/>
          </w:tcPr>
          <w:p w14:paraId="59DD31E6">
            <w:pPr>
              <w:pStyle w:val="14"/>
              <w:rPr>
                <w:b/>
                <w:sz w:val="20"/>
              </w:rPr>
            </w:pPr>
          </w:p>
          <w:p w14:paraId="598D5324">
            <w:pPr>
              <w:pStyle w:val="14"/>
              <w:spacing w:before="12"/>
              <w:rPr>
                <w:b/>
                <w:sz w:val="29"/>
              </w:rPr>
            </w:pPr>
          </w:p>
          <w:p w14:paraId="443137B7">
            <w:pPr>
              <w:pStyle w:val="14"/>
              <w:ind w:left="210"/>
              <w:rPr>
                <w:sz w:val="21"/>
              </w:rPr>
            </w:pPr>
            <w:r>
              <w:rPr>
                <w:sz w:val="21"/>
              </w:rPr>
              <w:t>废气</w:t>
            </w:r>
          </w:p>
        </w:tc>
        <w:tc>
          <w:tcPr>
            <w:tcW w:w="2009" w:type="dxa"/>
          </w:tcPr>
          <w:p w14:paraId="7A918AF5">
            <w:pPr>
              <w:pStyle w:val="14"/>
              <w:spacing w:before="21"/>
              <w:ind w:left="352" w:right="346"/>
              <w:jc w:val="center"/>
              <w:rPr>
                <w:sz w:val="21"/>
              </w:rPr>
            </w:pPr>
            <w:r>
              <w:rPr>
                <w:sz w:val="21"/>
              </w:rPr>
              <w:t>暂养区及配套</w:t>
            </w:r>
          </w:p>
        </w:tc>
        <w:tc>
          <w:tcPr>
            <w:tcW w:w="4972" w:type="dxa"/>
            <w:vMerge w:val="restart"/>
          </w:tcPr>
          <w:p w14:paraId="691436C6">
            <w:pPr>
              <w:pStyle w:val="14"/>
              <w:rPr>
                <w:b/>
                <w:sz w:val="24"/>
              </w:rPr>
            </w:pPr>
          </w:p>
          <w:p w14:paraId="0E12A225">
            <w:pPr>
              <w:pStyle w:val="14"/>
              <w:spacing w:before="168"/>
              <w:ind w:left="767"/>
              <w:rPr>
                <w:sz w:val="21"/>
              </w:rPr>
            </w:pPr>
            <w:r>
              <w:rPr>
                <w:position w:val="2"/>
                <w:sz w:val="21"/>
              </w:rPr>
              <w:t>恶臭污染物（</w:t>
            </w:r>
            <w:r>
              <w:rPr>
                <w:rFonts w:ascii="Times New Roman" w:eastAsia="Times New Roman"/>
                <w:position w:val="2"/>
                <w:sz w:val="21"/>
              </w:rPr>
              <w:t>N</w:t>
            </w:r>
            <w:r>
              <w:rPr>
                <w:rFonts w:ascii="Times New Roman" w:eastAsia="Times New Roman"/>
                <w:position w:val="2"/>
                <w:sz w:val="21"/>
                <w:vertAlign w:val="subscript"/>
              </w:rPr>
              <w:t>3</w:t>
            </w:r>
            <w:r>
              <w:rPr>
                <w:rFonts w:ascii="Times New Roman" w:eastAsia="Times New Roman"/>
                <w:position w:val="2"/>
                <w:sz w:val="21"/>
                <w:vertAlign w:val="baseline"/>
              </w:rPr>
              <w:t>H</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r>
              <w:rPr>
                <w:position w:val="2"/>
                <w:sz w:val="21"/>
                <w:vertAlign w:val="baseline"/>
              </w:rPr>
              <w:t>、臭气浓度）</w:t>
            </w:r>
          </w:p>
        </w:tc>
      </w:tr>
      <w:tr w14:paraId="63115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3F7CDC86">
            <w:pPr>
              <w:rPr>
                <w:sz w:val="2"/>
                <w:szCs w:val="2"/>
              </w:rPr>
            </w:pPr>
          </w:p>
        </w:tc>
        <w:tc>
          <w:tcPr>
            <w:tcW w:w="840" w:type="dxa"/>
            <w:vMerge w:val="continue"/>
            <w:tcBorders>
              <w:top w:val="nil"/>
            </w:tcBorders>
          </w:tcPr>
          <w:p w14:paraId="61997DF9">
            <w:pPr>
              <w:rPr>
                <w:sz w:val="2"/>
                <w:szCs w:val="2"/>
              </w:rPr>
            </w:pPr>
          </w:p>
        </w:tc>
        <w:tc>
          <w:tcPr>
            <w:tcW w:w="2009" w:type="dxa"/>
          </w:tcPr>
          <w:p w14:paraId="435FFF4F">
            <w:pPr>
              <w:pStyle w:val="14"/>
              <w:spacing w:before="20"/>
              <w:ind w:left="352" w:right="343"/>
              <w:jc w:val="center"/>
              <w:rPr>
                <w:sz w:val="21"/>
              </w:rPr>
            </w:pPr>
            <w:r>
              <w:rPr>
                <w:sz w:val="21"/>
              </w:rPr>
              <w:t>屠宰生产区</w:t>
            </w:r>
          </w:p>
        </w:tc>
        <w:tc>
          <w:tcPr>
            <w:tcW w:w="4972" w:type="dxa"/>
            <w:vMerge w:val="continue"/>
            <w:tcBorders>
              <w:top w:val="nil"/>
            </w:tcBorders>
          </w:tcPr>
          <w:p w14:paraId="0ABD3812">
            <w:pPr>
              <w:rPr>
                <w:sz w:val="2"/>
                <w:szCs w:val="2"/>
              </w:rPr>
            </w:pPr>
          </w:p>
        </w:tc>
      </w:tr>
      <w:tr w14:paraId="6ADDF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01" w:type="dxa"/>
            <w:vMerge w:val="continue"/>
            <w:tcBorders>
              <w:top w:val="nil"/>
            </w:tcBorders>
          </w:tcPr>
          <w:p w14:paraId="0B2CC0AB">
            <w:pPr>
              <w:rPr>
                <w:sz w:val="2"/>
                <w:szCs w:val="2"/>
              </w:rPr>
            </w:pPr>
          </w:p>
        </w:tc>
        <w:tc>
          <w:tcPr>
            <w:tcW w:w="840" w:type="dxa"/>
            <w:vMerge w:val="continue"/>
            <w:tcBorders>
              <w:top w:val="nil"/>
            </w:tcBorders>
          </w:tcPr>
          <w:p w14:paraId="1A6DA5CA">
            <w:pPr>
              <w:rPr>
                <w:sz w:val="2"/>
                <w:szCs w:val="2"/>
              </w:rPr>
            </w:pPr>
          </w:p>
        </w:tc>
        <w:tc>
          <w:tcPr>
            <w:tcW w:w="2009" w:type="dxa"/>
          </w:tcPr>
          <w:p w14:paraId="11B313DF">
            <w:pPr>
              <w:pStyle w:val="14"/>
              <w:spacing w:before="19" w:line="270" w:lineRule="atLeast"/>
              <w:ind w:left="582" w:right="156" w:hanging="420"/>
              <w:rPr>
                <w:sz w:val="21"/>
              </w:rPr>
            </w:pPr>
            <w:r>
              <w:rPr>
                <w:w w:val="95"/>
                <w:sz w:val="21"/>
              </w:rPr>
              <w:t>备用车间（含急宰</w:t>
            </w:r>
            <w:r>
              <w:rPr>
                <w:sz w:val="21"/>
              </w:rPr>
              <w:t>化制间）</w:t>
            </w:r>
          </w:p>
        </w:tc>
        <w:tc>
          <w:tcPr>
            <w:tcW w:w="4972" w:type="dxa"/>
            <w:vMerge w:val="continue"/>
            <w:tcBorders>
              <w:top w:val="nil"/>
            </w:tcBorders>
          </w:tcPr>
          <w:p w14:paraId="20EB7059">
            <w:pPr>
              <w:rPr>
                <w:sz w:val="2"/>
                <w:szCs w:val="2"/>
              </w:rPr>
            </w:pPr>
          </w:p>
        </w:tc>
      </w:tr>
      <w:tr w14:paraId="5187E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1" w:type="dxa"/>
            <w:vMerge w:val="continue"/>
            <w:tcBorders>
              <w:top w:val="nil"/>
            </w:tcBorders>
          </w:tcPr>
          <w:p w14:paraId="4F58356A">
            <w:pPr>
              <w:rPr>
                <w:sz w:val="2"/>
                <w:szCs w:val="2"/>
              </w:rPr>
            </w:pPr>
          </w:p>
        </w:tc>
        <w:tc>
          <w:tcPr>
            <w:tcW w:w="840" w:type="dxa"/>
            <w:vMerge w:val="continue"/>
            <w:tcBorders>
              <w:top w:val="nil"/>
            </w:tcBorders>
          </w:tcPr>
          <w:p w14:paraId="43BC6073">
            <w:pPr>
              <w:rPr>
                <w:sz w:val="2"/>
                <w:szCs w:val="2"/>
              </w:rPr>
            </w:pPr>
          </w:p>
        </w:tc>
        <w:tc>
          <w:tcPr>
            <w:tcW w:w="2009" w:type="dxa"/>
          </w:tcPr>
          <w:p w14:paraId="20E640DE">
            <w:pPr>
              <w:pStyle w:val="14"/>
              <w:spacing w:before="20"/>
              <w:ind w:left="350" w:right="346"/>
              <w:jc w:val="center"/>
              <w:rPr>
                <w:sz w:val="21"/>
              </w:rPr>
            </w:pPr>
            <w:r>
              <w:rPr>
                <w:sz w:val="21"/>
              </w:rPr>
              <w:t>运输车辆</w:t>
            </w:r>
          </w:p>
        </w:tc>
        <w:tc>
          <w:tcPr>
            <w:tcW w:w="4972" w:type="dxa"/>
          </w:tcPr>
          <w:p w14:paraId="7443D605">
            <w:pPr>
              <w:pStyle w:val="14"/>
              <w:spacing w:before="20"/>
              <w:ind w:left="100" w:right="96"/>
              <w:jc w:val="center"/>
              <w:rPr>
                <w:sz w:val="21"/>
              </w:rPr>
            </w:pPr>
            <w:r>
              <w:rPr>
                <w:sz w:val="21"/>
              </w:rPr>
              <w:t>臭气浓度、汽车尾气（</w:t>
            </w:r>
            <w:r>
              <w:rPr>
                <w:rFonts w:ascii="Times New Roman" w:eastAsia="Times New Roman"/>
                <w:sz w:val="21"/>
              </w:rPr>
              <w:t>CO</w:t>
            </w:r>
            <w:r>
              <w:rPr>
                <w:sz w:val="21"/>
              </w:rPr>
              <w:t>、</w:t>
            </w:r>
            <w:r>
              <w:rPr>
                <w:rFonts w:ascii="Times New Roman" w:eastAsia="Times New Roman"/>
                <w:sz w:val="21"/>
              </w:rPr>
              <w:t>THC</w:t>
            </w:r>
            <w:r>
              <w:rPr>
                <w:sz w:val="21"/>
              </w:rPr>
              <w:t>）和扬尘</w:t>
            </w:r>
          </w:p>
        </w:tc>
      </w:tr>
      <w:tr w14:paraId="7CA99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1" w:type="dxa"/>
            <w:vMerge w:val="continue"/>
            <w:tcBorders>
              <w:top w:val="nil"/>
            </w:tcBorders>
          </w:tcPr>
          <w:p w14:paraId="20D817F4">
            <w:pPr>
              <w:rPr>
                <w:sz w:val="2"/>
                <w:szCs w:val="2"/>
              </w:rPr>
            </w:pPr>
          </w:p>
        </w:tc>
        <w:tc>
          <w:tcPr>
            <w:tcW w:w="840" w:type="dxa"/>
          </w:tcPr>
          <w:p w14:paraId="4BB19635">
            <w:pPr>
              <w:pStyle w:val="14"/>
              <w:spacing w:before="20"/>
              <w:ind w:left="210"/>
              <w:rPr>
                <w:sz w:val="21"/>
              </w:rPr>
            </w:pPr>
            <w:r>
              <w:rPr>
                <w:sz w:val="21"/>
              </w:rPr>
              <w:t>废水</w:t>
            </w:r>
          </w:p>
        </w:tc>
        <w:tc>
          <w:tcPr>
            <w:tcW w:w="2009" w:type="dxa"/>
          </w:tcPr>
          <w:p w14:paraId="51D42FF7">
            <w:pPr>
              <w:pStyle w:val="14"/>
              <w:spacing w:before="20"/>
              <w:ind w:left="352" w:right="346"/>
              <w:jc w:val="center"/>
              <w:rPr>
                <w:sz w:val="21"/>
              </w:rPr>
            </w:pPr>
            <w:r>
              <w:rPr>
                <w:sz w:val="21"/>
              </w:rPr>
              <w:t>暂养区及配套</w:t>
            </w:r>
          </w:p>
        </w:tc>
        <w:tc>
          <w:tcPr>
            <w:tcW w:w="4972" w:type="dxa"/>
          </w:tcPr>
          <w:p w14:paraId="4C62F1C6">
            <w:pPr>
              <w:pStyle w:val="14"/>
              <w:spacing w:before="19" w:line="272" w:lineRule="exact"/>
              <w:ind w:left="103" w:right="96"/>
              <w:jc w:val="center"/>
              <w:rPr>
                <w:sz w:val="21"/>
              </w:rPr>
            </w:pPr>
            <w:r>
              <w:rPr>
                <w:position w:val="2"/>
                <w:sz w:val="21"/>
              </w:rPr>
              <w:t>暂养废水（</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w:t>
            </w:r>
            <w:r>
              <w:rPr>
                <w:rFonts w:ascii="Times New Roman" w:eastAsia="Times New Roman"/>
                <w:position w:val="2"/>
                <w:sz w:val="21"/>
                <w:vertAlign w:val="baseline"/>
              </w:rPr>
              <w:t>TN</w:t>
            </w:r>
            <w:r>
              <w:rPr>
                <w:position w:val="2"/>
                <w:sz w:val="21"/>
                <w:vertAlign w:val="baseline"/>
              </w:rPr>
              <w:t>、</w:t>
            </w:r>
            <w:r>
              <w:rPr>
                <w:rFonts w:ascii="Times New Roman" w:eastAsia="Times New Roman"/>
                <w:position w:val="2"/>
                <w:sz w:val="21"/>
                <w:vertAlign w:val="baseline"/>
              </w:rPr>
              <w:t>TP</w:t>
            </w:r>
            <w:r>
              <w:rPr>
                <w:position w:val="2"/>
                <w:sz w:val="21"/>
                <w:vertAlign w:val="baseline"/>
              </w:rPr>
              <w:t>）</w:t>
            </w:r>
          </w:p>
        </w:tc>
      </w:tr>
    </w:tbl>
    <w:p w14:paraId="0C5B00C1">
      <w:pPr>
        <w:spacing w:after="0" w:line="272" w:lineRule="exact"/>
        <w:jc w:val="center"/>
        <w:rPr>
          <w:sz w:val="21"/>
        </w:rPr>
        <w:sectPr>
          <w:pgSz w:w="11910" w:h="16840"/>
          <w:pgMar w:top="1360" w:right="820" w:bottom="1400" w:left="1540" w:header="878" w:footer="1204" w:gutter="0"/>
          <w:cols w:space="720" w:num="1"/>
        </w:sectPr>
      </w:pPr>
    </w:p>
    <w:p w14:paraId="1BE198A6">
      <w:pPr>
        <w:pStyle w:val="7"/>
        <w:spacing w:before="3"/>
        <w:rPr>
          <w:b/>
          <w:sz w:val="5"/>
        </w:rPr>
      </w:pP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840"/>
        <w:gridCol w:w="2009"/>
        <w:gridCol w:w="4972"/>
      </w:tblGrid>
      <w:tr w14:paraId="1B77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5" w:hRule="atLeast"/>
        </w:trPr>
        <w:tc>
          <w:tcPr>
            <w:tcW w:w="701" w:type="dxa"/>
          </w:tcPr>
          <w:p w14:paraId="74BC64CB">
            <w:pPr>
              <w:pStyle w:val="14"/>
              <w:spacing w:before="155"/>
              <w:ind w:left="138"/>
              <w:rPr>
                <w:b/>
                <w:sz w:val="21"/>
              </w:rPr>
            </w:pPr>
            <w:r>
              <w:rPr>
                <w:b/>
                <w:sz w:val="21"/>
              </w:rPr>
              <w:t>时段</w:t>
            </w:r>
          </w:p>
        </w:tc>
        <w:tc>
          <w:tcPr>
            <w:tcW w:w="840" w:type="dxa"/>
          </w:tcPr>
          <w:p w14:paraId="56A30844">
            <w:pPr>
              <w:pStyle w:val="14"/>
              <w:spacing w:before="21" w:line="242" w:lineRule="auto"/>
              <w:ind w:left="208" w:right="199"/>
              <w:rPr>
                <w:b/>
                <w:sz w:val="21"/>
              </w:rPr>
            </w:pPr>
            <w:r>
              <w:rPr>
                <w:b/>
                <w:sz w:val="21"/>
              </w:rPr>
              <w:t>污染类型</w:t>
            </w:r>
          </w:p>
        </w:tc>
        <w:tc>
          <w:tcPr>
            <w:tcW w:w="2009" w:type="dxa"/>
          </w:tcPr>
          <w:p w14:paraId="23B87887">
            <w:pPr>
              <w:pStyle w:val="14"/>
              <w:spacing w:before="155"/>
              <w:ind w:left="352" w:right="343"/>
              <w:jc w:val="center"/>
              <w:rPr>
                <w:b/>
                <w:sz w:val="21"/>
              </w:rPr>
            </w:pPr>
            <w:r>
              <w:rPr>
                <w:b/>
                <w:sz w:val="21"/>
              </w:rPr>
              <w:t>污染源</w:t>
            </w:r>
          </w:p>
        </w:tc>
        <w:tc>
          <w:tcPr>
            <w:tcW w:w="4972" w:type="dxa"/>
          </w:tcPr>
          <w:p w14:paraId="17D0ACD6">
            <w:pPr>
              <w:pStyle w:val="14"/>
              <w:spacing w:before="155"/>
              <w:ind w:left="103" w:right="96"/>
              <w:jc w:val="center"/>
              <w:rPr>
                <w:b/>
                <w:sz w:val="21"/>
              </w:rPr>
            </w:pPr>
            <w:r>
              <w:rPr>
                <w:b/>
                <w:sz w:val="21"/>
              </w:rPr>
              <w:t>污染物</w:t>
            </w:r>
          </w:p>
        </w:tc>
      </w:tr>
      <w:tr w14:paraId="721C7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01" w:type="dxa"/>
            <w:vMerge w:val="restart"/>
          </w:tcPr>
          <w:p w14:paraId="01B71DCD">
            <w:pPr>
              <w:pStyle w:val="14"/>
              <w:rPr>
                <w:rFonts w:ascii="Times New Roman"/>
                <w:sz w:val="22"/>
              </w:rPr>
            </w:pPr>
          </w:p>
        </w:tc>
        <w:tc>
          <w:tcPr>
            <w:tcW w:w="840" w:type="dxa"/>
            <w:vMerge w:val="restart"/>
          </w:tcPr>
          <w:p w14:paraId="10851297">
            <w:pPr>
              <w:pStyle w:val="14"/>
              <w:rPr>
                <w:rFonts w:ascii="Times New Roman"/>
                <w:sz w:val="22"/>
              </w:rPr>
            </w:pPr>
          </w:p>
        </w:tc>
        <w:tc>
          <w:tcPr>
            <w:tcW w:w="2009" w:type="dxa"/>
            <w:vMerge w:val="restart"/>
          </w:tcPr>
          <w:p w14:paraId="55D0F1AC">
            <w:pPr>
              <w:pStyle w:val="14"/>
              <w:rPr>
                <w:b/>
                <w:sz w:val="20"/>
              </w:rPr>
            </w:pPr>
          </w:p>
          <w:p w14:paraId="14535D83">
            <w:pPr>
              <w:pStyle w:val="14"/>
              <w:spacing w:before="12"/>
              <w:rPr>
                <w:b/>
                <w:sz w:val="27"/>
              </w:rPr>
            </w:pPr>
          </w:p>
          <w:p w14:paraId="459CA59B">
            <w:pPr>
              <w:pStyle w:val="14"/>
              <w:ind w:left="479"/>
              <w:rPr>
                <w:sz w:val="21"/>
              </w:rPr>
            </w:pPr>
            <w:r>
              <w:rPr>
                <w:sz w:val="21"/>
              </w:rPr>
              <w:t>屠宰生产区</w:t>
            </w:r>
          </w:p>
        </w:tc>
        <w:tc>
          <w:tcPr>
            <w:tcW w:w="4972" w:type="dxa"/>
          </w:tcPr>
          <w:p w14:paraId="2AFBAB38">
            <w:pPr>
              <w:pStyle w:val="14"/>
              <w:spacing w:before="18"/>
              <w:ind w:left="1960" w:right="114" w:hanging="1836"/>
              <w:rPr>
                <w:sz w:val="21"/>
              </w:rPr>
            </w:pPr>
            <w:r>
              <w:rPr>
                <w:position w:val="2"/>
                <w:sz w:val="21"/>
              </w:rPr>
              <w:t>屠宰废水（</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w:t>
            </w:r>
            <w:r>
              <w:rPr>
                <w:rFonts w:ascii="Times New Roman" w:eastAsia="Times New Roman"/>
                <w:position w:val="2"/>
                <w:sz w:val="21"/>
                <w:vertAlign w:val="baseline"/>
              </w:rPr>
              <w:t>TN</w:t>
            </w:r>
            <w:r>
              <w:rPr>
                <w:position w:val="2"/>
                <w:sz w:val="21"/>
                <w:vertAlign w:val="baseline"/>
              </w:rPr>
              <w:t>、</w:t>
            </w:r>
            <w:r>
              <w:rPr>
                <w:rFonts w:ascii="Times New Roman" w:eastAsia="Times New Roman"/>
                <w:position w:val="2"/>
                <w:sz w:val="21"/>
                <w:vertAlign w:val="baseline"/>
              </w:rPr>
              <w:t>TP</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r>
              <w:rPr>
                <w:sz w:val="21"/>
                <w:vertAlign w:val="baseline"/>
              </w:rPr>
              <w:t>动植物油）</w:t>
            </w:r>
          </w:p>
        </w:tc>
      </w:tr>
      <w:tr w14:paraId="03FF4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01" w:type="dxa"/>
            <w:vMerge w:val="continue"/>
            <w:tcBorders>
              <w:top w:val="nil"/>
            </w:tcBorders>
          </w:tcPr>
          <w:p w14:paraId="2FAB15A1">
            <w:pPr>
              <w:rPr>
                <w:sz w:val="2"/>
                <w:szCs w:val="2"/>
              </w:rPr>
            </w:pPr>
          </w:p>
        </w:tc>
        <w:tc>
          <w:tcPr>
            <w:tcW w:w="840" w:type="dxa"/>
            <w:vMerge w:val="continue"/>
            <w:tcBorders>
              <w:top w:val="nil"/>
            </w:tcBorders>
          </w:tcPr>
          <w:p w14:paraId="481C61C1">
            <w:pPr>
              <w:rPr>
                <w:sz w:val="2"/>
                <w:szCs w:val="2"/>
              </w:rPr>
            </w:pPr>
          </w:p>
        </w:tc>
        <w:tc>
          <w:tcPr>
            <w:tcW w:w="2009" w:type="dxa"/>
            <w:vMerge w:val="continue"/>
            <w:tcBorders>
              <w:top w:val="nil"/>
            </w:tcBorders>
          </w:tcPr>
          <w:p w14:paraId="37A4BCB3">
            <w:pPr>
              <w:rPr>
                <w:sz w:val="2"/>
                <w:szCs w:val="2"/>
              </w:rPr>
            </w:pPr>
          </w:p>
        </w:tc>
        <w:tc>
          <w:tcPr>
            <w:tcW w:w="4972" w:type="dxa"/>
          </w:tcPr>
          <w:p w14:paraId="1594BA4C">
            <w:pPr>
              <w:pStyle w:val="14"/>
              <w:spacing w:before="17"/>
              <w:ind w:left="1960" w:right="114" w:hanging="1836"/>
              <w:rPr>
                <w:sz w:val="21"/>
              </w:rPr>
            </w:pPr>
            <w:r>
              <w:rPr>
                <w:position w:val="2"/>
                <w:sz w:val="21"/>
              </w:rPr>
              <w:t>冲洗废水（</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w:t>
            </w:r>
            <w:r>
              <w:rPr>
                <w:rFonts w:ascii="Times New Roman" w:eastAsia="Times New Roman"/>
                <w:position w:val="2"/>
                <w:sz w:val="21"/>
                <w:vertAlign w:val="baseline"/>
              </w:rPr>
              <w:t>TN</w:t>
            </w:r>
            <w:r>
              <w:rPr>
                <w:position w:val="2"/>
                <w:sz w:val="21"/>
                <w:vertAlign w:val="baseline"/>
              </w:rPr>
              <w:t>、</w:t>
            </w:r>
            <w:r>
              <w:rPr>
                <w:rFonts w:ascii="Times New Roman" w:eastAsia="Times New Roman"/>
                <w:position w:val="2"/>
                <w:sz w:val="21"/>
                <w:vertAlign w:val="baseline"/>
              </w:rPr>
              <w:t>TP</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r>
              <w:rPr>
                <w:sz w:val="21"/>
                <w:vertAlign w:val="baseline"/>
              </w:rPr>
              <w:t>动植物油）</w:t>
            </w:r>
          </w:p>
        </w:tc>
      </w:tr>
      <w:tr w14:paraId="15ABA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08B094D8">
            <w:pPr>
              <w:rPr>
                <w:sz w:val="2"/>
                <w:szCs w:val="2"/>
              </w:rPr>
            </w:pPr>
          </w:p>
        </w:tc>
        <w:tc>
          <w:tcPr>
            <w:tcW w:w="840" w:type="dxa"/>
            <w:vMerge w:val="continue"/>
            <w:tcBorders>
              <w:top w:val="nil"/>
            </w:tcBorders>
          </w:tcPr>
          <w:p w14:paraId="340EAB30">
            <w:pPr>
              <w:rPr>
                <w:sz w:val="2"/>
                <w:szCs w:val="2"/>
              </w:rPr>
            </w:pPr>
          </w:p>
        </w:tc>
        <w:tc>
          <w:tcPr>
            <w:tcW w:w="2009" w:type="dxa"/>
            <w:vMerge w:val="continue"/>
            <w:tcBorders>
              <w:top w:val="nil"/>
            </w:tcBorders>
          </w:tcPr>
          <w:p w14:paraId="711F8F63">
            <w:pPr>
              <w:rPr>
                <w:sz w:val="2"/>
                <w:szCs w:val="2"/>
              </w:rPr>
            </w:pPr>
          </w:p>
        </w:tc>
        <w:tc>
          <w:tcPr>
            <w:tcW w:w="4972" w:type="dxa"/>
          </w:tcPr>
          <w:p w14:paraId="0409AE06">
            <w:pPr>
              <w:pStyle w:val="14"/>
              <w:spacing w:before="17" w:line="275" w:lineRule="exact"/>
              <w:ind w:left="103" w:right="96"/>
              <w:jc w:val="center"/>
              <w:rPr>
                <w:sz w:val="21"/>
              </w:rPr>
            </w:pPr>
            <w:r>
              <w:rPr>
                <w:position w:val="2"/>
                <w:sz w:val="21"/>
              </w:rPr>
              <w:t>锅炉清净下水（</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p>
        </w:tc>
      </w:tr>
      <w:tr w14:paraId="708C3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01" w:type="dxa"/>
            <w:vMerge w:val="continue"/>
            <w:tcBorders>
              <w:top w:val="nil"/>
            </w:tcBorders>
          </w:tcPr>
          <w:p w14:paraId="17EEB970">
            <w:pPr>
              <w:rPr>
                <w:sz w:val="2"/>
                <w:szCs w:val="2"/>
              </w:rPr>
            </w:pPr>
          </w:p>
        </w:tc>
        <w:tc>
          <w:tcPr>
            <w:tcW w:w="840" w:type="dxa"/>
            <w:vMerge w:val="continue"/>
            <w:tcBorders>
              <w:top w:val="nil"/>
            </w:tcBorders>
          </w:tcPr>
          <w:p w14:paraId="26289879">
            <w:pPr>
              <w:rPr>
                <w:sz w:val="2"/>
                <w:szCs w:val="2"/>
              </w:rPr>
            </w:pPr>
          </w:p>
        </w:tc>
        <w:tc>
          <w:tcPr>
            <w:tcW w:w="2009" w:type="dxa"/>
          </w:tcPr>
          <w:p w14:paraId="7CE0BF78">
            <w:pPr>
              <w:pStyle w:val="14"/>
              <w:spacing w:before="156"/>
              <w:ind w:left="350" w:right="346"/>
              <w:jc w:val="center"/>
              <w:rPr>
                <w:sz w:val="21"/>
              </w:rPr>
            </w:pPr>
            <w:r>
              <w:rPr>
                <w:sz w:val="21"/>
              </w:rPr>
              <w:t>员工生活</w:t>
            </w:r>
          </w:p>
        </w:tc>
        <w:tc>
          <w:tcPr>
            <w:tcW w:w="4972" w:type="dxa"/>
          </w:tcPr>
          <w:p w14:paraId="694389AF">
            <w:pPr>
              <w:pStyle w:val="14"/>
              <w:spacing w:before="19"/>
              <w:ind w:left="2274" w:right="233" w:hanging="1992"/>
              <w:rPr>
                <w:sz w:val="21"/>
              </w:rPr>
            </w:pPr>
            <w:r>
              <w:rPr>
                <w:position w:val="2"/>
                <w:sz w:val="21"/>
              </w:rPr>
              <w:t>生活污水（</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、动植物</w:t>
            </w:r>
            <w:r>
              <w:rPr>
                <w:sz w:val="21"/>
                <w:vertAlign w:val="baseline"/>
              </w:rPr>
              <w:t>油）</w:t>
            </w:r>
          </w:p>
        </w:tc>
      </w:tr>
      <w:tr w14:paraId="4CF85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72274986">
            <w:pPr>
              <w:rPr>
                <w:sz w:val="2"/>
                <w:szCs w:val="2"/>
              </w:rPr>
            </w:pPr>
          </w:p>
        </w:tc>
        <w:tc>
          <w:tcPr>
            <w:tcW w:w="840" w:type="dxa"/>
            <w:vMerge w:val="restart"/>
          </w:tcPr>
          <w:p w14:paraId="0C6584F5">
            <w:pPr>
              <w:pStyle w:val="14"/>
              <w:rPr>
                <w:b/>
                <w:sz w:val="20"/>
              </w:rPr>
            </w:pPr>
          </w:p>
          <w:p w14:paraId="599D8A24">
            <w:pPr>
              <w:pStyle w:val="14"/>
              <w:spacing w:before="4"/>
              <w:rPr>
                <w:b/>
                <w:sz w:val="17"/>
              </w:rPr>
            </w:pPr>
          </w:p>
          <w:p w14:paraId="7DF89E4D">
            <w:pPr>
              <w:pStyle w:val="14"/>
              <w:ind w:left="210"/>
              <w:rPr>
                <w:sz w:val="21"/>
              </w:rPr>
            </w:pPr>
            <w:r>
              <w:rPr>
                <w:sz w:val="21"/>
              </w:rPr>
              <w:t>噪声</w:t>
            </w:r>
          </w:p>
        </w:tc>
        <w:tc>
          <w:tcPr>
            <w:tcW w:w="2009" w:type="dxa"/>
          </w:tcPr>
          <w:p w14:paraId="0644DDED">
            <w:pPr>
              <w:pStyle w:val="14"/>
              <w:spacing w:before="20"/>
              <w:ind w:left="352" w:right="346"/>
              <w:jc w:val="center"/>
              <w:rPr>
                <w:sz w:val="21"/>
              </w:rPr>
            </w:pPr>
            <w:r>
              <w:rPr>
                <w:sz w:val="21"/>
              </w:rPr>
              <w:t>暂养区及配套</w:t>
            </w:r>
          </w:p>
        </w:tc>
        <w:tc>
          <w:tcPr>
            <w:tcW w:w="4972" w:type="dxa"/>
          </w:tcPr>
          <w:p w14:paraId="07E4F4C5">
            <w:pPr>
              <w:pStyle w:val="14"/>
              <w:spacing w:before="20"/>
              <w:ind w:left="103" w:right="96"/>
              <w:jc w:val="center"/>
              <w:rPr>
                <w:sz w:val="21"/>
              </w:rPr>
            </w:pPr>
            <w:r>
              <w:rPr>
                <w:sz w:val="21"/>
              </w:rPr>
              <w:t xml:space="preserve">猪叫声、车辆运输产生的噪声（等效 </w:t>
            </w:r>
            <w:r>
              <w:rPr>
                <w:rFonts w:ascii="Times New Roman" w:eastAsia="Times New Roman"/>
                <w:sz w:val="21"/>
              </w:rPr>
              <w:t xml:space="preserve">A </w:t>
            </w:r>
            <w:r>
              <w:rPr>
                <w:sz w:val="21"/>
              </w:rPr>
              <w:t>声级）</w:t>
            </w:r>
          </w:p>
        </w:tc>
      </w:tr>
      <w:tr w14:paraId="6FF37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01" w:type="dxa"/>
            <w:vMerge w:val="continue"/>
            <w:tcBorders>
              <w:top w:val="nil"/>
            </w:tcBorders>
          </w:tcPr>
          <w:p w14:paraId="0EBC49FB">
            <w:pPr>
              <w:rPr>
                <w:sz w:val="2"/>
                <w:szCs w:val="2"/>
              </w:rPr>
            </w:pPr>
          </w:p>
        </w:tc>
        <w:tc>
          <w:tcPr>
            <w:tcW w:w="840" w:type="dxa"/>
            <w:vMerge w:val="continue"/>
            <w:tcBorders>
              <w:top w:val="nil"/>
            </w:tcBorders>
          </w:tcPr>
          <w:p w14:paraId="5FD13CF5">
            <w:pPr>
              <w:rPr>
                <w:sz w:val="2"/>
                <w:szCs w:val="2"/>
              </w:rPr>
            </w:pPr>
          </w:p>
        </w:tc>
        <w:tc>
          <w:tcPr>
            <w:tcW w:w="2009" w:type="dxa"/>
          </w:tcPr>
          <w:p w14:paraId="43FCF572">
            <w:pPr>
              <w:pStyle w:val="14"/>
              <w:spacing w:before="156"/>
              <w:ind w:left="352" w:right="343"/>
              <w:jc w:val="center"/>
              <w:rPr>
                <w:sz w:val="21"/>
              </w:rPr>
            </w:pPr>
            <w:r>
              <w:rPr>
                <w:sz w:val="21"/>
              </w:rPr>
              <w:t>屠宰生产区</w:t>
            </w:r>
          </w:p>
        </w:tc>
        <w:tc>
          <w:tcPr>
            <w:tcW w:w="4972" w:type="dxa"/>
          </w:tcPr>
          <w:p w14:paraId="59B587A4">
            <w:pPr>
              <w:pStyle w:val="14"/>
              <w:spacing w:before="21" w:line="270" w:lineRule="atLeast"/>
              <w:ind w:left="1417" w:right="167" w:hanging="1244"/>
              <w:rPr>
                <w:sz w:val="21"/>
              </w:rPr>
            </w:pPr>
            <w:r>
              <w:rPr>
                <w:w w:val="95"/>
                <w:sz w:val="21"/>
              </w:rPr>
              <w:t xml:space="preserve">各类生产工具、制冷压缩机、风机、泵类等机械设 </w:t>
            </w:r>
            <w:r>
              <w:rPr>
                <w:sz w:val="21"/>
              </w:rPr>
              <w:t>备噪声（</w:t>
            </w:r>
            <w:r>
              <w:rPr>
                <w:spacing w:val="-17"/>
                <w:sz w:val="21"/>
              </w:rPr>
              <w:t xml:space="preserve">等效 </w:t>
            </w:r>
            <w:r>
              <w:rPr>
                <w:rFonts w:ascii="Times New Roman" w:eastAsia="Times New Roman"/>
                <w:sz w:val="21"/>
              </w:rPr>
              <w:t>A</w:t>
            </w:r>
            <w:r>
              <w:rPr>
                <w:rFonts w:ascii="Times New Roman" w:eastAsia="Times New Roman"/>
                <w:spacing w:val="-13"/>
                <w:sz w:val="21"/>
              </w:rPr>
              <w:t xml:space="preserve"> </w:t>
            </w:r>
            <w:r>
              <w:rPr>
                <w:sz w:val="21"/>
              </w:rPr>
              <w:t>声级）</w:t>
            </w:r>
          </w:p>
        </w:tc>
      </w:tr>
      <w:tr w14:paraId="184E5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2FDD3EEB">
            <w:pPr>
              <w:rPr>
                <w:sz w:val="2"/>
                <w:szCs w:val="2"/>
              </w:rPr>
            </w:pPr>
          </w:p>
        </w:tc>
        <w:tc>
          <w:tcPr>
            <w:tcW w:w="840" w:type="dxa"/>
            <w:vMerge w:val="continue"/>
            <w:tcBorders>
              <w:top w:val="nil"/>
            </w:tcBorders>
          </w:tcPr>
          <w:p w14:paraId="2B2BC671">
            <w:pPr>
              <w:rPr>
                <w:sz w:val="2"/>
                <w:szCs w:val="2"/>
              </w:rPr>
            </w:pPr>
          </w:p>
        </w:tc>
        <w:tc>
          <w:tcPr>
            <w:tcW w:w="2009" w:type="dxa"/>
          </w:tcPr>
          <w:p w14:paraId="111EBB14">
            <w:pPr>
              <w:pStyle w:val="14"/>
              <w:spacing w:before="20"/>
              <w:ind w:left="352" w:right="346"/>
              <w:jc w:val="center"/>
              <w:rPr>
                <w:sz w:val="21"/>
              </w:rPr>
            </w:pPr>
            <w:r>
              <w:rPr>
                <w:sz w:val="21"/>
              </w:rPr>
              <w:t>仓库</w:t>
            </w:r>
          </w:p>
        </w:tc>
        <w:tc>
          <w:tcPr>
            <w:tcW w:w="4972" w:type="dxa"/>
          </w:tcPr>
          <w:p w14:paraId="387D4372">
            <w:pPr>
              <w:pStyle w:val="14"/>
              <w:spacing w:before="20"/>
              <w:ind w:left="103" w:right="96"/>
              <w:jc w:val="center"/>
              <w:rPr>
                <w:sz w:val="21"/>
              </w:rPr>
            </w:pPr>
            <w:r>
              <w:rPr>
                <w:sz w:val="21"/>
              </w:rPr>
              <w:t xml:space="preserve">车辆运输产生的噪声（等效 </w:t>
            </w:r>
            <w:r>
              <w:rPr>
                <w:rFonts w:ascii="Times New Roman" w:eastAsia="Times New Roman"/>
                <w:sz w:val="21"/>
              </w:rPr>
              <w:t xml:space="preserve">A </w:t>
            </w:r>
            <w:r>
              <w:rPr>
                <w:sz w:val="21"/>
              </w:rPr>
              <w:t>声级）</w:t>
            </w:r>
          </w:p>
        </w:tc>
      </w:tr>
      <w:tr w14:paraId="13B2E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3FF4D40F">
            <w:pPr>
              <w:rPr>
                <w:sz w:val="2"/>
                <w:szCs w:val="2"/>
              </w:rPr>
            </w:pPr>
          </w:p>
        </w:tc>
        <w:tc>
          <w:tcPr>
            <w:tcW w:w="840" w:type="dxa"/>
            <w:vMerge w:val="restart"/>
          </w:tcPr>
          <w:p w14:paraId="56A30F1F">
            <w:pPr>
              <w:pStyle w:val="14"/>
              <w:rPr>
                <w:b/>
                <w:sz w:val="20"/>
              </w:rPr>
            </w:pPr>
          </w:p>
          <w:p w14:paraId="754F4261">
            <w:pPr>
              <w:pStyle w:val="14"/>
              <w:rPr>
                <w:b/>
                <w:sz w:val="20"/>
              </w:rPr>
            </w:pPr>
          </w:p>
          <w:p w14:paraId="49716ABC">
            <w:pPr>
              <w:pStyle w:val="14"/>
              <w:spacing w:before="152" w:line="242" w:lineRule="auto"/>
              <w:ind w:left="210" w:right="199"/>
              <w:rPr>
                <w:sz w:val="21"/>
              </w:rPr>
            </w:pPr>
            <w:r>
              <w:rPr>
                <w:w w:val="95"/>
                <w:sz w:val="21"/>
              </w:rPr>
              <w:t>固体废物</w:t>
            </w:r>
          </w:p>
        </w:tc>
        <w:tc>
          <w:tcPr>
            <w:tcW w:w="2009" w:type="dxa"/>
          </w:tcPr>
          <w:p w14:paraId="1E9595E2">
            <w:pPr>
              <w:pStyle w:val="14"/>
              <w:spacing w:before="22"/>
              <w:ind w:left="352" w:right="346"/>
              <w:jc w:val="center"/>
              <w:rPr>
                <w:sz w:val="21"/>
              </w:rPr>
            </w:pPr>
            <w:r>
              <w:rPr>
                <w:sz w:val="21"/>
              </w:rPr>
              <w:t>暂养区及配套</w:t>
            </w:r>
          </w:p>
        </w:tc>
        <w:tc>
          <w:tcPr>
            <w:tcW w:w="4972" w:type="dxa"/>
          </w:tcPr>
          <w:p w14:paraId="54B584A4">
            <w:pPr>
              <w:pStyle w:val="14"/>
              <w:spacing w:before="22"/>
              <w:ind w:left="103" w:right="94"/>
              <w:jc w:val="center"/>
              <w:rPr>
                <w:sz w:val="21"/>
              </w:rPr>
            </w:pPr>
            <w:r>
              <w:rPr>
                <w:sz w:val="21"/>
              </w:rPr>
              <w:t>病死猪</w:t>
            </w:r>
          </w:p>
        </w:tc>
      </w:tr>
      <w:tr w14:paraId="19D7A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027899AE">
            <w:pPr>
              <w:rPr>
                <w:sz w:val="2"/>
                <w:szCs w:val="2"/>
              </w:rPr>
            </w:pPr>
          </w:p>
        </w:tc>
        <w:tc>
          <w:tcPr>
            <w:tcW w:w="840" w:type="dxa"/>
            <w:vMerge w:val="continue"/>
            <w:tcBorders>
              <w:top w:val="nil"/>
            </w:tcBorders>
          </w:tcPr>
          <w:p w14:paraId="59CB6F18">
            <w:pPr>
              <w:rPr>
                <w:sz w:val="2"/>
                <w:szCs w:val="2"/>
              </w:rPr>
            </w:pPr>
          </w:p>
        </w:tc>
        <w:tc>
          <w:tcPr>
            <w:tcW w:w="2009" w:type="dxa"/>
          </w:tcPr>
          <w:p w14:paraId="24452299">
            <w:pPr>
              <w:pStyle w:val="14"/>
              <w:spacing w:before="20"/>
              <w:ind w:left="352" w:right="343"/>
              <w:jc w:val="center"/>
              <w:rPr>
                <w:sz w:val="21"/>
              </w:rPr>
            </w:pPr>
            <w:r>
              <w:rPr>
                <w:sz w:val="21"/>
              </w:rPr>
              <w:t>屠宰生产区</w:t>
            </w:r>
          </w:p>
        </w:tc>
        <w:tc>
          <w:tcPr>
            <w:tcW w:w="4972" w:type="dxa"/>
          </w:tcPr>
          <w:p w14:paraId="37926382">
            <w:pPr>
              <w:pStyle w:val="14"/>
              <w:spacing w:before="20"/>
              <w:ind w:left="103" w:right="96"/>
              <w:jc w:val="center"/>
              <w:rPr>
                <w:sz w:val="21"/>
              </w:rPr>
            </w:pPr>
            <w:r>
              <w:rPr>
                <w:sz w:val="21"/>
              </w:rPr>
              <w:t>猪毛、不合格产品、边角料、肠内容物</w:t>
            </w:r>
          </w:p>
        </w:tc>
      </w:tr>
      <w:tr w14:paraId="05E9C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01" w:type="dxa"/>
            <w:vMerge w:val="continue"/>
            <w:tcBorders>
              <w:top w:val="nil"/>
            </w:tcBorders>
          </w:tcPr>
          <w:p w14:paraId="472D7671">
            <w:pPr>
              <w:rPr>
                <w:sz w:val="2"/>
                <w:szCs w:val="2"/>
              </w:rPr>
            </w:pPr>
          </w:p>
        </w:tc>
        <w:tc>
          <w:tcPr>
            <w:tcW w:w="840" w:type="dxa"/>
            <w:vMerge w:val="continue"/>
            <w:tcBorders>
              <w:top w:val="nil"/>
            </w:tcBorders>
          </w:tcPr>
          <w:p w14:paraId="3435EEB4">
            <w:pPr>
              <w:rPr>
                <w:sz w:val="2"/>
                <w:szCs w:val="2"/>
              </w:rPr>
            </w:pPr>
          </w:p>
        </w:tc>
        <w:tc>
          <w:tcPr>
            <w:tcW w:w="2009" w:type="dxa"/>
          </w:tcPr>
          <w:p w14:paraId="1B91B8DD">
            <w:pPr>
              <w:pStyle w:val="14"/>
              <w:spacing w:before="20"/>
              <w:ind w:left="352" w:right="343"/>
              <w:jc w:val="center"/>
              <w:rPr>
                <w:sz w:val="21"/>
              </w:rPr>
            </w:pPr>
            <w:r>
              <w:rPr>
                <w:sz w:val="21"/>
              </w:rPr>
              <w:t>污水处理站</w:t>
            </w:r>
          </w:p>
        </w:tc>
        <w:tc>
          <w:tcPr>
            <w:tcW w:w="4972" w:type="dxa"/>
          </w:tcPr>
          <w:p w14:paraId="23D0AA4E">
            <w:pPr>
              <w:pStyle w:val="14"/>
              <w:spacing w:before="20"/>
              <w:ind w:left="103" w:right="96"/>
              <w:jc w:val="center"/>
              <w:rPr>
                <w:sz w:val="21"/>
              </w:rPr>
            </w:pPr>
            <w:r>
              <w:rPr>
                <w:sz w:val="21"/>
              </w:rPr>
              <w:t>栅渣及沉淀物、废动物油、剩余污泥</w:t>
            </w:r>
          </w:p>
        </w:tc>
      </w:tr>
      <w:tr w14:paraId="61D19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01" w:type="dxa"/>
            <w:vMerge w:val="continue"/>
            <w:tcBorders>
              <w:top w:val="nil"/>
            </w:tcBorders>
          </w:tcPr>
          <w:p w14:paraId="1BBAD3FF">
            <w:pPr>
              <w:rPr>
                <w:sz w:val="2"/>
                <w:szCs w:val="2"/>
              </w:rPr>
            </w:pPr>
          </w:p>
        </w:tc>
        <w:tc>
          <w:tcPr>
            <w:tcW w:w="840" w:type="dxa"/>
            <w:vMerge w:val="continue"/>
            <w:tcBorders>
              <w:top w:val="nil"/>
            </w:tcBorders>
          </w:tcPr>
          <w:p w14:paraId="58821340">
            <w:pPr>
              <w:rPr>
                <w:sz w:val="2"/>
                <w:szCs w:val="2"/>
              </w:rPr>
            </w:pPr>
          </w:p>
        </w:tc>
        <w:tc>
          <w:tcPr>
            <w:tcW w:w="2009" w:type="dxa"/>
          </w:tcPr>
          <w:p w14:paraId="6D6A415A">
            <w:pPr>
              <w:pStyle w:val="14"/>
              <w:spacing w:before="155"/>
              <w:ind w:left="350" w:right="346"/>
              <w:jc w:val="center"/>
              <w:rPr>
                <w:sz w:val="21"/>
              </w:rPr>
            </w:pPr>
            <w:r>
              <w:rPr>
                <w:sz w:val="21"/>
              </w:rPr>
              <w:t>仓库废料</w:t>
            </w:r>
          </w:p>
        </w:tc>
        <w:tc>
          <w:tcPr>
            <w:tcW w:w="4972" w:type="dxa"/>
          </w:tcPr>
          <w:p w14:paraId="3FC14F05">
            <w:pPr>
              <w:pStyle w:val="14"/>
              <w:spacing w:before="20" w:line="270" w:lineRule="atLeast"/>
              <w:ind w:left="1854" w:right="112" w:hanging="1733"/>
              <w:rPr>
                <w:sz w:val="21"/>
              </w:rPr>
            </w:pPr>
            <w:r>
              <w:rPr>
                <w:w w:val="95"/>
                <w:sz w:val="21"/>
              </w:rPr>
              <w:t>废包装物、废包装容器（危废</w:t>
            </w:r>
            <w:r>
              <w:rPr>
                <w:spacing w:val="-104"/>
                <w:w w:val="95"/>
                <w:sz w:val="21"/>
              </w:rPr>
              <w:t>）</w:t>
            </w:r>
            <w:r>
              <w:rPr>
                <w:w w:val="95"/>
                <w:sz w:val="21"/>
              </w:rPr>
              <w:t xml:space="preserve">、检验过程废液、维 </w:t>
            </w:r>
            <w:r>
              <w:rPr>
                <w:sz w:val="21"/>
              </w:rPr>
              <w:t>修车间废机油</w:t>
            </w:r>
          </w:p>
        </w:tc>
      </w:tr>
      <w:tr w14:paraId="676B1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701" w:type="dxa"/>
            <w:vMerge w:val="continue"/>
            <w:tcBorders>
              <w:top w:val="nil"/>
            </w:tcBorders>
          </w:tcPr>
          <w:p w14:paraId="2C0BFAC3">
            <w:pPr>
              <w:rPr>
                <w:sz w:val="2"/>
                <w:szCs w:val="2"/>
              </w:rPr>
            </w:pPr>
          </w:p>
        </w:tc>
        <w:tc>
          <w:tcPr>
            <w:tcW w:w="840" w:type="dxa"/>
            <w:vMerge w:val="continue"/>
            <w:tcBorders>
              <w:top w:val="nil"/>
            </w:tcBorders>
          </w:tcPr>
          <w:p w14:paraId="1AE3ACCC">
            <w:pPr>
              <w:rPr>
                <w:sz w:val="2"/>
                <w:szCs w:val="2"/>
              </w:rPr>
            </w:pPr>
          </w:p>
        </w:tc>
        <w:tc>
          <w:tcPr>
            <w:tcW w:w="2009" w:type="dxa"/>
          </w:tcPr>
          <w:p w14:paraId="34517B8B">
            <w:pPr>
              <w:pStyle w:val="14"/>
              <w:spacing w:before="20"/>
              <w:ind w:left="350" w:right="346"/>
              <w:jc w:val="center"/>
              <w:rPr>
                <w:sz w:val="21"/>
              </w:rPr>
            </w:pPr>
            <w:r>
              <w:rPr>
                <w:sz w:val="21"/>
              </w:rPr>
              <w:t>员工生活</w:t>
            </w:r>
          </w:p>
        </w:tc>
        <w:tc>
          <w:tcPr>
            <w:tcW w:w="4972" w:type="dxa"/>
          </w:tcPr>
          <w:p w14:paraId="548A66D5">
            <w:pPr>
              <w:pStyle w:val="14"/>
              <w:spacing w:before="20"/>
              <w:ind w:left="103" w:right="96"/>
              <w:jc w:val="center"/>
              <w:rPr>
                <w:sz w:val="21"/>
              </w:rPr>
            </w:pPr>
            <w:r>
              <w:rPr>
                <w:sz w:val="21"/>
              </w:rPr>
              <w:t>生活垃圾</w:t>
            </w:r>
          </w:p>
        </w:tc>
      </w:tr>
    </w:tbl>
    <w:p w14:paraId="28CCC494">
      <w:pPr>
        <w:pStyle w:val="13"/>
        <w:numPr>
          <w:ilvl w:val="2"/>
          <w:numId w:val="14"/>
        </w:numPr>
        <w:tabs>
          <w:tab w:val="left" w:pos="880"/>
        </w:tabs>
        <w:spacing w:before="1" w:after="0" w:line="240" w:lineRule="auto"/>
        <w:ind w:left="879" w:right="0" w:hanging="619"/>
        <w:jc w:val="left"/>
        <w:rPr>
          <w:b/>
          <w:sz w:val="28"/>
        </w:rPr>
      </w:pPr>
      <w:bookmarkStart w:id="118" w:name="3.7.4营运期污染物源强核算"/>
      <w:bookmarkEnd w:id="118"/>
      <w:bookmarkStart w:id="119" w:name="3.7.4营运期污染物源强核算"/>
      <w:bookmarkEnd w:id="119"/>
      <w:r>
        <w:rPr>
          <w:b/>
          <w:sz w:val="28"/>
        </w:rPr>
        <w:t>营运期污染物源强核算</w:t>
      </w:r>
    </w:p>
    <w:p w14:paraId="6F0C3264">
      <w:pPr>
        <w:pStyle w:val="6"/>
        <w:spacing w:before="186"/>
        <w:ind w:left="740"/>
      </w:pPr>
      <w:r>
        <w:rPr>
          <w:rFonts w:ascii="Times New Roman" w:eastAsia="Times New Roman"/>
        </w:rPr>
        <w:t xml:space="preserve">3.7.4.1 </w:t>
      </w:r>
      <w:r>
        <w:t>废气污染物源强核算</w:t>
      </w:r>
    </w:p>
    <w:p w14:paraId="4350F0E1">
      <w:pPr>
        <w:pStyle w:val="7"/>
        <w:spacing w:before="160" w:line="364" w:lineRule="auto"/>
        <w:ind w:left="260" w:right="977" w:firstLine="480"/>
        <w:jc w:val="both"/>
      </w:pPr>
      <w:r>
        <w:t>本项目作为生猪屠宰，项目营运期产生的废气污染物主要为恶臭污染物、锅炉废气和运输车辆废气。项目营运期产生的恶臭污染源主要为暂养区及待宰间恶臭、屠宰加工间恶臭、污水处理站恶臭、运输车辆臭气浓度。恶臭本身不一定具有毒性，但会使人产生不快感。长期遭受恶臭污染，会影响居民的生活，降低工作效率，严重时会使人恶心、呕吐，甚至会诱发某些疾病。</w:t>
      </w:r>
    </w:p>
    <w:p w14:paraId="0D27A097">
      <w:pPr>
        <w:pStyle w:val="7"/>
        <w:spacing w:line="303" w:lineRule="exact"/>
        <w:ind w:left="740"/>
      </w:pPr>
      <w:r>
        <w:t>（</w:t>
      </w:r>
      <w:r>
        <w:rPr>
          <w:rFonts w:ascii="Times New Roman" w:eastAsia="Times New Roman"/>
        </w:rPr>
        <w:t>1</w:t>
      </w:r>
      <w:r>
        <w:t>）暂养区及配套恶臭</w:t>
      </w:r>
    </w:p>
    <w:p w14:paraId="7B7FEFE8">
      <w:pPr>
        <w:pStyle w:val="7"/>
        <w:spacing w:before="161" w:line="364" w:lineRule="auto"/>
        <w:ind w:left="260" w:right="977" w:firstLine="480"/>
      </w:pPr>
      <w:r>
        <w:t>项目暂养区及待宰间作为生猪屠宰前静养的场所，其恶臭主要来自于牲畜粪便和尿，粪便中含有的大量有机物质在排出体外后迅速发酵， 便会产生</w:t>
      </w:r>
    </w:p>
    <w:p w14:paraId="6A4BA6ED">
      <w:pPr>
        <w:pStyle w:val="7"/>
        <w:spacing w:line="364" w:lineRule="auto"/>
        <w:ind w:left="260" w:right="977"/>
        <w:jc w:val="both"/>
      </w:pP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等恶臭气体。项目生猪在待宰间停留时间较短，屠宰前停食静养，不</w:t>
      </w:r>
      <w:r>
        <w:rPr>
          <w:vertAlign w:val="baseline"/>
        </w:rPr>
        <w:t>进行食物投喂，能有效减少牲畜粪便和尿的产生，进而降低待宰间臭气的产生。</w:t>
      </w:r>
    </w:p>
    <w:p w14:paraId="0208D6D5">
      <w:pPr>
        <w:pStyle w:val="7"/>
        <w:spacing w:line="299" w:lineRule="exact"/>
        <w:ind w:left="1100"/>
      </w:pPr>
      <w:r>
        <w:pict>
          <v:group id="_x0000_s1375" o:spid="_x0000_s1375" o:spt="203" style="position:absolute;left:0pt;margin-left:113.95pt;margin-top:1.45pt;height:12.05pt;width:12.05pt;mso-position-horizontal-relative:page;z-index:251659264;mso-width-relative:page;mso-height-relative:page;" coordorigin="2279,29" coordsize="241,241">
            <o:lock v:ext="edit"/>
            <v:shape id="_x0000_s1376" o:spid="_x0000_s1376" o:spt="75" type="#_x0000_t75" style="position:absolute;left:2279;top:29;height:241;width:241;" filled="f" stroked="f" coordsize="21600,21600">
              <v:path/>
              <v:fill on="f" focussize="0,0"/>
              <v:stroke on="f"/>
              <v:imagedata r:id="rId76" o:title=""/>
              <o:lock v:ext="edit" aspectratio="t"/>
            </v:shape>
            <v:shape id="_x0000_s1377" o:spid="_x0000_s1377" o:spt="202" type="#_x0000_t202" style="position:absolute;left:2279;top:29;height:241;width:241;" filled="f" stroked="f" coordsize="21600,21600">
              <v:path/>
              <v:fill on="f" focussize="0,0"/>
              <v:stroke on="f" joinstyle="miter"/>
              <v:imagedata o:title=""/>
              <o:lock v:ext="edit"/>
              <v:textbox inset="0mm,0mm,0mm,0mm">
                <w:txbxContent>
                  <w:p w14:paraId="71F73BBE">
                    <w:pPr>
                      <w:spacing w:before="2" w:line="239" w:lineRule="exact"/>
                      <w:ind w:left="70" w:right="0" w:firstLine="0"/>
                      <w:jc w:val="left"/>
                      <w:rPr>
                        <w:sz w:val="20"/>
                      </w:rPr>
                    </w:pPr>
                    <w:r>
                      <w:rPr>
                        <w:w w:val="99"/>
                        <w:sz w:val="20"/>
                      </w:rPr>
                      <w:t>1</w:t>
                    </w:r>
                  </w:p>
                </w:txbxContent>
              </v:textbox>
            </v:shape>
          </v:group>
        </w:pict>
      </w:r>
      <w:r>
        <w:t>恶臭产生情况</w:t>
      </w:r>
    </w:p>
    <w:p w14:paraId="5D3013F6">
      <w:pPr>
        <w:pStyle w:val="7"/>
        <w:spacing w:before="160" w:line="362" w:lineRule="auto"/>
        <w:ind w:left="260" w:right="977" w:firstLine="480"/>
        <w:jc w:val="both"/>
      </w:pPr>
      <w:r>
        <w:t>参照《养猪场恶臭影响量化分析及控制对策研究》（天津市环境影响评价</w:t>
      </w:r>
      <w:r>
        <w:rPr>
          <w:position w:val="2"/>
        </w:rPr>
        <w:t xml:space="preserve">中心，孙艳青、张潞、李万庆）：生猪 </w:t>
      </w:r>
      <w:r>
        <w:rPr>
          <w:rFonts w:ascii="Times New Roman" w:hAnsi="Times New Roman" w:eastAsia="Times New Roman"/>
          <w:position w:val="2"/>
        </w:rPr>
        <w:t>NH</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 </w:t>
      </w:r>
      <w:r>
        <w:rPr>
          <w:position w:val="2"/>
          <w:vertAlign w:val="baseline"/>
        </w:rPr>
        <w:t xml:space="preserve">的产生量为 </w:t>
      </w:r>
      <w:r>
        <w:rPr>
          <w:rFonts w:ascii="Times New Roman" w:hAnsi="Times New Roman" w:eastAsia="Times New Roman"/>
          <w:position w:val="2"/>
          <w:vertAlign w:val="baseline"/>
        </w:rPr>
        <w:t>5.65g/ (</w:t>
      </w:r>
      <w:r>
        <w:rPr>
          <w:position w:val="2"/>
          <w:vertAlign w:val="baseline"/>
        </w:rPr>
        <w:t>头</w:t>
      </w:r>
      <w:r>
        <w:rPr>
          <w:rFonts w:ascii="Times New Roman" w:hAnsi="Times New Roman" w:eastAsia="Times New Roman"/>
          <w:position w:val="2"/>
          <w:vertAlign w:val="baseline"/>
        </w:rPr>
        <w:t>·d)</w:t>
      </w:r>
      <w:r>
        <w:rPr>
          <w:position w:val="2"/>
          <w:vertAlign w:val="baseline"/>
        </w:rPr>
        <w:t>，</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S </w:t>
      </w:r>
      <w:r>
        <w:rPr>
          <w:position w:val="2"/>
          <w:vertAlign w:val="baseline"/>
        </w:rPr>
        <w:t>的产</w:t>
      </w:r>
      <w:r>
        <w:rPr>
          <w:vertAlign w:val="baseline"/>
        </w:rPr>
        <w:t xml:space="preserve">生量为 </w:t>
      </w:r>
      <w:r>
        <w:rPr>
          <w:rFonts w:ascii="Times New Roman" w:hAnsi="Times New Roman" w:eastAsia="Times New Roman"/>
          <w:vertAlign w:val="baseline"/>
        </w:rPr>
        <w:t>0.5g/ (</w:t>
      </w:r>
      <w:r>
        <w:rPr>
          <w:vertAlign w:val="baseline"/>
        </w:rPr>
        <w:t>头</w:t>
      </w:r>
      <w:r>
        <w:rPr>
          <w:rFonts w:ascii="Times New Roman" w:hAnsi="Times New Roman" w:eastAsia="Times New Roman"/>
          <w:vertAlign w:val="baseline"/>
        </w:rPr>
        <w:t>·d)</w:t>
      </w:r>
      <w:r>
        <w:rPr>
          <w:vertAlign w:val="baseline"/>
        </w:rPr>
        <w:t>。本项目待宰间生猪均停食静养，且生猪在养猪场出栏前均</w:t>
      </w:r>
    </w:p>
    <w:p w14:paraId="3B01C59A">
      <w:pPr>
        <w:spacing w:after="0" w:line="362" w:lineRule="auto"/>
        <w:jc w:val="both"/>
        <w:sectPr>
          <w:pgSz w:w="11910" w:h="16840"/>
          <w:pgMar w:top="1360" w:right="820" w:bottom="1400" w:left="1540" w:header="878" w:footer="1204" w:gutter="0"/>
          <w:cols w:space="720" w:num="1"/>
        </w:sectPr>
      </w:pPr>
    </w:p>
    <w:p w14:paraId="18CC7ADA">
      <w:pPr>
        <w:pStyle w:val="7"/>
        <w:spacing w:before="68" w:line="364" w:lineRule="auto"/>
        <w:ind w:left="260" w:right="977"/>
        <w:jc w:val="both"/>
      </w:pPr>
      <w:r>
        <w:t>已停食，从猪场运输至屠宰场后，再在待宰间静养，待宰间内生猪排放的粪污等污染物相对养猪场要少的多，其产生的恶臭污染物的量也相对较小。因此， 本项目待宰间恶臭污染物产生量以养猪场恶臭污染物产生量的一半计，即生猪</w:t>
      </w:r>
    </w:p>
    <w:p w14:paraId="7431F828">
      <w:pPr>
        <w:pStyle w:val="7"/>
        <w:spacing w:line="360" w:lineRule="auto"/>
        <w:ind w:left="740" w:right="2813" w:hanging="480"/>
      </w:pPr>
      <w:r>
        <w:rPr>
          <w:rFonts w:ascii="Times New Roman" w:hAnsi="Times New Roman" w:eastAsia="Times New Roman"/>
          <w:position w:val="2"/>
        </w:rPr>
        <w:t>NH</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 </w:t>
      </w:r>
      <w:r>
        <w:rPr>
          <w:spacing w:val="-11"/>
          <w:position w:val="2"/>
          <w:vertAlign w:val="baseline"/>
        </w:rPr>
        <w:t xml:space="preserve">的产生量为 </w:t>
      </w:r>
      <w:r>
        <w:rPr>
          <w:rFonts w:ascii="Times New Roman" w:hAnsi="Times New Roman" w:eastAsia="Times New Roman"/>
          <w:position w:val="2"/>
          <w:vertAlign w:val="baseline"/>
        </w:rPr>
        <w:t>2.83g/</w:t>
      </w:r>
      <w:r>
        <w:rPr>
          <w:rFonts w:ascii="Times New Roman" w:hAnsi="Times New Roman" w:eastAsia="Times New Roman"/>
          <w:spacing w:val="-1"/>
          <w:position w:val="2"/>
          <w:vertAlign w:val="baseline"/>
        </w:rPr>
        <w:t xml:space="preserve"> (</w:t>
      </w:r>
      <w:r>
        <w:rPr>
          <w:position w:val="2"/>
          <w:vertAlign w:val="baseline"/>
        </w:rPr>
        <w:t>头</w:t>
      </w:r>
      <w:r>
        <w:rPr>
          <w:rFonts w:ascii="Times New Roman" w:hAnsi="Times New Roman" w:eastAsia="Times New Roman"/>
          <w:position w:val="2"/>
          <w:vertAlign w:val="baseline"/>
        </w:rPr>
        <w:t>·d)</w:t>
      </w:r>
      <w:r>
        <w:rPr>
          <w:position w:val="2"/>
          <w:vertAlign w:val="baseline"/>
        </w:rPr>
        <w:t>，</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S </w:t>
      </w:r>
      <w:r>
        <w:rPr>
          <w:spacing w:val="-11"/>
          <w:position w:val="2"/>
          <w:vertAlign w:val="baseline"/>
        </w:rPr>
        <w:t xml:space="preserve">的产生量为 </w:t>
      </w:r>
      <w:r>
        <w:rPr>
          <w:rFonts w:ascii="Times New Roman" w:hAnsi="Times New Roman" w:eastAsia="Times New Roman"/>
          <w:position w:val="2"/>
          <w:vertAlign w:val="baseline"/>
        </w:rPr>
        <w:t>0.25g/ (</w:t>
      </w:r>
      <w:r>
        <w:rPr>
          <w:position w:val="2"/>
          <w:vertAlign w:val="baseline"/>
        </w:rPr>
        <w:t>头</w:t>
      </w:r>
      <w:r>
        <w:rPr>
          <w:rFonts w:ascii="Times New Roman" w:hAnsi="Times New Roman" w:eastAsia="Times New Roman"/>
          <w:position w:val="2"/>
          <w:vertAlign w:val="baseline"/>
        </w:rPr>
        <w:t>·d)</w:t>
      </w:r>
      <w:r>
        <w:rPr>
          <w:position w:val="2"/>
          <w:vertAlign w:val="baseline"/>
        </w:rPr>
        <w:t>。</w:t>
      </w:r>
      <w:r>
        <w:rPr>
          <w:spacing w:val="-6"/>
          <w:position w:val="2"/>
          <w:vertAlign w:val="baseline"/>
        </w:rPr>
        <w:t xml:space="preserve">则本项目生猪待宰间 </w:t>
      </w:r>
      <w:r>
        <w:rPr>
          <w:rFonts w:ascii="Times New Roman" w:hAnsi="Times New Roman" w:eastAsia="Times New Roman"/>
          <w:position w:val="2"/>
          <w:vertAlign w:val="baseline"/>
        </w:rPr>
        <w:t>NH</w:t>
      </w:r>
      <w:r>
        <w:rPr>
          <w:rFonts w:ascii="Times New Roman" w:hAnsi="Times New Roman" w:eastAsia="Times New Roman"/>
          <w:position w:val="2"/>
          <w:vertAlign w:val="subscript"/>
        </w:rPr>
        <w:t>3</w:t>
      </w:r>
      <w:r>
        <w:rPr>
          <w:position w:val="2"/>
          <w:vertAlign w:val="baseline"/>
        </w:rPr>
        <w:t>、</w:t>
      </w:r>
      <w:r>
        <w:rPr>
          <w:rFonts w:ascii="Times New Roman" w:hAnsi="Times New Roman" w:eastAsia="Times New Roman"/>
          <w:position w:val="2"/>
          <w:vertAlign w:val="baseline"/>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S </w:t>
      </w:r>
      <w:r>
        <w:rPr>
          <w:position w:val="2"/>
          <w:vertAlign w:val="baseline"/>
        </w:rPr>
        <w:t>产生情况见下表。</w:t>
      </w:r>
    </w:p>
    <w:p w14:paraId="3E1F312E">
      <w:pPr>
        <w:spacing w:before="0" w:after="4"/>
        <w:ind w:left="2281" w:right="3000" w:firstLine="0"/>
        <w:jc w:val="center"/>
        <w:rPr>
          <w:b/>
          <w:sz w:val="21"/>
        </w:rPr>
      </w:pPr>
      <w:r>
        <w:rPr>
          <w:b/>
          <w:sz w:val="21"/>
        </w:rPr>
        <w:t xml:space="preserve">表 </w:t>
      </w:r>
      <w:r>
        <w:rPr>
          <w:rFonts w:ascii="Times New Roman" w:eastAsia="Times New Roman"/>
          <w:b/>
          <w:sz w:val="21"/>
        </w:rPr>
        <w:t xml:space="preserve">3.7-10 </w:t>
      </w:r>
      <w:r>
        <w:rPr>
          <w:b/>
          <w:sz w:val="21"/>
        </w:rPr>
        <w:t>待宰间恶臭污染物产生情况表</w:t>
      </w: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6"/>
        <w:gridCol w:w="1696"/>
        <w:gridCol w:w="2171"/>
        <w:gridCol w:w="2959"/>
      </w:tblGrid>
      <w:tr w14:paraId="743C6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96" w:type="dxa"/>
            <w:vMerge w:val="restart"/>
          </w:tcPr>
          <w:p w14:paraId="5ACDB71F">
            <w:pPr>
              <w:pStyle w:val="14"/>
              <w:spacing w:before="9"/>
              <w:rPr>
                <w:b/>
                <w:sz w:val="17"/>
              </w:rPr>
            </w:pPr>
          </w:p>
          <w:p w14:paraId="47AA4C76">
            <w:pPr>
              <w:pStyle w:val="14"/>
              <w:ind w:left="532"/>
              <w:rPr>
                <w:b/>
                <w:sz w:val="21"/>
              </w:rPr>
            </w:pPr>
            <w:r>
              <w:rPr>
                <w:b/>
                <w:sz w:val="21"/>
              </w:rPr>
              <w:t>污染源</w:t>
            </w:r>
          </w:p>
        </w:tc>
        <w:tc>
          <w:tcPr>
            <w:tcW w:w="1696" w:type="dxa"/>
            <w:vMerge w:val="restart"/>
          </w:tcPr>
          <w:p w14:paraId="565BAA51">
            <w:pPr>
              <w:pStyle w:val="14"/>
              <w:spacing w:before="9"/>
              <w:rPr>
                <w:b/>
                <w:sz w:val="17"/>
              </w:rPr>
            </w:pPr>
          </w:p>
          <w:p w14:paraId="1F1930B0">
            <w:pPr>
              <w:pStyle w:val="14"/>
              <w:ind w:left="530"/>
              <w:rPr>
                <w:b/>
                <w:sz w:val="21"/>
              </w:rPr>
            </w:pPr>
            <w:r>
              <w:rPr>
                <w:b/>
                <w:sz w:val="21"/>
              </w:rPr>
              <w:t>污染物</w:t>
            </w:r>
          </w:p>
        </w:tc>
        <w:tc>
          <w:tcPr>
            <w:tcW w:w="2171" w:type="dxa"/>
          </w:tcPr>
          <w:p w14:paraId="24DB7226">
            <w:pPr>
              <w:pStyle w:val="14"/>
              <w:spacing w:before="32"/>
              <w:ind w:left="643" w:right="634"/>
              <w:jc w:val="center"/>
              <w:rPr>
                <w:b/>
                <w:sz w:val="21"/>
              </w:rPr>
            </w:pPr>
            <w:r>
              <w:rPr>
                <w:b/>
                <w:sz w:val="21"/>
              </w:rPr>
              <w:t>产生源强</w:t>
            </w:r>
          </w:p>
        </w:tc>
        <w:tc>
          <w:tcPr>
            <w:tcW w:w="2959" w:type="dxa"/>
          </w:tcPr>
          <w:p w14:paraId="68BF5176">
            <w:pPr>
              <w:pStyle w:val="14"/>
              <w:spacing w:before="32"/>
              <w:ind w:left="825" w:right="818"/>
              <w:jc w:val="center"/>
              <w:rPr>
                <w:b/>
                <w:sz w:val="21"/>
              </w:rPr>
            </w:pPr>
            <w:r>
              <w:rPr>
                <w:b/>
                <w:sz w:val="21"/>
              </w:rPr>
              <w:t>污染物产生量</w:t>
            </w:r>
          </w:p>
        </w:tc>
      </w:tr>
      <w:tr w14:paraId="5469A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696" w:type="dxa"/>
            <w:vMerge w:val="continue"/>
            <w:tcBorders>
              <w:top w:val="nil"/>
            </w:tcBorders>
          </w:tcPr>
          <w:p w14:paraId="220C0682">
            <w:pPr>
              <w:rPr>
                <w:sz w:val="2"/>
                <w:szCs w:val="2"/>
              </w:rPr>
            </w:pPr>
          </w:p>
        </w:tc>
        <w:tc>
          <w:tcPr>
            <w:tcW w:w="1696" w:type="dxa"/>
            <w:vMerge w:val="continue"/>
            <w:tcBorders>
              <w:top w:val="nil"/>
            </w:tcBorders>
          </w:tcPr>
          <w:p w14:paraId="60958C62">
            <w:pPr>
              <w:rPr>
                <w:sz w:val="2"/>
                <w:szCs w:val="2"/>
              </w:rPr>
            </w:pPr>
          </w:p>
        </w:tc>
        <w:tc>
          <w:tcPr>
            <w:tcW w:w="2171" w:type="dxa"/>
          </w:tcPr>
          <w:p w14:paraId="3BAC511F">
            <w:pPr>
              <w:pStyle w:val="14"/>
              <w:spacing w:before="52"/>
              <w:ind w:left="642" w:right="634"/>
              <w:jc w:val="center"/>
              <w:rPr>
                <w:rFonts w:ascii="Times New Roman" w:hAnsi="Times New Roman" w:eastAsia="Times New Roman"/>
                <w:sz w:val="21"/>
              </w:rPr>
            </w:pPr>
            <w:r>
              <w:rPr>
                <w:rFonts w:ascii="Times New Roman" w:hAnsi="Times New Roman" w:eastAsia="Times New Roman"/>
                <w:sz w:val="21"/>
              </w:rPr>
              <w:t>g/ (</w:t>
            </w:r>
            <w:r>
              <w:rPr>
                <w:sz w:val="21"/>
              </w:rPr>
              <w:t>头</w:t>
            </w:r>
            <w:r>
              <w:rPr>
                <w:rFonts w:ascii="Times New Roman" w:hAnsi="Times New Roman" w:eastAsia="Times New Roman"/>
                <w:sz w:val="21"/>
              </w:rPr>
              <w:t>·d)</w:t>
            </w:r>
          </w:p>
        </w:tc>
        <w:tc>
          <w:tcPr>
            <w:tcW w:w="2959" w:type="dxa"/>
          </w:tcPr>
          <w:p w14:paraId="24E936C1">
            <w:pPr>
              <w:pStyle w:val="14"/>
              <w:spacing w:before="66"/>
              <w:ind w:left="822" w:right="818"/>
              <w:jc w:val="center"/>
              <w:rPr>
                <w:rFonts w:ascii="Times New Roman"/>
                <w:sz w:val="21"/>
              </w:rPr>
            </w:pPr>
            <w:r>
              <w:rPr>
                <w:rFonts w:ascii="Times New Roman"/>
                <w:sz w:val="21"/>
              </w:rPr>
              <w:t>t/a</w:t>
            </w:r>
          </w:p>
        </w:tc>
      </w:tr>
      <w:tr w14:paraId="14F0A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96" w:type="dxa"/>
            <w:vMerge w:val="restart"/>
          </w:tcPr>
          <w:p w14:paraId="01252F27">
            <w:pPr>
              <w:pStyle w:val="14"/>
              <w:spacing w:before="1"/>
              <w:rPr>
                <w:b/>
                <w:sz w:val="17"/>
              </w:rPr>
            </w:pPr>
          </w:p>
          <w:p w14:paraId="01C6CFE2">
            <w:pPr>
              <w:pStyle w:val="14"/>
              <w:ind w:left="532"/>
              <w:rPr>
                <w:sz w:val="21"/>
              </w:rPr>
            </w:pPr>
            <w:r>
              <w:rPr>
                <w:sz w:val="21"/>
              </w:rPr>
              <w:t>待宰间</w:t>
            </w:r>
          </w:p>
        </w:tc>
        <w:tc>
          <w:tcPr>
            <w:tcW w:w="1696" w:type="dxa"/>
          </w:tcPr>
          <w:p w14:paraId="5ED1732C">
            <w:pPr>
              <w:pStyle w:val="14"/>
              <w:spacing w:before="38"/>
              <w:ind w:left="641" w:right="633"/>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2171" w:type="dxa"/>
          </w:tcPr>
          <w:p w14:paraId="637A5B82">
            <w:pPr>
              <w:pStyle w:val="14"/>
              <w:spacing w:before="41"/>
              <w:ind w:left="643" w:right="633"/>
              <w:jc w:val="center"/>
              <w:rPr>
                <w:rFonts w:ascii="Times New Roman"/>
                <w:sz w:val="21"/>
              </w:rPr>
            </w:pPr>
            <w:r>
              <w:rPr>
                <w:rFonts w:ascii="Times New Roman"/>
                <w:sz w:val="21"/>
              </w:rPr>
              <w:t>2.83</w:t>
            </w:r>
          </w:p>
        </w:tc>
        <w:tc>
          <w:tcPr>
            <w:tcW w:w="2959" w:type="dxa"/>
          </w:tcPr>
          <w:p w14:paraId="22D48AEF">
            <w:pPr>
              <w:pStyle w:val="14"/>
              <w:spacing w:before="41"/>
              <w:ind w:left="825" w:right="816"/>
              <w:jc w:val="center"/>
              <w:rPr>
                <w:rFonts w:ascii="Times New Roman"/>
                <w:sz w:val="21"/>
              </w:rPr>
            </w:pPr>
            <w:r>
              <w:rPr>
                <w:rFonts w:ascii="Times New Roman"/>
                <w:sz w:val="21"/>
              </w:rPr>
              <w:t>2.264</w:t>
            </w:r>
          </w:p>
        </w:tc>
      </w:tr>
      <w:tr w14:paraId="377F2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696" w:type="dxa"/>
            <w:vMerge w:val="continue"/>
            <w:tcBorders>
              <w:top w:val="nil"/>
            </w:tcBorders>
          </w:tcPr>
          <w:p w14:paraId="5E180B6E">
            <w:pPr>
              <w:rPr>
                <w:sz w:val="2"/>
                <w:szCs w:val="2"/>
              </w:rPr>
            </w:pPr>
          </w:p>
        </w:tc>
        <w:tc>
          <w:tcPr>
            <w:tcW w:w="1696" w:type="dxa"/>
          </w:tcPr>
          <w:p w14:paraId="22F60E20">
            <w:pPr>
              <w:pStyle w:val="14"/>
              <w:spacing w:before="61"/>
              <w:ind w:left="641" w:right="633"/>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2171" w:type="dxa"/>
          </w:tcPr>
          <w:p w14:paraId="61840920">
            <w:pPr>
              <w:pStyle w:val="14"/>
              <w:spacing w:before="64"/>
              <w:ind w:left="643" w:right="633"/>
              <w:jc w:val="center"/>
              <w:rPr>
                <w:rFonts w:ascii="Times New Roman"/>
                <w:sz w:val="21"/>
              </w:rPr>
            </w:pPr>
            <w:r>
              <w:rPr>
                <w:rFonts w:ascii="Times New Roman"/>
                <w:sz w:val="21"/>
              </w:rPr>
              <w:t>0.25</w:t>
            </w:r>
          </w:p>
        </w:tc>
        <w:tc>
          <w:tcPr>
            <w:tcW w:w="2959" w:type="dxa"/>
          </w:tcPr>
          <w:p w14:paraId="244EB65B">
            <w:pPr>
              <w:pStyle w:val="14"/>
              <w:spacing w:before="64"/>
              <w:ind w:left="825" w:right="814"/>
              <w:jc w:val="center"/>
              <w:rPr>
                <w:rFonts w:ascii="Times New Roman"/>
                <w:sz w:val="21"/>
              </w:rPr>
            </w:pPr>
            <w:r>
              <w:rPr>
                <w:rFonts w:ascii="Times New Roman"/>
                <w:sz w:val="21"/>
              </w:rPr>
              <w:t>0.2</w:t>
            </w:r>
          </w:p>
        </w:tc>
      </w:tr>
    </w:tbl>
    <w:p w14:paraId="72012423">
      <w:pPr>
        <w:pStyle w:val="7"/>
        <w:spacing w:before="1"/>
        <w:ind w:left="1100"/>
      </w:pPr>
      <w:r>
        <w:pict>
          <v:group id="_x0000_s1378" o:spid="_x0000_s1378" o:spt="203" style="position:absolute;left:0pt;margin-left:113.95pt;margin-top:1.85pt;height:12.05pt;width:12.05pt;mso-position-horizontal-relative:page;z-index:251659264;mso-width-relative:page;mso-height-relative:page;" coordorigin="2279,38" coordsize="241,241">
            <o:lock v:ext="edit"/>
            <v:shape id="_x0000_s1379" o:spid="_x0000_s1379" o:spt="75" type="#_x0000_t75" style="position:absolute;left:2279;top:37;height:241;width:241;" filled="f" stroked="f" coordsize="21600,21600">
              <v:path/>
              <v:fill on="f" focussize="0,0"/>
              <v:stroke on="f"/>
              <v:imagedata r:id="rId76" o:title=""/>
              <o:lock v:ext="edit" aspectratio="t"/>
            </v:shape>
            <v:shape id="_x0000_s1380" o:spid="_x0000_s1380" o:spt="202" type="#_x0000_t202" style="position:absolute;left:2279;top:37;height:241;width:241;" filled="f" stroked="f" coordsize="21600,21600">
              <v:path/>
              <v:fill on="f" focussize="0,0"/>
              <v:stroke on="f" joinstyle="miter"/>
              <v:imagedata o:title=""/>
              <o:lock v:ext="edit"/>
              <v:textbox inset="0mm,0mm,0mm,0mm">
                <w:txbxContent>
                  <w:p w14:paraId="28007671">
                    <w:pPr>
                      <w:spacing w:before="3" w:line="238" w:lineRule="exact"/>
                      <w:ind w:left="70" w:right="0" w:firstLine="0"/>
                      <w:jc w:val="left"/>
                      <w:rPr>
                        <w:sz w:val="20"/>
                      </w:rPr>
                    </w:pPr>
                    <w:r>
                      <w:rPr>
                        <w:w w:val="99"/>
                        <w:sz w:val="20"/>
                      </w:rPr>
                      <w:t>2</w:t>
                    </w:r>
                  </w:p>
                </w:txbxContent>
              </v:textbox>
            </v:shape>
          </v:group>
        </w:pict>
      </w:r>
      <w:r>
        <w:t>恶臭排放情况</w:t>
      </w:r>
    </w:p>
    <w:p w14:paraId="702E65FA">
      <w:pPr>
        <w:pStyle w:val="7"/>
        <w:spacing w:before="160" w:line="364" w:lineRule="auto"/>
        <w:ind w:left="260" w:right="977" w:firstLine="480"/>
        <w:jc w:val="both"/>
      </w:pPr>
      <w:r>
        <w:t>恶臭气味对牲畜有刺激性作用，可引起呼吸系统疾病，同时恶臭气味对屠宰厂员工身体健康和周边环境会产生一定的影响，为降低待宰间恶臭，本项目生猪待宰间区采取封闭措施，集中换气四周采取喷雾除臭措施，收集效率按</w:t>
      </w:r>
    </w:p>
    <w:p w14:paraId="66890783">
      <w:pPr>
        <w:pStyle w:val="7"/>
        <w:spacing w:line="364" w:lineRule="auto"/>
        <w:ind w:left="260" w:right="977"/>
        <w:jc w:val="both"/>
      </w:pPr>
      <w:r>
        <w:rPr>
          <w:rFonts w:ascii="Times New Roman" w:eastAsia="Times New Roman"/>
        </w:rPr>
        <w:t>95%</w:t>
      </w:r>
      <w:r>
        <w:t xml:space="preserve">计，设计风机风量为 </w:t>
      </w:r>
      <w:r>
        <w:rPr>
          <w:rFonts w:ascii="Times New Roman" w:eastAsia="Times New Roman"/>
        </w:rPr>
        <w:t>12000~24000m</w:t>
      </w:r>
      <w:r>
        <w:rPr>
          <w:rFonts w:ascii="Times New Roman" w:eastAsia="Times New Roman"/>
          <w:position w:val="8"/>
          <w:sz w:val="15"/>
        </w:rPr>
        <w:t>3</w:t>
      </w:r>
      <w:r>
        <w:rPr>
          <w:rFonts w:ascii="Times New Roman" w:eastAsia="Times New Roman"/>
        </w:rPr>
        <w:t>/h</w:t>
      </w:r>
      <w:r>
        <w:t xml:space="preserve">（参照养殖车间换气标准取 </w:t>
      </w:r>
      <w:r>
        <w:rPr>
          <w:rFonts w:ascii="Times New Roman" w:eastAsia="Times New Roman"/>
        </w:rPr>
        <w:t xml:space="preserve">5 </w:t>
      </w:r>
      <w:r>
        <w:t>次</w:t>
      </w:r>
      <w:r>
        <w:rPr>
          <w:rFonts w:ascii="Times New Roman" w:eastAsia="Times New Roman"/>
        </w:rPr>
        <w:t>/</w:t>
      </w:r>
      <w:r>
        <w:t xml:space="preserve">小时），经收集后废气采用 </w:t>
      </w:r>
      <w:r>
        <w:rPr>
          <w:rFonts w:ascii="Times New Roman" w:eastAsia="Times New Roman"/>
        </w:rPr>
        <w:t xml:space="preserve">1 </w:t>
      </w:r>
      <w:r>
        <w:t>套喷淋吸收塔</w:t>
      </w:r>
      <w:r>
        <w:rPr>
          <w:rFonts w:ascii="Times New Roman" w:eastAsia="Times New Roman"/>
        </w:rPr>
        <w:t>+</w:t>
      </w:r>
      <w:r>
        <w:t xml:space="preserve">生物除臭装置处理后经 </w:t>
      </w:r>
      <w:r>
        <w:rPr>
          <w:rFonts w:ascii="Times New Roman" w:eastAsia="Times New Roman"/>
        </w:rPr>
        <w:t xml:space="preserve">15m </w:t>
      </w:r>
      <w:r>
        <w:t>排气筒</w:t>
      </w:r>
    </w:p>
    <w:p w14:paraId="737C148C">
      <w:pPr>
        <w:pStyle w:val="7"/>
        <w:spacing w:line="306" w:lineRule="exact"/>
        <w:ind w:left="260"/>
        <w:rPr>
          <w:rFonts w:ascii="Times New Roman" w:eastAsia="Times New Roman"/>
        </w:rPr>
      </w:pPr>
      <w:r>
        <w:t>（</w:t>
      </w:r>
      <w:r>
        <w:rPr>
          <w:rFonts w:ascii="Times New Roman" w:eastAsia="Times New Roman"/>
        </w:rPr>
        <w:t>DA001</w:t>
      </w:r>
      <w:r>
        <w:t>）排放。根据《屠宰及肉类加工业污染防治可行技术指南 》（</w:t>
      </w:r>
      <w:r>
        <w:rPr>
          <w:rFonts w:ascii="Times New Roman" w:eastAsia="Times New Roman"/>
        </w:rPr>
        <w:t>HJ</w:t>
      </w:r>
    </w:p>
    <w:p w14:paraId="1DC0EA31">
      <w:pPr>
        <w:pStyle w:val="7"/>
        <w:spacing w:before="158" w:line="362" w:lineRule="auto"/>
        <w:ind w:left="260" w:right="977"/>
        <w:jc w:val="both"/>
      </w:pPr>
      <w:r>
        <w:rPr>
          <w:rFonts w:ascii="Times New Roman" w:hAnsi="Times New Roman" w:eastAsia="Times New Roman"/>
        </w:rPr>
        <w:t>1285</w:t>
      </w:r>
      <w:r>
        <w:t>—</w:t>
      </w:r>
      <w:r>
        <w:rPr>
          <w:rFonts w:ascii="Times New Roman" w:hAnsi="Times New Roman" w:eastAsia="Times New Roman"/>
        </w:rPr>
        <w:t>2023</w:t>
      </w:r>
      <w:r>
        <w:t xml:space="preserve">）中明确复合除臭技术恶臭去除效率一般可达到 </w:t>
      </w:r>
      <w:r>
        <w:rPr>
          <w:rFonts w:ascii="Times New Roman" w:hAnsi="Times New Roman" w:eastAsia="Times New Roman"/>
        </w:rPr>
        <w:t>90%</w:t>
      </w:r>
      <w:r>
        <w:t xml:space="preserve">以上，本次评价以 </w:t>
      </w:r>
      <w:r>
        <w:rPr>
          <w:rFonts w:ascii="Times New Roman" w:hAnsi="Times New Roman" w:eastAsia="Times New Roman"/>
        </w:rPr>
        <w:t>95%</w:t>
      </w:r>
      <w:r>
        <w:t xml:space="preserve">计，排气筒出口内径 </w:t>
      </w:r>
      <w:r>
        <w:rPr>
          <w:rFonts w:ascii="Times New Roman" w:hAnsi="Times New Roman" w:eastAsia="Times New Roman"/>
        </w:rPr>
        <w:t>0.6m</w:t>
      </w:r>
      <w:r>
        <w:t>，运行时长以最大值计：</w:t>
      </w:r>
      <w:r>
        <w:rPr>
          <w:rFonts w:ascii="Times New Roman" w:hAnsi="Times New Roman" w:eastAsia="Times New Roman"/>
        </w:rPr>
        <w:t>24*365=8760</w:t>
      </w:r>
      <w:r>
        <w:t>。</w:t>
      </w:r>
    </w:p>
    <w:p w14:paraId="51206B3B">
      <w:pPr>
        <w:pStyle w:val="7"/>
        <w:spacing w:before="5"/>
        <w:ind w:left="740"/>
      </w:pPr>
      <w:r>
        <w:t>少量未收集恶臭废气通过待宰间通风系统无组织挥发。待宰间恶臭污染物</w:t>
      </w:r>
    </w:p>
    <w:p w14:paraId="14A1D6C6">
      <w:pPr>
        <w:pStyle w:val="7"/>
        <w:spacing w:before="157"/>
        <w:ind w:left="260"/>
      </w:pP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产生和排放情况见表所示。</w:t>
      </w:r>
    </w:p>
    <w:p w14:paraId="31BAA999">
      <w:pPr>
        <w:pStyle w:val="7"/>
        <w:spacing w:before="157"/>
        <w:ind w:left="740"/>
      </w:pPr>
      <w:r>
        <w:t>（</w:t>
      </w:r>
      <w:r>
        <w:rPr>
          <w:rFonts w:ascii="Times New Roman" w:eastAsia="Times New Roman"/>
        </w:rPr>
        <w:t>2</w:t>
      </w:r>
      <w:r>
        <w:t>）屠宰生产区恶臭</w:t>
      </w:r>
    </w:p>
    <w:p w14:paraId="74C65EEC">
      <w:pPr>
        <w:pStyle w:val="7"/>
        <w:spacing w:before="161" w:line="364" w:lineRule="auto"/>
        <w:ind w:left="260" w:right="977" w:firstLine="480"/>
        <w:jc w:val="both"/>
      </w:pPr>
      <w:r>
        <w:rPr>
          <w:spacing w:val="0"/>
        </w:rPr>
        <w:t>屠宰加工间恶臭气体的产生量采取臭气强度评价法</w:t>
      </w:r>
      <w:r>
        <w:rPr>
          <w:spacing w:val="2"/>
        </w:rPr>
        <w:t>（</w:t>
      </w:r>
      <w:r>
        <w:rPr>
          <w:spacing w:val="1"/>
        </w:rPr>
        <w:t>臭气强度表示法是通</w:t>
      </w:r>
      <w:r>
        <w:t>过人的嗅觉测试，用规定的等级表示臭气强弱的方法</w:t>
      </w:r>
      <w:r>
        <w:rPr>
          <w:spacing w:val="2"/>
        </w:rPr>
        <w:t>）</w:t>
      </w:r>
      <w:r>
        <w:rPr>
          <w:spacing w:val="0"/>
        </w:rPr>
        <w:t>并引用相关文献的经验</w:t>
      </w:r>
      <w:r>
        <w:rPr>
          <w:spacing w:val="-2"/>
        </w:rPr>
        <w:t xml:space="preserve">数值进行估算。臭气强度评价法将臭气强度分为 </w:t>
      </w:r>
      <w:r>
        <w:rPr>
          <w:rFonts w:ascii="Times New Roman" w:eastAsia="Times New Roman"/>
        </w:rPr>
        <w:t xml:space="preserve">6 </w:t>
      </w:r>
      <w:r>
        <w:t>级（</w:t>
      </w:r>
      <w:r>
        <w:rPr>
          <w:rFonts w:ascii="Times New Roman" w:eastAsia="Times New Roman"/>
        </w:rPr>
        <w:t>0~5</w:t>
      </w:r>
      <w:r>
        <w:t>），见表。本环评引用《养殖屠宰项目环境影响评价技术方法研究》</w:t>
      </w:r>
      <w:r>
        <w:rPr>
          <w:spacing w:val="2"/>
        </w:rPr>
        <w:t>（</w:t>
      </w:r>
      <w:r>
        <w:t>李易，大连理工大学硕士研究生论文，</w:t>
      </w:r>
      <w:r>
        <w:rPr>
          <w:rFonts w:ascii="Times New Roman" w:eastAsia="Times New Roman"/>
        </w:rPr>
        <w:t xml:space="preserve">2008 </w:t>
      </w:r>
      <w:r>
        <w:t>年</w:t>
      </w:r>
      <w:r>
        <w:rPr>
          <w:spacing w:val="2"/>
        </w:rPr>
        <w:t>）</w:t>
      </w:r>
      <w:r>
        <w:t>中总结的经验计算数值，根据臭气强度可估算出对应的污染物浓度值，见表。</w:t>
      </w:r>
    </w:p>
    <w:p w14:paraId="29DDEC97">
      <w:pPr>
        <w:spacing w:before="0" w:after="3" w:line="264" w:lineRule="exact"/>
        <w:ind w:left="2278" w:right="3000" w:firstLine="0"/>
        <w:jc w:val="center"/>
        <w:rPr>
          <w:b/>
          <w:sz w:val="21"/>
        </w:rPr>
      </w:pPr>
      <w:r>
        <w:rPr>
          <w:b/>
          <w:sz w:val="21"/>
        </w:rPr>
        <w:t xml:space="preserve">表 </w:t>
      </w:r>
      <w:r>
        <w:rPr>
          <w:rFonts w:ascii="Times New Roman" w:eastAsia="Times New Roman"/>
          <w:b/>
          <w:sz w:val="21"/>
        </w:rPr>
        <w:t xml:space="preserve">3.7-11 </w:t>
      </w:r>
      <w:r>
        <w:rPr>
          <w:b/>
          <w:sz w:val="21"/>
        </w:rPr>
        <w:t>臭气强度分级表</w:t>
      </w: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9"/>
        <w:gridCol w:w="6743"/>
      </w:tblGrid>
      <w:tr w14:paraId="5EFEA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79" w:type="dxa"/>
          </w:tcPr>
          <w:p w14:paraId="6BB30A91">
            <w:pPr>
              <w:pStyle w:val="14"/>
              <w:spacing w:before="21"/>
              <w:ind w:left="447" w:right="438"/>
              <w:jc w:val="center"/>
              <w:rPr>
                <w:b/>
                <w:sz w:val="21"/>
              </w:rPr>
            </w:pPr>
            <w:r>
              <w:rPr>
                <w:b/>
                <w:sz w:val="21"/>
              </w:rPr>
              <w:t>强度等级</w:t>
            </w:r>
          </w:p>
        </w:tc>
        <w:tc>
          <w:tcPr>
            <w:tcW w:w="6743" w:type="dxa"/>
          </w:tcPr>
          <w:p w14:paraId="617798D5">
            <w:pPr>
              <w:pStyle w:val="14"/>
              <w:spacing w:before="21"/>
              <w:ind w:left="1458" w:right="1454"/>
              <w:jc w:val="center"/>
              <w:rPr>
                <w:b/>
                <w:sz w:val="21"/>
              </w:rPr>
            </w:pPr>
            <w:r>
              <w:rPr>
                <w:b/>
                <w:sz w:val="21"/>
              </w:rPr>
              <w:t>嗅觉判别标准</w:t>
            </w:r>
          </w:p>
        </w:tc>
      </w:tr>
      <w:tr w14:paraId="0950E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9" w:type="dxa"/>
          </w:tcPr>
          <w:p w14:paraId="69FBAC1C">
            <w:pPr>
              <w:pStyle w:val="14"/>
              <w:spacing w:before="49"/>
              <w:ind w:left="10"/>
              <w:jc w:val="center"/>
              <w:rPr>
                <w:rFonts w:ascii="Times New Roman"/>
                <w:sz w:val="21"/>
              </w:rPr>
            </w:pPr>
            <w:r>
              <w:rPr>
                <w:rFonts w:ascii="Times New Roman"/>
                <w:w w:val="99"/>
                <w:sz w:val="21"/>
              </w:rPr>
              <w:t>0</w:t>
            </w:r>
          </w:p>
        </w:tc>
        <w:tc>
          <w:tcPr>
            <w:tcW w:w="6743" w:type="dxa"/>
          </w:tcPr>
          <w:p w14:paraId="684393E0">
            <w:pPr>
              <w:pStyle w:val="14"/>
              <w:spacing w:before="35"/>
              <w:ind w:left="1458" w:right="1454"/>
              <w:jc w:val="center"/>
              <w:rPr>
                <w:sz w:val="21"/>
              </w:rPr>
            </w:pPr>
            <w:r>
              <w:rPr>
                <w:sz w:val="21"/>
              </w:rPr>
              <w:t>无臭</w:t>
            </w:r>
          </w:p>
        </w:tc>
      </w:tr>
      <w:tr w14:paraId="509A8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779" w:type="dxa"/>
          </w:tcPr>
          <w:p w14:paraId="213567B5">
            <w:pPr>
              <w:pStyle w:val="14"/>
              <w:spacing w:before="49"/>
              <w:ind w:left="10"/>
              <w:jc w:val="center"/>
              <w:rPr>
                <w:rFonts w:ascii="Times New Roman"/>
                <w:sz w:val="21"/>
              </w:rPr>
            </w:pPr>
            <w:r>
              <w:rPr>
                <w:rFonts w:ascii="Times New Roman"/>
                <w:w w:val="99"/>
                <w:sz w:val="21"/>
              </w:rPr>
              <w:t>1</w:t>
            </w:r>
          </w:p>
        </w:tc>
        <w:tc>
          <w:tcPr>
            <w:tcW w:w="6743" w:type="dxa"/>
          </w:tcPr>
          <w:p w14:paraId="60CB56E8">
            <w:pPr>
              <w:pStyle w:val="14"/>
              <w:spacing w:before="33"/>
              <w:ind w:left="1458" w:right="1454"/>
              <w:jc w:val="center"/>
              <w:rPr>
                <w:sz w:val="21"/>
              </w:rPr>
            </w:pPr>
            <w:r>
              <w:rPr>
                <w:sz w:val="21"/>
              </w:rPr>
              <w:t>勉强可以感到轻微臭味（检知阈值浓度）</w:t>
            </w:r>
          </w:p>
        </w:tc>
      </w:tr>
    </w:tbl>
    <w:p w14:paraId="47FC14A2">
      <w:pPr>
        <w:spacing w:after="0"/>
        <w:jc w:val="center"/>
        <w:rPr>
          <w:sz w:val="21"/>
        </w:rPr>
        <w:sectPr>
          <w:pgSz w:w="11910" w:h="16840"/>
          <w:pgMar w:top="1360" w:right="820" w:bottom="1400" w:left="1540" w:header="878" w:footer="1204" w:gutter="0"/>
          <w:cols w:space="720" w:num="1"/>
        </w:sectPr>
      </w:pPr>
    </w:p>
    <w:p w14:paraId="0F0AF7E8">
      <w:pPr>
        <w:pStyle w:val="7"/>
        <w:spacing w:before="3"/>
        <w:rPr>
          <w:b/>
          <w:sz w:val="5"/>
        </w:rPr>
      </w:pP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9"/>
        <w:gridCol w:w="6743"/>
      </w:tblGrid>
      <w:tr w14:paraId="76D9D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79" w:type="dxa"/>
          </w:tcPr>
          <w:p w14:paraId="52698737">
            <w:pPr>
              <w:pStyle w:val="14"/>
              <w:spacing w:before="21"/>
              <w:ind w:left="447" w:right="438"/>
              <w:jc w:val="center"/>
              <w:rPr>
                <w:b/>
                <w:sz w:val="21"/>
              </w:rPr>
            </w:pPr>
            <w:r>
              <w:rPr>
                <w:b/>
                <w:sz w:val="21"/>
              </w:rPr>
              <w:t>强度等级</w:t>
            </w:r>
          </w:p>
        </w:tc>
        <w:tc>
          <w:tcPr>
            <w:tcW w:w="6743" w:type="dxa"/>
          </w:tcPr>
          <w:p w14:paraId="329CA7DA">
            <w:pPr>
              <w:pStyle w:val="14"/>
              <w:spacing w:before="21"/>
              <w:ind w:left="1458" w:right="1454"/>
              <w:jc w:val="center"/>
              <w:rPr>
                <w:b/>
                <w:sz w:val="21"/>
              </w:rPr>
            </w:pPr>
            <w:r>
              <w:rPr>
                <w:b/>
                <w:sz w:val="21"/>
              </w:rPr>
              <w:t>嗅觉判别标准</w:t>
            </w:r>
          </w:p>
        </w:tc>
      </w:tr>
      <w:tr w14:paraId="79C0A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9" w:type="dxa"/>
          </w:tcPr>
          <w:p w14:paraId="6024DE88">
            <w:pPr>
              <w:pStyle w:val="14"/>
              <w:spacing w:before="49"/>
              <w:ind w:left="10"/>
              <w:jc w:val="center"/>
              <w:rPr>
                <w:rFonts w:ascii="Times New Roman"/>
                <w:sz w:val="21"/>
              </w:rPr>
            </w:pPr>
            <w:r>
              <w:rPr>
                <w:rFonts w:ascii="Times New Roman"/>
                <w:w w:val="99"/>
                <w:sz w:val="21"/>
              </w:rPr>
              <w:t>2</w:t>
            </w:r>
          </w:p>
        </w:tc>
        <w:tc>
          <w:tcPr>
            <w:tcW w:w="6743" w:type="dxa"/>
          </w:tcPr>
          <w:p w14:paraId="410E6C5A">
            <w:pPr>
              <w:pStyle w:val="14"/>
              <w:spacing w:before="35"/>
              <w:ind w:left="1458" w:right="1451"/>
              <w:jc w:val="center"/>
              <w:rPr>
                <w:sz w:val="21"/>
              </w:rPr>
            </w:pPr>
            <w:r>
              <w:rPr>
                <w:sz w:val="21"/>
              </w:rPr>
              <w:t>容易感到轻微臭味（认知阈值浓度）</w:t>
            </w:r>
          </w:p>
        </w:tc>
      </w:tr>
      <w:tr w14:paraId="14D73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9" w:type="dxa"/>
          </w:tcPr>
          <w:p w14:paraId="1D70E651">
            <w:pPr>
              <w:pStyle w:val="14"/>
              <w:spacing w:before="49"/>
              <w:ind w:left="10"/>
              <w:jc w:val="center"/>
              <w:rPr>
                <w:rFonts w:ascii="Times New Roman"/>
                <w:sz w:val="21"/>
              </w:rPr>
            </w:pPr>
            <w:r>
              <w:rPr>
                <w:rFonts w:ascii="Times New Roman"/>
                <w:w w:val="99"/>
                <w:sz w:val="21"/>
              </w:rPr>
              <w:t>3</w:t>
            </w:r>
          </w:p>
        </w:tc>
        <w:tc>
          <w:tcPr>
            <w:tcW w:w="6743" w:type="dxa"/>
          </w:tcPr>
          <w:p w14:paraId="09D7792C">
            <w:pPr>
              <w:pStyle w:val="14"/>
              <w:spacing w:before="33"/>
              <w:ind w:left="1458" w:right="1449"/>
              <w:jc w:val="center"/>
              <w:rPr>
                <w:sz w:val="21"/>
              </w:rPr>
            </w:pPr>
            <w:r>
              <w:rPr>
                <w:sz w:val="21"/>
              </w:rPr>
              <w:t>明显感到臭味（可嗅出臭气种类）</w:t>
            </w:r>
          </w:p>
        </w:tc>
      </w:tr>
      <w:tr w14:paraId="71100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9" w:type="dxa"/>
          </w:tcPr>
          <w:p w14:paraId="5B50BB2D">
            <w:pPr>
              <w:pStyle w:val="14"/>
              <w:spacing w:before="50"/>
              <w:ind w:left="10"/>
              <w:jc w:val="center"/>
              <w:rPr>
                <w:rFonts w:ascii="Times New Roman"/>
                <w:sz w:val="21"/>
              </w:rPr>
            </w:pPr>
            <w:r>
              <w:rPr>
                <w:rFonts w:ascii="Times New Roman"/>
                <w:w w:val="99"/>
                <w:sz w:val="21"/>
              </w:rPr>
              <w:t>4</w:t>
            </w:r>
          </w:p>
        </w:tc>
        <w:tc>
          <w:tcPr>
            <w:tcW w:w="6743" w:type="dxa"/>
          </w:tcPr>
          <w:p w14:paraId="2788361C">
            <w:pPr>
              <w:pStyle w:val="14"/>
              <w:spacing w:before="33"/>
              <w:ind w:left="1458" w:right="1451"/>
              <w:jc w:val="center"/>
              <w:rPr>
                <w:sz w:val="21"/>
              </w:rPr>
            </w:pPr>
            <w:r>
              <w:rPr>
                <w:sz w:val="21"/>
              </w:rPr>
              <w:t>强烈臭味</w:t>
            </w:r>
          </w:p>
        </w:tc>
      </w:tr>
      <w:tr w14:paraId="737E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9" w:type="dxa"/>
          </w:tcPr>
          <w:p w14:paraId="3BE78633">
            <w:pPr>
              <w:pStyle w:val="14"/>
              <w:spacing w:before="48"/>
              <w:ind w:left="10"/>
              <w:jc w:val="center"/>
              <w:rPr>
                <w:rFonts w:ascii="Times New Roman"/>
                <w:sz w:val="21"/>
              </w:rPr>
            </w:pPr>
            <w:r>
              <w:rPr>
                <w:rFonts w:ascii="Times New Roman"/>
                <w:w w:val="99"/>
                <w:sz w:val="21"/>
              </w:rPr>
              <w:t>5</w:t>
            </w:r>
          </w:p>
        </w:tc>
        <w:tc>
          <w:tcPr>
            <w:tcW w:w="6743" w:type="dxa"/>
          </w:tcPr>
          <w:p w14:paraId="1ACB3EA3">
            <w:pPr>
              <w:pStyle w:val="14"/>
              <w:spacing w:before="34"/>
              <w:ind w:left="1458" w:right="1451"/>
              <w:jc w:val="center"/>
              <w:rPr>
                <w:sz w:val="21"/>
              </w:rPr>
            </w:pPr>
            <w:r>
              <w:rPr>
                <w:sz w:val="21"/>
              </w:rPr>
              <w:t>无法忍受的强烈臭味</w:t>
            </w:r>
          </w:p>
        </w:tc>
      </w:tr>
    </w:tbl>
    <w:p w14:paraId="27714D1A">
      <w:pPr>
        <w:spacing w:before="1" w:after="3"/>
        <w:ind w:left="2482" w:right="0" w:firstLine="0"/>
        <w:jc w:val="left"/>
        <w:rPr>
          <w:b/>
          <w:sz w:val="21"/>
        </w:rPr>
      </w:pPr>
      <w:r>
        <w:rPr>
          <w:b/>
          <w:spacing w:val="-28"/>
          <w:sz w:val="21"/>
        </w:rPr>
        <w:t xml:space="preserve">表 </w:t>
      </w:r>
      <w:r>
        <w:rPr>
          <w:rFonts w:ascii="Times New Roman" w:eastAsia="Times New Roman"/>
          <w:b/>
          <w:sz w:val="21"/>
        </w:rPr>
        <w:t>3.7-12</w:t>
      </w:r>
      <w:r>
        <w:rPr>
          <w:rFonts w:ascii="Times New Roman" w:eastAsia="Times New Roman"/>
          <w:b/>
          <w:spacing w:val="50"/>
          <w:sz w:val="21"/>
        </w:rPr>
        <w:t xml:space="preserve"> </w:t>
      </w:r>
      <w:r>
        <w:rPr>
          <w:b/>
          <w:sz w:val="21"/>
        </w:rPr>
        <w:t>恶臭物质浓度与臭气强度的关系</w:t>
      </w: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4"/>
        <w:gridCol w:w="3133"/>
        <w:gridCol w:w="3105"/>
      </w:tblGrid>
      <w:tr w14:paraId="7ACD7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27D8FD8C">
            <w:pPr>
              <w:pStyle w:val="14"/>
              <w:spacing w:before="32"/>
              <w:ind w:left="487" w:right="482"/>
              <w:jc w:val="center"/>
              <w:rPr>
                <w:b/>
                <w:sz w:val="21"/>
              </w:rPr>
            </w:pPr>
            <w:r>
              <w:rPr>
                <w:b/>
                <w:sz w:val="21"/>
              </w:rPr>
              <w:t>臭气强度等级</w:t>
            </w:r>
          </w:p>
        </w:tc>
        <w:tc>
          <w:tcPr>
            <w:tcW w:w="3133" w:type="dxa"/>
          </w:tcPr>
          <w:p w14:paraId="6DD989BD">
            <w:pPr>
              <w:pStyle w:val="14"/>
              <w:spacing w:before="29"/>
              <w:ind w:left="615" w:right="607"/>
              <w:jc w:val="center"/>
              <w:rPr>
                <w:b/>
                <w:sz w:val="21"/>
              </w:rPr>
            </w:pPr>
            <w:r>
              <w:rPr>
                <w:rFonts w:ascii="Times New Roman" w:eastAsia="Times New Roman"/>
                <w:b/>
                <w:position w:val="2"/>
                <w:sz w:val="21"/>
              </w:rPr>
              <w:t>NH</w:t>
            </w:r>
            <w:r>
              <w:rPr>
                <w:rFonts w:ascii="Times New Roman" w:eastAsia="Times New Roman"/>
                <w:b/>
                <w:position w:val="2"/>
                <w:sz w:val="21"/>
                <w:vertAlign w:val="subscript"/>
              </w:rPr>
              <w:t>3</w:t>
            </w:r>
            <w:r>
              <w:rPr>
                <w:rFonts w:ascii="Times New Roman" w:eastAsia="Times New Roman"/>
                <w:b/>
                <w:position w:val="2"/>
                <w:sz w:val="21"/>
                <w:vertAlign w:val="baseline"/>
              </w:rPr>
              <w:t xml:space="preserve"> </w:t>
            </w:r>
            <w:r>
              <w:rPr>
                <w:b/>
                <w:position w:val="2"/>
                <w:sz w:val="21"/>
                <w:vertAlign w:val="baseline"/>
              </w:rPr>
              <w:t>浓度（</w:t>
            </w:r>
            <w:r>
              <w:rPr>
                <w:rFonts w:ascii="Times New Roman" w:eastAsia="Times New Roman"/>
                <w:b/>
                <w:position w:val="2"/>
                <w:sz w:val="21"/>
                <w:vertAlign w:val="baseline"/>
              </w:rPr>
              <w:t>mg/m</w:t>
            </w:r>
            <w:r>
              <w:rPr>
                <w:rFonts w:ascii="Times New Roman" w:eastAsia="Times New Roman"/>
                <w:b/>
                <w:position w:val="2"/>
                <w:sz w:val="21"/>
                <w:vertAlign w:val="superscript"/>
              </w:rPr>
              <w:t>3</w:t>
            </w:r>
            <w:r>
              <w:rPr>
                <w:b/>
                <w:position w:val="2"/>
                <w:sz w:val="21"/>
                <w:vertAlign w:val="baseline"/>
              </w:rPr>
              <w:t>）</w:t>
            </w:r>
          </w:p>
        </w:tc>
        <w:tc>
          <w:tcPr>
            <w:tcW w:w="3105" w:type="dxa"/>
          </w:tcPr>
          <w:p w14:paraId="0B46732D">
            <w:pPr>
              <w:pStyle w:val="14"/>
              <w:spacing w:before="29"/>
              <w:ind w:left="618" w:right="611"/>
              <w:jc w:val="center"/>
              <w:rPr>
                <w:b/>
                <w:sz w:val="21"/>
              </w:rPr>
            </w:pPr>
            <w:r>
              <w:rPr>
                <w:rFonts w:ascii="Times New Roman" w:eastAsia="Times New Roman"/>
                <w:b/>
                <w:position w:val="2"/>
                <w:sz w:val="21"/>
              </w:rPr>
              <w:t>H</w:t>
            </w:r>
            <w:r>
              <w:rPr>
                <w:rFonts w:ascii="Times New Roman" w:eastAsia="Times New Roman"/>
                <w:b/>
                <w:position w:val="2"/>
                <w:sz w:val="21"/>
                <w:vertAlign w:val="subscript"/>
              </w:rPr>
              <w:t>2</w:t>
            </w:r>
            <w:r>
              <w:rPr>
                <w:rFonts w:ascii="Times New Roman" w:eastAsia="Times New Roman"/>
                <w:b/>
                <w:position w:val="2"/>
                <w:sz w:val="21"/>
                <w:vertAlign w:val="baseline"/>
              </w:rPr>
              <w:t xml:space="preserve">S </w:t>
            </w:r>
            <w:r>
              <w:rPr>
                <w:b/>
                <w:position w:val="2"/>
                <w:sz w:val="21"/>
                <w:vertAlign w:val="baseline"/>
              </w:rPr>
              <w:t>浓度（</w:t>
            </w:r>
            <w:r>
              <w:rPr>
                <w:rFonts w:ascii="Times New Roman" w:eastAsia="Times New Roman"/>
                <w:b/>
                <w:position w:val="2"/>
                <w:sz w:val="21"/>
                <w:vertAlign w:val="baseline"/>
              </w:rPr>
              <w:t>mg/m</w:t>
            </w:r>
            <w:r>
              <w:rPr>
                <w:rFonts w:ascii="Times New Roman" w:eastAsia="Times New Roman"/>
                <w:b/>
                <w:position w:val="2"/>
                <w:sz w:val="21"/>
                <w:vertAlign w:val="superscript"/>
              </w:rPr>
              <w:t>3</w:t>
            </w:r>
            <w:r>
              <w:rPr>
                <w:b/>
                <w:position w:val="2"/>
                <w:sz w:val="21"/>
                <w:vertAlign w:val="baseline"/>
              </w:rPr>
              <w:t>）</w:t>
            </w:r>
          </w:p>
        </w:tc>
      </w:tr>
      <w:tr w14:paraId="28F8A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105C1DAB">
            <w:pPr>
              <w:pStyle w:val="14"/>
              <w:spacing w:before="49"/>
              <w:ind w:left="9"/>
              <w:jc w:val="center"/>
              <w:rPr>
                <w:rFonts w:ascii="Times New Roman"/>
                <w:sz w:val="21"/>
              </w:rPr>
            </w:pPr>
            <w:r>
              <w:rPr>
                <w:rFonts w:ascii="Times New Roman"/>
                <w:w w:val="99"/>
                <w:sz w:val="21"/>
              </w:rPr>
              <w:t>1</w:t>
            </w:r>
          </w:p>
        </w:tc>
        <w:tc>
          <w:tcPr>
            <w:tcW w:w="3133" w:type="dxa"/>
          </w:tcPr>
          <w:p w14:paraId="5B95BD5B">
            <w:pPr>
              <w:pStyle w:val="14"/>
              <w:spacing w:before="49"/>
              <w:ind w:left="615" w:right="604"/>
              <w:jc w:val="center"/>
              <w:rPr>
                <w:rFonts w:ascii="Times New Roman"/>
                <w:sz w:val="21"/>
              </w:rPr>
            </w:pPr>
            <w:r>
              <w:rPr>
                <w:rFonts w:ascii="Times New Roman"/>
                <w:sz w:val="21"/>
              </w:rPr>
              <w:t>0.1</w:t>
            </w:r>
          </w:p>
        </w:tc>
        <w:tc>
          <w:tcPr>
            <w:tcW w:w="3105" w:type="dxa"/>
          </w:tcPr>
          <w:p w14:paraId="026CED87">
            <w:pPr>
              <w:pStyle w:val="14"/>
              <w:spacing w:before="49"/>
              <w:ind w:left="617" w:right="611"/>
              <w:jc w:val="center"/>
              <w:rPr>
                <w:rFonts w:ascii="Times New Roman"/>
                <w:sz w:val="21"/>
              </w:rPr>
            </w:pPr>
            <w:r>
              <w:rPr>
                <w:rFonts w:ascii="Times New Roman"/>
                <w:sz w:val="21"/>
              </w:rPr>
              <w:t>0.0005</w:t>
            </w:r>
          </w:p>
        </w:tc>
      </w:tr>
      <w:tr w14:paraId="2F5E6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1A6F3F38">
            <w:pPr>
              <w:pStyle w:val="14"/>
              <w:spacing w:before="47"/>
              <w:ind w:left="9"/>
              <w:jc w:val="center"/>
              <w:rPr>
                <w:rFonts w:ascii="Times New Roman"/>
                <w:sz w:val="21"/>
              </w:rPr>
            </w:pPr>
            <w:r>
              <w:rPr>
                <w:rFonts w:ascii="Times New Roman"/>
                <w:w w:val="99"/>
                <w:sz w:val="21"/>
              </w:rPr>
              <w:t>2</w:t>
            </w:r>
          </w:p>
        </w:tc>
        <w:tc>
          <w:tcPr>
            <w:tcW w:w="3133" w:type="dxa"/>
          </w:tcPr>
          <w:p w14:paraId="7FEEA8AD">
            <w:pPr>
              <w:pStyle w:val="14"/>
              <w:spacing w:before="47"/>
              <w:ind w:left="615" w:right="604"/>
              <w:jc w:val="center"/>
              <w:rPr>
                <w:rFonts w:ascii="Times New Roman"/>
                <w:sz w:val="21"/>
              </w:rPr>
            </w:pPr>
            <w:r>
              <w:rPr>
                <w:rFonts w:ascii="Times New Roman"/>
                <w:sz w:val="21"/>
              </w:rPr>
              <w:t>0.5</w:t>
            </w:r>
          </w:p>
        </w:tc>
        <w:tc>
          <w:tcPr>
            <w:tcW w:w="3105" w:type="dxa"/>
          </w:tcPr>
          <w:p w14:paraId="26D19D53">
            <w:pPr>
              <w:pStyle w:val="14"/>
              <w:spacing w:before="47"/>
              <w:ind w:left="618" w:right="610"/>
              <w:jc w:val="center"/>
              <w:rPr>
                <w:rFonts w:ascii="Times New Roman"/>
                <w:sz w:val="21"/>
              </w:rPr>
            </w:pPr>
            <w:r>
              <w:rPr>
                <w:rFonts w:ascii="Times New Roman"/>
                <w:sz w:val="21"/>
              </w:rPr>
              <w:t>0.006</w:t>
            </w:r>
          </w:p>
        </w:tc>
      </w:tr>
      <w:tr w14:paraId="132D3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7BAC8CF8">
            <w:pPr>
              <w:pStyle w:val="14"/>
              <w:spacing w:before="47"/>
              <w:ind w:left="487" w:right="478"/>
              <w:jc w:val="center"/>
              <w:rPr>
                <w:rFonts w:ascii="Times New Roman"/>
                <w:sz w:val="21"/>
              </w:rPr>
            </w:pPr>
            <w:r>
              <w:rPr>
                <w:rFonts w:ascii="Times New Roman"/>
                <w:sz w:val="21"/>
              </w:rPr>
              <w:t>2.5</w:t>
            </w:r>
          </w:p>
        </w:tc>
        <w:tc>
          <w:tcPr>
            <w:tcW w:w="3133" w:type="dxa"/>
          </w:tcPr>
          <w:p w14:paraId="4D6BC3DF">
            <w:pPr>
              <w:pStyle w:val="14"/>
              <w:spacing w:before="47"/>
              <w:ind w:left="6"/>
              <w:jc w:val="center"/>
              <w:rPr>
                <w:rFonts w:ascii="Times New Roman"/>
                <w:sz w:val="21"/>
              </w:rPr>
            </w:pPr>
            <w:r>
              <w:rPr>
                <w:rFonts w:ascii="Times New Roman"/>
                <w:w w:val="99"/>
                <w:sz w:val="21"/>
              </w:rPr>
              <w:t>1</w:t>
            </w:r>
          </w:p>
        </w:tc>
        <w:tc>
          <w:tcPr>
            <w:tcW w:w="3105" w:type="dxa"/>
          </w:tcPr>
          <w:p w14:paraId="4A4F3F54">
            <w:pPr>
              <w:pStyle w:val="14"/>
              <w:spacing w:before="47"/>
              <w:ind w:left="618" w:right="610"/>
              <w:jc w:val="center"/>
              <w:rPr>
                <w:rFonts w:ascii="Times New Roman"/>
                <w:sz w:val="21"/>
              </w:rPr>
            </w:pPr>
            <w:r>
              <w:rPr>
                <w:rFonts w:ascii="Times New Roman"/>
                <w:sz w:val="21"/>
              </w:rPr>
              <w:t>0.02</w:t>
            </w:r>
          </w:p>
        </w:tc>
      </w:tr>
      <w:tr w14:paraId="7796B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09573734">
            <w:pPr>
              <w:pStyle w:val="14"/>
              <w:spacing w:before="47"/>
              <w:ind w:left="9"/>
              <w:jc w:val="center"/>
              <w:rPr>
                <w:rFonts w:ascii="Times New Roman"/>
                <w:sz w:val="21"/>
              </w:rPr>
            </w:pPr>
            <w:r>
              <w:rPr>
                <w:rFonts w:ascii="Times New Roman"/>
                <w:w w:val="99"/>
                <w:sz w:val="21"/>
              </w:rPr>
              <w:t>3</w:t>
            </w:r>
          </w:p>
        </w:tc>
        <w:tc>
          <w:tcPr>
            <w:tcW w:w="3133" w:type="dxa"/>
          </w:tcPr>
          <w:p w14:paraId="38BC56EF">
            <w:pPr>
              <w:pStyle w:val="14"/>
              <w:spacing w:before="47"/>
              <w:ind w:left="6"/>
              <w:jc w:val="center"/>
              <w:rPr>
                <w:rFonts w:ascii="Times New Roman"/>
                <w:sz w:val="21"/>
              </w:rPr>
            </w:pPr>
            <w:r>
              <w:rPr>
                <w:rFonts w:ascii="Times New Roman"/>
                <w:w w:val="99"/>
                <w:sz w:val="21"/>
              </w:rPr>
              <w:t>2</w:t>
            </w:r>
          </w:p>
        </w:tc>
        <w:tc>
          <w:tcPr>
            <w:tcW w:w="3105" w:type="dxa"/>
          </w:tcPr>
          <w:p w14:paraId="315550E3">
            <w:pPr>
              <w:pStyle w:val="14"/>
              <w:spacing w:before="47"/>
              <w:ind w:left="618" w:right="610"/>
              <w:jc w:val="center"/>
              <w:rPr>
                <w:rFonts w:ascii="Times New Roman"/>
                <w:sz w:val="21"/>
              </w:rPr>
            </w:pPr>
            <w:r>
              <w:rPr>
                <w:rFonts w:ascii="Times New Roman"/>
                <w:sz w:val="21"/>
              </w:rPr>
              <w:t>0.06</w:t>
            </w:r>
          </w:p>
        </w:tc>
      </w:tr>
      <w:tr w14:paraId="102A8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250E3BE1">
            <w:pPr>
              <w:pStyle w:val="14"/>
              <w:spacing w:before="48"/>
              <w:ind w:left="487" w:right="478"/>
              <w:jc w:val="center"/>
              <w:rPr>
                <w:rFonts w:ascii="Times New Roman"/>
                <w:sz w:val="21"/>
              </w:rPr>
            </w:pPr>
            <w:r>
              <w:rPr>
                <w:rFonts w:ascii="Times New Roman"/>
                <w:sz w:val="21"/>
              </w:rPr>
              <w:t>3.5</w:t>
            </w:r>
          </w:p>
        </w:tc>
        <w:tc>
          <w:tcPr>
            <w:tcW w:w="3133" w:type="dxa"/>
          </w:tcPr>
          <w:p w14:paraId="3ED6E03E">
            <w:pPr>
              <w:pStyle w:val="14"/>
              <w:spacing w:before="48"/>
              <w:ind w:left="6"/>
              <w:jc w:val="center"/>
              <w:rPr>
                <w:rFonts w:ascii="Times New Roman"/>
                <w:sz w:val="21"/>
              </w:rPr>
            </w:pPr>
            <w:r>
              <w:rPr>
                <w:rFonts w:ascii="Times New Roman"/>
                <w:w w:val="99"/>
                <w:sz w:val="21"/>
              </w:rPr>
              <w:t>5</w:t>
            </w:r>
          </w:p>
        </w:tc>
        <w:tc>
          <w:tcPr>
            <w:tcW w:w="3105" w:type="dxa"/>
          </w:tcPr>
          <w:p w14:paraId="56079F77">
            <w:pPr>
              <w:pStyle w:val="14"/>
              <w:spacing w:before="48"/>
              <w:ind w:left="618" w:right="610"/>
              <w:jc w:val="center"/>
              <w:rPr>
                <w:rFonts w:ascii="Times New Roman"/>
                <w:sz w:val="21"/>
              </w:rPr>
            </w:pPr>
            <w:r>
              <w:rPr>
                <w:rFonts w:ascii="Times New Roman"/>
                <w:sz w:val="21"/>
              </w:rPr>
              <w:t>0.2</w:t>
            </w:r>
          </w:p>
        </w:tc>
      </w:tr>
      <w:tr w14:paraId="4BFB3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276A1222">
            <w:pPr>
              <w:pStyle w:val="14"/>
              <w:spacing w:before="48"/>
              <w:ind w:left="9"/>
              <w:jc w:val="center"/>
              <w:rPr>
                <w:rFonts w:ascii="Times New Roman"/>
                <w:sz w:val="21"/>
              </w:rPr>
            </w:pPr>
            <w:r>
              <w:rPr>
                <w:rFonts w:ascii="Times New Roman"/>
                <w:w w:val="99"/>
                <w:sz w:val="21"/>
              </w:rPr>
              <w:t>4</w:t>
            </w:r>
          </w:p>
        </w:tc>
        <w:tc>
          <w:tcPr>
            <w:tcW w:w="3133" w:type="dxa"/>
          </w:tcPr>
          <w:p w14:paraId="20283FBF">
            <w:pPr>
              <w:pStyle w:val="14"/>
              <w:spacing w:before="48"/>
              <w:ind w:left="613" w:right="607"/>
              <w:jc w:val="center"/>
              <w:rPr>
                <w:rFonts w:ascii="Times New Roman"/>
                <w:sz w:val="21"/>
              </w:rPr>
            </w:pPr>
            <w:r>
              <w:rPr>
                <w:rFonts w:ascii="Times New Roman"/>
                <w:sz w:val="21"/>
              </w:rPr>
              <w:t>10</w:t>
            </w:r>
          </w:p>
        </w:tc>
        <w:tc>
          <w:tcPr>
            <w:tcW w:w="3105" w:type="dxa"/>
          </w:tcPr>
          <w:p w14:paraId="71BA85AC">
            <w:pPr>
              <w:pStyle w:val="14"/>
              <w:spacing w:before="48"/>
              <w:ind w:left="618" w:right="610"/>
              <w:jc w:val="center"/>
              <w:rPr>
                <w:rFonts w:ascii="Times New Roman"/>
                <w:sz w:val="21"/>
              </w:rPr>
            </w:pPr>
            <w:r>
              <w:rPr>
                <w:rFonts w:ascii="Times New Roman"/>
                <w:sz w:val="21"/>
              </w:rPr>
              <w:t>0.7</w:t>
            </w:r>
          </w:p>
        </w:tc>
      </w:tr>
      <w:tr w14:paraId="3C6F2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174D3E71">
            <w:pPr>
              <w:pStyle w:val="14"/>
              <w:spacing w:before="49"/>
              <w:ind w:left="9"/>
              <w:jc w:val="center"/>
              <w:rPr>
                <w:rFonts w:ascii="Times New Roman"/>
                <w:sz w:val="21"/>
              </w:rPr>
            </w:pPr>
            <w:r>
              <w:rPr>
                <w:rFonts w:ascii="Times New Roman"/>
                <w:w w:val="99"/>
                <w:sz w:val="21"/>
              </w:rPr>
              <w:t>5</w:t>
            </w:r>
          </w:p>
        </w:tc>
        <w:tc>
          <w:tcPr>
            <w:tcW w:w="3133" w:type="dxa"/>
          </w:tcPr>
          <w:p w14:paraId="0D2E1647">
            <w:pPr>
              <w:pStyle w:val="14"/>
              <w:spacing w:before="49"/>
              <w:ind w:left="613" w:right="607"/>
              <w:jc w:val="center"/>
              <w:rPr>
                <w:rFonts w:ascii="Times New Roman"/>
                <w:sz w:val="21"/>
              </w:rPr>
            </w:pPr>
            <w:r>
              <w:rPr>
                <w:rFonts w:ascii="Times New Roman"/>
                <w:sz w:val="21"/>
              </w:rPr>
              <w:t>40</w:t>
            </w:r>
          </w:p>
        </w:tc>
        <w:tc>
          <w:tcPr>
            <w:tcW w:w="3105" w:type="dxa"/>
          </w:tcPr>
          <w:p w14:paraId="050D65EE">
            <w:pPr>
              <w:pStyle w:val="14"/>
              <w:spacing w:before="49"/>
              <w:ind w:left="8"/>
              <w:jc w:val="center"/>
              <w:rPr>
                <w:rFonts w:ascii="Times New Roman"/>
                <w:sz w:val="21"/>
              </w:rPr>
            </w:pPr>
            <w:r>
              <w:rPr>
                <w:rFonts w:ascii="Times New Roman"/>
                <w:w w:val="99"/>
                <w:sz w:val="21"/>
              </w:rPr>
              <w:t>8</w:t>
            </w:r>
          </w:p>
        </w:tc>
      </w:tr>
      <w:tr w14:paraId="15D76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84" w:type="dxa"/>
          </w:tcPr>
          <w:p w14:paraId="215031F3">
            <w:pPr>
              <w:pStyle w:val="14"/>
              <w:spacing w:before="33"/>
              <w:ind w:left="487" w:right="479"/>
              <w:jc w:val="center"/>
              <w:rPr>
                <w:sz w:val="21"/>
              </w:rPr>
            </w:pPr>
            <w:r>
              <w:rPr>
                <w:sz w:val="21"/>
              </w:rPr>
              <w:t>臭气特征</w:t>
            </w:r>
          </w:p>
        </w:tc>
        <w:tc>
          <w:tcPr>
            <w:tcW w:w="3133" w:type="dxa"/>
          </w:tcPr>
          <w:p w14:paraId="540DFC34">
            <w:pPr>
              <w:pStyle w:val="14"/>
              <w:spacing w:before="33"/>
              <w:ind w:left="614" w:right="607"/>
              <w:jc w:val="center"/>
              <w:rPr>
                <w:sz w:val="21"/>
              </w:rPr>
            </w:pPr>
            <w:r>
              <w:rPr>
                <w:sz w:val="21"/>
              </w:rPr>
              <w:t>刺激臭</w:t>
            </w:r>
          </w:p>
        </w:tc>
        <w:tc>
          <w:tcPr>
            <w:tcW w:w="3105" w:type="dxa"/>
          </w:tcPr>
          <w:p w14:paraId="5B844C63">
            <w:pPr>
              <w:pStyle w:val="14"/>
              <w:spacing w:before="33"/>
              <w:ind w:left="616" w:right="611"/>
              <w:jc w:val="center"/>
              <w:rPr>
                <w:sz w:val="21"/>
              </w:rPr>
            </w:pPr>
            <w:r>
              <w:rPr>
                <w:sz w:val="21"/>
              </w:rPr>
              <w:t>鸡蛋臭</w:t>
            </w:r>
          </w:p>
        </w:tc>
      </w:tr>
    </w:tbl>
    <w:p w14:paraId="752DFEA6">
      <w:pPr>
        <w:pStyle w:val="7"/>
        <w:spacing w:before="1" w:line="364" w:lineRule="auto"/>
        <w:ind w:left="260" w:right="977" w:firstLine="480"/>
        <w:jc w:val="both"/>
      </w:pPr>
      <w:r>
        <w:t>其恶臭气体主要来源于内脏处理和车间内一般固体废物的暂存。屠宰加工中内脏处理过程，禽畜湿皮、血、胃内容物和粪尿等臭气混杂在一起，会产生腥臭味。如果有血、肉、胃内容物和粪尿等残留而不及时处理，便会迅速腐烂，腥臭气更为严重。内脏处理间若未采取措施，则有明显甚至强烈臭味出现。车间内设置一般固废暂存间，生猪屠宰过程中产生的猪毛及猪肠胃内容物分类密闭包装后送至暂存间内暂存。其中猪毛外售给猪毛制品企业作为原料使用；猪肠胃内容物与猪粪一起，外售做为有机肥原料，日产日清。</w:t>
      </w:r>
    </w:p>
    <w:p w14:paraId="2437B34B">
      <w:pPr>
        <w:pStyle w:val="7"/>
        <w:spacing w:line="364" w:lineRule="auto"/>
        <w:ind w:left="260" w:right="977" w:firstLine="480"/>
        <w:jc w:val="both"/>
      </w:pPr>
      <w:r>
        <w:rPr>
          <w:spacing w:val="-1"/>
        </w:rPr>
        <w:t xml:space="preserve">因此根据上表数据确定内脏处理间和一般固废间恶臭为 </w:t>
      </w:r>
      <w:r>
        <w:rPr>
          <w:rFonts w:ascii="Times New Roman" w:eastAsia="Times New Roman"/>
        </w:rPr>
        <w:t xml:space="preserve">2~4 </w:t>
      </w:r>
      <w:r>
        <w:rPr>
          <w:spacing w:val="2"/>
        </w:rPr>
        <w:t>级</w:t>
      </w:r>
      <w:r>
        <w:rPr>
          <w:spacing w:val="5"/>
        </w:rPr>
        <w:t>（</w:t>
      </w:r>
      <w:r>
        <w:t>本项目取</w:t>
      </w:r>
      <w:r>
        <w:rPr>
          <w:spacing w:val="-22"/>
          <w:position w:val="2"/>
        </w:rPr>
        <w:t xml:space="preserve">值 </w:t>
      </w:r>
      <w:r>
        <w:rPr>
          <w:rFonts w:ascii="Times New Roman" w:eastAsia="Times New Roman"/>
          <w:spacing w:val="2"/>
          <w:position w:val="2"/>
        </w:rPr>
        <w:t>3</w:t>
      </w:r>
      <w:r>
        <w:rPr>
          <w:spacing w:val="2"/>
          <w:position w:val="2"/>
        </w:rPr>
        <w:t>），</w:t>
      </w:r>
      <w:r>
        <w:rPr>
          <w:rFonts w:ascii="Times New Roman" w:eastAsia="Times New Roman"/>
          <w:spacing w:val="2"/>
          <w:position w:val="2"/>
        </w:rPr>
        <w:t>NH</w:t>
      </w:r>
      <w:r>
        <w:rPr>
          <w:rFonts w:ascii="Times New Roman" w:eastAsia="Times New Roman"/>
          <w:spacing w:val="2"/>
          <w:position w:val="2"/>
          <w:vertAlign w:val="subscript"/>
        </w:rPr>
        <w:t>3</w:t>
      </w:r>
      <w:r>
        <w:rPr>
          <w:rFonts w:ascii="Times New Roman" w:eastAsia="Times New Roman"/>
          <w:spacing w:val="1"/>
          <w:position w:val="2"/>
          <w:vertAlign w:val="baseline"/>
        </w:rPr>
        <w:t xml:space="preserve"> </w:t>
      </w:r>
      <w:r>
        <w:rPr>
          <w:spacing w:val="2"/>
          <w:position w:val="2"/>
          <w:vertAlign w:val="baseline"/>
        </w:rPr>
        <w:t>浓度：</w:t>
      </w:r>
      <w:r>
        <w:rPr>
          <w:rFonts w:ascii="Times New Roman" w:eastAsia="Times New Roman"/>
          <w:position w:val="2"/>
          <w:vertAlign w:val="baseline"/>
        </w:rPr>
        <w:t>2.0mg/m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spacing w:val="2"/>
          <w:position w:val="2"/>
          <w:vertAlign w:val="baseline"/>
        </w:rPr>
        <w:t>浓度：</w:t>
      </w:r>
      <w:r>
        <w:rPr>
          <w:rFonts w:ascii="Times New Roman" w:eastAsia="Times New Roman"/>
          <w:position w:val="2"/>
          <w:vertAlign w:val="baseline"/>
        </w:rPr>
        <w:t>0.006mg/m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5"/>
          <w:position w:val="2"/>
          <w:vertAlign w:val="baseline"/>
        </w:rPr>
        <w:t>，本项目屠宰间为密闭</w:t>
      </w:r>
      <w:r>
        <w:rPr>
          <w:vertAlign w:val="baseline"/>
        </w:rPr>
        <w:t>结构，屠宰间内的内脏处理间为半密封结构，与其它区域利用隔墙隔开，通道口设有软垂帘，内脏处理间和一般固废暂存产生的臭气通过局部负压集气系统</w:t>
      </w:r>
      <w:r>
        <w:rPr>
          <w:spacing w:val="-4"/>
          <w:vertAlign w:val="baseline"/>
        </w:rPr>
        <w:t xml:space="preserve">收集，设计风机风量为 </w:t>
      </w:r>
      <w:r>
        <w:rPr>
          <w:rFonts w:ascii="Times New Roman" w:eastAsia="Times New Roman"/>
          <w:vertAlign w:val="baseline"/>
        </w:rPr>
        <w:t>8500~17000m</w:t>
      </w:r>
      <w:r>
        <w:rPr>
          <w:rFonts w:ascii="Times New Roman" w:eastAsia="Times New Roman"/>
          <w:position w:val="8"/>
          <w:sz w:val="15"/>
          <w:vertAlign w:val="baseline"/>
        </w:rPr>
        <w:t>3</w:t>
      </w:r>
      <w:r>
        <w:rPr>
          <w:rFonts w:ascii="Times New Roman" w:eastAsia="Times New Roman"/>
          <w:vertAlign w:val="baseline"/>
        </w:rPr>
        <w:t>/h</w:t>
      </w:r>
      <w:r>
        <w:rPr>
          <w:spacing w:val="-6"/>
          <w:vertAlign w:val="baseline"/>
        </w:rPr>
        <w:t xml:space="preserve">，收集效率按 </w:t>
      </w:r>
      <w:r>
        <w:rPr>
          <w:rFonts w:ascii="Times New Roman" w:eastAsia="Times New Roman"/>
          <w:vertAlign w:val="baseline"/>
        </w:rPr>
        <w:t>95%</w:t>
      </w:r>
      <w:r>
        <w:rPr>
          <w:vertAlign w:val="baseline"/>
        </w:rPr>
        <w:t>计，废气集中收集后</w:t>
      </w:r>
      <w:r>
        <w:rPr>
          <w:spacing w:val="-15"/>
          <w:vertAlign w:val="baseline"/>
        </w:rPr>
        <w:t xml:space="preserve">采用 </w:t>
      </w:r>
      <w:r>
        <w:rPr>
          <w:rFonts w:ascii="Times New Roman" w:eastAsia="Times New Roman"/>
          <w:vertAlign w:val="baseline"/>
        </w:rPr>
        <w:t xml:space="preserve">1 </w:t>
      </w:r>
      <w:r>
        <w:rPr>
          <w:spacing w:val="5"/>
          <w:vertAlign w:val="baseline"/>
        </w:rPr>
        <w:t>套喷淋吸收塔</w:t>
      </w:r>
      <w:r>
        <w:rPr>
          <w:rFonts w:ascii="Times New Roman" w:eastAsia="Times New Roman"/>
          <w:spacing w:val="6"/>
          <w:vertAlign w:val="baseline"/>
        </w:rPr>
        <w:t>+</w:t>
      </w:r>
      <w:r>
        <w:rPr>
          <w:vertAlign w:val="baseline"/>
        </w:rPr>
        <w:t xml:space="preserve">生物除臭装置处理后经 </w:t>
      </w:r>
      <w:r>
        <w:rPr>
          <w:rFonts w:ascii="Times New Roman" w:eastAsia="Times New Roman"/>
          <w:vertAlign w:val="baseline"/>
        </w:rPr>
        <w:t xml:space="preserve">15m </w:t>
      </w:r>
      <w:r>
        <w:rPr>
          <w:spacing w:val="5"/>
          <w:vertAlign w:val="baseline"/>
        </w:rPr>
        <w:t>排气筒</w:t>
      </w:r>
      <w:r>
        <w:rPr>
          <w:spacing w:val="2"/>
          <w:vertAlign w:val="baseline"/>
        </w:rPr>
        <w:t>（</w:t>
      </w:r>
      <w:r>
        <w:rPr>
          <w:rFonts w:ascii="Times New Roman" w:eastAsia="Times New Roman"/>
          <w:spacing w:val="2"/>
          <w:vertAlign w:val="baseline"/>
        </w:rPr>
        <w:t>DA002</w:t>
      </w:r>
      <w:r>
        <w:rPr>
          <w:spacing w:val="2"/>
          <w:vertAlign w:val="baseline"/>
        </w:rPr>
        <w:t>），装置处</w:t>
      </w:r>
      <w:r>
        <w:rPr>
          <w:spacing w:val="-3"/>
          <w:vertAlign w:val="baseline"/>
        </w:rPr>
        <w:t xml:space="preserve">理效率达到 </w:t>
      </w:r>
      <w:r>
        <w:rPr>
          <w:rFonts w:ascii="Times New Roman" w:eastAsia="Times New Roman"/>
          <w:spacing w:val="1"/>
          <w:vertAlign w:val="baseline"/>
        </w:rPr>
        <w:t>90%</w:t>
      </w:r>
      <w:r>
        <w:rPr>
          <w:spacing w:val="7"/>
          <w:vertAlign w:val="baseline"/>
        </w:rPr>
        <w:t>以上（</w:t>
      </w:r>
      <w:r>
        <w:rPr>
          <w:spacing w:val="-5"/>
          <w:vertAlign w:val="baseline"/>
        </w:rPr>
        <w:t xml:space="preserve">本环评以 </w:t>
      </w:r>
      <w:r>
        <w:rPr>
          <w:rFonts w:ascii="Times New Roman" w:eastAsia="Times New Roman"/>
          <w:spacing w:val="1"/>
          <w:vertAlign w:val="baseline"/>
        </w:rPr>
        <w:t>90%</w:t>
      </w:r>
      <w:r>
        <w:rPr>
          <w:spacing w:val="7"/>
          <w:vertAlign w:val="baseline"/>
        </w:rPr>
        <w:t>计），</w:t>
      </w:r>
      <w:r>
        <w:rPr>
          <w:spacing w:val="-1"/>
          <w:vertAlign w:val="baseline"/>
        </w:rPr>
        <w:t xml:space="preserve">排气筒出口内径 </w:t>
      </w:r>
      <w:r>
        <w:rPr>
          <w:rFonts w:ascii="Times New Roman" w:eastAsia="Times New Roman"/>
          <w:spacing w:val="2"/>
          <w:vertAlign w:val="baseline"/>
        </w:rPr>
        <w:t>0.5m</w:t>
      </w:r>
      <w:r>
        <w:rPr>
          <w:spacing w:val="3"/>
          <w:vertAlign w:val="baseline"/>
        </w:rPr>
        <w:t>，工作小时数：</w:t>
      </w:r>
      <w:r>
        <w:rPr>
          <w:rFonts w:ascii="Times New Roman" w:eastAsia="Times New Roman"/>
          <w:spacing w:val="3"/>
          <w:vertAlign w:val="baseline"/>
        </w:rPr>
        <w:t>8*300=2400</w:t>
      </w:r>
      <w:r>
        <w:rPr>
          <w:spacing w:val="-3"/>
          <w:vertAlign w:val="baseline"/>
        </w:rPr>
        <w:t xml:space="preserve">。根据平面设计可知，内脏处理间 </w:t>
      </w:r>
      <w:r>
        <w:rPr>
          <w:rFonts w:ascii="Times New Roman" w:eastAsia="Times New Roman"/>
          <w:vertAlign w:val="baseline"/>
        </w:rPr>
        <w:t>300m</w:t>
      </w:r>
      <w:r>
        <w:rPr>
          <w:rFonts w:ascii="Times New Roman" w:eastAsia="Times New Roman"/>
          <w:position w:val="8"/>
          <w:sz w:val="15"/>
          <w:vertAlign w:val="baseline"/>
        </w:rPr>
        <w:t>2</w:t>
      </w:r>
      <w:r>
        <w:rPr>
          <w:spacing w:val="-6"/>
          <w:vertAlign w:val="baseline"/>
        </w:rPr>
        <w:t xml:space="preserve">，一般固废间 </w:t>
      </w:r>
      <w:r>
        <w:rPr>
          <w:rFonts w:ascii="Times New Roman" w:eastAsia="Times New Roman"/>
          <w:vertAlign w:val="baseline"/>
        </w:rPr>
        <w:t>50m</w:t>
      </w:r>
      <w:r>
        <w:rPr>
          <w:rFonts w:ascii="Times New Roman" w:eastAsia="Times New Roman"/>
          <w:position w:val="8"/>
          <w:sz w:val="15"/>
          <w:vertAlign w:val="baseline"/>
        </w:rPr>
        <w:t>2</w:t>
      </w:r>
      <w:r>
        <w:rPr>
          <w:vertAlign w:val="baseline"/>
        </w:rPr>
        <w:t>， 屠宰车间废气收集主要源自这两块区域，通过局部负压集气，</w:t>
      </w:r>
      <w:r>
        <w:rPr>
          <w:rFonts w:ascii="Times New Roman" w:eastAsia="Times New Roman"/>
          <w:vertAlign w:val="baseline"/>
        </w:rPr>
        <w:t>8500m</w:t>
      </w:r>
      <w:r>
        <w:rPr>
          <w:rFonts w:ascii="Times New Roman" w:eastAsia="Times New Roman"/>
          <w:position w:val="8"/>
          <w:sz w:val="15"/>
          <w:vertAlign w:val="baseline"/>
        </w:rPr>
        <w:t>3</w:t>
      </w:r>
      <w:r>
        <w:rPr>
          <w:rFonts w:ascii="Times New Roman" w:eastAsia="Times New Roman"/>
          <w:vertAlign w:val="baseline"/>
        </w:rPr>
        <w:t xml:space="preserve">/h </w:t>
      </w:r>
      <w:r>
        <w:rPr>
          <w:spacing w:val="0"/>
          <w:vertAlign w:val="baseline"/>
        </w:rPr>
        <w:t>风量风机可以满足其废气处理集气要求。</w:t>
      </w:r>
    </w:p>
    <w:p w14:paraId="6060110B">
      <w:pPr>
        <w:pStyle w:val="7"/>
        <w:spacing w:line="364" w:lineRule="auto"/>
        <w:ind w:left="260" w:right="977" w:firstLine="480"/>
        <w:jc w:val="both"/>
      </w:pPr>
      <w:r>
        <w:t xml:space="preserve">其余恶臭废气通过通风系统无组织挥发。项目屠宰加工间采用机械通风或自然与机械联合通风，通风次数不小于 </w:t>
      </w:r>
      <w:r>
        <w:rPr>
          <w:rFonts w:ascii="Times New Roman" w:eastAsia="Times New Roman"/>
        </w:rPr>
        <w:t xml:space="preserve">6 </w:t>
      </w:r>
      <w:r>
        <w:t>次</w:t>
      </w:r>
      <w:r>
        <w:rPr>
          <w:rFonts w:ascii="Times New Roman" w:eastAsia="Times New Roman"/>
        </w:rPr>
        <w:t>/h</w:t>
      </w:r>
      <w:r>
        <w:t>，在车间侧墙或屋项安装工业排</w:t>
      </w:r>
    </w:p>
    <w:p w14:paraId="763A35A0">
      <w:pPr>
        <w:spacing w:after="0" w:line="364" w:lineRule="auto"/>
        <w:jc w:val="both"/>
        <w:sectPr>
          <w:pgSz w:w="11910" w:h="16840"/>
          <w:pgMar w:top="1360" w:right="820" w:bottom="1400" w:left="1540" w:header="878" w:footer="1204" w:gutter="0"/>
          <w:cols w:space="720" w:num="1"/>
        </w:sectPr>
      </w:pPr>
    </w:p>
    <w:p w14:paraId="4176DFD2">
      <w:pPr>
        <w:pStyle w:val="7"/>
        <w:spacing w:before="68" w:line="364" w:lineRule="auto"/>
        <w:ind w:left="260" w:right="977"/>
        <w:jc w:val="both"/>
      </w:pPr>
      <w:r>
        <w:t>风机，未被收集的恶臭气体通过排放机排出屠宰间外，以无组织的形式排放， 经空气扩散、稀释作用，对周围环境影响较小。其它区域恶臭无组织排放，采取喷洒生物除臭剂等方式除臭。</w:t>
      </w:r>
    </w:p>
    <w:p w14:paraId="1AD74BF3">
      <w:pPr>
        <w:pStyle w:val="7"/>
        <w:spacing w:line="308" w:lineRule="exact"/>
        <w:ind w:left="740"/>
      </w:pPr>
      <w:r>
        <w:rPr>
          <w:position w:val="2"/>
        </w:rPr>
        <w:t xml:space="preserve">屠宰生产区恶臭污染物 </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产生和排放情况见表所示。</w:t>
      </w:r>
    </w:p>
    <w:p w14:paraId="583E231E">
      <w:pPr>
        <w:pStyle w:val="7"/>
        <w:spacing w:before="157"/>
        <w:ind w:left="740"/>
      </w:pPr>
      <w:r>
        <w:t>（</w:t>
      </w:r>
      <w:r>
        <w:rPr>
          <w:rFonts w:ascii="Times New Roman" w:eastAsia="Times New Roman"/>
        </w:rPr>
        <w:t>3</w:t>
      </w:r>
      <w:r>
        <w:t>）污水处理站恶臭</w:t>
      </w:r>
    </w:p>
    <w:p w14:paraId="545B5A18">
      <w:pPr>
        <w:pStyle w:val="7"/>
        <w:spacing w:before="160" w:line="364" w:lineRule="auto"/>
        <w:ind w:left="260" w:right="977" w:firstLine="480"/>
        <w:jc w:val="both"/>
      </w:pPr>
      <w:r>
        <w:t xml:space="preserve">项目拟建 </w:t>
      </w:r>
      <w:r>
        <w:rPr>
          <w:rFonts w:ascii="Times New Roman" w:hAnsi="Times New Roman" w:eastAsia="Times New Roman"/>
        </w:rPr>
        <w:t xml:space="preserve">1 </w:t>
      </w:r>
      <w:r>
        <w:t>间污水处理站，污水处理站运行过程中臭气一类是直接从污水臭味物质中挥发出来，另一类是来自污水在有机物由于微生物的生物化学反应而新形成的分解物，尤其与厌氧菌活动关系最大。项目污水处理站采用“预处理</w:t>
      </w:r>
      <w:r>
        <w:rPr>
          <w:rFonts w:ascii="Times New Roman" w:hAnsi="Times New Roman" w:eastAsia="Times New Roman"/>
        </w:rPr>
        <w:t>+</w:t>
      </w:r>
      <w:r>
        <w:t>水解酸化</w:t>
      </w:r>
      <w:r>
        <w:rPr>
          <w:rFonts w:ascii="Times New Roman" w:hAnsi="Times New Roman" w:eastAsia="Times New Roman"/>
        </w:rPr>
        <w:t>+A/O+</w:t>
      </w:r>
      <w:r>
        <w:t>混凝沉淀</w:t>
      </w:r>
      <w:r>
        <w:rPr>
          <w:rFonts w:ascii="Times New Roman" w:hAnsi="Times New Roman" w:eastAsia="Times New Roman"/>
        </w:rPr>
        <w:t>+</w:t>
      </w:r>
      <w:r>
        <w:t>消毒”工艺，由于污水处理设施恶臭物质的逸出和扩散机理比较复杂，废气源强难于计算，产生量较大的是调节池、厌氧塔、好氧池、曝气池和污泥车间等。</w:t>
      </w:r>
    </w:p>
    <w:p w14:paraId="327E903C">
      <w:pPr>
        <w:pStyle w:val="7"/>
        <w:spacing w:line="305" w:lineRule="exact"/>
        <w:ind w:left="740"/>
        <w:rPr>
          <w:rFonts w:ascii="Times New Roman" w:eastAsia="Times New Roman"/>
        </w:rPr>
      </w:pPr>
      <w:r>
        <w:rPr>
          <w:position w:val="2"/>
        </w:rPr>
        <w:t xml:space="preserve">根据美国 </w:t>
      </w:r>
      <w:r>
        <w:rPr>
          <w:rFonts w:ascii="Times New Roman" w:eastAsia="Times New Roman"/>
          <w:position w:val="2"/>
        </w:rPr>
        <w:t xml:space="preserve">EPA </w:t>
      </w:r>
      <w:r>
        <w:rPr>
          <w:position w:val="2"/>
        </w:rPr>
        <w:t xml:space="preserve">对类似处理厂恶臭污染物产生情况的研究，每处理 </w:t>
      </w:r>
      <w:r>
        <w:rPr>
          <w:rFonts w:ascii="Times New Roman" w:eastAsia="Times New Roman"/>
          <w:position w:val="2"/>
        </w:rPr>
        <w:t>1gBOD</w:t>
      </w:r>
      <w:r>
        <w:rPr>
          <w:rFonts w:ascii="Times New Roman" w:eastAsia="Times New Roman"/>
          <w:position w:val="2"/>
          <w:vertAlign w:val="subscript"/>
        </w:rPr>
        <w:t>5</w:t>
      </w:r>
    </w:p>
    <w:p w14:paraId="5BB0191B">
      <w:pPr>
        <w:pStyle w:val="7"/>
        <w:spacing w:before="156"/>
        <w:ind w:left="260"/>
        <w:jc w:val="both"/>
      </w:pPr>
      <w:r>
        <w:rPr>
          <w:position w:val="2"/>
        </w:rPr>
        <w:t xml:space="preserve">可产生 </w:t>
      </w:r>
      <w:r>
        <w:rPr>
          <w:rFonts w:ascii="Times New Roman" w:eastAsia="Times New Roman"/>
          <w:position w:val="2"/>
        </w:rPr>
        <w:t xml:space="preserve">0.0031g </w:t>
      </w:r>
      <w:r>
        <w:rPr>
          <w:position w:val="2"/>
        </w:rPr>
        <w:t xml:space="preserve">的 </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 xml:space="preserve">0.00012g </w:t>
      </w:r>
      <w:r>
        <w:rPr>
          <w:position w:val="2"/>
          <w:vertAlign w:val="baseline"/>
        </w:rPr>
        <w:t xml:space="preserve">的 </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 根据后续污水处理站源强核算中</w:t>
      </w:r>
    </w:p>
    <w:p w14:paraId="18B54EBA">
      <w:pPr>
        <w:pStyle w:val="7"/>
        <w:spacing w:before="154"/>
        <w:ind w:left="260"/>
        <w:jc w:val="both"/>
        <w:rPr>
          <w:rFonts w:ascii="Times New Roman" w:eastAsia="Times New Roman"/>
        </w:rPr>
      </w:pPr>
      <w:r>
        <w:rPr>
          <w:rFonts w:ascii="Times New Roman" w:eastAsia="Times New Roman"/>
          <w:position w:val="2"/>
        </w:rPr>
        <w:t xml:space="preserve">BODs </w:t>
      </w:r>
      <w:r>
        <w:rPr>
          <w:position w:val="2"/>
        </w:rPr>
        <w:t xml:space="preserve">削减量为 </w:t>
      </w:r>
      <w:r>
        <w:rPr>
          <w:rFonts w:ascii="Times New Roman" w:eastAsia="Times New Roman"/>
          <w:position w:val="2"/>
        </w:rPr>
        <w:t>216.5t/a</w:t>
      </w:r>
      <w:r>
        <w:rPr>
          <w:position w:val="2"/>
        </w:rPr>
        <w:t>。因此，污水处理站恶臭污染物产生量为：</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 0.67t/a</w:t>
      </w:r>
    </w:p>
    <w:p w14:paraId="4CE79547">
      <w:pPr>
        <w:pStyle w:val="7"/>
        <w:spacing w:before="156"/>
        <w:ind w:left="260"/>
        <w:jc w:val="both"/>
      </w:pPr>
      <w:r>
        <w:rPr>
          <w:position w:val="2"/>
        </w:rPr>
        <w:t xml:space="preserve">和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S 0.026t/a</w:t>
      </w:r>
      <w:r>
        <w:rPr>
          <w:position w:val="2"/>
          <w:vertAlign w:val="baseline"/>
        </w:rPr>
        <w:t>。为降低污水处理站恶臭，本项目污水处理站基本采用地埋式，</w:t>
      </w:r>
    </w:p>
    <w:p w14:paraId="2A1D955E">
      <w:pPr>
        <w:pStyle w:val="7"/>
        <w:spacing w:before="157" w:line="364" w:lineRule="auto"/>
        <w:ind w:left="260" w:right="977"/>
        <w:jc w:val="both"/>
      </w:pPr>
      <w:r>
        <w:rPr>
          <w:rFonts w:ascii="Times New Roman" w:eastAsia="Times New Roman"/>
        </w:rPr>
        <w:t xml:space="preserve">IC </w:t>
      </w:r>
      <w:r>
        <w:t xml:space="preserve">厌氧塔体封闭上方排气口引至废气处理设施，污泥处理间和好氧池进行封闭换气， 废气引入同一 </w:t>
      </w:r>
      <w:r>
        <w:rPr>
          <w:rFonts w:ascii="Times New Roman" w:eastAsia="Times New Roman"/>
        </w:rPr>
        <w:t xml:space="preserve">1 </w:t>
      </w:r>
      <w:r>
        <w:t>套喷淋吸收塔</w:t>
      </w:r>
      <w:r>
        <w:rPr>
          <w:rFonts w:ascii="Times New Roman" w:eastAsia="Times New Roman"/>
        </w:rPr>
        <w:t xml:space="preserve">+ </w:t>
      </w:r>
      <w:r>
        <w:t xml:space="preserve">生物除臭装置处理后经 </w:t>
      </w:r>
      <w:r>
        <w:rPr>
          <w:rFonts w:ascii="Times New Roman" w:eastAsia="Times New Roman"/>
        </w:rPr>
        <w:t xml:space="preserve">15m </w:t>
      </w:r>
      <w:r>
        <w:t>排气筒</w:t>
      </w:r>
    </w:p>
    <w:p w14:paraId="4F122958">
      <w:pPr>
        <w:pStyle w:val="7"/>
        <w:spacing w:line="306" w:lineRule="exact"/>
        <w:ind w:left="260"/>
      </w:pPr>
      <w:r>
        <w:t>（</w:t>
      </w:r>
      <w:r>
        <w:rPr>
          <w:rFonts w:ascii="Times New Roman" w:eastAsia="Times New Roman"/>
        </w:rPr>
        <w:t>DA002</w:t>
      </w:r>
      <w:r>
        <w:t xml:space="preserve">），装置处理效率达到 </w:t>
      </w:r>
      <w:r>
        <w:rPr>
          <w:rFonts w:ascii="Times New Roman" w:eastAsia="Times New Roman"/>
        </w:rPr>
        <w:t>90%</w:t>
      </w:r>
      <w:r>
        <w:t xml:space="preserve">以上（本环评以 </w:t>
      </w:r>
      <w:r>
        <w:rPr>
          <w:rFonts w:ascii="Times New Roman" w:eastAsia="Times New Roman"/>
        </w:rPr>
        <w:t>90%</w:t>
      </w:r>
      <w:r>
        <w:t>计），引风机风量为</w:t>
      </w:r>
    </w:p>
    <w:p w14:paraId="39085686">
      <w:pPr>
        <w:pStyle w:val="7"/>
        <w:spacing w:before="161" w:line="362" w:lineRule="auto"/>
        <w:ind w:left="740" w:right="2856" w:hanging="480"/>
      </w:pPr>
      <w:r>
        <w:rPr>
          <w:rFonts w:ascii="Times New Roman" w:eastAsia="Times New Roman"/>
        </w:rPr>
        <w:t>4000~8000m</w:t>
      </w:r>
      <w:r>
        <w:rPr>
          <w:rFonts w:ascii="Times New Roman" w:eastAsia="Times New Roman"/>
          <w:position w:val="8"/>
          <w:sz w:val="15"/>
        </w:rPr>
        <w:t>3</w:t>
      </w:r>
      <w:r>
        <w:rPr>
          <w:rFonts w:ascii="Times New Roman" w:eastAsia="Times New Roman"/>
        </w:rPr>
        <w:t>/h</w:t>
      </w:r>
      <w:r>
        <w:rPr>
          <w:spacing w:val="-7"/>
        </w:rPr>
        <w:t xml:space="preserve">，臭气收集效率按 </w:t>
      </w:r>
      <w:r>
        <w:rPr>
          <w:rFonts w:ascii="Times New Roman" w:eastAsia="Times New Roman"/>
        </w:rPr>
        <w:t>95%</w:t>
      </w:r>
      <w:r>
        <w:rPr>
          <w:spacing w:val="-8"/>
        </w:rPr>
        <w:t xml:space="preserve">计，排气筒内径 </w:t>
      </w:r>
      <w:r>
        <w:rPr>
          <w:rFonts w:ascii="Times New Roman" w:eastAsia="Times New Roman"/>
        </w:rPr>
        <w:t>0.5m</w:t>
      </w:r>
      <w:r>
        <w:t>。本项目污水处理站恶臭产生及排放情况见表。</w:t>
      </w:r>
    </w:p>
    <w:p w14:paraId="28EAD2D4">
      <w:pPr>
        <w:pStyle w:val="7"/>
        <w:spacing w:before="4"/>
        <w:ind w:left="740"/>
      </w:pPr>
      <w:r>
        <w:t>（</w:t>
      </w:r>
      <w:r>
        <w:rPr>
          <w:rFonts w:ascii="Times New Roman" w:eastAsia="Times New Roman"/>
        </w:rPr>
        <w:t>4</w:t>
      </w:r>
      <w:r>
        <w:t>）锅炉废气</w:t>
      </w:r>
    </w:p>
    <w:p w14:paraId="2E8913CA">
      <w:pPr>
        <w:pStyle w:val="7"/>
        <w:spacing w:before="159" w:line="364" w:lineRule="auto"/>
        <w:ind w:left="260" w:right="977" w:firstLine="482"/>
        <w:jc w:val="both"/>
      </w:pPr>
      <w:r>
        <w:rPr>
          <w:spacing w:val="-1"/>
        </w:rPr>
        <w:t xml:space="preserve">生猪屠宰过程中腿毛需要热源，拟备 </w:t>
      </w:r>
      <w:r>
        <w:rPr>
          <w:rFonts w:ascii="Times New Roman" w:hAnsi="Times New Roman" w:eastAsia="Times New Roman"/>
        </w:rPr>
        <w:t xml:space="preserve">1 </w:t>
      </w:r>
      <w:r>
        <w:rPr>
          <w:spacing w:val="1"/>
        </w:rPr>
        <w:t>台天然气锅炉，根据《畜禽屠宰加</w:t>
      </w:r>
      <w:r>
        <w:rPr>
          <w:spacing w:val="-11"/>
        </w:rPr>
        <w:t>工设备猪燎毛炉》</w:t>
      </w:r>
      <w:r>
        <w:rPr>
          <w:spacing w:val="3"/>
        </w:rPr>
        <w:t>（</w:t>
      </w:r>
      <w:r>
        <w:rPr>
          <w:rFonts w:ascii="Times New Roman" w:hAnsi="Times New Roman" w:eastAsia="Times New Roman"/>
        </w:rPr>
        <w:t>S</w:t>
      </w:r>
      <w:r>
        <w:rPr>
          <w:rFonts w:ascii="Times New Roman" w:hAnsi="Times New Roman" w:eastAsia="Times New Roman"/>
          <w:spacing w:val="-2"/>
        </w:rPr>
        <w:t>B</w:t>
      </w:r>
      <w:r>
        <w:rPr>
          <w:rFonts w:ascii="Times New Roman" w:hAnsi="Times New Roman" w:eastAsia="Times New Roman"/>
        </w:rPr>
        <w:t>/</w:t>
      </w:r>
      <w:r>
        <w:rPr>
          <w:rFonts w:ascii="Times New Roman" w:hAnsi="Times New Roman" w:eastAsia="Times New Roman"/>
          <w:spacing w:val="-1"/>
        </w:rPr>
        <w:t>T</w:t>
      </w:r>
      <w:r>
        <w:rPr>
          <w:rFonts w:ascii="Times New Roman" w:hAnsi="Times New Roman" w:eastAsia="Times New Roman"/>
        </w:rPr>
        <w:t>10491</w:t>
      </w:r>
      <w:r>
        <w:rPr>
          <w:rFonts w:ascii="Times New Roman" w:hAnsi="Times New Roman" w:eastAsia="Times New Roman"/>
          <w:spacing w:val="-1"/>
        </w:rPr>
        <w:t>-</w:t>
      </w:r>
      <w:r>
        <w:rPr>
          <w:rFonts w:ascii="Times New Roman" w:hAnsi="Times New Roman" w:eastAsia="Times New Roman"/>
        </w:rPr>
        <w:t>200</w:t>
      </w:r>
      <w:r>
        <w:rPr>
          <w:rFonts w:ascii="Times New Roman" w:hAnsi="Times New Roman" w:eastAsia="Times New Roman"/>
          <w:spacing w:val="6"/>
        </w:rPr>
        <w:t>8</w:t>
      </w:r>
      <w:r>
        <w:rPr>
          <w:spacing w:val="-116"/>
        </w:rPr>
        <w:t>）</w:t>
      </w:r>
      <w:r>
        <w:rPr>
          <w:spacing w:val="3"/>
        </w:rPr>
        <w:t>，燃气消耗量≦</w:t>
      </w:r>
      <w:r>
        <w:rPr>
          <w:rFonts w:ascii="Times New Roman" w:hAnsi="Times New Roman" w:eastAsia="Times New Roman"/>
        </w:rPr>
        <w:t>0.18k</w:t>
      </w:r>
      <w:r>
        <w:rPr>
          <w:rFonts w:ascii="Times New Roman" w:hAnsi="Times New Roman" w:eastAsia="Times New Roman"/>
          <w:spacing w:val="-3"/>
        </w:rPr>
        <w:t>g</w:t>
      </w:r>
      <w:r>
        <w:rPr>
          <w:rFonts w:ascii="Times New Roman" w:hAnsi="Times New Roman" w:eastAsia="Times New Roman"/>
          <w:spacing w:val="10"/>
        </w:rPr>
        <w:t>/</w:t>
      </w:r>
      <w:r>
        <w:rPr>
          <w:spacing w:val="2"/>
        </w:rPr>
        <w:t>头，本项目单只猪</w:t>
      </w:r>
      <w:r>
        <w:rPr>
          <w:spacing w:val="-3"/>
        </w:rPr>
        <w:t xml:space="preserve">天然气消耗量取最大值 </w:t>
      </w:r>
      <w:r>
        <w:rPr>
          <w:rFonts w:ascii="Times New Roman" w:hAnsi="Times New Roman" w:eastAsia="Times New Roman"/>
        </w:rPr>
        <w:t>0.18kg/</w:t>
      </w:r>
      <w:r>
        <w:rPr>
          <w:spacing w:val="-2"/>
        </w:rPr>
        <w:t xml:space="preserve">头，全年需要的天然气总量为 </w:t>
      </w:r>
      <w:r>
        <w:rPr>
          <w:rFonts w:ascii="Times New Roman" w:hAnsi="Times New Roman" w:eastAsia="Times New Roman"/>
        </w:rPr>
        <w:t>180t/a</w:t>
      </w:r>
      <w:r>
        <w:t>（</w:t>
      </w:r>
      <w:r>
        <w:rPr>
          <w:spacing w:val="1"/>
        </w:rPr>
        <w:t>折合体积</w:t>
      </w:r>
      <w:r>
        <w:rPr>
          <w:spacing w:val="-30"/>
        </w:rPr>
        <w:t xml:space="preserve">为 </w:t>
      </w:r>
      <w:r>
        <w:rPr>
          <w:rFonts w:ascii="Times New Roman" w:hAnsi="Times New Roman" w:eastAsia="Times New Roman"/>
        </w:rPr>
        <w:t xml:space="preserve">25 </w:t>
      </w:r>
      <w:r>
        <w:rPr>
          <w:spacing w:val="-30"/>
        </w:rPr>
        <w:t xml:space="preserve">万 </w:t>
      </w:r>
      <w:r>
        <w:rPr>
          <w:rFonts w:ascii="Times New Roman" w:hAnsi="Times New Roman" w:eastAsia="Times New Roman"/>
        </w:rPr>
        <w:t>m</w:t>
      </w:r>
      <w:r>
        <w:rPr>
          <w:rFonts w:ascii="Times New Roman" w:hAnsi="Times New Roman" w:eastAsia="Times New Roman"/>
          <w:spacing w:val="-2"/>
          <w:w w:val="104"/>
          <w:position w:val="8"/>
          <w:sz w:val="15"/>
        </w:rPr>
        <w:t>3</w:t>
      </w:r>
      <w:r>
        <w:rPr>
          <w:rFonts w:ascii="Times New Roman" w:hAnsi="Times New Roman" w:eastAsia="Times New Roman"/>
        </w:rPr>
        <w:t>/</w:t>
      </w:r>
      <w:r>
        <w:rPr>
          <w:rFonts w:ascii="Times New Roman" w:hAnsi="Times New Roman" w:eastAsia="Times New Roman"/>
          <w:spacing w:val="0"/>
        </w:rPr>
        <w:t>a</w:t>
      </w:r>
      <w:r>
        <w:rPr>
          <w:spacing w:val="-120"/>
        </w:rPr>
        <w:t>）</w:t>
      </w:r>
      <w:r>
        <w:rPr>
          <w:spacing w:val="-4"/>
        </w:rPr>
        <w:t>。根据《排污许可证申请与核发技术规范 锅炉》</w:t>
      </w:r>
      <w:r>
        <w:rPr>
          <w:rFonts w:ascii="Times New Roman" w:hAnsi="Times New Roman" w:eastAsia="Times New Roman"/>
          <w:spacing w:val="-1"/>
        </w:rPr>
        <w:t>(H</w:t>
      </w:r>
      <w:r>
        <w:rPr>
          <w:rFonts w:ascii="Times New Roman" w:hAnsi="Times New Roman" w:eastAsia="Times New Roman"/>
          <w:spacing w:val="1"/>
        </w:rPr>
        <w:t>J</w:t>
      </w:r>
      <w:r>
        <w:rPr>
          <w:rFonts w:ascii="Times New Roman" w:hAnsi="Times New Roman" w:eastAsia="Times New Roman"/>
        </w:rPr>
        <w:t>953—2018</w:t>
      </w:r>
      <w:r>
        <w:rPr>
          <w:rFonts w:ascii="Times New Roman" w:hAnsi="Times New Roman" w:eastAsia="Times New Roman"/>
          <w:spacing w:val="0"/>
        </w:rPr>
        <w:t>)</w:t>
      </w:r>
      <w:r>
        <w:t>中经验公式估算法，计算本项目燃柴油锅炉基准烟气量，公示如下：</w:t>
      </w:r>
    </w:p>
    <w:p w14:paraId="0D0EACFB">
      <w:pPr>
        <w:pStyle w:val="7"/>
        <w:spacing w:line="362" w:lineRule="auto"/>
        <w:ind w:left="740" w:right="3191" w:firstLine="1804"/>
      </w:pPr>
      <w:r>
        <w:t xml:space="preserve">基准烟气量 </w:t>
      </w:r>
      <w:r>
        <w:rPr>
          <w:rFonts w:ascii="Times New Roman" w:eastAsia="Times New Roman"/>
        </w:rPr>
        <w:t>Vgy=0.285Qnet,ar+0.343 Qnet,ar----</w:t>
      </w:r>
      <w:r>
        <w:t>固体</w:t>
      </w:r>
      <w:r>
        <w:rPr>
          <w:rFonts w:ascii="Times New Roman" w:eastAsia="Times New Roman"/>
        </w:rPr>
        <w:t>/</w:t>
      </w:r>
      <w:r>
        <w:t>液体燃料收到基低位发热量（</w:t>
      </w:r>
      <w:r>
        <w:rPr>
          <w:rFonts w:ascii="Times New Roman" w:eastAsia="Times New Roman"/>
        </w:rPr>
        <w:t>MJ/kg</w:t>
      </w:r>
      <w:r>
        <w:t>）</w:t>
      </w:r>
    </w:p>
    <w:p w14:paraId="6A7A7F19">
      <w:pPr>
        <w:pStyle w:val="7"/>
        <w:spacing w:before="3" w:line="364" w:lineRule="auto"/>
        <w:ind w:left="260" w:right="977" w:firstLine="480"/>
      </w:pPr>
      <w:r>
        <w:t xml:space="preserve">根据岳阳市统计局发布平均低位发热量天然气为约 </w:t>
      </w:r>
      <w:r>
        <w:rPr>
          <w:rFonts w:ascii="Times New Roman" w:eastAsia="Times New Roman"/>
        </w:rPr>
        <w:t xml:space="preserve">7700-9300 </w:t>
      </w:r>
      <w:r>
        <w:t>千卡</w:t>
      </w:r>
      <w:r>
        <w:rPr>
          <w:rFonts w:ascii="Times New Roman" w:eastAsia="Times New Roman"/>
        </w:rPr>
        <w:t>/</w:t>
      </w:r>
      <w:r>
        <w:t xml:space="preserve">立方米，取中间值折算为 </w:t>
      </w:r>
      <w:r>
        <w:rPr>
          <w:rFonts w:ascii="Times New Roman" w:eastAsia="Times New Roman"/>
        </w:rPr>
        <w:t>49.4MJ/kg</w:t>
      </w:r>
      <w:r>
        <w:t xml:space="preserve">，则基准烟气量 </w:t>
      </w:r>
      <w:r>
        <w:rPr>
          <w:rFonts w:ascii="Times New Roman" w:eastAsia="Times New Roman"/>
        </w:rPr>
        <w:t>Vgy=14.422Nm</w:t>
      </w:r>
      <w:r>
        <w:rPr>
          <w:rFonts w:ascii="Times New Roman" w:eastAsia="Times New Roman"/>
          <w:position w:val="8"/>
          <w:sz w:val="15"/>
        </w:rPr>
        <w:t>3</w:t>
      </w:r>
      <w:r>
        <w:rPr>
          <w:rFonts w:ascii="Times New Roman" w:eastAsia="Times New Roman"/>
        </w:rPr>
        <w:t>/kg</w:t>
      </w:r>
      <w:r>
        <w:t>，因此总烟</w:t>
      </w:r>
    </w:p>
    <w:p w14:paraId="70474027">
      <w:pPr>
        <w:spacing w:after="0" w:line="364" w:lineRule="auto"/>
        <w:sectPr>
          <w:pgSz w:w="11910" w:h="16840"/>
          <w:pgMar w:top="1360" w:right="820" w:bottom="1400" w:left="1540" w:header="878" w:footer="1204" w:gutter="0"/>
          <w:cols w:space="720" w:num="1"/>
        </w:sectPr>
      </w:pPr>
    </w:p>
    <w:p w14:paraId="6AD7F36C">
      <w:pPr>
        <w:pStyle w:val="7"/>
        <w:spacing w:before="68"/>
        <w:ind w:left="260"/>
      </w:pPr>
      <w:r>
        <w:t xml:space="preserve">气量为 </w:t>
      </w:r>
      <w:r>
        <w:rPr>
          <w:rFonts w:ascii="Times New Roman" w:eastAsia="Times New Roman"/>
        </w:rPr>
        <w:t>2559600m</w:t>
      </w:r>
      <w:r>
        <w:rPr>
          <w:rFonts w:ascii="Times New Roman" w:eastAsia="Times New Roman"/>
          <w:position w:val="8"/>
          <w:sz w:val="15"/>
        </w:rPr>
        <w:t>3</w:t>
      </w:r>
      <w:r>
        <w:t>。</w:t>
      </w:r>
    </w:p>
    <w:p w14:paraId="6B5BEB95">
      <w:pPr>
        <w:pStyle w:val="7"/>
        <w:spacing w:before="160" w:line="364" w:lineRule="auto"/>
        <w:ind w:left="260" w:right="977" w:firstLine="480"/>
        <w:jc w:val="both"/>
      </w:pPr>
      <w:r>
        <w:t>查找《排放源统计调查产排污核算方法和系数手册——</w:t>
      </w:r>
      <w:r>
        <w:rPr>
          <w:rFonts w:ascii="Times New Roman" w:hAnsi="Times New Roman" w:eastAsia="Times New Roman"/>
        </w:rPr>
        <w:t xml:space="preserve">4430 </w:t>
      </w:r>
      <w:r>
        <w:t>工业锅炉（热力供应）行业系数手册》明确燃气工业锅炉的产污系数，计算柴油燃烧废气中污染物排放情况。</w:t>
      </w:r>
    </w:p>
    <w:p w14:paraId="72577350">
      <w:pPr>
        <w:spacing w:before="0" w:after="4" w:line="266" w:lineRule="exact"/>
        <w:ind w:left="2828" w:right="0" w:firstLine="0"/>
        <w:jc w:val="left"/>
        <w:rPr>
          <w:b/>
          <w:sz w:val="21"/>
        </w:rPr>
      </w:pPr>
      <w:r>
        <w:rPr>
          <w:b/>
          <w:spacing w:val="-28"/>
          <w:sz w:val="21"/>
        </w:rPr>
        <w:t xml:space="preserve">表 </w:t>
      </w:r>
      <w:r>
        <w:rPr>
          <w:rFonts w:ascii="Times New Roman" w:eastAsia="Times New Roman"/>
          <w:b/>
          <w:sz w:val="21"/>
        </w:rPr>
        <w:t>3.7-13</w:t>
      </w:r>
      <w:r>
        <w:rPr>
          <w:rFonts w:ascii="Times New Roman" w:eastAsia="Times New Roman"/>
          <w:b/>
          <w:spacing w:val="50"/>
          <w:sz w:val="21"/>
        </w:rPr>
        <w:t xml:space="preserve"> </w:t>
      </w:r>
      <w:r>
        <w:rPr>
          <w:b/>
          <w:sz w:val="21"/>
        </w:rPr>
        <w:t>热力工业废气污染物产生情况</w:t>
      </w:r>
    </w:p>
    <w:tbl>
      <w:tblPr>
        <w:tblStyle w:val="10"/>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190"/>
        <w:gridCol w:w="1190"/>
        <w:gridCol w:w="1186"/>
        <w:gridCol w:w="2580"/>
        <w:gridCol w:w="1186"/>
      </w:tblGrid>
      <w:tr w14:paraId="52B04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90" w:type="dxa"/>
          </w:tcPr>
          <w:p w14:paraId="3C58F0E4">
            <w:pPr>
              <w:pStyle w:val="14"/>
              <w:spacing w:before="89"/>
              <w:ind w:left="172"/>
              <w:rPr>
                <w:b/>
                <w:sz w:val="21"/>
              </w:rPr>
            </w:pPr>
            <w:r>
              <w:rPr>
                <w:b/>
                <w:sz w:val="21"/>
              </w:rPr>
              <w:t>产品名称</w:t>
            </w:r>
          </w:p>
        </w:tc>
        <w:tc>
          <w:tcPr>
            <w:tcW w:w="1190" w:type="dxa"/>
          </w:tcPr>
          <w:p w14:paraId="43D3E50A">
            <w:pPr>
              <w:pStyle w:val="14"/>
              <w:spacing w:before="89"/>
              <w:ind w:left="172"/>
              <w:rPr>
                <w:b/>
                <w:sz w:val="21"/>
              </w:rPr>
            </w:pPr>
            <w:r>
              <w:rPr>
                <w:b/>
                <w:sz w:val="21"/>
              </w:rPr>
              <w:t>原料名称</w:t>
            </w:r>
          </w:p>
        </w:tc>
        <w:tc>
          <w:tcPr>
            <w:tcW w:w="1190" w:type="dxa"/>
          </w:tcPr>
          <w:p w14:paraId="581CD419">
            <w:pPr>
              <w:pStyle w:val="14"/>
              <w:spacing w:before="89"/>
              <w:ind w:left="173"/>
              <w:rPr>
                <w:b/>
                <w:sz w:val="21"/>
              </w:rPr>
            </w:pPr>
            <w:r>
              <w:rPr>
                <w:b/>
                <w:sz w:val="21"/>
              </w:rPr>
              <w:t>工艺名称</w:t>
            </w:r>
          </w:p>
        </w:tc>
        <w:tc>
          <w:tcPr>
            <w:tcW w:w="1186" w:type="dxa"/>
          </w:tcPr>
          <w:p w14:paraId="349E8AB8">
            <w:pPr>
              <w:pStyle w:val="14"/>
              <w:spacing w:before="89"/>
              <w:ind w:left="99" w:right="90"/>
              <w:jc w:val="center"/>
              <w:rPr>
                <w:b/>
                <w:sz w:val="21"/>
              </w:rPr>
            </w:pPr>
            <w:r>
              <w:rPr>
                <w:b/>
                <w:sz w:val="21"/>
              </w:rPr>
              <w:t>污染物</w:t>
            </w:r>
          </w:p>
        </w:tc>
        <w:tc>
          <w:tcPr>
            <w:tcW w:w="2580" w:type="dxa"/>
          </w:tcPr>
          <w:p w14:paraId="58DB73E1">
            <w:pPr>
              <w:pStyle w:val="14"/>
              <w:spacing w:before="89"/>
              <w:ind w:left="225" w:right="219"/>
              <w:jc w:val="center"/>
              <w:rPr>
                <w:b/>
                <w:sz w:val="21"/>
              </w:rPr>
            </w:pPr>
            <w:r>
              <w:rPr>
                <w:b/>
                <w:sz w:val="21"/>
              </w:rPr>
              <w:t>产污系数</w:t>
            </w:r>
          </w:p>
        </w:tc>
        <w:tc>
          <w:tcPr>
            <w:tcW w:w="1186" w:type="dxa"/>
          </w:tcPr>
          <w:p w14:paraId="3B1FF507">
            <w:pPr>
              <w:pStyle w:val="14"/>
              <w:spacing w:before="89"/>
              <w:ind w:left="99" w:right="91"/>
              <w:jc w:val="center"/>
              <w:rPr>
                <w:sz w:val="21"/>
              </w:rPr>
            </w:pPr>
            <w:r>
              <w:rPr>
                <w:sz w:val="21"/>
              </w:rPr>
              <w:t>末端技术</w:t>
            </w:r>
          </w:p>
        </w:tc>
      </w:tr>
      <w:tr w14:paraId="4E8AD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0" w:type="dxa"/>
            <w:vMerge w:val="restart"/>
          </w:tcPr>
          <w:p w14:paraId="707BB593">
            <w:pPr>
              <w:pStyle w:val="14"/>
              <w:rPr>
                <w:b/>
                <w:sz w:val="25"/>
              </w:rPr>
            </w:pPr>
          </w:p>
          <w:p w14:paraId="181FCA17">
            <w:pPr>
              <w:pStyle w:val="14"/>
              <w:spacing w:before="1"/>
              <w:ind w:left="383"/>
              <w:rPr>
                <w:sz w:val="21"/>
              </w:rPr>
            </w:pPr>
            <w:r>
              <w:rPr>
                <w:sz w:val="21"/>
              </w:rPr>
              <w:t>蒸汽</w:t>
            </w:r>
          </w:p>
        </w:tc>
        <w:tc>
          <w:tcPr>
            <w:tcW w:w="1190" w:type="dxa"/>
            <w:vMerge w:val="restart"/>
          </w:tcPr>
          <w:p w14:paraId="632A4B30">
            <w:pPr>
              <w:pStyle w:val="14"/>
              <w:rPr>
                <w:b/>
                <w:sz w:val="25"/>
              </w:rPr>
            </w:pPr>
          </w:p>
          <w:p w14:paraId="0BBB218E">
            <w:pPr>
              <w:pStyle w:val="14"/>
              <w:spacing w:before="1"/>
              <w:ind w:left="278"/>
              <w:rPr>
                <w:sz w:val="21"/>
              </w:rPr>
            </w:pPr>
            <w:r>
              <w:rPr>
                <w:sz w:val="21"/>
              </w:rPr>
              <w:t>天然气</w:t>
            </w:r>
          </w:p>
        </w:tc>
        <w:tc>
          <w:tcPr>
            <w:tcW w:w="1190" w:type="dxa"/>
            <w:vMerge w:val="restart"/>
          </w:tcPr>
          <w:p w14:paraId="2A8299D3">
            <w:pPr>
              <w:pStyle w:val="14"/>
              <w:rPr>
                <w:b/>
                <w:sz w:val="25"/>
              </w:rPr>
            </w:pPr>
          </w:p>
          <w:p w14:paraId="5AD84082">
            <w:pPr>
              <w:pStyle w:val="14"/>
              <w:spacing w:before="1"/>
              <w:ind w:left="278"/>
              <w:rPr>
                <w:sz w:val="21"/>
              </w:rPr>
            </w:pPr>
            <w:r>
              <w:rPr>
                <w:sz w:val="21"/>
              </w:rPr>
              <w:t>室燃炉</w:t>
            </w:r>
          </w:p>
        </w:tc>
        <w:tc>
          <w:tcPr>
            <w:tcW w:w="1186" w:type="dxa"/>
          </w:tcPr>
          <w:p w14:paraId="63F1E84E">
            <w:pPr>
              <w:pStyle w:val="14"/>
              <w:spacing w:before="91"/>
              <w:ind w:left="99" w:right="90"/>
              <w:jc w:val="center"/>
              <w:rPr>
                <w:sz w:val="21"/>
              </w:rPr>
            </w:pPr>
            <w:r>
              <w:rPr>
                <w:sz w:val="21"/>
              </w:rPr>
              <w:t>二氧化硫</w:t>
            </w:r>
          </w:p>
        </w:tc>
        <w:tc>
          <w:tcPr>
            <w:tcW w:w="2580" w:type="dxa"/>
          </w:tcPr>
          <w:p w14:paraId="4B4B50DA">
            <w:pPr>
              <w:pStyle w:val="14"/>
              <w:spacing w:before="91"/>
              <w:ind w:left="225" w:right="221"/>
              <w:jc w:val="center"/>
              <w:rPr>
                <w:sz w:val="21"/>
              </w:rPr>
            </w:pPr>
            <w:r>
              <w:rPr>
                <w:rFonts w:ascii="Times New Roman" w:eastAsia="Times New Roman"/>
                <w:sz w:val="21"/>
              </w:rPr>
              <w:t>0.02Skg/</w:t>
            </w:r>
            <w:r>
              <w:rPr>
                <w:sz w:val="21"/>
              </w:rPr>
              <w:t>万立方米</w:t>
            </w:r>
            <w:r>
              <w:rPr>
                <w:rFonts w:ascii="Times New Roman" w:eastAsia="Times New Roman"/>
                <w:sz w:val="21"/>
              </w:rPr>
              <w:t>-</w:t>
            </w:r>
            <w:r>
              <w:rPr>
                <w:sz w:val="21"/>
              </w:rPr>
              <w:t>原料</w:t>
            </w:r>
          </w:p>
        </w:tc>
        <w:tc>
          <w:tcPr>
            <w:tcW w:w="1186" w:type="dxa"/>
          </w:tcPr>
          <w:p w14:paraId="342AF7A1">
            <w:pPr>
              <w:pStyle w:val="14"/>
              <w:spacing w:before="104"/>
              <w:ind w:left="99" w:right="90"/>
              <w:jc w:val="center"/>
              <w:rPr>
                <w:rFonts w:ascii="Times New Roman"/>
                <w:sz w:val="21"/>
              </w:rPr>
            </w:pPr>
            <w:r>
              <w:rPr>
                <w:rFonts w:ascii="Times New Roman"/>
                <w:sz w:val="21"/>
              </w:rPr>
              <w:t>s=200</w:t>
            </w:r>
          </w:p>
        </w:tc>
      </w:tr>
      <w:tr w14:paraId="60ED8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0" w:type="dxa"/>
            <w:vMerge w:val="continue"/>
            <w:tcBorders>
              <w:top w:val="nil"/>
            </w:tcBorders>
          </w:tcPr>
          <w:p w14:paraId="223D3058">
            <w:pPr>
              <w:rPr>
                <w:sz w:val="2"/>
                <w:szCs w:val="2"/>
              </w:rPr>
            </w:pPr>
          </w:p>
        </w:tc>
        <w:tc>
          <w:tcPr>
            <w:tcW w:w="1190" w:type="dxa"/>
            <w:vMerge w:val="continue"/>
            <w:tcBorders>
              <w:top w:val="nil"/>
            </w:tcBorders>
          </w:tcPr>
          <w:p w14:paraId="2E661A6B">
            <w:pPr>
              <w:rPr>
                <w:sz w:val="2"/>
                <w:szCs w:val="2"/>
              </w:rPr>
            </w:pPr>
          </w:p>
        </w:tc>
        <w:tc>
          <w:tcPr>
            <w:tcW w:w="1190" w:type="dxa"/>
            <w:vMerge w:val="continue"/>
            <w:tcBorders>
              <w:top w:val="nil"/>
            </w:tcBorders>
          </w:tcPr>
          <w:p w14:paraId="04484F27">
            <w:pPr>
              <w:rPr>
                <w:sz w:val="2"/>
                <w:szCs w:val="2"/>
              </w:rPr>
            </w:pPr>
          </w:p>
        </w:tc>
        <w:tc>
          <w:tcPr>
            <w:tcW w:w="1186" w:type="dxa"/>
          </w:tcPr>
          <w:p w14:paraId="5DE86D9B">
            <w:pPr>
              <w:pStyle w:val="14"/>
              <w:spacing w:before="90"/>
              <w:ind w:left="99" w:right="90"/>
              <w:jc w:val="center"/>
              <w:rPr>
                <w:sz w:val="21"/>
              </w:rPr>
            </w:pPr>
            <w:r>
              <w:rPr>
                <w:sz w:val="21"/>
              </w:rPr>
              <w:t>氮氧化物</w:t>
            </w:r>
          </w:p>
        </w:tc>
        <w:tc>
          <w:tcPr>
            <w:tcW w:w="2580" w:type="dxa"/>
          </w:tcPr>
          <w:p w14:paraId="57F63436">
            <w:pPr>
              <w:pStyle w:val="14"/>
              <w:spacing w:before="90"/>
              <w:ind w:left="225" w:right="219"/>
              <w:jc w:val="center"/>
              <w:rPr>
                <w:sz w:val="21"/>
              </w:rPr>
            </w:pPr>
            <w:r>
              <w:rPr>
                <w:rFonts w:ascii="Times New Roman" w:eastAsia="Times New Roman"/>
                <w:sz w:val="21"/>
              </w:rPr>
              <w:t>6.97kg/</w:t>
            </w:r>
            <w:r>
              <w:rPr>
                <w:sz w:val="21"/>
              </w:rPr>
              <w:t>万立方米</w:t>
            </w:r>
            <w:r>
              <w:rPr>
                <w:rFonts w:ascii="Times New Roman" w:eastAsia="Times New Roman"/>
                <w:sz w:val="21"/>
              </w:rPr>
              <w:t>-</w:t>
            </w:r>
            <w:r>
              <w:rPr>
                <w:sz w:val="21"/>
              </w:rPr>
              <w:t>原料</w:t>
            </w:r>
          </w:p>
        </w:tc>
        <w:tc>
          <w:tcPr>
            <w:tcW w:w="1186" w:type="dxa"/>
          </w:tcPr>
          <w:p w14:paraId="558484B3">
            <w:pPr>
              <w:pStyle w:val="14"/>
              <w:spacing w:before="90"/>
              <w:ind w:left="99" w:right="91"/>
              <w:jc w:val="center"/>
              <w:rPr>
                <w:sz w:val="21"/>
              </w:rPr>
            </w:pPr>
            <w:r>
              <w:rPr>
                <w:sz w:val="21"/>
              </w:rPr>
              <w:t>低氮燃烧</w:t>
            </w:r>
          </w:p>
        </w:tc>
      </w:tr>
    </w:tbl>
    <w:p w14:paraId="4363C5FD">
      <w:pPr>
        <w:pStyle w:val="7"/>
        <w:spacing w:before="1"/>
        <w:ind w:left="742"/>
      </w:pPr>
      <w:r>
        <w:t xml:space="preserve">锅炉运行时长约 </w:t>
      </w:r>
      <w:r>
        <w:rPr>
          <w:rFonts w:ascii="Times New Roman" w:eastAsia="Times New Roman"/>
        </w:rPr>
        <w:t>4800h/a</w:t>
      </w:r>
      <w:r>
        <w:t xml:space="preserve">，锅炉废气经 </w:t>
      </w:r>
      <w:r>
        <w:rPr>
          <w:rFonts w:ascii="Times New Roman" w:eastAsia="Times New Roman"/>
        </w:rPr>
        <w:t xml:space="preserve">15m </w:t>
      </w:r>
      <w:r>
        <w:t>排气筒（</w:t>
      </w:r>
      <w:r>
        <w:rPr>
          <w:rFonts w:ascii="Times New Roman" w:eastAsia="Times New Roman"/>
        </w:rPr>
        <w:t>DA004</w:t>
      </w:r>
      <w:r>
        <w:t>）排放。</w:t>
      </w:r>
    </w:p>
    <w:p w14:paraId="4A6D7994">
      <w:pPr>
        <w:pStyle w:val="7"/>
        <w:spacing w:before="159"/>
        <w:ind w:left="742"/>
      </w:pPr>
      <w:r>
        <w:t>（</w:t>
      </w:r>
      <w:r>
        <w:rPr>
          <w:rFonts w:ascii="Times New Roman" w:eastAsia="Times New Roman"/>
        </w:rPr>
        <w:t>5</w:t>
      </w:r>
      <w:r>
        <w:t>）备用柴油发电机烟气</w:t>
      </w:r>
    </w:p>
    <w:p w14:paraId="119FB6E1">
      <w:pPr>
        <w:pStyle w:val="7"/>
        <w:spacing w:before="160" w:line="364" w:lineRule="auto"/>
        <w:ind w:left="260" w:right="980" w:firstLine="480"/>
        <w:jc w:val="both"/>
      </w:pPr>
      <w:r>
        <w:t xml:space="preserve">项目设置 </w:t>
      </w:r>
      <w:r>
        <w:rPr>
          <w:rFonts w:ascii="Times New Roman" w:eastAsia="Times New Roman"/>
        </w:rPr>
        <w:t xml:space="preserve">2 </w:t>
      </w:r>
      <w:r>
        <w:t xml:space="preserve">台柴油发电机作备用电源，一备一用，置于专用的发电机房内，设备排烟管口处加装阻火器，发电机仅停电时临时使用，采用 </w:t>
      </w:r>
      <w:r>
        <w:rPr>
          <w:rFonts w:ascii="Times New Roman" w:eastAsia="Times New Roman"/>
        </w:rPr>
        <w:t>0#</w:t>
      </w:r>
      <w:r>
        <w:t>柴油作为燃料。</w:t>
      </w:r>
    </w:p>
    <w:p w14:paraId="2574753C">
      <w:pPr>
        <w:pStyle w:val="7"/>
        <w:spacing w:line="362" w:lineRule="auto"/>
        <w:ind w:left="260" w:right="977" w:firstLine="482"/>
        <w:jc w:val="both"/>
      </w:pPr>
      <w:r>
        <w:rPr>
          <w:spacing w:val="-9"/>
        </w:rPr>
        <w:t xml:space="preserve">本项目设 </w:t>
      </w:r>
      <w:r>
        <w:rPr>
          <w:rFonts w:ascii="Times New Roman" w:eastAsia="Times New Roman"/>
        </w:rPr>
        <w:t xml:space="preserve">2 </w:t>
      </w:r>
      <w:r>
        <w:rPr>
          <w:spacing w:val="-26"/>
        </w:rPr>
        <w:t xml:space="preserve">台 </w:t>
      </w:r>
      <w:r>
        <w:rPr>
          <w:rFonts w:ascii="Times New Roman" w:eastAsia="Times New Roman"/>
        </w:rPr>
        <w:t xml:space="preserve">350kW </w:t>
      </w:r>
      <w:r>
        <w:rPr>
          <w:spacing w:val="-3"/>
        </w:rPr>
        <w:t xml:space="preserve">的柴油发电机，根据《大气环境工程师实用手册》： </w:t>
      </w:r>
      <w:r>
        <w:rPr>
          <w:spacing w:val="-27"/>
        </w:rPr>
        <w:t xml:space="preserve">每 </w:t>
      </w:r>
      <w:r>
        <w:rPr>
          <w:rFonts w:ascii="Times New Roman" w:eastAsia="Times New Roman"/>
        </w:rPr>
        <w:t xml:space="preserve">kw/h </w:t>
      </w:r>
      <w:r>
        <w:rPr>
          <w:spacing w:val="-9"/>
        </w:rPr>
        <w:t xml:space="preserve">电耗油量为 </w:t>
      </w:r>
      <w:r>
        <w:rPr>
          <w:rFonts w:ascii="Times New Roman" w:eastAsia="Times New Roman"/>
        </w:rPr>
        <w:t>0.22kg</w:t>
      </w:r>
      <w:r>
        <w:t>，发电机组使用的频率较为有限，预计每月使用时间</w:t>
      </w:r>
      <w:r>
        <w:rPr>
          <w:spacing w:val="-30"/>
        </w:rPr>
        <w:t xml:space="preserve">约 </w:t>
      </w:r>
      <w:r>
        <w:rPr>
          <w:rFonts w:ascii="Times New Roman" w:eastAsia="Times New Roman"/>
        </w:rPr>
        <w:t xml:space="preserve">8 </w:t>
      </w:r>
      <w:r>
        <w:rPr>
          <w:spacing w:val="-4"/>
        </w:rPr>
        <w:t xml:space="preserve">小时左右，全年工作时间不超过 </w:t>
      </w:r>
      <w:r>
        <w:rPr>
          <w:rFonts w:ascii="Times New Roman" w:eastAsia="Times New Roman"/>
        </w:rPr>
        <w:t xml:space="preserve">95 </w:t>
      </w:r>
      <w:r>
        <w:rPr>
          <w:spacing w:val="-7"/>
        </w:rPr>
        <w:t xml:space="preserve">小时，年耗油量为 </w:t>
      </w:r>
      <w:r>
        <w:rPr>
          <w:rFonts w:ascii="Times New Roman" w:eastAsia="Times New Roman"/>
        </w:rPr>
        <w:t>7.315t</w:t>
      </w:r>
      <w:r>
        <w:t>（</w:t>
      </w:r>
      <w:r>
        <w:rPr>
          <w:rFonts w:ascii="Times New Roman" w:eastAsia="Times New Roman"/>
        </w:rPr>
        <w:t>8637.22</w:t>
      </w:r>
      <w:r>
        <w:rPr>
          <w:rFonts w:ascii="Times New Roman" w:eastAsia="Times New Roman"/>
          <w:spacing w:val="-1"/>
        </w:rPr>
        <w:t>L</w:t>
      </w:r>
      <w:r>
        <w:rPr>
          <w:spacing w:val="-118"/>
        </w:rPr>
        <w:t>）</w:t>
      </w:r>
      <w:r>
        <w:t>，</w:t>
      </w:r>
    </w:p>
    <w:p w14:paraId="71A77DFA">
      <w:pPr>
        <w:pStyle w:val="7"/>
        <w:spacing w:before="3"/>
        <w:ind w:left="260"/>
        <w:rPr>
          <w:rFonts w:ascii="Times New Roman" w:eastAsia="Times New Roman"/>
        </w:rPr>
      </w:pPr>
      <w:r>
        <w:rPr>
          <w:position w:val="2"/>
        </w:rPr>
        <w:t>备用柴油发电机运行污染物排放系数为：</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4 g/L</w:t>
      </w:r>
      <w:r>
        <w:rPr>
          <w:position w:val="2"/>
          <w:vertAlign w:val="baseline"/>
        </w:rPr>
        <w:t>，</w:t>
      </w:r>
      <w:r>
        <w:rPr>
          <w:rFonts w:ascii="Times New Roman" w:eastAsia="Times New Roman"/>
          <w:position w:val="2"/>
          <w:vertAlign w:val="baseline"/>
        </w:rPr>
        <w:t>NOx 2.56 g/L</w:t>
      </w:r>
      <w:r>
        <w:rPr>
          <w:position w:val="2"/>
          <w:vertAlign w:val="baseline"/>
        </w:rPr>
        <w:t xml:space="preserve">，烟尘 </w:t>
      </w:r>
      <w:r>
        <w:rPr>
          <w:rFonts w:ascii="Times New Roman" w:eastAsia="Times New Roman"/>
          <w:position w:val="2"/>
          <w:vertAlign w:val="baseline"/>
        </w:rPr>
        <w:t>0.714</w:t>
      </w:r>
    </w:p>
    <w:p w14:paraId="0383F8B1">
      <w:pPr>
        <w:pStyle w:val="7"/>
        <w:spacing w:before="156"/>
        <w:ind w:left="260"/>
        <w:rPr>
          <w:rFonts w:ascii="Times New Roman" w:eastAsia="Times New Roman"/>
        </w:rPr>
      </w:pPr>
      <w:r>
        <w:rPr>
          <w:rFonts w:ascii="Times New Roman" w:eastAsia="Times New Roman"/>
          <w:position w:val="2"/>
        </w:rPr>
        <w:t xml:space="preserve">g/L </w:t>
      </w:r>
      <w:r>
        <w:rPr>
          <w:position w:val="2"/>
        </w:rPr>
        <w:t xml:space="preserve">，经计算，本项目柴油发电机应急发电产生的燃油污染物排放量为 </w:t>
      </w:r>
      <w:r>
        <w:rPr>
          <w:rFonts w:ascii="Times New Roman" w:eastAsia="Times New Roman"/>
          <w:position w:val="2"/>
        </w:rPr>
        <w:t>SO</w:t>
      </w:r>
      <w:r>
        <w:rPr>
          <w:rFonts w:ascii="Times New Roman" w:eastAsia="Times New Roman"/>
          <w:position w:val="2"/>
          <w:vertAlign w:val="subscript"/>
        </w:rPr>
        <w:t>2</w:t>
      </w:r>
    </w:p>
    <w:p w14:paraId="79F289B8">
      <w:pPr>
        <w:pStyle w:val="7"/>
        <w:spacing w:before="156" w:line="364" w:lineRule="auto"/>
        <w:ind w:left="260" w:right="928"/>
      </w:pPr>
      <w:r>
        <w:rPr>
          <w:rFonts w:ascii="Times New Roman" w:eastAsia="Times New Roman"/>
        </w:rPr>
        <w:t>0.035 t/a</w:t>
      </w:r>
      <w:r>
        <w:t>，</w:t>
      </w:r>
      <w:r>
        <w:rPr>
          <w:rFonts w:ascii="Times New Roman" w:eastAsia="Times New Roman"/>
        </w:rPr>
        <w:t>NOx 0.022 t/a</w:t>
      </w:r>
      <w:r>
        <w:t xml:space="preserve">，烟尘 </w:t>
      </w:r>
      <w:r>
        <w:rPr>
          <w:rFonts w:ascii="Times New Roman" w:eastAsia="Times New Roman"/>
        </w:rPr>
        <w:t>0.0062 t/a</w:t>
      </w:r>
      <w:r>
        <w:t>，经自带消烟除尘设施处理后无组织排放，仅定量核算不计入排放总量。</w:t>
      </w:r>
    </w:p>
    <w:p w14:paraId="7BF9B3F3">
      <w:pPr>
        <w:pStyle w:val="7"/>
        <w:spacing w:line="306" w:lineRule="exact"/>
        <w:ind w:left="742"/>
      </w:pPr>
      <w:r>
        <w:t>（</w:t>
      </w:r>
      <w:r>
        <w:rPr>
          <w:rFonts w:ascii="Times New Roman" w:eastAsia="Times New Roman"/>
        </w:rPr>
        <w:t>6</w:t>
      </w:r>
      <w:r>
        <w:t>）食堂油烟</w:t>
      </w:r>
    </w:p>
    <w:p w14:paraId="75335630">
      <w:pPr>
        <w:pStyle w:val="7"/>
        <w:spacing w:before="161" w:line="364" w:lineRule="auto"/>
        <w:ind w:left="260" w:right="977" w:firstLine="482"/>
        <w:jc w:val="both"/>
      </w:pPr>
      <w:r>
        <w:t xml:space="preserve">食物在烹饪、加工过程中将挥发出油脂、有机质及热分解或裂解产物，产生油烟废气。人均食用油用量约 </w:t>
      </w:r>
      <w:r>
        <w:rPr>
          <w:rFonts w:ascii="Times New Roman" w:hAnsi="Times New Roman" w:eastAsia="Times New Roman"/>
        </w:rPr>
        <w:t>30g/</w:t>
      </w:r>
      <w:r>
        <w:t>人</w:t>
      </w:r>
      <w:r>
        <w:rPr>
          <w:rFonts w:ascii="Times New Roman" w:hAnsi="Times New Roman" w:eastAsia="Times New Roman"/>
        </w:rPr>
        <w:t>•d</w:t>
      </w:r>
      <w:r>
        <w:t xml:space="preserve">。厂区定员 </w:t>
      </w:r>
      <w:r>
        <w:rPr>
          <w:rFonts w:ascii="Times New Roman" w:hAnsi="Times New Roman" w:eastAsia="Times New Roman"/>
        </w:rPr>
        <w:t xml:space="preserve">240 </w:t>
      </w:r>
      <w:r>
        <w:t>人，则耗年耗油为</w:t>
      </w:r>
    </w:p>
    <w:p w14:paraId="4510A290">
      <w:pPr>
        <w:pStyle w:val="7"/>
        <w:spacing w:line="362" w:lineRule="auto"/>
        <w:ind w:left="260" w:right="977"/>
      </w:pPr>
      <w:r>
        <w:rPr>
          <w:rFonts w:ascii="Times New Roman" w:eastAsia="Times New Roman"/>
        </w:rPr>
        <w:t>2.16t/a</w:t>
      </w:r>
      <w:r>
        <w:rPr>
          <w:spacing w:val="-4"/>
        </w:rPr>
        <w:t xml:space="preserve">，油烟挥发量一般为食用油用量的 </w:t>
      </w:r>
      <w:r>
        <w:rPr>
          <w:rFonts w:ascii="Times New Roman" w:eastAsia="Times New Roman"/>
        </w:rPr>
        <w:t>2%-4%</w:t>
      </w:r>
      <w:r>
        <w:rPr>
          <w:spacing w:val="-10"/>
        </w:rPr>
        <w:t xml:space="preserve">，本项目取 </w:t>
      </w:r>
      <w:r>
        <w:rPr>
          <w:rFonts w:ascii="Times New Roman" w:eastAsia="Times New Roman"/>
        </w:rPr>
        <w:t>3%</w:t>
      </w:r>
      <w:r>
        <w:t>，经估算油烟产</w:t>
      </w:r>
      <w:r>
        <w:rPr>
          <w:spacing w:val="-16"/>
        </w:rPr>
        <w:t xml:space="preserve">生量为 </w:t>
      </w:r>
      <w:r>
        <w:rPr>
          <w:rFonts w:ascii="Times New Roman" w:eastAsia="Times New Roman"/>
        </w:rPr>
        <w:t>0.0648t/a</w:t>
      </w:r>
      <w:r>
        <w:t>。</w:t>
      </w:r>
    </w:p>
    <w:p w14:paraId="3A72FDE6">
      <w:pPr>
        <w:pStyle w:val="7"/>
        <w:spacing w:before="4" w:line="364" w:lineRule="auto"/>
        <w:ind w:left="260" w:right="981" w:firstLine="482"/>
        <w:jc w:val="both"/>
      </w:pPr>
      <w:r>
        <w:rPr>
          <w:spacing w:val="-5"/>
        </w:rPr>
        <w:t xml:space="preserve">食堂日炒菜均时为 </w:t>
      </w:r>
      <w:r>
        <w:rPr>
          <w:rFonts w:ascii="Times New Roman" w:eastAsia="Times New Roman"/>
        </w:rPr>
        <w:t>4h</w:t>
      </w:r>
      <w:r>
        <w:t>，安装中型油烟净化器（</w:t>
      </w:r>
      <w:r>
        <w:rPr>
          <w:spacing w:val="-8"/>
        </w:rPr>
        <w:t xml:space="preserve">去除效率 </w:t>
      </w:r>
      <w:r>
        <w:rPr>
          <w:rFonts w:ascii="Times New Roman" w:eastAsia="Times New Roman"/>
        </w:rPr>
        <w:t>85%</w:t>
      </w:r>
      <w:r>
        <w:t>）经二层屋顶</w:t>
      </w:r>
      <w:r>
        <w:rPr>
          <w:spacing w:val="-7"/>
        </w:rPr>
        <w:t xml:space="preserve">烟囱排放，风量以 </w:t>
      </w:r>
      <w:r>
        <w:rPr>
          <w:rFonts w:ascii="Times New Roman" w:eastAsia="Times New Roman"/>
        </w:rPr>
        <w:t>5000 m</w:t>
      </w:r>
      <w:r>
        <w:rPr>
          <w:rFonts w:ascii="Times New Roman" w:eastAsia="Times New Roman"/>
          <w:position w:val="8"/>
          <w:sz w:val="15"/>
        </w:rPr>
        <w:t>3</w:t>
      </w:r>
      <w:r>
        <w:rPr>
          <w:rFonts w:ascii="Times New Roman" w:eastAsia="Times New Roman"/>
        </w:rPr>
        <w:t xml:space="preserve">/h </w:t>
      </w:r>
      <w:r>
        <w:rPr>
          <w:spacing w:val="-4"/>
        </w:rPr>
        <w:t xml:space="preserve">计，则本项目食堂油烟的排放量为 </w:t>
      </w:r>
      <w:r>
        <w:rPr>
          <w:rFonts w:ascii="Times New Roman" w:eastAsia="Times New Roman"/>
        </w:rPr>
        <w:t>0.0162t/a</w:t>
      </w:r>
      <w:r>
        <w:t>，排放</w:t>
      </w:r>
      <w:r>
        <w:rPr>
          <w:spacing w:val="-16"/>
        </w:rPr>
        <w:t xml:space="preserve">浓度为 </w:t>
      </w:r>
      <w:r>
        <w:rPr>
          <w:rFonts w:ascii="Times New Roman" w:eastAsia="Times New Roman"/>
        </w:rPr>
        <w:t>1.62mg/m</w:t>
      </w:r>
      <w:r>
        <w:rPr>
          <w:rFonts w:ascii="Times New Roman" w:eastAsia="Times New Roman"/>
          <w:position w:val="8"/>
          <w:sz w:val="15"/>
        </w:rPr>
        <w:t>3</w:t>
      </w:r>
      <w:r>
        <w:t>。</w:t>
      </w:r>
    </w:p>
    <w:p w14:paraId="28CB4A66">
      <w:pPr>
        <w:pStyle w:val="7"/>
        <w:spacing w:line="307" w:lineRule="exact"/>
        <w:ind w:left="742"/>
      </w:pPr>
      <w:r>
        <w:t>（</w:t>
      </w:r>
      <w:r>
        <w:rPr>
          <w:rFonts w:ascii="Times New Roman" w:eastAsia="Times New Roman"/>
        </w:rPr>
        <w:t>7</w:t>
      </w:r>
      <w:r>
        <w:t>）运输车辆废气</w:t>
      </w:r>
    </w:p>
    <w:p w14:paraId="4E2E7E8F">
      <w:pPr>
        <w:pStyle w:val="7"/>
        <w:spacing w:before="158"/>
        <w:ind w:left="742"/>
      </w:pPr>
      <w:r>
        <w:t>运输车辆恶臭主要为车辆运送生猪等牲畜的过程中，牲畜将产生少量的粪</w:t>
      </w:r>
    </w:p>
    <w:p w14:paraId="07C2D4D7">
      <w:pPr>
        <w:spacing w:after="0"/>
        <w:sectPr>
          <w:pgSz w:w="11910" w:h="16840"/>
          <w:pgMar w:top="1360" w:right="820" w:bottom="1400" w:left="1540" w:header="878" w:footer="1204" w:gutter="0"/>
          <w:cols w:space="720" w:num="1"/>
        </w:sectPr>
      </w:pPr>
    </w:p>
    <w:p w14:paraId="757F6E09">
      <w:pPr>
        <w:pStyle w:val="7"/>
        <w:spacing w:before="68" w:line="364" w:lineRule="auto"/>
        <w:ind w:left="260" w:right="977"/>
        <w:jc w:val="both"/>
      </w:pPr>
      <w:r>
        <w:t>和尿残留在车上，粪和尿发酵将产生恶臭气体，若未及时清除或者清除后不能及时处理，将使臭味成倍增加。运输车辆尾气主要为车辆进出厂区怠速及慢速</w:t>
      </w:r>
      <w:r>
        <w:rPr>
          <w:rFonts w:ascii="Times New Roman" w:eastAsia="Times New Roman"/>
        </w:rPr>
        <w:t>(&lt;5km/h)</w:t>
      </w:r>
      <w:r>
        <w:t xml:space="preserve">状态下的尾气排放，包括排气管尾气、曲轴箱漏气及油箱和化油箱等燃料系统的泄漏等，汽车尾气中主要污染因子为 </w:t>
      </w:r>
      <w:r>
        <w:rPr>
          <w:rFonts w:ascii="Times New Roman" w:eastAsia="Times New Roman"/>
        </w:rPr>
        <w:t>CO</w:t>
      </w:r>
      <w:r>
        <w:t>、</w:t>
      </w:r>
      <w:r>
        <w:rPr>
          <w:rFonts w:ascii="Times New Roman" w:eastAsia="Times New Roman"/>
        </w:rPr>
        <w:t xml:space="preserve">THC </w:t>
      </w:r>
      <w:r>
        <w:t xml:space="preserve">和 </w:t>
      </w:r>
      <w:r>
        <w:rPr>
          <w:rFonts w:ascii="Times New Roman" w:eastAsia="Times New Roman"/>
        </w:rPr>
        <w:t>NO2</w:t>
      </w:r>
      <w:r>
        <w:t>。运输车辆排放量较小，属于间断性排放，进出车辆尾气通过自然扩散排放，以无组织形式排入大气，经过空气扩散、稀释作用，对周围环境影响较小。</w:t>
      </w:r>
    </w:p>
    <w:p w14:paraId="297C5A3C">
      <w:pPr>
        <w:pStyle w:val="7"/>
        <w:spacing w:line="364" w:lineRule="auto"/>
        <w:ind w:left="260" w:right="977" w:firstLine="482"/>
        <w:jc w:val="both"/>
      </w:pPr>
      <w:r>
        <w:t>本项目设置车辆消毒区，运输车辆将生猪装卸出入厂区时，工作人员采用消毒水枪对运输车辆进行冲洗并喷晒除臭剂，运输道路扬尘采取路面硬化、厂区内安排人员定期洒水降尘等措施后可得到有效控制。因此，经清洗后的运输车辆恶臭产生量较小，对周围环境的影响不大，本次环评不对运输车辆恶臭进行定量分析。</w:t>
      </w:r>
    </w:p>
    <w:p w14:paraId="08E0ABCA">
      <w:pPr>
        <w:spacing w:after="0" w:line="364" w:lineRule="auto"/>
        <w:jc w:val="both"/>
        <w:sectPr>
          <w:pgSz w:w="11910" w:h="16840"/>
          <w:pgMar w:top="1360" w:right="820" w:bottom="1400" w:left="1540" w:header="878" w:footer="1204" w:gutter="0"/>
          <w:cols w:space="720" w:num="1"/>
        </w:sectPr>
      </w:pPr>
    </w:p>
    <w:p w14:paraId="684AC1DA">
      <w:pPr>
        <w:spacing w:before="47" w:after="19"/>
        <w:ind w:left="4227" w:right="0" w:firstLine="0"/>
        <w:jc w:val="left"/>
        <w:rPr>
          <w:sz w:val="18"/>
        </w:rPr>
      </w:pPr>
      <w:r>
        <w:rPr>
          <w:sz w:val="18"/>
        </w:rPr>
        <w:t>岳阳县惠康农业有限公司岳阳县畜禽屠宰场及冷链物流建设项目环境影响报告书</w:t>
      </w:r>
    </w:p>
    <w:p w14:paraId="0130B448">
      <w:pPr>
        <w:pStyle w:val="7"/>
        <w:spacing w:line="20" w:lineRule="exact"/>
        <w:ind w:left="212"/>
        <w:rPr>
          <w:sz w:val="2"/>
        </w:rPr>
      </w:pPr>
      <w:r>
        <w:rPr>
          <w:sz w:val="2"/>
        </w:rPr>
        <w:pict>
          <v:group id="_x0000_s1381" o:spid="_x0000_s1381" o:spt="203" style="height:0.75pt;width:697.9pt;" coordsize="13958,15">
            <o:lock v:ext="edit"/>
            <v:line id="_x0000_s1382" o:spid="_x0000_s1382" o:spt="20" style="position:absolute;left:0;top:7;height:0;width:13958;" stroked="t" coordsize="21600,21600">
              <v:path arrowok="t"/>
              <v:fill focussize="0,0"/>
              <v:stroke weight="0.72pt" color="#000000"/>
              <v:imagedata o:title=""/>
              <o:lock v:ext="edit"/>
            </v:line>
            <w10:wrap type="none"/>
            <w10:anchorlock/>
          </v:group>
        </w:pict>
      </w:r>
    </w:p>
    <w:p w14:paraId="2F286F86">
      <w:pPr>
        <w:pStyle w:val="7"/>
        <w:rPr>
          <w:sz w:val="20"/>
        </w:rPr>
      </w:pPr>
    </w:p>
    <w:p w14:paraId="58D3C5E3">
      <w:pPr>
        <w:pStyle w:val="7"/>
        <w:spacing w:before="10"/>
        <w:rPr>
          <w:sz w:val="26"/>
        </w:rPr>
      </w:pPr>
    </w:p>
    <w:p w14:paraId="0D95C248">
      <w:pPr>
        <w:spacing w:before="77" w:after="3"/>
        <w:ind w:left="4319" w:right="0" w:firstLine="0"/>
        <w:jc w:val="left"/>
        <w:rPr>
          <w:b/>
          <w:sz w:val="21"/>
        </w:rPr>
      </w:pPr>
      <w:r>
        <w:rPr>
          <w:b/>
          <w:spacing w:val="-28"/>
          <w:sz w:val="21"/>
        </w:rPr>
        <w:t xml:space="preserve">表 </w:t>
      </w:r>
      <w:r>
        <w:rPr>
          <w:rFonts w:ascii="Times New Roman" w:eastAsia="Times New Roman"/>
          <w:b/>
          <w:sz w:val="21"/>
        </w:rPr>
        <w:t>3.7-14</w:t>
      </w:r>
      <w:r>
        <w:rPr>
          <w:rFonts w:ascii="Times New Roman" w:eastAsia="Times New Roman"/>
          <w:b/>
          <w:spacing w:val="50"/>
          <w:sz w:val="21"/>
        </w:rPr>
        <w:t xml:space="preserve"> </w:t>
      </w:r>
      <w:r>
        <w:rPr>
          <w:b/>
          <w:sz w:val="21"/>
        </w:rPr>
        <w:t>项目主要废气污染物产生与排放情况表（正常工况）</w:t>
      </w: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658"/>
        <w:gridCol w:w="836"/>
        <w:gridCol w:w="1012"/>
        <w:gridCol w:w="933"/>
        <w:gridCol w:w="757"/>
        <w:gridCol w:w="1832"/>
        <w:gridCol w:w="666"/>
        <w:gridCol w:w="851"/>
        <w:gridCol w:w="726"/>
        <w:gridCol w:w="922"/>
        <w:gridCol w:w="1004"/>
        <w:gridCol w:w="1111"/>
        <w:gridCol w:w="1004"/>
        <w:gridCol w:w="1165"/>
      </w:tblGrid>
      <w:tr w14:paraId="7C86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dxa"/>
            <w:vMerge w:val="restart"/>
          </w:tcPr>
          <w:p w14:paraId="4059BEFF">
            <w:pPr>
              <w:pStyle w:val="14"/>
              <w:spacing w:before="1"/>
              <w:rPr>
                <w:b/>
                <w:sz w:val="23"/>
              </w:rPr>
            </w:pPr>
          </w:p>
          <w:p w14:paraId="290FBBE4">
            <w:pPr>
              <w:pStyle w:val="14"/>
              <w:spacing w:line="242" w:lineRule="auto"/>
              <w:ind w:left="242" w:right="128" w:hanging="106"/>
              <w:rPr>
                <w:b/>
                <w:sz w:val="21"/>
              </w:rPr>
            </w:pPr>
            <w:r>
              <w:rPr>
                <w:b/>
                <w:sz w:val="21"/>
              </w:rPr>
              <w:t>污染源</w:t>
            </w:r>
          </w:p>
        </w:tc>
        <w:tc>
          <w:tcPr>
            <w:tcW w:w="658" w:type="dxa"/>
            <w:vMerge w:val="restart"/>
          </w:tcPr>
          <w:p w14:paraId="240B6517">
            <w:pPr>
              <w:pStyle w:val="14"/>
              <w:spacing w:before="1"/>
              <w:rPr>
                <w:b/>
                <w:sz w:val="23"/>
              </w:rPr>
            </w:pPr>
          </w:p>
          <w:p w14:paraId="64B4BFAB">
            <w:pPr>
              <w:pStyle w:val="14"/>
              <w:spacing w:line="242" w:lineRule="auto"/>
              <w:ind w:left="221" w:right="107" w:hanging="104"/>
              <w:rPr>
                <w:b/>
                <w:sz w:val="21"/>
              </w:rPr>
            </w:pPr>
            <w:r>
              <w:rPr>
                <w:b/>
                <w:sz w:val="21"/>
              </w:rPr>
              <w:t>污染物</w:t>
            </w:r>
          </w:p>
        </w:tc>
        <w:tc>
          <w:tcPr>
            <w:tcW w:w="2781" w:type="dxa"/>
            <w:gridSpan w:val="3"/>
          </w:tcPr>
          <w:p w14:paraId="409996F7">
            <w:pPr>
              <w:pStyle w:val="14"/>
              <w:spacing w:before="34"/>
              <w:ind w:left="1052" w:right="1045"/>
              <w:jc w:val="center"/>
              <w:rPr>
                <w:b/>
                <w:sz w:val="21"/>
              </w:rPr>
            </w:pPr>
            <w:r>
              <w:rPr>
                <w:b/>
                <w:sz w:val="21"/>
              </w:rPr>
              <w:t>产生量</w:t>
            </w:r>
          </w:p>
        </w:tc>
        <w:tc>
          <w:tcPr>
            <w:tcW w:w="757" w:type="dxa"/>
            <w:vMerge w:val="restart"/>
          </w:tcPr>
          <w:p w14:paraId="1778189A">
            <w:pPr>
              <w:pStyle w:val="14"/>
              <w:spacing w:before="1"/>
              <w:rPr>
                <w:b/>
                <w:sz w:val="23"/>
              </w:rPr>
            </w:pPr>
          </w:p>
          <w:p w14:paraId="0FCEF89D">
            <w:pPr>
              <w:pStyle w:val="14"/>
              <w:spacing w:line="242" w:lineRule="auto"/>
              <w:ind w:left="166" w:right="157"/>
              <w:rPr>
                <w:b/>
                <w:sz w:val="21"/>
              </w:rPr>
            </w:pPr>
            <w:r>
              <w:rPr>
                <w:b/>
                <w:sz w:val="21"/>
              </w:rPr>
              <w:t>收集效率</w:t>
            </w:r>
          </w:p>
        </w:tc>
        <w:tc>
          <w:tcPr>
            <w:tcW w:w="1832" w:type="dxa"/>
            <w:vMerge w:val="restart"/>
          </w:tcPr>
          <w:p w14:paraId="5F59FCD5">
            <w:pPr>
              <w:pStyle w:val="14"/>
              <w:rPr>
                <w:b/>
                <w:sz w:val="20"/>
              </w:rPr>
            </w:pPr>
          </w:p>
          <w:p w14:paraId="0D02F1EF">
            <w:pPr>
              <w:pStyle w:val="14"/>
              <w:spacing w:before="177"/>
              <w:ind w:left="494"/>
              <w:rPr>
                <w:b/>
                <w:sz w:val="21"/>
              </w:rPr>
            </w:pPr>
            <w:r>
              <w:rPr>
                <w:b/>
                <w:sz w:val="21"/>
              </w:rPr>
              <w:t>治理措施</w:t>
            </w:r>
          </w:p>
        </w:tc>
        <w:tc>
          <w:tcPr>
            <w:tcW w:w="666" w:type="dxa"/>
            <w:vMerge w:val="restart"/>
          </w:tcPr>
          <w:p w14:paraId="6B492A72">
            <w:pPr>
              <w:pStyle w:val="14"/>
              <w:spacing w:before="1"/>
              <w:rPr>
                <w:b/>
                <w:sz w:val="23"/>
              </w:rPr>
            </w:pPr>
          </w:p>
          <w:p w14:paraId="3BD516E7">
            <w:pPr>
              <w:pStyle w:val="14"/>
              <w:spacing w:line="242" w:lineRule="auto"/>
              <w:ind w:left="121" w:right="111"/>
              <w:rPr>
                <w:b/>
                <w:sz w:val="21"/>
              </w:rPr>
            </w:pPr>
            <w:r>
              <w:rPr>
                <w:b/>
                <w:sz w:val="21"/>
              </w:rPr>
              <w:t>治理效率</w:t>
            </w:r>
          </w:p>
        </w:tc>
        <w:tc>
          <w:tcPr>
            <w:tcW w:w="851" w:type="dxa"/>
            <w:vMerge w:val="restart"/>
          </w:tcPr>
          <w:p w14:paraId="7EEFD640">
            <w:pPr>
              <w:pStyle w:val="14"/>
              <w:spacing w:before="174" w:line="242" w:lineRule="auto"/>
              <w:ind w:left="108" w:right="98"/>
              <w:jc w:val="center"/>
              <w:rPr>
                <w:rFonts w:ascii="Times New Roman" w:eastAsia="Times New Roman"/>
                <w:sz w:val="21"/>
              </w:rPr>
            </w:pPr>
            <w:r>
              <w:rPr>
                <w:b/>
                <w:w w:val="95"/>
                <w:sz w:val="21"/>
              </w:rPr>
              <w:t>风机风</w:t>
            </w:r>
            <w:r>
              <w:rPr>
                <w:b/>
                <w:sz w:val="21"/>
              </w:rPr>
              <w:t xml:space="preserve">量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p>
        </w:tc>
        <w:tc>
          <w:tcPr>
            <w:tcW w:w="726" w:type="dxa"/>
            <w:vMerge w:val="restart"/>
          </w:tcPr>
          <w:p w14:paraId="458A21B0">
            <w:pPr>
              <w:pStyle w:val="14"/>
              <w:spacing w:before="159" w:line="242" w:lineRule="auto"/>
              <w:ind w:left="150" w:right="143"/>
              <w:jc w:val="both"/>
              <w:rPr>
                <w:b/>
                <w:sz w:val="21"/>
              </w:rPr>
            </w:pPr>
            <w:r>
              <w:rPr>
                <w:b/>
                <w:sz w:val="21"/>
              </w:rPr>
              <w:t>工作小时数</w:t>
            </w:r>
          </w:p>
        </w:tc>
        <w:tc>
          <w:tcPr>
            <w:tcW w:w="3037" w:type="dxa"/>
            <w:gridSpan w:val="3"/>
          </w:tcPr>
          <w:p w14:paraId="3E254C5B">
            <w:pPr>
              <w:pStyle w:val="14"/>
              <w:spacing w:before="34"/>
              <w:ind w:left="991"/>
              <w:rPr>
                <w:b/>
                <w:sz w:val="21"/>
              </w:rPr>
            </w:pPr>
            <w:r>
              <w:rPr>
                <w:b/>
                <w:sz w:val="21"/>
              </w:rPr>
              <w:t>有组织排放</w:t>
            </w:r>
          </w:p>
        </w:tc>
        <w:tc>
          <w:tcPr>
            <w:tcW w:w="2169" w:type="dxa"/>
            <w:gridSpan w:val="2"/>
          </w:tcPr>
          <w:p w14:paraId="346F5D8C">
            <w:pPr>
              <w:pStyle w:val="14"/>
              <w:spacing w:before="34"/>
              <w:ind w:left="556"/>
              <w:rPr>
                <w:b/>
                <w:sz w:val="21"/>
              </w:rPr>
            </w:pPr>
            <w:r>
              <w:rPr>
                <w:b/>
                <w:sz w:val="21"/>
              </w:rPr>
              <w:t>无组织排放</w:t>
            </w:r>
          </w:p>
        </w:tc>
      </w:tr>
      <w:tr w14:paraId="5182B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697" w:type="dxa"/>
            <w:vMerge w:val="continue"/>
            <w:tcBorders>
              <w:top w:val="nil"/>
            </w:tcBorders>
          </w:tcPr>
          <w:p w14:paraId="3F1E4B04">
            <w:pPr>
              <w:rPr>
                <w:sz w:val="2"/>
                <w:szCs w:val="2"/>
              </w:rPr>
            </w:pPr>
          </w:p>
        </w:tc>
        <w:tc>
          <w:tcPr>
            <w:tcW w:w="658" w:type="dxa"/>
            <w:vMerge w:val="continue"/>
            <w:tcBorders>
              <w:top w:val="nil"/>
            </w:tcBorders>
          </w:tcPr>
          <w:p w14:paraId="71C755A7">
            <w:pPr>
              <w:rPr>
                <w:sz w:val="2"/>
                <w:szCs w:val="2"/>
              </w:rPr>
            </w:pPr>
          </w:p>
        </w:tc>
        <w:tc>
          <w:tcPr>
            <w:tcW w:w="836" w:type="dxa"/>
          </w:tcPr>
          <w:p w14:paraId="0895E492">
            <w:pPr>
              <w:pStyle w:val="14"/>
              <w:spacing w:before="1" w:line="242" w:lineRule="auto"/>
              <w:ind w:left="207" w:right="196"/>
              <w:rPr>
                <w:b/>
                <w:sz w:val="21"/>
              </w:rPr>
            </w:pPr>
            <w:r>
              <w:rPr>
                <w:b/>
                <w:sz w:val="21"/>
              </w:rPr>
              <w:t>产生浓度</w:t>
            </w:r>
          </w:p>
          <w:p w14:paraId="635F42CA">
            <w:pPr>
              <w:pStyle w:val="14"/>
              <w:spacing w:line="222" w:lineRule="exact"/>
              <w:ind w:left="125"/>
              <w:rPr>
                <w:rFonts w:ascii="Times New Roman"/>
                <w:b/>
                <w:sz w:val="13"/>
              </w:rPr>
            </w:pPr>
            <w:r>
              <w:rPr>
                <w:rFonts w:ascii="Times New Roman"/>
                <w:b/>
                <w:sz w:val="21"/>
              </w:rPr>
              <w:t>mg/m</w:t>
            </w:r>
            <w:r>
              <w:rPr>
                <w:rFonts w:ascii="Times New Roman"/>
                <w:b/>
                <w:position w:val="7"/>
                <w:sz w:val="13"/>
              </w:rPr>
              <w:t>3</w:t>
            </w:r>
          </w:p>
        </w:tc>
        <w:tc>
          <w:tcPr>
            <w:tcW w:w="1012" w:type="dxa"/>
          </w:tcPr>
          <w:p w14:paraId="0E9B6927">
            <w:pPr>
              <w:pStyle w:val="14"/>
              <w:spacing w:before="1" w:line="242" w:lineRule="auto"/>
              <w:ind w:left="189" w:right="181"/>
              <w:jc w:val="center"/>
              <w:rPr>
                <w:b/>
                <w:sz w:val="21"/>
              </w:rPr>
            </w:pPr>
            <w:r>
              <w:rPr>
                <w:b/>
                <w:w w:val="95"/>
                <w:sz w:val="21"/>
              </w:rPr>
              <w:t>产生速</w:t>
            </w:r>
            <w:r>
              <w:rPr>
                <w:b/>
                <w:sz w:val="21"/>
              </w:rPr>
              <w:t>率</w:t>
            </w:r>
          </w:p>
          <w:p w14:paraId="5026A52A">
            <w:pPr>
              <w:pStyle w:val="14"/>
              <w:spacing w:line="222" w:lineRule="exact"/>
              <w:ind w:left="188" w:right="181"/>
              <w:jc w:val="center"/>
              <w:rPr>
                <w:rFonts w:ascii="Times New Roman"/>
                <w:b/>
                <w:sz w:val="21"/>
              </w:rPr>
            </w:pPr>
            <w:r>
              <w:rPr>
                <w:rFonts w:ascii="Times New Roman"/>
                <w:b/>
                <w:sz w:val="21"/>
              </w:rPr>
              <w:t>kg/h</w:t>
            </w:r>
          </w:p>
        </w:tc>
        <w:tc>
          <w:tcPr>
            <w:tcW w:w="933" w:type="dxa"/>
          </w:tcPr>
          <w:p w14:paraId="4F3E6B36">
            <w:pPr>
              <w:pStyle w:val="14"/>
              <w:spacing w:before="136"/>
              <w:ind w:left="20" w:right="15"/>
              <w:jc w:val="center"/>
              <w:rPr>
                <w:b/>
                <w:sz w:val="21"/>
              </w:rPr>
            </w:pPr>
            <w:r>
              <w:rPr>
                <w:b/>
                <w:sz w:val="21"/>
              </w:rPr>
              <w:t>产生量</w:t>
            </w:r>
          </w:p>
          <w:p w14:paraId="5E2B2773">
            <w:pPr>
              <w:pStyle w:val="14"/>
              <w:spacing w:before="4"/>
              <w:ind w:left="21" w:right="15"/>
              <w:jc w:val="center"/>
              <w:rPr>
                <w:rFonts w:ascii="Times New Roman"/>
                <w:b/>
                <w:sz w:val="21"/>
              </w:rPr>
            </w:pPr>
            <w:r>
              <w:rPr>
                <w:rFonts w:ascii="Times New Roman"/>
                <w:b/>
                <w:sz w:val="21"/>
              </w:rPr>
              <w:t>t/a</w:t>
            </w:r>
          </w:p>
        </w:tc>
        <w:tc>
          <w:tcPr>
            <w:tcW w:w="757" w:type="dxa"/>
            <w:vMerge w:val="continue"/>
            <w:tcBorders>
              <w:top w:val="nil"/>
            </w:tcBorders>
          </w:tcPr>
          <w:p w14:paraId="61D3B349">
            <w:pPr>
              <w:rPr>
                <w:sz w:val="2"/>
                <w:szCs w:val="2"/>
              </w:rPr>
            </w:pPr>
          </w:p>
        </w:tc>
        <w:tc>
          <w:tcPr>
            <w:tcW w:w="1832" w:type="dxa"/>
            <w:vMerge w:val="continue"/>
            <w:tcBorders>
              <w:top w:val="nil"/>
            </w:tcBorders>
          </w:tcPr>
          <w:p w14:paraId="797D72EE">
            <w:pPr>
              <w:rPr>
                <w:sz w:val="2"/>
                <w:szCs w:val="2"/>
              </w:rPr>
            </w:pPr>
          </w:p>
        </w:tc>
        <w:tc>
          <w:tcPr>
            <w:tcW w:w="666" w:type="dxa"/>
            <w:vMerge w:val="continue"/>
            <w:tcBorders>
              <w:top w:val="nil"/>
            </w:tcBorders>
          </w:tcPr>
          <w:p w14:paraId="4B159FCD">
            <w:pPr>
              <w:rPr>
                <w:sz w:val="2"/>
                <w:szCs w:val="2"/>
              </w:rPr>
            </w:pPr>
          </w:p>
        </w:tc>
        <w:tc>
          <w:tcPr>
            <w:tcW w:w="851" w:type="dxa"/>
            <w:vMerge w:val="continue"/>
            <w:tcBorders>
              <w:top w:val="nil"/>
            </w:tcBorders>
          </w:tcPr>
          <w:p w14:paraId="1C80A165">
            <w:pPr>
              <w:rPr>
                <w:sz w:val="2"/>
                <w:szCs w:val="2"/>
              </w:rPr>
            </w:pPr>
          </w:p>
        </w:tc>
        <w:tc>
          <w:tcPr>
            <w:tcW w:w="726" w:type="dxa"/>
            <w:vMerge w:val="continue"/>
            <w:tcBorders>
              <w:top w:val="nil"/>
            </w:tcBorders>
          </w:tcPr>
          <w:p w14:paraId="73A09B52">
            <w:pPr>
              <w:rPr>
                <w:sz w:val="2"/>
                <w:szCs w:val="2"/>
              </w:rPr>
            </w:pPr>
          </w:p>
        </w:tc>
        <w:tc>
          <w:tcPr>
            <w:tcW w:w="922" w:type="dxa"/>
          </w:tcPr>
          <w:p w14:paraId="623F412A">
            <w:pPr>
              <w:pStyle w:val="14"/>
              <w:spacing w:before="1" w:line="242" w:lineRule="auto"/>
              <w:ind w:left="355" w:right="134" w:hanging="212"/>
              <w:rPr>
                <w:b/>
                <w:sz w:val="21"/>
              </w:rPr>
            </w:pPr>
            <w:r>
              <w:rPr>
                <w:b/>
                <w:sz w:val="21"/>
              </w:rPr>
              <w:t>排放浓度</w:t>
            </w:r>
          </w:p>
          <w:p w14:paraId="57630EDE">
            <w:pPr>
              <w:pStyle w:val="14"/>
              <w:spacing w:line="222" w:lineRule="exact"/>
              <w:ind w:left="168"/>
              <w:rPr>
                <w:rFonts w:ascii="Times New Roman"/>
                <w:b/>
                <w:sz w:val="13"/>
              </w:rPr>
            </w:pPr>
            <w:r>
              <w:rPr>
                <w:rFonts w:ascii="Times New Roman"/>
                <w:b/>
                <w:sz w:val="21"/>
              </w:rPr>
              <w:t>mg/m</w:t>
            </w:r>
            <w:r>
              <w:rPr>
                <w:rFonts w:ascii="Times New Roman"/>
                <w:b/>
                <w:position w:val="7"/>
                <w:sz w:val="13"/>
              </w:rPr>
              <w:t>3</w:t>
            </w:r>
          </w:p>
        </w:tc>
        <w:tc>
          <w:tcPr>
            <w:tcW w:w="1004" w:type="dxa"/>
          </w:tcPr>
          <w:p w14:paraId="50F9BFE8">
            <w:pPr>
              <w:pStyle w:val="14"/>
              <w:spacing w:before="136"/>
              <w:ind w:left="85" w:right="78"/>
              <w:jc w:val="center"/>
              <w:rPr>
                <w:b/>
                <w:sz w:val="21"/>
              </w:rPr>
            </w:pPr>
            <w:r>
              <w:rPr>
                <w:b/>
                <w:sz w:val="21"/>
              </w:rPr>
              <w:t>排放量</w:t>
            </w:r>
          </w:p>
          <w:p w14:paraId="401BBBB7">
            <w:pPr>
              <w:pStyle w:val="14"/>
              <w:spacing w:before="4"/>
              <w:ind w:left="84" w:right="78"/>
              <w:jc w:val="center"/>
              <w:rPr>
                <w:rFonts w:ascii="Times New Roman"/>
                <w:b/>
                <w:sz w:val="21"/>
              </w:rPr>
            </w:pPr>
            <w:r>
              <w:rPr>
                <w:rFonts w:ascii="Times New Roman"/>
                <w:b/>
                <w:sz w:val="21"/>
              </w:rPr>
              <w:t>t/a</w:t>
            </w:r>
          </w:p>
        </w:tc>
        <w:tc>
          <w:tcPr>
            <w:tcW w:w="1111" w:type="dxa"/>
          </w:tcPr>
          <w:p w14:paraId="21E6A085">
            <w:pPr>
              <w:pStyle w:val="14"/>
              <w:spacing w:before="121" w:line="242" w:lineRule="auto"/>
              <w:ind w:left="224" w:right="150" w:firstLine="14"/>
              <w:rPr>
                <w:rFonts w:ascii="Times New Roman" w:eastAsia="Times New Roman"/>
                <w:b/>
                <w:sz w:val="21"/>
              </w:rPr>
            </w:pPr>
            <w:r>
              <w:rPr>
                <w:b/>
                <w:sz w:val="21"/>
              </w:rPr>
              <w:t xml:space="preserve">排放速率 </w:t>
            </w:r>
            <w:r>
              <w:rPr>
                <w:rFonts w:ascii="Times New Roman" w:eastAsia="Times New Roman"/>
                <w:b/>
                <w:sz w:val="21"/>
              </w:rPr>
              <w:t>kg/h</w:t>
            </w:r>
          </w:p>
        </w:tc>
        <w:tc>
          <w:tcPr>
            <w:tcW w:w="1004" w:type="dxa"/>
          </w:tcPr>
          <w:p w14:paraId="184C7770">
            <w:pPr>
              <w:pStyle w:val="14"/>
              <w:spacing w:before="136"/>
              <w:ind w:left="87" w:right="77"/>
              <w:jc w:val="center"/>
              <w:rPr>
                <w:b/>
                <w:sz w:val="21"/>
              </w:rPr>
            </w:pPr>
            <w:r>
              <w:rPr>
                <w:b/>
                <w:sz w:val="21"/>
              </w:rPr>
              <w:t>排放量</w:t>
            </w:r>
          </w:p>
          <w:p w14:paraId="40AAAD29">
            <w:pPr>
              <w:pStyle w:val="14"/>
              <w:spacing w:before="4"/>
              <w:ind w:left="82" w:right="78"/>
              <w:jc w:val="center"/>
              <w:rPr>
                <w:rFonts w:ascii="Times New Roman"/>
                <w:b/>
                <w:sz w:val="21"/>
              </w:rPr>
            </w:pPr>
            <w:r>
              <w:rPr>
                <w:rFonts w:ascii="Times New Roman"/>
                <w:b/>
                <w:sz w:val="21"/>
              </w:rPr>
              <w:t>t/a</w:t>
            </w:r>
          </w:p>
        </w:tc>
        <w:tc>
          <w:tcPr>
            <w:tcW w:w="1165" w:type="dxa"/>
          </w:tcPr>
          <w:p w14:paraId="55D8F7B2">
            <w:pPr>
              <w:pStyle w:val="14"/>
              <w:spacing w:before="136"/>
              <w:ind w:left="112" w:right="106"/>
              <w:jc w:val="center"/>
              <w:rPr>
                <w:b/>
                <w:sz w:val="21"/>
              </w:rPr>
            </w:pPr>
            <w:r>
              <w:rPr>
                <w:b/>
                <w:sz w:val="21"/>
              </w:rPr>
              <w:t>排放速率</w:t>
            </w:r>
          </w:p>
          <w:p w14:paraId="5F0B04AB">
            <w:pPr>
              <w:pStyle w:val="14"/>
              <w:spacing w:before="4"/>
              <w:ind w:left="111" w:right="106"/>
              <w:jc w:val="center"/>
              <w:rPr>
                <w:rFonts w:ascii="Times New Roman"/>
                <w:b/>
                <w:sz w:val="21"/>
              </w:rPr>
            </w:pPr>
            <w:r>
              <w:rPr>
                <w:rFonts w:ascii="Times New Roman"/>
                <w:b/>
                <w:sz w:val="21"/>
              </w:rPr>
              <w:t>kg/h</w:t>
            </w:r>
          </w:p>
        </w:tc>
      </w:tr>
      <w:tr w14:paraId="09FF1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697" w:type="dxa"/>
            <w:tcBorders>
              <w:bottom w:val="nil"/>
            </w:tcBorders>
          </w:tcPr>
          <w:p w14:paraId="4820E138">
            <w:pPr>
              <w:pStyle w:val="14"/>
              <w:spacing w:before="20" w:line="253" w:lineRule="exact"/>
              <w:ind w:left="37" w:right="34"/>
              <w:jc w:val="center"/>
              <w:rPr>
                <w:sz w:val="21"/>
              </w:rPr>
            </w:pPr>
            <w:r>
              <w:rPr>
                <w:sz w:val="21"/>
              </w:rPr>
              <w:t>暂养</w:t>
            </w:r>
          </w:p>
        </w:tc>
        <w:tc>
          <w:tcPr>
            <w:tcW w:w="658" w:type="dxa"/>
            <w:vMerge w:val="restart"/>
          </w:tcPr>
          <w:p w14:paraId="1F87019E">
            <w:pPr>
              <w:pStyle w:val="14"/>
              <w:spacing w:before="62"/>
              <w:ind w:left="142"/>
              <w:rPr>
                <w:rFonts w:ascii="Times New Roman"/>
                <w:sz w:val="21"/>
              </w:rPr>
            </w:pPr>
            <w:r>
              <w:rPr>
                <w:rFonts w:ascii="Times New Roman"/>
                <w:position w:val="2"/>
                <w:sz w:val="21"/>
              </w:rPr>
              <w:t>NH</w:t>
            </w:r>
            <w:r>
              <w:rPr>
                <w:rFonts w:ascii="Times New Roman"/>
                <w:position w:val="2"/>
                <w:sz w:val="21"/>
                <w:vertAlign w:val="subscript"/>
              </w:rPr>
              <w:t>3</w:t>
            </w:r>
          </w:p>
        </w:tc>
        <w:tc>
          <w:tcPr>
            <w:tcW w:w="836" w:type="dxa"/>
            <w:vMerge w:val="restart"/>
          </w:tcPr>
          <w:p w14:paraId="0FFA37FE">
            <w:pPr>
              <w:pStyle w:val="14"/>
              <w:spacing w:before="65"/>
              <w:ind w:left="11"/>
              <w:jc w:val="center"/>
              <w:rPr>
                <w:rFonts w:ascii="Times New Roman"/>
                <w:sz w:val="21"/>
              </w:rPr>
            </w:pPr>
            <w:r>
              <w:rPr>
                <w:rFonts w:ascii="Times New Roman"/>
                <w:w w:val="99"/>
                <w:sz w:val="21"/>
              </w:rPr>
              <w:t>/</w:t>
            </w:r>
          </w:p>
        </w:tc>
        <w:tc>
          <w:tcPr>
            <w:tcW w:w="1012" w:type="dxa"/>
            <w:vMerge w:val="restart"/>
          </w:tcPr>
          <w:p w14:paraId="159E43FD">
            <w:pPr>
              <w:pStyle w:val="14"/>
              <w:spacing w:before="65"/>
              <w:ind w:left="268"/>
              <w:rPr>
                <w:rFonts w:ascii="Times New Roman"/>
                <w:sz w:val="21"/>
              </w:rPr>
            </w:pPr>
            <w:r>
              <w:rPr>
                <w:rFonts w:ascii="Times New Roman"/>
                <w:sz w:val="21"/>
              </w:rPr>
              <w:t>0.258</w:t>
            </w:r>
          </w:p>
        </w:tc>
        <w:tc>
          <w:tcPr>
            <w:tcW w:w="933" w:type="dxa"/>
            <w:vMerge w:val="restart"/>
          </w:tcPr>
          <w:p w14:paraId="70FF2B75">
            <w:pPr>
              <w:pStyle w:val="14"/>
              <w:spacing w:before="65"/>
              <w:ind w:left="228"/>
              <w:rPr>
                <w:rFonts w:ascii="Times New Roman"/>
                <w:sz w:val="21"/>
              </w:rPr>
            </w:pPr>
            <w:r>
              <w:rPr>
                <w:rFonts w:ascii="Times New Roman"/>
                <w:sz w:val="21"/>
              </w:rPr>
              <w:t>2.264</w:t>
            </w:r>
          </w:p>
        </w:tc>
        <w:tc>
          <w:tcPr>
            <w:tcW w:w="757" w:type="dxa"/>
            <w:tcBorders>
              <w:bottom w:val="nil"/>
            </w:tcBorders>
          </w:tcPr>
          <w:p w14:paraId="6B927592">
            <w:pPr>
              <w:pStyle w:val="14"/>
              <w:rPr>
                <w:rFonts w:ascii="Times New Roman"/>
                <w:sz w:val="20"/>
              </w:rPr>
            </w:pPr>
          </w:p>
        </w:tc>
        <w:tc>
          <w:tcPr>
            <w:tcW w:w="1832" w:type="dxa"/>
            <w:tcBorders>
              <w:bottom w:val="nil"/>
            </w:tcBorders>
          </w:tcPr>
          <w:p w14:paraId="053C71B2">
            <w:pPr>
              <w:pStyle w:val="14"/>
              <w:spacing w:before="20" w:line="253" w:lineRule="exact"/>
              <w:ind w:left="122"/>
              <w:rPr>
                <w:sz w:val="21"/>
              </w:rPr>
            </w:pPr>
            <w:r>
              <w:rPr>
                <w:sz w:val="21"/>
              </w:rPr>
              <w:t>喷淋吸收塔</w:t>
            </w:r>
            <w:r>
              <w:rPr>
                <w:rFonts w:ascii="Times New Roman" w:eastAsia="Times New Roman"/>
                <w:sz w:val="21"/>
              </w:rPr>
              <w:t>+</w:t>
            </w:r>
            <w:r>
              <w:rPr>
                <w:sz w:val="21"/>
              </w:rPr>
              <w:t>生物</w:t>
            </w:r>
          </w:p>
        </w:tc>
        <w:tc>
          <w:tcPr>
            <w:tcW w:w="666" w:type="dxa"/>
            <w:tcBorders>
              <w:bottom w:val="nil"/>
            </w:tcBorders>
          </w:tcPr>
          <w:p w14:paraId="02570215">
            <w:pPr>
              <w:pStyle w:val="14"/>
              <w:rPr>
                <w:rFonts w:ascii="Times New Roman"/>
                <w:sz w:val="20"/>
              </w:rPr>
            </w:pPr>
          </w:p>
        </w:tc>
        <w:tc>
          <w:tcPr>
            <w:tcW w:w="851" w:type="dxa"/>
            <w:tcBorders>
              <w:bottom w:val="nil"/>
            </w:tcBorders>
          </w:tcPr>
          <w:p w14:paraId="7B83A6AC">
            <w:pPr>
              <w:pStyle w:val="14"/>
              <w:rPr>
                <w:rFonts w:ascii="Times New Roman"/>
                <w:sz w:val="20"/>
              </w:rPr>
            </w:pPr>
          </w:p>
        </w:tc>
        <w:tc>
          <w:tcPr>
            <w:tcW w:w="726" w:type="dxa"/>
            <w:tcBorders>
              <w:bottom w:val="nil"/>
            </w:tcBorders>
          </w:tcPr>
          <w:p w14:paraId="305DC075">
            <w:pPr>
              <w:pStyle w:val="14"/>
              <w:rPr>
                <w:rFonts w:ascii="Times New Roman"/>
                <w:sz w:val="20"/>
              </w:rPr>
            </w:pPr>
          </w:p>
        </w:tc>
        <w:tc>
          <w:tcPr>
            <w:tcW w:w="922" w:type="dxa"/>
            <w:vMerge w:val="restart"/>
          </w:tcPr>
          <w:p w14:paraId="1D78B2D7">
            <w:pPr>
              <w:pStyle w:val="14"/>
              <w:spacing w:before="65"/>
              <w:ind w:left="223"/>
              <w:rPr>
                <w:rFonts w:ascii="Times New Roman"/>
                <w:sz w:val="21"/>
              </w:rPr>
            </w:pPr>
            <w:r>
              <w:rPr>
                <w:rFonts w:ascii="Times New Roman"/>
                <w:sz w:val="21"/>
              </w:rPr>
              <w:t>1.025</w:t>
            </w:r>
          </w:p>
        </w:tc>
        <w:tc>
          <w:tcPr>
            <w:tcW w:w="1004" w:type="dxa"/>
            <w:vMerge w:val="restart"/>
          </w:tcPr>
          <w:p w14:paraId="23D42266">
            <w:pPr>
              <w:pStyle w:val="14"/>
              <w:spacing w:before="65"/>
              <w:ind w:left="264"/>
              <w:rPr>
                <w:rFonts w:ascii="Times New Roman"/>
                <w:sz w:val="21"/>
              </w:rPr>
            </w:pPr>
            <w:r>
              <w:rPr>
                <w:rFonts w:ascii="Times New Roman"/>
                <w:sz w:val="21"/>
              </w:rPr>
              <w:t>0.108</w:t>
            </w:r>
          </w:p>
        </w:tc>
        <w:tc>
          <w:tcPr>
            <w:tcW w:w="1111" w:type="dxa"/>
            <w:vMerge w:val="restart"/>
          </w:tcPr>
          <w:p w14:paraId="2A0D7157">
            <w:pPr>
              <w:pStyle w:val="14"/>
              <w:spacing w:before="65"/>
              <w:ind w:left="265"/>
              <w:rPr>
                <w:rFonts w:ascii="Times New Roman"/>
                <w:sz w:val="21"/>
              </w:rPr>
            </w:pPr>
            <w:r>
              <w:rPr>
                <w:rFonts w:ascii="Times New Roman"/>
                <w:sz w:val="21"/>
              </w:rPr>
              <w:t>0.0123</w:t>
            </w:r>
          </w:p>
        </w:tc>
        <w:tc>
          <w:tcPr>
            <w:tcW w:w="1004" w:type="dxa"/>
            <w:vMerge w:val="restart"/>
          </w:tcPr>
          <w:p w14:paraId="3E55623B">
            <w:pPr>
              <w:pStyle w:val="14"/>
              <w:spacing w:before="65"/>
              <w:ind w:left="268"/>
              <w:rPr>
                <w:rFonts w:ascii="Times New Roman"/>
                <w:sz w:val="21"/>
              </w:rPr>
            </w:pPr>
            <w:r>
              <w:rPr>
                <w:rFonts w:ascii="Times New Roman"/>
                <w:sz w:val="21"/>
              </w:rPr>
              <w:t>0.113</w:t>
            </w:r>
          </w:p>
        </w:tc>
        <w:tc>
          <w:tcPr>
            <w:tcW w:w="1165" w:type="dxa"/>
            <w:vMerge w:val="restart"/>
          </w:tcPr>
          <w:p w14:paraId="38B96A53">
            <w:pPr>
              <w:pStyle w:val="14"/>
              <w:spacing w:before="65"/>
              <w:ind w:left="291"/>
              <w:rPr>
                <w:rFonts w:ascii="Times New Roman"/>
                <w:sz w:val="21"/>
              </w:rPr>
            </w:pPr>
            <w:r>
              <w:rPr>
                <w:rFonts w:ascii="Times New Roman"/>
                <w:sz w:val="21"/>
              </w:rPr>
              <w:t>0.0129</w:t>
            </w:r>
          </w:p>
        </w:tc>
      </w:tr>
      <w:tr w14:paraId="2E3F0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 w:hRule="atLeast"/>
        </w:trPr>
        <w:tc>
          <w:tcPr>
            <w:tcW w:w="697" w:type="dxa"/>
            <w:vMerge w:val="restart"/>
            <w:tcBorders>
              <w:top w:val="nil"/>
            </w:tcBorders>
          </w:tcPr>
          <w:p w14:paraId="62B0FBB1">
            <w:pPr>
              <w:pStyle w:val="14"/>
              <w:spacing w:line="242" w:lineRule="auto"/>
              <w:ind w:left="136" w:right="130"/>
              <w:jc w:val="both"/>
              <w:rPr>
                <w:sz w:val="21"/>
              </w:rPr>
            </w:pPr>
            <w:r>
              <w:rPr>
                <w:w w:val="95"/>
                <w:sz w:val="21"/>
              </w:rPr>
              <w:t>区及待宰</w:t>
            </w:r>
            <w:r>
              <w:rPr>
                <w:sz w:val="21"/>
              </w:rPr>
              <w:t>间</w:t>
            </w:r>
          </w:p>
        </w:tc>
        <w:tc>
          <w:tcPr>
            <w:tcW w:w="658" w:type="dxa"/>
            <w:vMerge w:val="continue"/>
            <w:tcBorders>
              <w:top w:val="nil"/>
            </w:tcBorders>
          </w:tcPr>
          <w:p w14:paraId="2E5EDB6F">
            <w:pPr>
              <w:rPr>
                <w:sz w:val="2"/>
                <w:szCs w:val="2"/>
              </w:rPr>
            </w:pPr>
          </w:p>
        </w:tc>
        <w:tc>
          <w:tcPr>
            <w:tcW w:w="836" w:type="dxa"/>
            <w:vMerge w:val="continue"/>
            <w:tcBorders>
              <w:top w:val="nil"/>
            </w:tcBorders>
          </w:tcPr>
          <w:p w14:paraId="4EB3B5C5">
            <w:pPr>
              <w:rPr>
                <w:sz w:val="2"/>
                <w:szCs w:val="2"/>
              </w:rPr>
            </w:pPr>
          </w:p>
        </w:tc>
        <w:tc>
          <w:tcPr>
            <w:tcW w:w="1012" w:type="dxa"/>
            <w:vMerge w:val="continue"/>
            <w:tcBorders>
              <w:top w:val="nil"/>
            </w:tcBorders>
          </w:tcPr>
          <w:p w14:paraId="69A72341">
            <w:pPr>
              <w:rPr>
                <w:sz w:val="2"/>
                <w:szCs w:val="2"/>
              </w:rPr>
            </w:pPr>
          </w:p>
        </w:tc>
        <w:tc>
          <w:tcPr>
            <w:tcW w:w="933" w:type="dxa"/>
            <w:vMerge w:val="continue"/>
            <w:tcBorders>
              <w:top w:val="nil"/>
            </w:tcBorders>
          </w:tcPr>
          <w:p w14:paraId="510FA127">
            <w:pPr>
              <w:rPr>
                <w:sz w:val="2"/>
                <w:szCs w:val="2"/>
              </w:rPr>
            </w:pPr>
          </w:p>
        </w:tc>
        <w:tc>
          <w:tcPr>
            <w:tcW w:w="757" w:type="dxa"/>
            <w:vMerge w:val="restart"/>
            <w:tcBorders>
              <w:top w:val="nil"/>
            </w:tcBorders>
          </w:tcPr>
          <w:p w14:paraId="33B95F8D">
            <w:pPr>
              <w:pStyle w:val="14"/>
              <w:spacing w:before="138"/>
              <w:ind w:left="186"/>
              <w:rPr>
                <w:rFonts w:ascii="Times New Roman"/>
                <w:sz w:val="21"/>
              </w:rPr>
            </w:pPr>
            <w:r>
              <w:rPr>
                <w:rFonts w:ascii="Times New Roman"/>
                <w:sz w:val="21"/>
              </w:rPr>
              <w:t>95%</w:t>
            </w:r>
          </w:p>
        </w:tc>
        <w:tc>
          <w:tcPr>
            <w:tcW w:w="1832" w:type="dxa"/>
            <w:vMerge w:val="restart"/>
            <w:tcBorders>
              <w:top w:val="nil"/>
            </w:tcBorders>
          </w:tcPr>
          <w:p w14:paraId="49ADEFFE">
            <w:pPr>
              <w:pStyle w:val="14"/>
              <w:spacing w:line="257" w:lineRule="exact"/>
              <w:ind w:left="120" w:right="113"/>
              <w:jc w:val="center"/>
              <w:rPr>
                <w:sz w:val="21"/>
              </w:rPr>
            </w:pPr>
            <w:r>
              <w:rPr>
                <w:sz w:val="21"/>
              </w:rPr>
              <w:t>除臭装置处理</w:t>
            </w:r>
          </w:p>
          <w:p w14:paraId="51D77B9F">
            <w:pPr>
              <w:pStyle w:val="14"/>
              <w:spacing w:before="2"/>
              <w:ind w:left="333"/>
              <w:rPr>
                <w:sz w:val="21"/>
              </w:rPr>
            </w:pPr>
            <w:r>
              <w:rPr>
                <w:rFonts w:ascii="Times New Roman" w:eastAsia="Times New Roman"/>
                <w:sz w:val="21"/>
              </w:rPr>
              <w:t xml:space="preserve">+15m </w:t>
            </w:r>
            <w:r>
              <w:rPr>
                <w:sz w:val="21"/>
              </w:rPr>
              <w:t>排气筒</w:t>
            </w:r>
          </w:p>
          <w:p w14:paraId="40DC6C3A">
            <w:pPr>
              <w:pStyle w:val="14"/>
              <w:spacing w:before="4"/>
              <w:ind w:left="120" w:right="113"/>
              <w:jc w:val="center"/>
              <w:rPr>
                <w:sz w:val="21"/>
              </w:rPr>
            </w:pPr>
            <w:r>
              <w:rPr>
                <w:sz w:val="21"/>
              </w:rPr>
              <w:t>（</w:t>
            </w:r>
            <w:r>
              <w:rPr>
                <w:rFonts w:ascii="Times New Roman" w:eastAsia="Times New Roman"/>
                <w:sz w:val="21"/>
              </w:rPr>
              <w:t>DA001</w:t>
            </w:r>
            <w:r>
              <w:rPr>
                <w:sz w:val="21"/>
              </w:rPr>
              <w:t>）</w:t>
            </w:r>
          </w:p>
        </w:tc>
        <w:tc>
          <w:tcPr>
            <w:tcW w:w="666" w:type="dxa"/>
            <w:vMerge w:val="restart"/>
            <w:tcBorders>
              <w:top w:val="nil"/>
            </w:tcBorders>
          </w:tcPr>
          <w:p w14:paraId="13D5E586">
            <w:pPr>
              <w:pStyle w:val="14"/>
              <w:spacing w:before="138"/>
              <w:ind w:left="138"/>
              <w:rPr>
                <w:rFonts w:ascii="Times New Roman"/>
                <w:sz w:val="21"/>
              </w:rPr>
            </w:pPr>
            <w:r>
              <w:rPr>
                <w:rFonts w:ascii="Times New Roman"/>
                <w:sz w:val="21"/>
              </w:rPr>
              <w:t>95%</w:t>
            </w:r>
          </w:p>
        </w:tc>
        <w:tc>
          <w:tcPr>
            <w:tcW w:w="851" w:type="dxa"/>
            <w:vMerge w:val="restart"/>
            <w:tcBorders>
              <w:top w:val="nil"/>
            </w:tcBorders>
          </w:tcPr>
          <w:p w14:paraId="3435A0EE">
            <w:pPr>
              <w:pStyle w:val="14"/>
              <w:spacing w:before="138"/>
              <w:ind w:left="161"/>
              <w:rPr>
                <w:rFonts w:ascii="Times New Roman"/>
                <w:sz w:val="21"/>
              </w:rPr>
            </w:pPr>
            <w:r>
              <w:rPr>
                <w:rFonts w:ascii="Times New Roman"/>
                <w:sz w:val="21"/>
              </w:rPr>
              <w:t>12000</w:t>
            </w:r>
          </w:p>
        </w:tc>
        <w:tc>
          <w:tcPr>
            <w:tcW w:w="726" w:type="dxa"/>
            <w:vMerge w:val="restart"/>
            <w:tcBorders>
              <w:top w:val="nil"/>
            </w:tcBorders>
          </w:tcPr>
          <w:p w14:paraId="7E67D42F">
            <w:pPr>
              <w:pStyle w:val="14"/>
              <w:spacing w:before="138"/>
              <w:ind w:left="152"/>
              <w:rPr>
                <w:rFonts w:ascii="Times New Roman"/>
                <w:sz w:val="21"/>
              </w:rPr>
            </w:pPr>
            <w:r>
              <w:rPr>
                <w:rFonts w:ascii="Times New Roman"/>
                <w:sz w:val="21"/>
              </w:rPr>
              <w:t>8760</w:t>
            </w:r>
          </w:p>
        </w:tc>
        <w:tc>
          <w:tcPr>
            <w:tcW w:w="922" w:type="dxa"/>
            <w:vMerge w:val="continue"/>
            <w:tcBorders>
              <w:top w:val="nil"/>
            </w:tcBorders>
          </w:tcPr>
          <w:p w14:paraId="5C08E4F8">
            <w:pPr>
              <w:rPr>
                <w:sz w:val="2"/>
                <w:szCs w:val="2"/>
              </w:rPr>
            </w:pPr>
          </w:p>
        </w:tc>
        <w:tc>
          <w:tcPr>
            <w:tcW w:w="1004" w:type="dxa"/>
            <w:vMerge w:val="continue"/>
            <w:tcBorders>
              <w:top w:val="nil"/>
            </w:tcBorders>
          </w:tcPr>
          <w:p w14:paraId="1B44BEFC">
            <w:pPr>
              <w:rPr>
                <w:sz w:val="2"/>
                <w:szCs w:val="2"/>
              </w:rPr>
            </w:pPr>
          </w:p>
        </w:tc>
        <w:tc>
          <w:tcPr>
            <w:tcW w:w="1111" w:type="dxa"/>
            <w:vMerge w:val="continue"/>
            <w:tcBorders>
              <w:top w:val="nil"/>
            </w:tcBorders>
          </w:tcPr>
          <w:p w14:paraId="6AC95C8B">
            <w:pPr>
              <w:rPr>
                <w:sz w:val="2"/>
                <w:szCs w:val="2"/>
              </w:rPr>
            </w:pPr>
          </w:p>
        </w:tc>
        <w:tc>
          <w:tcPr>
            <w:tcW w:w="1004" w:type="dxa"/>
            <w:vMerge w:val="continue"/>
            <w:tcBorders>
              <w:top w:val="nil"/>
            </w:tcBorders>
          </w:tcPr>
          <w:p w14:paraId="0F444F60">
            <w:pPr>
              <w:rPr>
                <w:sz w:val="2"/>
                <w:szCs w:val="2"/>
              </w:rPr>
            </w:pPr>
          </w:p>
        </w:tc>
        <w:tc>
          <w:tcPr>
            <w:tcW w:w="1165" w:type="dxa"/>
            <w:vMerge w:val="continue"/>
            <w:tcBorders>
              <w:top w:val="nil"/>
            </w:tcBorders>
          </w:tcPr>
          <w:p w14:paraId="69FAD278">
            <w:pPr>
              <w:rPr>
                <w:sz w:val="2"/>
                <w:szCs w:val="2"/>
              </w:rPr>
            </w:pPr>
          </w:p>
        </w:tc>
      </w:tr>
      <w:tr w14:paraId="3DF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697" w:type="dxa"/>
            <w:vMerge w:val="continue"/>
            <w:tcBorders>
              <w:top w:val="nil"/>
            </w:tcBorders>
          </w:tcPr>
          <w:p w14:paraId="360FE263">
            <w:pPr>
              <w:rPr>
                <w:sz w:val="2"/>
                <w:szCs w:val="2"/>
              </w:rPr>
            </w:pPr>
          </w:p>
        </w:tc>
        <w:tc>
          <w:tcPr>
            <w:tcW w:w="658" w:type="dxa"/>
          </w:tcPr>
          <w:p w14:paraId="50ED09B4">
            <w:pPr>
              <w:pStyle w:val="14"/>
              <w:spacing w:before="2"/>
              <w:rPr>
                <w:b/>
                <w:sz w:val="19"/>
              </w:rPr>
            </w:pPr>
          </w:p>
          <w:p w14:paraId="00933551">
            <w:pPr>
              <w:pStyle w:val="14"/>
              <w:spacing w:before="1"/>
              <w:ind w:left="97" w:right="89"/>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836" w:type="dxa"/>
          </w:tcPr>
          <w:p w14:paraId="6EBBCD56">
            <w:pPr>
              <w:pStyle w:val="14"/>
              <w:spacing w:before="6"/>
              <w:rPr>
                <w:b/>
                <w:sz w:val="19"/>
              </w:rPr>
            </w:pPr>
          </w:p>
          <w:p w14:paraId="453251F3">
            <w:pPr>
              <w:pStyle w:val="14"/>
              <w:ind w:left="11"/>
              <w:jc w:val="center"/>
              <w:rPr>
                <w:rFonts w:ascii="Times New Roman"/>
                <w:sz w:val="21"/>
              </w:rPr>
            </w:pPr>
            <w:r>
              <w:rPr>
                <w:rFonts w:ascii="Times New Roman"/>
                <w:w w:val="99"/>
                <w:sz w:val="21"/>
              </w:rPr>
              <w:t>/</w:t>
            </w:r>
          </w:p>
        </w:tc>
        <w:tc>
          <w:tcPr>
            <w:tcW w:w="1012" w:type="dxa"/>
          </w:tcPr>
          <w:p w14:paraId="5056D6BE">
            <w:pPr>
              <w:pStyle w:val="14"/>
              <w:spacing w:before="6"/>
              <w:rPr>
                <w:b/>
                <w:sz w:val="19"/>
              </w:rPr>
            </w:pPr>
          </w:p>
          <w:p w14:paraId="3477FD46">
            <w:pPr>
              <w:pStyle w:val="14"/>
              <w:ind w:left="188" w:right="181"/>
              <w:jc w:val="center"/>
              <w:rPr>
                <w:rFonts w:ascii="Times New Roman"/>
                <w:sz w:val="21"/>
              </w:rPr>
            </w:pPr>
            <w:r>
              <w:rPr>
                <w:rFonts w:ascii="Times New Roman"/>
                <w:sz w:val="21"/>
              </w:rPr>
              <w:t>0.022</w:t>
            </w:r>
          </w:p>
        </w:tc>
        <w:tc>
          <w:tcPr>
            <w:tcW w:w="933" w:type="dxa"/>
          </w:tcPr>
          <w:p w14:paraId="6AFD257E">
            <w:pPr>
              <w:pStyle w:val="14"/>
              <w:spacing w:before="6"/>
              <w:rPr>
                <w:b/>
                <w:sz w:val="19"/>
              </w:rPr>
            </w:pPr>
          </w:p>
          <w:p w14:paraId="7AD082BA">
            <w:pPr>
              <w:pStyle w:val="14"/>
              <w:ind w:left="23" w:right="15"/>
              <w:jc w:val="center"/>
              <w:rPr>
                <w:rFonts w:ascii="Times New Roman"/>
                <w:sz w:val="21"/>
              </w:rPr>
            </w:pPr>
            <w:r>
              <w:rPr>
                <w:rFonts w:ascii="Times New Roman"/>
                <w:sz w:val="21"/>
              </w:rPr>
              <w:t>0.2</w:t>
            </w:r>
          </w:p>
        </w:tc>
        <w:tc>
          <w:tcPr>
            <w:tcW w:w="757" w:type="dxa"/>
            <w:vMerge w:val="continue"/>
            <w:tcBorders>
              <w:top w:val="nil"/>
            </w:tcBorders>
          </w:tcPr>
          <w:p w14:paraId="769C8067">
            <w:pPr>
              <w:rPr>
                <w:sz w:val="2"/>
                <w:szCs w:val="2"/>
              </w:rPr>
            </w:pPr>
          </w:p>
        </w:tc>
        <w:tc>
          <w:tcPr>
            <w:tcW w:w="1832" w:type="dxa"/>
            <w:vMerge w:val="continue"/>
            <w:tcBorders>
              <w:top w:val="nil"/>
            </w:tcBorders>
          </w:tcPr>
          <w:p w14:paraId="2B62754D">
            <w:pPr>
              <w:rPr>
                <w:sz w:val="2"/>
                <w:szCs w:val="2"/>
              </w:rPr>
            </w:pPr>
          </w:p>
        </w:tc>
        <w:tc>
          <w:tcPr>
            <w:tcW w:w="666" w:type="dxa"/>
            <w:vMerge w:val="continue"/>
            <w:tcBorders>
              <w:top w:val="nil"/>
            </w:tcBorders>
          </w:tcPr>
          <w:p w14:paraId="774BADE6">
            <w:pPr>
              <w:rPr>
                <w:sz w:val="2"/>
                <w:szCs w:val="2"/>
              </w:rPr>
            </w:pPr>
          </w:p>
        </w:tc>
        <w:tc>
          <w:tcPr>
            <w:tcW w:w="851" w:type="dxa"/>
            <w:vMerge w:val="continue"/>
            <w:tcBorders>
              <w:top w:val="nil"/>
            </w:tcBorders>
          </w:tcPr>
          <w:p w14:paraId="506D0409">
            <w:pPr>
              <w:rPr>
                <w:sz w:val="2"/>
                <w:szCs w:val="2"/>
              </w:rPr>
            </w:pPr>
          </w:p>
        </w:tc>
        <w:tc>
          <w:tcPr>
            <w:tcW w:w="726" w:type="dxa"/>
            <w:vMerge w:val="continue"/>
            <w:tcBorders>
              <w:top w:val="nil"/>
            </w:tcBorders>
          </w:tcPr>
          <w:p w14:paraId="19D9C125">
            <w:pPr>
              <w:rPr>
                <w:sz w:val="2"/>
                <w:szCs w:val="2"/>
              </w:rPr>
            </w:pPr>
          </w:p>
        </w:tc>
        <w:tc>
          <w:tcPr>
            <w:tcW w:w="922" w:type="dxa"/>
          </w:tcPr>
          <w:p w14:paraId="3C6F855E">
            <w:pPr>
              <w:pStyle w:val="14"/>
              <w:spacing w:before="6"/>
              <w:rPr>
                <w:b/>
                <w:sz w:val="19"/>
              </w:rPr>
            </w:pPr>
          </w:p>
          <w:p w14:paraId="23DF63C4">
            <w:pPr>
              <w:pStyle w:val="14"/>
              <w:ind w:left="98" w:right="91"/>
              <w:jc w:val="center"/>
              <w:rPr>
                <w:rFonts w:ascii="Times New Roman"/>
                <w:sz w:val="21"/>
              </w:rPr>
            </w:pPr>
            <w:r>
              <w:rPr>
                <w:rFonts w:ascii="Times New Roman"/>
                <w:sz w:val="21"/>
              </w:rPr>
              <w:t>0.092</w:t>
            </w:r>
          </w:p>
        </w:tc>
        <w:tc>
          <w:tcPr>
            <w:tcW w:w="1004" w:type="dxa"/>
          </w:tcPr>
          <w:p w14:paraId="22721432">
            <w:pPr>
              <w:pStyle w:val="14"/>
              <w:spacing w:before="6"/>
              <w:rPr>
                <w:b/>
                <w:sz w:val="19"/>
              </w:rPr>
            </w:pPr>
          </w:p>
          <w:p w14:paraId="4235D0C5">
            <w:pPr>
              <w:pStyle w:val="14"/>
              <w:ind w:left="87" w:right="77"/>
              <w:jc w:val="center"/>
              <w:rPr>
                <w:rFonts w:ascii="Times New Roman"/>
                <w:sz w:val="21"/>
              </w:rPr>
            </w:pPr>
            <w:r>
              <w:rPr>
                <w:rFonts w:ascii="Times New Roman"/>
                <w:sz w:val="21"/>
              </w:rPr>
              <w:t>0.0095</w:t>
            </w:r>
          </w:p>
        </w:tc>
        <w:tc>
          <w:tcPr>
            <w:tcW w:w="1111" w:type="dxa"/>
          </w:tcPr>
          <w:p w14:paraId="49D2872B">
            <w:pPr>
              <w:pStyle w:val="14"/>
              <w:spacing w:before="6"/>
              <w:rPr>
                <w:b/>
                <w:sz w:val="19"/>
              </w:rPr>
            </w:pPr>
          </w:p>
          <w:p w14:paraId="4A9244C6">
            <w:pPr>
              <w:pStyle w:val="14"/>
              <w:ind w:left="86" w:right="79"/>
              <w:jc w:val="center"/>
              <w:rPr>
                <w:rFonts w:ascii="Times New Roman"/>
                <w:sz w:val="21"/>
              </w:rPr>
            </w:pPr>
            <w:r>
              <w:rPr>
                <w:rFonts w:ascii="Times New Roman"/>
                <w:sz w:val="21"/>
              </w:rPr>
              <w:t>0.0011</w:t>
            </w:r>
          </w:p>
        </w:tc>
        <w:tc>
          <w:tcPr>
            <w:tcW w:w="1004" w:type="dxa"/>
          </w:tcPr>
          <w:p w14:paraId="26E54C32">
            <w:pPr>
              <w:pStyle w:val="14"/>
              <w:spacing w:before="6"/>
              <w:rPr>
                <w:b/>
                <w:sz w:val="19"/>
              </w:rPr>
            </w:pPr>
          </w:p>
          <w:p w14:paraId="18276B39">
            <w:pPr>
              <w:pStyle w:val="14"/>
              <w:ind w:left="87" w:right="78"/>
              <w:jc w:val="center"/>
              <w:rPr>
                <w:rFonts w:ascii="Times New Roman"/>
                <w:sz w:val="21"/>
              </w:rPr>
            </w:pPr>
            <w:r>
              <w:rPr>
                <w:rFonts w:ascii="Times New Roman"/>
                <w:sz w:val="21"/>
              </w:rPr>
              <w:t>0.01</w:t>
            </w:r>
          </w:p>
        </w:tc>
        <w:tc>
          <w:tcPr>
            <w:tcW w:w="1165" w:type="dxa"/>
          </w:tcPr>
          <w:p w14:paraId="4DFFEC63">
            <w:pPr>
              <w:pStyle w:val="14"/>
              <w:spacing w:before="6"/>
              <w:rPr>
                <w:b/>
                <w:sz w:val="19"/>
              </w:rPr>
            </w:pPr>
          </w:p>
          <w:p w14:paraId="5C6D5B9B">
            <w:pPr>
              <w:pStyle w:val="14"/>
              <w:ind w:left="116" w:right="106"/>
              <w:jc w:val="center"/>
              <w:rPr>
                <w:rFonts w:ascii="Times New Roman"/>
                <w:sz w:val="21"/>
              </w:rPr>
            </w:pPr>
            <w:r>
              <w:rPr>
                <w:rFonts w:ascii="Times New Roman"/>
                <w:sz w:val="21"/>
              </w:rPr>
              <w:t>0.0011</w:t>
            </w:r>
          </w:p>
        </w:tc>
      </w:tr>
      <w:tr w14:paraId="20417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97" w:type="dxa"/>
            <w:vMerge w:val="restart"/>
          </w:tcPr>
          <w:p w14:paraId="610883DF">
            <w:pPr>
              <w:pStyle w:val="14"/>
              <w:spacing w:before="19" w:line="242" w:lineRule="auto"/>
              <w:ind w:left="136" w:right="130"/>
              <w:jc w:val="both"/>
              <w:rPr>
                <w:sz w:val="21"/>
              </w:rPr>
            </w:pPr>
            <w:r>
              <w:rPr>
                <w:w w:val="95"/>
                <w:sz w:val="21"/>
              </w:rPr>
              <w:t>污水处理</w:t>
            </w:r>
            <w:r>
              <w:rPr>
                <w:sz w:val="21"/>
              </w:rPr>
              <w:t>站</w:t>
            </w:r>
          </w:p>
        </w:tc>
        <w:tc>
          <w:tcPr>
            <w:tcW w:w="658" w:type="dxa"/>
          </w:tcPr>
          <w:p w14:paraId="3A35DF7E">
            <w:pPr>
              <w:pStyle w:val="14"/>
              <w:spacing w:before="61"/>
              <w:ind w:left="97" w:right="89"/>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836" w:type="dxa"/>
          </w:tcPr>
          <w:p w14:paraId="26B5C5E9">
            <w:pPr>
              <w:pStyle w:val="14"/>
              <w:spacing w:before="64"/>
              <w:ind w:left="11"/>
              <w:jc w:val="center"/>
              <w:rPr>
                <w:rFonts w:ascii="Times New Roman"/>
                <w:sz w:val="21"/>
              </w:rPr>
            </w:pPr>
            <w:r>
              <w:rPr>
                <w:rFonts w:ascii="Times New Roman"/>
                <w:w w:val="99"/>
                <w:sz w:val="21"/>
              </w:rPr>
              <w:t>/</w:t>
            </w:r>
          </w:p>
        </w:tc>
        <w:tc>
          <w:tcPr>
            <w:tcW w:w="1012" w:type="dxa"/>
          </w:tcPr>
          <w:p w14:paraId="58058034">
            <w:pPr>
              <w:pStyle w:val="14"/>
              <w:spacing w:before="64"/>
              <w:ind w:left="189" w:right="180"/>
              <w:jc w:val="center"/>
              <w:rPr>
                <w:rFonts w:ascii="Times New Roman"/>
                <w:sz w:val="21"/>
              </w:rPr>
            </w:pPr>
            <w:r>
              <w:rPr>
                <w:rFonts w:ascii="Times New Roman"/>
                <w:sz w:val="21"/>
              </w:rPr>
              <w:t>0.076</w:t>
            </w:r>
          </w:p>
        </w:tc>
        <w:tc>
          <w:tcPr>
            <w:tcW w:w="933" w:type="dxa"/>
          </w:tcPr>
          <w:p w14:paraId="02C19CB7">
            <w:pPr>
              <w:pStyle w:val="14"/>
              <w:spacing w:before="64"/>
              <w:ind w:left="23" w:right="15"/>
              <w:jc w:val="center"/>
              <w:rPr>
                <w:rFonts w:ascii="Times New Roman"/>
                <w:sz w:val="21"/>
              </w:rPr>
            </w:pPr>
            <w:r>
              <w:rPr>
                <w:rFonts w:ascii="Times New Roman"/>
                <w:sz w:val="21"/>
              </w:rPr>
              <w:t>0.67</w:t>
            </w:r>
          </w:p>
        </w:tc>
        <w:tc>
          <w:tcPr>
            <w:tcW w:w="757" w:type="dxa"/>
            <w:vMerge w:val="restart"/>
          </w:tcPr>
          <w:p w14:paraId="7F9AE28C">
            <w:pPr>
              <w:pStyle w:val="14"/>
              <w:spacing w:before="12"/>
              <w:rPr>
                <w:b/>
                <w:sz w:val="23"/>
              </w:rPr>
            </w:pPr>
          </w:p>
          <w:p w14:paraId="7E8B2DBA">
            <w:pPr>
              <w:pStyle w:val="14"/>
              <w:ind w:left="186"/>
              <w:rPr>
                <w:rFonts w:ascii="Times New Roman"/>
                <w:sz w:val="21"/>
              </w:rPr>
            </w:pPr>
            <w:r>
              <w:rPr>
                <w:rFonts w:ascii="Times New Roman"/>
                <w:sz w:val="21"/>
              </w:rPr>
              <w:t>95%</w:t>
            </w:r>
          </w:p>
        </w:tc>
        <w:tc>
          <w:tcPr>
            <w:tcW w:w="1832" w:type="dxa"/>
            <w:vMerge w:val="restart"/>
            <w:tcBorders>
              <w:bottom w:val="nil"/>
            </w:tcBorders>
          </w:tcPr>
          <w:p w14:paraId="4CABE171">
            <w:pPr>
              <w:pStyle w:val="14"/>
              <w:spacing w:before="2"/>
              <w:rPr>
                <w:b/>
                <w:sz w:val="17"/>
              </w:rPr>
            </w:pPr>
          </w:p>
          <w:p w14:paraId="6910FDC6">
            <w:pPr>
              <w:pStyle w:val="14"/>
              <w:spacing w:before="1" w:line="242" w:lineRule="auto"/>
              <w:ind w:left="122" w:right="113"/>
              <w:jc w:val="center"/>
              <w:rPr>
                <w:sz w:val="21"/>
              </w:rPr>
            </w:pPr>
            <w:r>
              <w:rPr>
                <w:w w:val="95"/>
                <w:sz w:val="21"/>
              </w:rPr>
              <w:t>喷淋吸收塔</w:t>
            </w:r>
            <w:r>
              <w:rPr>
                <w:rFonts w:ascii="Times New Roman" w:eastAsia="Times New Roman"/>
                <w:w w:val="95"/>
                <w:sz w:val="21"/>
              </w:rPr>
              <w:t>+</w:t>
            </w:r>
            <w:r>
              <w:rPr>
                <w:w w:val="95"/>
                <w:sz w:val="21"/>
              </w:rPr>
              <w:t>生物</w:t>
            </w:r>
            <w:r>
              <w:rPr>
                <w:sz w:val="21"/>
              </w:rPr>
              <w:t>除臭装置处理</w:t>
            </w:r>
          </w:p>
          <w:p w14:paraId="7A55CAB5">
            <w:pPr>
              <w:pStyle w:val="14"/>
              <w:spacing w:before="1" w:line="251" w:lineRule="exact"/>
              <w:ind w:left="120" w:right="113"/>
              <w:jc w:val="center"/>
              <w:rPr>
                <w:sz w:val="21"/>
              </w:rPr>
            </w:pPr>
            <w:r>
              <w:rPr>
                <w:rFonts w:ascii="Times New Roman" w:eastAsia="Times New Roman"/>
                <w:sz w:val="21"/>
              </w:rPr>
              <w:t xml:space="preserve">+15m </w:t>
            </w:r>
            <w:r>
              <w:rPr>
                <w:sz w:val="21"/>
              </w:rPr>
              <w:t>排气筒</w:t>
            </w:r>
          </w:p>
        </w:tc>
        <w:tc>
          <w:tcPr>
            <w:tcW w:w="666" w:type="dxa"/>
            <w:vMerge w:val="restart"/>
          </w:tcPr>
          <w:p w14:paraId="66E92FF6">
            <w:pPr>
              <w:pStyle w:val="14"/>
              <w:spacing w:before="12"/>
              <w:rPr>
                <w:b/>
                <w:sz w:val="23"/>
              </w:rPr>
            </w:pPr>
          </w:p>
          <w:p w14:paraId="2F2E6B28">
            <w:pPr>
              <w:pStyle w:val="14"/>
              <w:ind w:left="138"/>
              <w:rPr>
                <w:rFonts w:ascii="Times New Roman"/>
                <w:sz w:val="21"/>
              </w:rPr>
            </w:pPr>
            <w:r>
              <w:rPr>
                <w:rFonts w:ascii="Times New Roman"/>
                <w:sz w:val="21"/>
              </w:rPr>
              <w:t>90%</w:t>
            </w:r>
          </w:p>
        </w:tc>
        <w:tc>
          <w:tcPr>
            <w:tcW w:w="851" w:type="dxa"/>
            <w:vMerge w:val="restart"/>
          </w:tcPr>
          <w:p w14:paraId="62F50070">
            <w:pPr>
              <w:pStyle w:val="14"/>
              <w:spacing w:before="12"/>
              <w:rPr>
                <w:b/>
                <w:sz w:val="23"/>
              </w:rPr>
            </w:pPr>
          </w:p>
          <w:p w14:paraId="0A3D46E7">
            <w:pPr>
              <w:pStyle w:val="14"/>
              <w:ind w:left="214"/>
              <w:rPr>
                <w:rFonts w:ascii="Times New Roman"/>
                <w:sz w:val="21"/>
              </w:rPr>
            </w:pPr>
            <w:r>
              <w:rPr>
                <w:rFonts w:ascii="Times New Roman"/>
                <w:sz w:val="21"/>
              </w:rPr>
              <w:t>4000</w:t>
            </w:r>
          </w:p>
        </w:tc>
        <w:tc>
          <w:tcPr>
            <w:tcW w:w="726" w:type="dxa"/>
            <w:vMerge w:val="restart"/>
          </w:tcPr>
          <w:p w14:paraId="18698053">
            <w:pPr>
              <w:pStyle w:val="14"/>
              <w:spacing w:before="12"/>
              <w:rPr>
                <w:b/>
                <w:sz w:val="23"/>
              </w:rPr>
            </w:pPr>
          </w:p>
          <w:p w14:paraId="2581CD54">
            <w:pPr>
              <w:pStyle w:val="14"/>
              <w:ind w:left="152"/>
              <w:rPr>
                <w:rFonts w:ascii="Times New Roman"/>
                <w:sz w:val="21"/>
              </w:rPr>
            </w:pPr>
            <w:r>
              <w:rPr>
                <w:rFonts w:ascii="Times New Roman"/>
                <w:sz w:val="21"/>
              </w:rPr>
              <w:t>8760</w:t>
            </w:r>
          </w:p>
        </w:tc>
        <w:tc>
          <w:tcPr>
            <w:tcW w:w="922" w:type="dxa"/>
          </w:tcPr>
          <w:p w14:paraId="7DAD0271">
            <w:pPr>
              <w:pStyle w:val="14"/>
              <w:spacing w:before="64"/>
              <w:ind w:left="98" w:right="89"/>
              <w:jc w:val="center"/>
              <w:rPr>
                <w:rFonts w:ascii="Times New Roman"/>
                <w:sz w:val="21"/>
              </w:rPr>
            </w:pPr>
            <w:r>
              <w:rPr>
                <w:rFonts w:ascii="Times New Roman"/>
                <w:sz w:val="21"/>
              </w:rPr>
              <w:t>1.81</w:t>
            </w:r>
          </w:p>
        </w:tc>
        <w:tc>
          <w:tcPr>
            <w:tcW w:w="1004" w:type="dxa"/>
          </w:tcPr>
          <w:p w14:paraId="41A61ABD">
            <w:pPr>
              <w:pStyle w:val="14"/>
              <w:spacing w:before="64"/>
              <w:ind w:left="86" w:right="78"/>
              <w:jc w:val="center"/>
              <w:rPr>
                <w:rFonts w:ascii="Times New Roman"/>
                <w:sz w:val="21"/>
              </w:rPr>
            </w:pPr>
            <w:r>
              <w:rPr>
                <w:rFonts w:ascii="Times New Roman"/>
                <w:sz w:val="21"/>
              </w:rPr>
              <w:t>0.064</w:t>
            </w:r>
          </w:p>
        </w:tc>
        <w:tc>
          <w:tcPr>
            <w:tcW w:w="1111" w:type="dxa"/>
          </w:tcPr>
          <w:p w14:paraId="3C8EFF4C">
            <w:pPr>
              <w:pStyle w:val="14"/>
              <w:spacing w:before="64"/>
              <w:ind w:left="86" w:right="79"/>
              <w:jc w:val="center"/>
              <w:rPr>
                <w:rFonts w:ascii="Times New Roman"/>
                <w:sz w:val="21"/>
              </w:rPr>
            </w:pPr>
            <w:r>
              <w:rPr>
                <w:rFonts w:ascii="Times New Roman"/>
                <w:sz w:val="21"/>
              </w:rPr>
              <w:t>0.0073</w:t>
            </w:r>
          </w:p>
        </w:tc>
        <w:tc>
          <w:tcPr>
            <w:tcW w:w="1004" w:type="dxa"/>
          </w:tcPr>
          <w:p w14:paraId="70C263C0">
            <w:pPr>
              <w:pStyle w:val="14"/>
              <w:spacing w:before="64"/>
              <w:ind w:left="87" w:right="78"/>
              <w:jc w:val="center"/>
              <w:rPr>
                <w:rFonts w:ascii="Times New Roman"/>
                <w:sz w:val="21"/>
              </w:rPr>
            </w:pPr>
            <w:r>
              <w:rPr>
                <w:rFonts w:ascii="Times New Roman"/>
                <w:sz w:val="21"/>
              </w:rPr>
              <w:t>0.0335</w:t>
            </w:r>
          </w:p>
        </w:tc>
        <w:tc>
          <w:tcPr>
            <w:tcW w:w="1165" w:type="dxa"/>
          </w:tcPr>
          <w:p w14:paraId="2822C4F8">
            <w:pPr>
              <w:pStyle w:val="14"/>
              <w:spacing w:before="64"/>
              <w:ind w:left="111" w:right="106"/>
              <w:jc w:val="center"/>
              <w:rPr>
                <w:rFonts w:ascii="Times New Roman"/>
                <w:sz w:val="21"/>
              </w:rPr>
            </w:pPr>
            <w:r>
              <w:rPr>
                <w:rFonts w:ascii="Times New Roman"/>
                <w:sz w:val="21"/>
              </w:rPr>
              <w:t>0.0038</w:t>
            </w:r>
          </w:p>
        </w:tc>
      </w:tr>
      <w:tr w14:paraId="4952A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697" w:type="dxa"/>
            <w:vMerge w:val="continue"/>
            <w:tcBorders>
              <w:top w:val="nil"/>
            </w:tcBorders>
          </w:tcPr>
          <w:p w14:paraId="04F0A201">
            <w:pPr>
              <w:rPr>
                <w:sz w:val="2"/>
                <w:szCs w:val="2"/>
              </w:rPr>
            </w:pPr>
          </w:p>
        </w:tc>
        <w:tc>
          <w:tcPr>
            <w:tcW w:w="658" w:type="dxa"/>
          </w:tcPr>
          <w:p w14:paraId="05F8094E">
            <w:pPr>
              <w:pStyle w:val="14"/>
              <w:spacing w:before="110"/>
              <w:ind w:left="97" w:right="89"/>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836" w:type="dxa"/>
          </w:tcPr>
          <w:p w14:paraId="307106E5">
            <w:pPr>
              <w:pStyle w:val="14"/>
              <w:spacing w:before="113"/>
              <w:ind w:left="11"/>
              <w:jc w:val="center"/>
              <w:rPr>
                <w:rFonts w:ascii="Times New Roman"/>
                <w:sz w:val="21"/>
              </w:rPr>
            </w:pPr>
            <w:r>
              <w:rPr>
                <w:rFonts w:ascii="Times New Roman"/>
                <w:w w:val="99"/>
                <w:sz w:val="21"/>
              </w:rPr>
              <w:t>/</w:t>
            </w:r>
          </w:p>
        </w:tc>
        <w:tc>
          <w:tcPr>
            <w:tcW w:w="1012" w:type="dxa"/>
          </w:tcPr>
          <w:p w14:paraId="7C1F10C8">
            <w:pPr>
              <w:pStyle w:val="14"/>
              <w:spacing w:before="113"/>
              <w:ind w:left="189" w:right="180"/>
              <w:jc w:val="center"/>
              <w:rPr>
                <w:rFonts w:ascii="Times New Roman"/>
                <w:sz w:val="21"/>
              </w:rPr>
            </w:pPr>
            <w:r>
              <w:rPr>
                <w:rFonts w:ascii="Times New Roman"/>
                <w:sz w:val="21"/>
              </w:rPr>
              <w:t>0.003</w:t>
            </w:r>
          </w:p>
        </w:tc>
        <w:tc>
          <w:tcPr>
            <w:tcW w:w="933" w:type="dxa"/>
          </w:tcPr>
          <w:p w14:paraId="0AB471F9">
            <w:pPr>
              <w:pStyle w:val="14"/>
              <w:spacing w:before="113"/>
              <w:ind w:left="23" w:right="15"/>
              <w:jc w:val="center"/>
              <w:rPr>
                <w:rFonts w:ascii="Times New Roman"/>
                <w:sz w:val="21"/>
              </w:rPr>
            </w:pPr>
            <w:r>
              <w:rPr>
                <w:rFonts w:ascii="Times New Roman"/>
                <w:sz w:val="21"/>
              </w:rPr>
              <w:t>0.026</w:t>
            </w:r>
          </w:p>
        </w:tc>
        <w:tc>
          <w:tcPr>
            <w:tcW w:w="757" w:type="dxa"/>
            <w:vMerge w:val="continue"/>
            <w:tcBorders>
              <w:top w:val="nil"/>
            </w:tcBorders>
          </w:tcPr>
          <w:p w14:paraId="681982CD">
            <w:pPr>
              <w:rPr>
                <w:sz w:val="2"/>
                <w:szCs w:val="2"/>
              </w:rPr>
            </w:pPr>
          </w:p>
        </w:tc>
        <w:tc>
          <w:tcPr>
            <w:tcW w:w="1832" w:type="dxa"/>
            <w:vMerge w:val="continue"/>
            <w:tcBorders>
              <w:top w:val="nil"/>
              <w:bottom w:val="nil"/>
            </w:tcBorders>
          </w:tcPr>
          <w:p w14:paraId="5DEC4A50">
            <w:pPr>
              <w:rPr>
                <w:sz w:val="2"/>
                <w:szCs w:val="2"/>
              </w:rPr>
            </w:pPr>
          </w:p>
        </w:tc>
        <w:tc>
          <w:tcPr>
            <w:tcW w:w="666" w:type="dxa"/>
            <w:vMerge w:val="continue"/>
            <w:tcBorders>
              <w:top w:val="nil"/>
            </w:tcBorders>
          </w:tcPr>
          <w:p w14:paraId="705FC641">
            <w:pPr>
              <w:rPr>
                <w:sz w:val="2"/>
                <w:szCs w:val="2"/>
              </w:rPr>
            </w:pPr>
          </w:p>
        </w:tc>
        <w:tc>
          <w:tcPr>
            <w:tcW w:w="851" w:type="dxa"/>
            <w:vMerge w:val="continue"/>
            <w:tcBorders>
              <w:top w:val="nil"/>
            </w:tcBorders>
          </w:tcPr>
          <w:p w14:paraId="439AB533">
            <w:pPr>
              <w:rPr>
                <w:sz w:val="2"/>
                <w:szCs w:val="2"/>
              </w:rPr>
            </w:pPr>
          </w:p>
        </w:tc>
        <w:tc>
          <w:tcPr>
            <w:tcW w:w="726" w:type="dxa"/>
            <w:vMerge w:val="continue"/>
            <w:tcBorders>
              <w:top w:val="nil"/>
            </w:tcBorders>
          </w:tcPr>
          <w:p w14:paraId="55764F41">
            <w:pPr>
              <w:rPr>
                <w:sz w:val="2"/>
                <w:szCs w:val="2"/>
              </w:rPr>
            </w:pPr>
          </w:p>
        </w:tc>
        <w:tc>
          <w:tcPr>
            <w:tcW w:w="922" w:type="dxa"/>
          </w:tcPr>
          <w:p w14:paraId="38060DC1">
            <w:pPr>
              <w:pStyle w:val="14"/>
              <w:spacing w:before="113"/>
              <w:ind w:left="98" w:right="89"/>
              <w:jc w:val="center"/>
              <w:rPr>
                <w:rFonts w:ascii="Times New Roman"/>
                <w:sz w:val="21"/>
              </w:rPr>
            </w:pPr>
            <w:r>
              <w:rPr>
                <w:rFonts w:ascii="Times New Roman"/>
                <w:sz w:val="21"/>
              </w:rPr>
              <w:t>0.07</w:t>
            </w:r>
          </w:p>
        </w:tc>
        <w:tc>
          <w:tcPr>
            <w:tcW w:w="1004" w:type="dxa"/>
          </w:tcPr>
          <w:p w14:paraId="2C59ECDC">
            <w:pPr>
              <w:pStyle w:val="14"/>
              <w:spacing w:before="113"/>
              <w:ind w:left="87" w:right="77"/>
              <w:jc w:val="center"/>
              <w:rPr>
                <w:rFonts w:ascii="Times New Roman"/>
                <w:sz w:val="21"/>
              </w:rPr>
            </w:pPr>
            <w:r>
              <w:rPr>
                <w:rFonts w:ascii="Times New Roman"/>
                <w:sz w:val="21"/>
              </w:rPr>
              <w:t>0.0025</w:t>
            </w:r>
          </w:p>
        </w:tc>
        <w:tc>
          <w:tcPr>
            <w:tcW w:w="1111" w:type="dxa"/>
          </w:tcPr>
          <w:p w14:paraId="10900E87">
            <w:pPr>
              <w:pStyle w:val="14"/>
              <w:spacing w:before="113"/>
              <w:ind w:left="86" w:right="79"/>
              <w:jc w:val="center"/>
              <w:rPr>
                <w:rFonts w:ascii="Times New Roman"/>
                <w:sz w:val="21"/>
              </w:rPr>
            </w:pPr>
            <w:r>
              <w:rPr>
                <w:rFonts w:ascii="Times New Roman"/>
                <w:sz w:val="21"/>
              </w:rPr>
              <w:t>0.0003</w:t>
            </w:r>
          </w:p>
        </w:tc>
        <w:tc>
          <w:tcPr>
            <w:tcW w:w="1004" w:type="dxa"/>
          </w:tcPr>
          <w:p w14:paraId="5595AC0C">
            <w:pPr>
              <w:pStyle w:val="14"/>
              <w:spacing w:before="113"/>
              <w:ind w:left="87" w:right="78"/>
              <w:jc w:val="center"/>
              <w:rPr>
                <w:rFonts w:ascii="Times New Roman"/>
                <w:sz w:val="21"/>
              </w:rPr>
            </w:pPr>
            <w:r>
              <w:rPr>
                <w:rFonts w:ascii="Times New Roman"/>
                <w:sz w:val="21"/>
              </w:rPr>
              <w:t>0.0013</w:t>
            </w:r>
          </w:p>
        </w:tc>
        <w:tc>
          <w:tcPr>
            <w:tcW w:w="1165" w:type="dxa"/>
          </w:tcPr>
          <w:p w14:paraId="4D4FFA5A">
            <w:pPr>
              <w:pStyle w:val="14"/>
              <w:spacing w:before="113"/>
              <w:ind w:left="116" w:right="106"/>
              <w:jc w:val="center"/>
              <w:rPr>
                <w:rFonts w:ascii="Times New Roman"/>
                <w:sz w:val="21"/>
              </w:rPr>
            </w:pPr>
            <w:r>
              <w:rPr>
                <w:rFonts w:ascii="Times New Roman"/>
                <w:sz w:val="21"/>
              </w:rPr>
              <w:t>0.00015</w:t>
            </w:r>
          </w:p>
        </w:tc>
      </w:tr>
      <w:tr w14:paraId="070D2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trPr>
        <w:tc>
          <w:tcPr>
            <w:tcW w:w="697" w:type="dxa"/>
            <w:tcBorders>
              <w:bottom w:val="nil"/>
            </w:tcBorders>
          </w:tcPr>
          <w:p w14:paraId="53B256EE">
            <w:pPr>
              <w:pStyle w:val="14"/>
              <w:rPr>
                <w:rFonts w:ascii="Times New Roman"/>
                <w:sz w:val="10"/>
              </w:rPr>
            </w:pPr>
          </w:p>
        </w:tc>
        <w:tc>
          <w:tcPr>
            <w:tcW w:w="658" w:type="dxa"/>
            <w:vMerge w:val="restart"/>
          </w:tcPr>
          <w:p w14:paraId="3C471C26">
            <w:pPr>
              <w:pStyle w:val="14"/>
              <w:spacing w:before="15" w:line="246" w:lineRule="exact"/>
              <w:ind w:left="142"/>
              <w:rPr>
                <w:rFonts w:ascii="Times New Roman"/>
                <w:sz w:val="21"/>
              </w:rPr>
            </w:pPr>
            <w:r>
              <w:rPr>
                <w:rFonts w:ascii="Times New Roman"/>
                <w:position w:val="2"/>
                <w:sz w:val="21"/>
              </w:rPr>
              <w:t>NH</w:t>
            </w:r>
            <w:r>
              <w:rPr>
                <w:rFonts w:ascii="Times New Roman"/>
                <w:position w:val="2"/>
                <w:sz w:val="21"/>
                <w:vertAlign w:val="subscript"/>
              </w:rPr>
              <w:t>3</w:t>
            </w:r>
          </w:p>
        </w:tc>
        <w:tc>
          <w:tcPr>
            <w:tcW w:w="836" w:type="dxa"/>
            <w:vMerge w:val="restart"/>
          </w:tcPr>
          <w:p w14:paraId="2BA2DDBB">
            <w:pPr>
              <w:pStyle w:val="14"/>
              <w:spacing w:before="18"/>
              <w:ind w:left="9"/>
              <w:jc w:val="center"/>
              <w:rPr>
                <w:rFonts w:ascii="Times New Roman"/>
                <w:sz w:val="21"/>
              </w:rPr>
            </w:pPr>
            <w:r>
              <w:rPr>
                <w:rFonts w:ascii="Times New Roman"/>
                <w:w w:val="99"/>
                <w:sz w:val="21"/>
              </w:rPr>
              <w:t>2</w:t>
            </w:r>
          </w:p>
        </w:tc>
        <w:tc>
          <w:tcPr>
            <w:tcW w:w="1012" w:type="dxa"/>
            <w:vMerge w:val="restart"/>
          </w:tcPr>
          <w:p w14:paraId="2EC9294E">
            <w:pPr>
              <w:pStyle w:val="14"/>
              <w:spacing w:before="18"/>
              <w:ind w:left="268"/>
              <w:rPr>
                <w:rFonts w:ascii="Times New Roman"/>
                <w:sz w:val="21"/>
              </w:rPr>
            </w:pPr>
            <w:r>
              <w:rPr>
                <w:rFonts w:ascii="Times New Roman"/>
                <w:sz w:val="21"/>
              </w:rPr>
              <w:t>0.017</w:t>
            </w:r>
          </w:p>
        </w:tc>
        <w:tc>
          <w:tcPr>
            <w:tcW w:w="933" w:type="dxa"/>
            <w:vMerge w:val="restart"/>
          </w:tcPr>
          <w:p w14:paraId="31E31C43">
            <w:pPr>
              <w:pStyle w:val="14"/>
              <w:spacing w:before="18"/>
              <w:ind w:left="228"/>
              <w:rPr>
                <w:rFonts w:ascii="Times New Roman"/>
                <w:sz w:val="21"/>
              </w:rPr>
            </w:pPr>
            <w:r>
              <w:rPr>
                <w:rFonts w:ascii="Times New Roman"/>
                <w:sz w:val="21"/>
              </w:rPr>
              <w:t>0.041</w:t>
            </w:r>
          </w:p>
        </w:tc>
        <w:tc>
          <w:tcPr>
            <w:tcW w:w="757" w:type="dxa"/>
            <w:vMerge w:val="restart"/>
          </w:tcPr>
          <w:p w14:paraId="7383F0CF">
            <w:pPr>
              <w:pStyle w:val="14"/>
              <w:spacing w:before="5"/>
              <w:rPr>
                <w:b/>
                <w:sz w:val="16"/>
              </w:rPr>
            </w:pPr>
          </w:p>
          <w:p w14:paraId="7281368C">
            <w:pPr>
              <w:pStyle w:val="14"/>
              <w:ind w:left="186"/>
              <w:rPr>
                <w:rFonts w:ascii="Times New Roman"/>
                <w:sz w:val="21"/>
              </w:rPr>
            </w:pPr>
            <w:r>
              <w:rPr>
                <w:rFonts w:ascii="Times New Roman"/>
                <w:sz w:val="21"/>
              </w:rPr>
              <w:t>95%</w:t>
            </w:r>
          </w:p>
        </w:tc>
        <w:tc>
          <w:tcPr>
            <w:tcW w:w="1832" w:type="dxa"/>
            <w:vMerge w:val="continue"/>
            <w:tcBorders>
              <w:top w:val="nil"/>
              <w:bottom w:val="nil"/>
            </w:tcBorders>
          </w:tcPr>
          <w:p w14:paraId="5C328B3F">
            <w:pPr>
              <w:rPr>
                <w:sz w:val="2"/>
                <w:szCs w:val="2"/>
              </w:rPr>
            </w:pPr>
          </w:p>
        </w:tc>
        <w:tc>
          <w:tcPr>
            <w:tcW w:w="666" w:type="dxa"/>
            <w:vMerge w:val="restart"/>
          </w:tcPr>
          <w:p w14:paraId="79F4F5B7">
            <w:pPr>
              <w:pStyle w:val="14"/>
              <w:spacing w:before="5"/>
              <w:rPr>
                <w:b/>
                <w:sz w:val="16"/>
              </w:rPr>
            </w:pPr>
          </w:p>
          <w:p w14:paraId="28ECB82B">
            <w:pPr>
              <w:pStyle w:val="14"/>
              <w:ind w:left="138"/>
              <w:rPr>
                <w:rFonts w:ascii="Times New Roman"/>
                <w:sz w:val="21"/>
              </w:rPr>
            </w:pPr>
            <w:r>
              <w:rPr>
                <w:rFonts w:ascii="Times New Roman"/>
                <w:sz w:val="21"/>
              </w:rPr>
              <w:t>90%</w:t>
            </w:r>
          </w:p>
        </w:tc>
        <w:tc>
          <w:tcPr>
            <w:tcW w:w="851" w:type="dxa"/>
            <w:vMerge w:val="restart"/>
          </w:tcPr>
          <w:p w14:paraId="1A9E2B55">
            <w:pPr>
              <w:pStyle w:val="14"/>
              <w:spacing w:before="5"/>
              <w:rPr>
                <w:b/>
                <w:sz w:val="16"/>
              </w:rPr>
            </w:pPr>
          </w:p>
          <w:p w14:paraId="11369DAF">
            <w:pPr>
              <w:pStyle w:val="14"/>
              <w:ind w:left="214"/>
              <w:rPr>
                <w:rFonts w:ascii="Times New Roman"/>
                <w:sz w:val="21"/>
              </w:rPr>
            </w:pPr>
            <w:r>
              <w:rPr>
                <w:rFonts w:ascii="Times New Roman"/>
                <w:sz w:val="21"/>
              </w:rPr>
              <w:t>8500</w:t>
            </w:r>
          </w:p>
        </w:tc>
        <w:tc>
          <w:tcPr>
            <w:tcW w:w="726" w:type="dxa"/>
            <w:vMerge w:val="restart"/>
          </w:tcPr>
          <w:p w14:paraId="7AAC5758">
            <w:pPr>
              <w:pStyle w:val="14"/>
              <w:spacing w:before="5"/>
              <w:rPr>
                <w:b/>
                <w:sz w:val="16"/>
              </w:rPr>
            </w:pPr>
          </w:p>
          <w:p w14:paraId="2D31CB8E">
            <w:pPr>
              <w:pStyle w:val="14"/>
              <w:ind w:left="152"/>
              <w:rPr>
                <w:rFonts w:ascii="Times New Roman"/>
                <w:sz w:val="21"/>
              </w:rPr>
            </w:pPr>
            <w:r>
              <w:rPr>
                <w:rFonts w:ascii="Times New Roman"/>
                <w:sz w:val="21"/>
              </w:rPr>
              <w:t>2400</w:t>
            </w:r>
          </w:p>
        </w:tc>
        <w:tc>
          <w:tcPr>
            <w:tcW w:w="922" w:type="dxa"/>
            <w:vMerge w:val="restart"/>
          </w:tcPr>
          <w:p w14:paraId="05398E65">
            <w:pPr>
              <w:pStyle w:val="14"/>
              <w:spacing w:before="18"/>
              <w:ind w:left="276"/>
              <w:rPr>
                <w:rFonts w:ascii="Times New Roman"/>
                <w:sz w:val="21"/>
              </w:rPr>
            </w:pPr>
            <w:r>
              <w:rPr>
                <w:rFonts w:ascii="Times New Roman"/>
                <w:sz w:val="21"/>
              </w:rPr>
              <w:t>0.19</w:t>
            </w:r>
          </w:p>
        </w:tc>
        <w:tc>
          <w:tcPr>
            <w:tcW w:w="1004" w:type="dxa"/>
            <w:vMerge w:val="restart"/>
          </w:tcPr>
          <w:p w14:paraId="52395552">
            <w:pPr>
              <w:pStyle w:val="14"/>
              <w:spacing w:before="18"/>
              <w:ind w:left="213"/>
              <w:rPr>
                <w:rFonts w:ascii="Times New Roman"/>
                <w:sz w:val="21"/>
              </w:rPr>
            </w:pPr>
            <w:r>
              <w:rPr>
                <w:rFonts w:ascii="Times New Roman"/>
                <w:sz w:val="21"/>
              </w:rPr>
              <w:t>0.0039</w:t>
            </w:r>
          </w:p>
        </w:tc>
        <w:tc>
          <w:tcPr>
            <w:tcW w:w="1111" w:type="dxa"/>
            <w:vMerge w:val="restart"/>
          </w:tcPr>
          <w:p w14:paraId="1F4DF031">
            <w:pPr>
              <w:pStyle w:val="14"/>
              <w:spacing w:before="18"/>
              <w:ind w:left="265"/>
              <w:rPr>
                <w:rFonts w:ascii="Times New Roman"/>
                <w:sz w:val="21"/>
              </w:rPr>
            </w:pPr>
            <w:r>
              <w:rPr>
                <w:rFonts w:ascii="Times New Roman"/>
                <w:sz w:val="21"/>
              </w:rPr>
              <w:t>0.0016</w:t>
            </w:r>
          </w:p>
        </w:tc>
        <w:tc>
          <w:tcPr>
            <w:tcW w:w="1004" w:type="dxa"/>
            <w:vMerge w:val="restart"/>
          </w:tcPr>
          <w:p w14:paraId="6CFC3011">
            <w:pPr>
              <w:pStyle w:val="14"/>
              <w:spacing w:before="18"/>
              <w:ind w:left="263"/>
              <w:rPr>
                <w:rFonts w:ascii="Times New Roman"/>
                <w:sz w:val="21"/>
              </w:rPr>
            </w:pPr>
            <w:r>
              <w:rPr>
                <w:rFonts w:ascii="Times New Roman"/>
                <w:sz w:val="21"/>
              </w:rPr>
              <w:t>0.002</w:t>
            </w:r>
          </w:p>
        </w:tc>
        <w:tc>
          <w:tcPr>
            <w:tcW w:w="1165" w:type="dxa"/>
            <w:vMerge w:val="restart"/>
          </w:tcPr>
          <w:p w14:paraId="4C8163FB">
            <w:pPr>
              <w:pStyle w:val="14"/>
              <w:spacing w:before="18"/>
              <w:ind w:left="241"/>
              <w:rPr>
                <w:rFonts w:ascii="Times New Roman"/>
                <w:sz w:val="21"/>
              </w:rPr>
            </w:pPr>
            <w:r>
              <w:rPr>
                <w:rFonts w:ascii="Times New Roman"/>
                <w:sz w:val="21"/>
              </w:rPr>
              <w:t>0.00085</w:t>
            </w:r>
          </w:p>
        </w:tc>
      </w:tr>
      <w:tr w14:paraId="486E5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 w:hRule="atLeast"/>
        </w:trPr>
        <w:tc>
          <w:tcPr>
            <w:tcW w:w="697" w:type="dxa"/>
            <w:vMerge w:val="restart"/>
            <w:tcBorders>
              <w:top w:val="nil"/>
              <w:bottom w:val="nil"/>
            </w:tcBorders>
          </w:tcPr>
          <w:p w14:paraId="5C1B6107">
            <w:pPr>
              <w:pStyle w:val="14"/>
              <w:rPr>
                <w:rFonts w:ascii="Times New Roman"/>
                <w:sz w:val="20"/>
              </w:rPr>
            </w:pPr>
          </w:p>
        </w:tc>
        <w:tc>
          <w:tcPr>
            <w:tcW w:w="658" w:type="dxa"/>
            <w:vMerge w:val="continue"/>
            <w:tcBorders>
              <w:top w:val="nil"/>
            </w:tcBorders>
          </w:tcPr>
          <w:p w14:paraId="51356656">
            <w:pPr>
              <w:rPr>
                <w:sz w:val="2"/>
                <w:szCs w:val="2"/>
              </w:rPr>
            </w:pPr>
          </w:p>
        </w:tc>
        <w:tc>
          <w:tcPr>
            <w:tcW w:w="836" w:type="dxa"/>
            <w:vMerge w:val="continue"/>
            <w:tcBorders>
              <w:top w:val="nil"/>
            </w:tcBorders>
          </w:tcPr>
          <w:p w14:paraId="355096BA">
            <w:pPr>
              <w:rPr>
                <w:sz w:val="2"/>
                <w:szCs w:val="2"/>
              </w:rPr>
            </w:pPr>
          </w:p>
        </w:tc>
        <w:tc>
          <w:tcPr>
            <w:tcW w:w="1012" w:type="dxa"/>
            <w:vMerge w:val="continue"/>
            <w:tcBorders>
              <w:top w:val="nil"/>
            </w:tcBorders>
          </w:tcPr>
          <w:p w14:paraId="70984B57">
            <w:pPr>
              <w:rPr>
                <w:sz w:val="2"/>
                <w:szCs w:val="2"/>
              </w:rPr>
            </w:pPr>
          </w:p>
        </w:tc>
        <w:tc>
          <w:tcPr>
            <w:tcW w:w="933" w:type="dxa"/>
            <w:vMerge w:val="continue"/>
            <w:tcBorders>
              <w:top w:val="nil"/>
            </w:tcBorders>
          </w:tcPr>
          <w:p w14:paraId="4BF7AFD2">
            <w:pPr>
              <w:rPr>
                <w:sz w:val="2"/>
                <w:szCs w:val="2"/>
              </w:rPr>
            </w:pPr>
          </w:p>
        </w:tc>
        <w:tc>
          <w:tcPr>
            <w:tcW w:w="757" w:type="dxa"/>
            <w:vMerge w:val="continue"/>
            <w:tcBorders>
              <w:top w:val="nil"/>
            </w:tcBorders>
          </w:tcPr>
          <w:p w14:paraId="3F7DE9AB">
            <w:pPr>
              <w:rPr>
                <w:sz w:val="2"/>
                <w:szCs w:val="2"/>
              </w:rPr>
            </w:pPr>
          </w:p>
        </w:tc>
        <w:tc>
          <w:tcPr>
            <w:tcW w:w="1832" w:type="dxa"/>
            <w:vMerge w:val="restart"/>
            <w:tcBorders>
              <w:top w:val="nil"/>
              <w:bottom w:val="nil"/>
            </w:tcBorders>
          </w:tcPr>
          <w:p w14:paraId="593F3640">
            <w:pPr>
              <w:pStyle w:val="14"/>
              <w:spacing w:line="261" w:lineRule="exact"/>
              <w:ind w:left="396"/>
              <w:rPr>
                <w:sz w:val="21"/>
              </w:rPr>
            </w:pPr>
            <w:r>
              <w:rPr>
                <w:sz w:val="21"/>
              </w:rPr>
              <w:t>（</w:t>
            </w:r>
            <w:r>
              <w:rPr>
                <w:rFonts w:ascii="Times New Roman" w:eastAsia="Times New Roman"/>
                <w:sz w:val="21"/>
              </w:rPr>
              <w:t>DA002</w:t>
            </w:r>
            <w:r>
              <w:rPr>
                <w:sz w:val="21"/>
              </w:rPr>
              <w:t>）</w:t>
            </w:r>
          </w:p>
        </w:tc>
        <w:tc>
          <w:tcPr>
            <w:tcW w:w="666" w:type="dxa"/>
            <w:vMerge w:val="continue"/>
            <w:tcBorders>
              <w:top w:val="nil"/>
            </w:tcBorders>
          </w:tcPr>
          <w:p w14:paraId="53CCEAF1">
            <w:pPr>
              <w:rPr>
                <w:sz w:val="2"/>
                <w:szCs w:val="2"/>
              </w:rPr>
            </w:pPr>
          </w:p>
        </w:tc>
        <w:tc>
          <w:tcPr>
            <w:tcW w:w="851" w:type="dxa"/>
            <w:vMerge w:val="continue"/>
            <w:tcBorders>
              <w:top w:val="nil"/>
            </w:tcBorders>
          </w:tcPr>
          <w:p w14:paraId="387C03E8">
            <w:pPr>
              <w:rPr>
                <w:sz w:val="2"/>
                <w:szCs w:val="2"/>
              </w:rPr>
            </w:pPr>
          </w:p>
        </w:tc>
        <w:tc>
          <w:tcPr>
            <w:tcW w:w="726" w:type="dxa"/>
            <w:vMerge w:val="continue"/>
            <w:tcBorders>
              <w:top w:val="nil"/>
            </w:tcBorders>
          </w:tcPr>
          <w:p w14:paraId="6E97282A">
            <w:pPr>
              <w:rPr>
                <w:sz w:val="2"/>
                <w:szCs w:val="2"/>
              </w:rPr>
            </w:pPr>
          </w:p>
        </w:tc>
        <w:tc>
          <w:tcPr>
            <w:tcW w:w="922" w:type="dxa"/>
            <w:vMerge w:val="continue"/>
            <w:tcBorders>
              <w:top w:val="nil"/>
            </w:tcBorders>
          </w:tcPr>
          <w:p w14:paraId="13E0752E">
            <w:pPr>
              <w:rPr>
                <w:sz w:val="2"/>
                <w:szCs w:val="2"/>
              </w:rPr>
            </w:pPr>
          </w:p>
        </w:tc>
        <w:tc>
          <w:tcPr>
            <w:tcW w:w="1004" w:type="dxa"/>
            <w:vMerge w:val="continue"/>
            <w:tcBorders>
              <w:top w:val="nil"/>
            </w:tcBorders>
          </w:tcPr>
          <w:p w14:paraId="7D35183B">
            <w:pPr>
              <w:rPr>
                <w:sz w:val="2"/>
                <w:szCs w:val="2"/>
              </w:rPr>
            </w:pPr>
          </w:p>
        </w:tc>
        <w:tc>
          <w:tcPr>
            <w:tcW w:w="1111" w:type="dxa"/>
            <w:vMerge w:val="continue"/>
            <w:tcBorders>
              <w:top w:val="nil"/>
            </w:tcBorders>
          </w:tcPr>
          <w:p w14:paraId="71DABD21">
            <w:pPr>
              <w:rPr>
                <w:sz w:val="2"/>
                <w:szCs w:val="2"/>
              </w:rPr>
            </w:pPr>
          </w:p>
        </w:tc>
        <w:tc>
          <w:tcPr>
            <w:tcW w:w="1004" w:type="dxa"/>
            <w:vMerge w:val="continue"/>
            <w:tcBorders>
              <w:top w:val="nil"/>
            </w:tcBorders>
          </w:tcPr>
          <w:p w14:paraId="0E7651F0">
            <w:pPr>
              <w:rPr>
                <w:sz w:val="2"/>
                <w:szCs w:val="2"/>
              </w:rPr>
            </w:pPr>
          </w:p>
        </w:tc>
        <w:tc>
          <w:tcPr>
            <w:tcW w:w="1165" w:type="dxa"/>
            <w:vMerge w:val="continue"/>
            <w:tcBorders>
              <w:top w:val="nil"/>
            </w:tcBorders>
          </w:tcPr>
          <w:p w14:paraId="32285DEB">
            <w:pPr>
              <w:rPr>
                <w:sz w:val="2"/>
                <w:szCs w:val="2"/>
              </w:rPr>
            </w:pPr>
          </w:p>
        </w:tc>
      </w:tr>
      <w:tr w14:paraId="4A676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697" w:type="dxa"/>
            <w:vMerge w:val="continue"/>
            <w:tcBorders>
              <w:top w:val="nil"/>
              <w:bottom w:val="nil"/>
            </w:tcBorders>
          </w:tcPr>
          <w:p w14:paraId="5D8FF172">
            <w:pPr>
              <w:rPr>
                <w:sz w:val="2"/>
                <w:szCs w:val="2"/>
              </w:rPr>
            </w:pPr>
          </w:p>
        </w:tc>
        <w:tc>
          <w:tcPr>
            <w:tcW w:w="658" w:type="dxa"/>
            <w:vMerge w:val="restart"/>
          </w:tcPr>
          <w:p w14:paraId="681A3269">
            <w:pPr>
              <w:pStyle w:val="14"/>
              <w:spacing w:before="62"/>
              <w:ind w:left="15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836" w:type="dxa"/>
            <w:vMerge w:val="restart"/>
          </w:tcPr>
          <w:p w14:paraId="14457CDE">
            <w:pPr>
              <w:pStyle w:val="14"/>
              <w:spacing w:before="65"/>
              <w:ind w:left="180"/>
              <w:rPr>
                <w:rFonts w:ascii="Times New Roman"/>
                <w:sz w:val="21"/>
              </w:rPr>
            </w:pPr>
            <w:r>
              <w:rPr>
                <w:rFonts w:ascii="Times New Roman"/>
                <w:sz w:val="21"/>
              </w:rPr>
              <w:t>0.006</w:t>
            </w:r>
          </w:p>
        </w:tc>
        <w:tc>
          <w:tcPr>
            <w:tcW w:w="1012" w:type="dxa"/>
            <w:vMerge w:val="restart"/>
          </w:tcPr>
          <w:p w14:paraId="7E895104">
            <w:pPr>
              <w:pStyle w:val="14"/>
              <w:spacing w:before="65"/>
              <w:ind w:left="163"/>
              <w:rPr>
                <w:rFonts w:ascii="Times New Roman"/>
                <w:sz w:val="21"/>
              </w:rPr>
            </w:pPr>
            <w:r>
              <w:rPr>
                <w:rFonts w:ascii="Times New Roman"/>
                <w:sz w:val="21"/>
              </w:rPr>
              <w:t>0.00005</w:t>
            </w:r>
          </w:p>
        </w:tc>
        <w:tc>
          <w:tcPr>
            <w:tcW w:w="933" w:type="dxa"/>
            <w:vMerge w:val="restart"/>
          </w:tcPr>
          <w:p w14:paraId="1F58C201">
            <w:pPr>
              <w:pStyle w:val="14"/>
              <w:spacing w:before="65"/>
              <w:ind w:left="125"/>
              <w:rPr>
                <w:rFonts w:ascii="Times New Roman"/>
                <w:sz w:val="21"/>
              </w:rPr>
            </w:pPr>
            <w:r>
              <w:rPr>
                <w:rFonts w:ascii="Times New Roman"/>
                <w:sz w:val="21"/>
              </w:rPr>
              <w:t>0.00012</w:t>
            </w:r>
          </w:p>
        </w:tc>
        <w:tc>
          <w:tcPr>
            <w:tcW w:w="757" w:type="dxa"/>
            <w:vMerge w:val="continue"/>
            <w:tcBorders>
              <w:top w:val="nil"/>
            </w:tcBorders>
          </w:tcPr>
          <w:p w14:paraId="22BC3721">
            <w:pPr>
              <w:rPr>
                <w:sz w:val="2"/>
                <w:szCs w:val="2"/>
              </w:rPr>
            </w:pPr>
          </w:p>
        </w:tc>
        <w:tc>
          <w:tcPr>
            <w:tcW w:w="1832" w:type="dxa"/>
            <w:vMerge w:val="continue"/>
            <w:tcBorders>
              <w:top w:val="nil"/>
              <w:bottom w:val="nil"/>
            </w:tcBorders>
          </w:tcPr>
          <w:p w14:paraId="282C708E">
            <w:pPr>
              <w:rPr>
                <w:sz w:val="2"/>
                <w:szCs w:val="2"/>
              </w:rPr>
            </w:pPr>
          </w:p>
        </w:tc>
        <w:tc>
          <w:tcPr>
            <w:tcW w:w="666" w:type="dxa"/>
            <w:vMerge w:val="continue"/>
            <w:tcBorders>
              <w:top w:val="nil"/>
            </w:tcBorders>
          </w:tcPr>
          <w:p w14:paraId="4DEF4BCA">
            <w:pPr>
              <w:rPr>
                <w:sz w:val="2"/>
                <w:szCs w:val="2"/>
              </w:rPr>
            </w:pPr>
          </w:p>
        </w:tc>
        <w:tc>
          <w:tcPr>
            <w:tcW w:w="851" w:type="dxa"/>
            <w:vMerge w:val="continue"/>
            <w:tcBorders>
              <w:top w:val="nil"/>
            </w:tcBorders>
          </w:tcPr>
          <w:p w14:paraId="6F3D9373">
            <w:pPr>
              <w:rPr>
                <w:sz w:val="2"/>
                <w:szCs w:val="2"/>
              </w:rPr>
            </w:pPr>
          </w:p>
        </w:tc>
        <w:tc>
          <w:tcPr>
            <w:tcW w:w="726" w:type="dxa"/>
            <w:vMerge w:val="continue"/>
            <w:tcBorders>
              <w:top w:val="nil"/>
            </w:tcBorders>
          </w:tcPr>
          <w:p w14:paraId="430A7D7A">
            <w:pPr>
              <w:rPr>
                <w:sz w:val="2"/>
                <w:szCs w:val="2"/>
              </w:rPr>
            </w:pPr>
          </w:p>
        </w:tc>
        <w:tc>
          <w:tcPr>
            <w:tcW w:w="922" w:type="dxa"/>
            <w:vMerge w:val="restart"/>
          </w:tcPr>
          <w:p w14:paraId="3A601313">
            <w:pPr>
              <w:pStyle w:val="14"/>
              <w:spacing w:before="65"/>
              <w:ind w:left="118"/>
              <w:rPr>
                <w:rFonts w:ascii="Times New Roman"/>
                <w:sz w:val="21"/>
              </w:rPr>
            </w:pPr>
            <w:r>
              <w:rPr>
                <w:rFonts w:ascii="Times New Roman"/>
                <w:sz w:val="21"/>
              </w:rPr>
              <w:t>0.00056</w:t>
            </w:r>
          </w:p>
        </w:tc>
        <w:tc>
          <w:tcPr>
            <w:tcW w:w="1004" w:type="dxa"/>
            <w:vMerge w:val="restart"/>
          </w:tcPr>
          <w:p w14:paraId="013E4FF6">
            <w:pPr>
              <w:pStyle w:val="14"/>
              <w:spacing w:before="65"/>
              <w:ind w:left="110"/>
              <w:rPr>
                <w:rFonts w:ascii="Times New Roman"/>
                <w:sz w:val="21"/>
              </w:rPr>
            </w:pPr>
            <w:r>
              <w:rPr>
                <w:rFonts w:ascii="Times New Roman"/>
                <w:sz w:val="21"/>
              </w:rPr>
              <w:t>0.000011</w:t>
            </w:r>
          </w:p>
        </w:tc>
        <w:tc>
          <w:tcPr>
            <w:tcW w:w="1111" w:type="dxa"/>
            <w:vMerge w:val="restart"/>
          </w:tcPr>
          <w:p w14:paraId="54B42343">
            <w:pPr>
              <w:pStyle w:val="14"/>
              <w:spacing w:before="65"/>
              <w:ind w:left="109"/>
              <w:rPr>
                <w:rFonts w:ascii="Times New Roman"/>
                <w:sz w:val="21"/>
              </w:rPr>
            </w:pPr>
            <w:r>
              <w:rPr>
                <w:rFonts w:ascii="Times New Roman"/>
                <w:sz w:val="21"/>
              </w:rPr>
              <w:t>0.0000048</w:t>
            </w:r>
          </w:p>
        </w:tc>
        <w:tc>
          <w:tcPr>
            <w:tcW w:w="1004" w:type="dxa"/>
            <w:vMerge w:val="restart"/>
          </w:tcPr>
          <w:p w14:paraId="5B824998">
            <w:pPr>
              <w:pStyle w:val="14"/>
              <w:spacing w:before="65"/>
              <w:ind w:left="107"/>
              <w:rPr>
                <w:rFonts w:ascii="Times New Roman"/>
                <w:sz w:val="21"/>
              </w:rPr>
            </w:pPr>
            <w:r>
              <w:rPr>
                <w:rFonts w:ascii="Times New Roman"/>
                <w:sz w:val="21"/>
              </w:rPr>
              <w:t>0.000006</w:t>
            </w:r>
          </w:p>
        </w:tc>
        <w:tc>
          <w:tcPr>
            <w:tcW w:w="1165" w:type="dxa"/>
            <w:vMerge w:val="restart"/>
          </w:tcPr>
          <w:p w14:paraId="148B2768">
            <w:pPr>
              <w:pStyle w:val="14"/>
              <w:spacing w:before="65"/>
              <w:ind w:left="135"/>
              <w:rPr>
                <w:rFonts w:ascii="Times New Roman"/>
                <w:sz w:val="21"/>
              </w:rPr>
            </w:pPr>
            <w:r>
              <w:rPr>
                <w:rFonts w:ascii="Times New Roman"/>
                <w:sz w:val="21"/>
              </w:rPr>
              <w:t>0.0000025</w:t>
            </w:r>
          </w:p>
        </w:tc>
      </w:tr>
      <w:tr w14:paraId="00D86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697" w:type="dxa"/>
            <w:vMerge w:val="restart"/>
            <w:tcBorders>
              <w:top w:val="nil"/>
              <w:bottom w:val="nil"/>
            </w:tcBorders>
          </w:tcPr>
          <w:p w14:paraId="6957319D">
            <w:pPr>
              <w:pStyle w:val="14"/>
              <w:spacing w:before="52" w:line="242" w:lineRule="auto"/>
              <w:ind w:left="136" w:right="130"/>
              <w:jc w:val="both"/>
              <w:rPr>
                <w:sz w:val="21"/>
              </w:rPr>
            </w:pPr>
            <w:r>
              <w:rPr>
                <w:w w:val="95"/>
                <w:sz w:val="21"/>
              </w:rPr>
              <w:t>屠宰加工</w:t>
            </w:r>
            <w:r>
              <w:rPr>
                <w:sz w:val="21"/>
              </w:rPr>
              <w:t>间</w:t>
            </w:r>
          </w:p>
        </w:tc>
        <w:tc>
          <w:tcPr>
            <w:tcW w:w="658" w:type="dxa"/>
            <w:vMerge w:val="continue"/>
            <w:tcBorders>
              <w:top w:val="nil"/>
            </w:tcBorders>
          </w:tcPr>
          <w:p w14:paraId="16A1AD79">
            <w:pPr>
              <w:rPr>
                <w:sz w:val="2"/>
                <w:szCs w:val="2"/>
              </w:rPr>
            </w:pPr>
          </w:p>
        </w:tc>
        <w:tc>
          <w:tcPr>
            <w:tcW w:w="836" w:type="dxa"/>
            <w:vMerge w:val="continue"/>
            <w:tcBorders>
              <w:top w:val="nil"/>
            </w:tcBorders>
          </w:tcPr>
          <w:p w14:paraId="01DD2DB3">
            <w:pPr>
              <w:rPr>
                <w:sz w:val="2"/>
                <w:szCs w:val="2"/>
              </w:rPr>
            </w:pPr>
          </w:p>
        </w:tc>
        <w:tc>
          <w:tcPr>
            <w:tcW w:w="1012" w:type="dxa"/>
            <w:vMerge w:val="continue"/>
            <w:tcBorders>
              <w:top w:val="nil"/>
            </w:tcBorders>
          </w:tcPr>
          <w:p w14:paraId="5D199393">
            <w:pPr>
              <w:rPr>
                <w:sz w:val="2"/>
                <w:szCs w:val="2"/>
              </w:rPr>
            </w:pPr>
          </w:p>
        </w:tc>
        <w:tc>
          <w:tcPr>
            <w:tcW w:w="933" w:type="dxa"/>
            <w:vMerge w:val="continue"/>
            <w:tcBorders>
              <w:top w:val="nil"/>
            </w:tcBorders>
          </w:tcPr>
          <w:p w14:paraId="13F383C3">
            <w:pPr>
              <w:rPr>
                <w:sz w:val="2"/>
                <w:szCs w:val="2"/>
              </w:rPr>
            </w:pPr>
          </w:p>
        </w:tc>
        <w:tc>
          <w:tcPr>
            <w:tcW w:w="757" w:type="dxa"/>
            <w:vMerge w:val="continue"/>
            <w:tcBorders>
              <w:top w:val="nil"/>
            </w:tcBorders>
          </w:tcPr>
          <w:p w14:paraId="70C183DF">
            <w:pPr>
              <w:rPr>
                <w:sz w:val="2"/>
                <w:szCs w:val="2"/>
              </w:rPr>
            </w:pPr>
          </w:p>
        </w:tc>
        <w:tc>
          <w:tcPr>
            <w:tcW w:w="1832" w:type="dxa"/>
            <w:tcBorders>
              <w:top w:val="nil"/>
            </w:tcBorders>
          </w:tcPr>
          <w:p w14:paraId="4711B2F2">
            <w:pPr>
              <w:pStyle w:val="14"/>
              <w:rPr>
                <w:rFonts w:ascii="Times New Roman"/>
                <w:sz w:val="8"/>
              </w:rPr>
            </w:pPr>
          </w:p>
        </w:tc>
        <w:tc>
          <w:tcPr>
            <w:tcW w:w="666" w:type="dxa"/>
            <w:vMerge w:val="continue"/>
            <w:tcBorders>
              <w:top w:val="nil"/>
            </w:tcBorders>
          </w:tcPr>
          <w:p w14:paraId="61C93120">
            <w:pPr>
              <w:rPr>
                <w:sz w:val="2"/>
                <w:szCs w:val="2"/>
              </w:rPr>
            </w:pPr>
          </w:p>
        </w:tc>
        <w:tc>
          <w:tcPr>
            <w:tcW w:w="851" w:type="dxa"/>
            <w:vMerge w:val="continue"/>
            <w:tcBorders>
              <w:top w:val="nil"/>
            </w:tcBorders>
          </w:tcPr>
          <w:p w14:paraId="2C6C4F0A">
            <w:pPr>
              <w:rPr>
                <w:sz w:val="2"/>
                <w:szCs w:val="2"/>
              </w:rPr>
            </w:pPr>
          </w:p>
        </w:tc>
        <w:tc>
          <w:tcPr>
            <w:tcW w:w="726" w:type="dxa"/>
            <w:vMerge w:val="continue"/>
            <w:tcBorders>
              <w:top w:val="nil"/>
            </w:tcBorders>
          </w:tcPr>
          <w:p w14:paraId="1FB6BCF8">
            <w:pPr>
              <w:rPr>
                <w:sz w:val="2"/>
                <w:szCs w:val="2"/>
              </w:rPr>
            </w:pPr>
          </w:p>
        </w:tc>
        <w:tc>
          <w:tcPr>
            <w:tcW w:w="922" w:type="dxa"/>
            <w:vMerge w:val="continue"/>
            <w:tcBorders>
              <w:top w:val="nil"/>
            </w:tcBorders>
          </w:tcPr>
          <w:p w14:paraId="36BCC0B9">
            <w:pPr>
              <w:rPr>
                <w:sz w:val="2"/>
                <w:szCs w:val="2"/>
              </w:rPr>
            </w:pPr>
          </w:p>
        </w:tc>
        <w:tc>
          <w:tcPr>
            <w:tcW w:w="1004" w:type="dxa"/>
            <w:vMerge w:val="continue"/>
            <w:tcBorders>
              <w:top w:val="nil"/>
            </w:tcBorders>
          </w:tcPr>
          <w:p w14:paraId="06832495">
            <w:pPr>
              <w:rPr>
                <w:sz w:val="2"/>
                <w:szCs w:val="2"/>
              </w:rPr>
            </w:pPr>
          </w:p>
        </w:tc>
        <w:tc>
          <w:tcPr>
            <w:tcW w:w="1111" w:type="dxa"/>
            <w:vMerge w:val="continue"/>
            <w:tcBorders>
              <w:top w:val="nil"/>
            </w:tcBorders>
          </w:tcPr>
          <w:p w14:paraId="7E6032D8">
            <w:pPr>
              <w:rPr>
                <w:sz w:val="2"/>
                <w:szCs w:val="2"/>
              </w:rPr>
            </w:pPr>
          </w:p>
        </w:tc>
        <w:tc>
          <w:tcPr>
            <w:tcW w:w="1004" w:type="dxa"/>
            <w:vMerge w:val="continue"/>
            <w:tcBorders>
              <w:top w:val="nil"/>
            </w:tcBorders>
          </w:tcPr>
          <w:p w14:paraId="4547A734">
            <w:pPr>
              <w:rPr>
                <w:sz w:val="2"/>
                <w:szCs w:val="2"/>
              </w:rPr>
            </w:pPr>
          </w:p>
        </w:tc>
        <w:tc>
          <w:tcPr>
            <w:tcW w:w="1165" w:type="dxa"/>
            <w:vMerge w:val="continue"/>
            <w:tcBorders>
              <w:top w:val="nil"/>
            </w:tcBorders>
          </w:tcPr>
          <w:p w14:paraId="54B7D938">
            <w:pPr>
              <w:rPr>
                <w:sz w:val="2"/>
                <w:szCs w:val="2"/>
              </w:rPr>
            </w:pPr>
          </w:p>
        </w:tc>
      </w:tr>
      <w:tr w14:paraId="2D262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697" w:type="dxa"/>
            <w:vMerge w:val="continue"/>
            <w:tcBorders>
              <w:top w:val="nil"/>
              <w:bottom w:val="nil"/>
            </w:tcBorders>
          </w:tcPr>
          <w:p w14:paraId="43226B62">
            <w:pPr>
              <w:rPr>
                <w:sz w:val="2"/>
                <w:szCs w:val="2"/>
              </w:rPr>
            </w:pPr>
          </w:p>
        </w:tc>
        <w:tc>
          <w:tcPr>
            <w:tcW w:w="658" w:type="dxa"/>
          </w:tcPr>
          <w:p w14:paraId="0B1A6807">
            <w:pPr>
              <w:pStyle w:val="14"/>
              <w:spacing w:line="320" w:lineRule="exact"/>
              <w:ind w:left="118" w:right="109"/>
              <w:rPr>
                <w:sz w:val="21"/>
              </w:rPr>
            </w:pPr>
            <w:r>
              <w:rPr>
                <w:w w:val="95"/>
                <w:sz w:val="21"/>
              </w:rPr>
              <w:t>二氧化硫</w:t>
            </w:r>
          </w:p>
        </w:tc>
        <w:tc>
          <w:tcPr>
            <w:tcW w:w="836" w:type="dxa"/>
          </w:tcPr>
          <w:p w14:paraId="7BC51749">
            <w:pPr>
              <w:pStyle w:val="14"/>
              <w:spacing w:before="7"/>
              <w:rPr>
                <w:b/>
                <w:sz w:val="15"/>
              </w:rPr>
            </w:pPr>
          </w:p>
          <w:p w14:paraId="2C0517B6">
            <w:pPr>
              <w:pStyle w:val="14"/>
              <w:ind w:left="160" w:right="151"/>
              <w:jc w:val="center"/>
              <w:rPr>
                <w:rFonts w:ascii="Times New Roman"/>
                <w:sz w:val="21"/>
              </w:rPr>
            </w:pPr>
            <w:r>
              <w:rPr>
                <w:rFonts w:ascii="Times New Roman"/>
                <w:sz w:val="21"/>
              </w:rPr>
              <w:t>32.63</w:t>
            </w:r>
          </w:p>
        </w:tc>
        <w:tc>
          <w:tcPr>
            <w:tcW w:w="1012" w:type="dxa"/>
          </w:tcPr>
          <w:p w14:paraId="79796AB9">
            <w:pPr>
              <w:pStyle w:val="14"/>
              <w:spacing w:before="7"/>
              <w:rPr>
                <w:b/>
                <w:sz w:val="15"/>
              </w:rPr>
            </w:pPr>
          </w:p>
          <w:p w14:paraId="4A1ECA09">
            <w:pPr>
              <w:pStyle w:val="14"/>
              <w:ind w:left="188" w:right="181"/>
              <w:jc w:val="center"/>
              <w:rPr>
                <w:rFonts w:ascii="Times New Roman"/>
                <w:sz w:val="21"/>
              </w:rPr>
            </w:pPr>
            <w:r>
              <w:rPr>
                <w:rFonts w:ascii="Times New Roman"/>
                <w:sz w:val="21"/>
              </w:rPr>
              <w:t>0.0174</w:t>
            </w:r>
          </w:p>
        </w:tc>
        <w:tc>
          <w:tcPr>
            <w:tcW w:w="933" w:type="dxa"/>
          </w:tcPr>
          <w:p w14:paraId="68644684">
            <w:pPr>
              <w:pStyle w:val="14"/>
              <w:spacing w:before="7"/>
              <w:rPr>
                <w:b/>
                <w:sz w:val="15"/>
              </w:rPr>
            </w:pPr>
          </w:p>
          <w:p w14:paraId="545DD7BC">
            <w:pPr>
              <w:pStyle w:val="14"/>
              <w:ind w:left="23" w:right="15"/>
              <w:jc w:val="center"/>
              <w:rPr>
                <w:rFonts w:ascii="Times New Roman"/>
                <w:sz w:val="21"/>
              </w:rPr>
            </w:pPr>
            <w:r>
              <w:rPr>
                <w:rFonts w:ascii="Times New Roman"/>
                <w:sz w:val="21"/>
              </w:rPr>
              <w:t>0.1</w:t>
            </w:r>
          </w:p>
        </w:tc>
        <w:tc>
          <w:tcPr>
            <w:tcW w:w="757" w:type="dxa"/>
            <w:vMerge w:val="restart"/>
            <w:tcBorders>
              <w:bottom w:val="nil"/>
            </w:tcBorders>
          </w:tcPr>
          <w:p w14:paraId="666F025B">
            <w:pPr>
              <w:pStyle w:val="14"/>
              <w:rPr>
                <w:b/>
                <w:sz w:val="22"/>
              </w:rPr>
            </w:pPr>
          </w:p>
          <w:p w14:paraId="4B271705">
            <w:pPr>
              <w:pStyle w:val="14"/>
              <w:spacing w:before="11"/>
              <w:rPr>
                <w:b/>
                <w:sz w:val="18"/>
              </w:rPr>
            </w:pPr>
          </w:p>
          <w:p w14:paraId="59E2DE7A">
            <w:pPr>
              <w:pStyle w:val="14"/>
              <w:ind w:left="133"/>
              <w:rPr>
                <w:rFonts w:ascii="Times New Roman"/>
                <w:sz w:val="21"/>
              </w:rPr>
            </w:pPr>
            <w:r>
              <w:rPr>
                <w:rFonts w:ascii="Times New Roman"/>
                <w:sz w:val="21"/>
              </w:rPr>
              <w:t>100%</w:t>
            </w:r>
          </w:p>
        </w:tc>
        <w:tc>
          <w:tcPr>
            <w:tcW w:w="1832" w:type="dxa"/>
            <w:vMerge w:val="restart"/>
            <w:tcBorders>
              <w:bottom w:val="nil"/>
            </w:tcBorders>
          </w:tcPr>
          <w:p w14:paraId="667FD2EA">
            <w:pPr>
              <w:pStyle w:val="14"/>
              <w:spacing w:before="1"/>
              <w:rPr>
                <w:b/>
                <w:sz w:val="29"/>
              </w:rPr>
            </w:pPr>
          </w:p>
          <w:p w14:paraId="0781091A">
            <w:pPr>
              <w:pStyle w:val="14"/>
              <w:spacing w:line="242" w:lineRule="auto"/>
              <w:ind w:left="187" w:right="70" w:hanging="65"/>
              <w:rPr>
                <w:sz w:val="21"/>
              </w:rPr>
            </w:pPr>
            <w:r>
              <w:rPr>
                <w:sz w:val="21"/>
              </w:rPr>
              <w:t>低氮燃烧</w:t>
            </w:r>
            <w:r>
              <w:rPr>
                <w:rFonts w:ascii="Times New Roman" w:eastAsia="Times New Roman"/>
                <w:sz w:val="21"/>
              </w:rPr>
              <w:t xml:space="preserve">+15m </w:t>
            </w:r>
            <w:r>
              <w:rPr>
                <w:sz w:val="21"/>
              </w:rPr>
              <w:t>排气筒（</w:t>
            </w:r>
            <w:r>
              <w:rPr>
                <w:rFonts w:ascii="Times New Roman" w:eastAsia="Times New Roman"/>
                <w:sz w:val="21"/>
              </w:rPr>
              <w:t>DA004</w:t>
            </w:r>
            <w:r>
              <w:rPr>
                <w:sz w:val="21"/>
              </w:rPr>
              <w:t>）</w:t>
            </w:r>
          </w:p>
        </w:tc>
        <w:tc>
          <w:tcPr>
            <w:tcW w:w="666" w:type="dxa"/>
            <w:vMerge w:val="restart"/>
            <w:tcBorders>
              <w:bottom w:val="nil"/>
            </w:tcBorders>
          </w:tcPr>
          <w:p w14:paraId="1B92C9AD">
            <w:pPr>
              <w:pStyle w:val="14"/>
              <w:rPr>
                <w:b/>
                <w:sz w:val="22"/>
              </w:rPr>
            </w:pPr>
          </w:p>
          <w:p w14:paraId="734E9CA2">
            <w:pPr>
              <w:pStyle w:val="14"/>
              <w:spacing w:before="11"/>
              <w:rPr>
                <w:b/>
                <w:sz w:val="18"/>
              </w:rPr>
            </w:pPr>
          </w:p>
          <w:p w14:paraId="361A03DC">
            <w:pPr>
              <w:pStyle w:val="14"/>
              <w:ind w:left="10"/>
              <w:jc w:val="center"/>
              <w:rPr>
                <w:rFonts w:ascii="Times New Roman"/>
                <w:sz w:val="21"/>
              </w:rPr>
            </w:pPr>
            <w:r>
              <w:rPr>
                <w:rFonts w:ascii="Times New Roman"/>
                <w:w w:val="99"/>
                <w:sz w:val="21"/>
              </w:rPr>
              <w:t>/</w:t>
            </w:r>
          </w:p>
        </w:tc>
        <w:tc>
          <w:tcPr>
            <w:tcW w:w="851" w:type="dxa"/>
            <w:vMerge w:val="restart"/>
            <w:tcBorders>
              <w:bottom w:val="nil"/>
            </w:tcBorders>
          </w:tcPr>
          <w:p w14:paraId="6F5C1336">
            <w:pPr>
              <w:pStyle w:val="14"/>
              <w:rPr>
                <w:b/>
                <w:sz w:val="22"/>
              </w:rPr>
            </w:pPr>
          </w:p>
          <w:p w14:paraId="7FD6EB1A">
            <w:pPr>
              <w:pStyle w:val="14"/>
              <w:spacing w:before="11"/>
              <w:rPr>
                <w:b/>
                <w:sz w:val="18"/>
              </w:rPr>
            </w:pPr>
          </w:p>
          <w:p w14:paraId="3ABCAE58">
            <w:pPr>
              <w:pStyle w:val="14"/>
              <w:ind w:left="214"/>
              <w:rPr>
                <w:rFonts w:ascii="Times New Roman"/>
                <w:sz w:val="21"/>
              </w:rPr>
            </w:pPr>
            <w:r>
              <w:rPr>
                <w:rFonts w:ascii="Times New Roman"/>
                <w:sz w:val="21"/>
              </w:rPr>
              <w:t>5500</w:t>
            </w:r>
          </w:p>
        </w:tc>
        <w:tc>
          <w:tcPr>
            <w:tcW w:w="726" w:type="dxa"/>
            <w:vMerge w:val="restart"/>
            <w:tcBorders>
              <w:bottom w:val="nil"/>
            </w:tcBorders>
          </w:tcPr>
          <w:p w14:paraId="3743D63D">
            <w:pPr>
              <w:pStyle w:val="14"/>
              <w:rPr>
                <w:b/>
                <w:sz w:val="22"/>
              </w:rPr>
            </w:pPr>
          </w:p>
          <w:p w14:paraId="30FA619A">
            <w:pPr>
              <w:pStyle w:val="14"/>
              <w:spacing w:before="11"/>
              <w:rPr>
                <w:b/>
                <w:sz w:val="18"/>
              </w:rPr>
            </w:pPr>
          </w:p>
          <w:p w14:paraId="666DAAF8">
            <w:pPr>
              <w:pStyle w:val="14"/>
              <w:ind w:left="152"/>
              <w:rPr>
                <w:rFonts w:ascii="Times New Roman"/>
                <w:sz w:val="21"/>
              </w:rPr>
            </w:pPr>
            <w:r>
              <w:rPr>
                <w:rFonts w:ascii="Times New Roman"/>
                <w:sz w:val="21"/>
              </w:rPr>
              <w:t>4800</w:t>
            </w:r>
          </w:p>
        </w:tc>
        <w:tc>
          <w:tcPr>
            <w:tcW w:w="922" w:type="dxa"/>
          </w:tcPr>
          <w:p w14:paraId="296571B7">
            <w:pPr>
              <w:pStyle w:val="14"/>
              <w:spacing w:before="7"/>
              <w:rPr>
                <w:b/>
                <w:sz w:val="15"/>
              </w:rPr>
            </w:pPr>
          </w:p>
          <w:p w14:paraId="1088379C">
            <w:pPr>
              <w:pStyle w:val="14"/>
              <w:ind w:left="98" w:right="89"/>
              <w:jc w:val="center"/>
              <w:rPr>
                <w:rFonts w:ascii="Times New Roman"/>
                <w:sz w:val="21"/>
              </w:rPr>
            </w:pPr>
            <w:r>
              <w:rPr>
                <w:rFonts w:ascii="Times New Roman"/>
                <w:sz w:val="21"/>
              </w:rPr>
              <w:t>3.16</w:t>
            </w:r>
          </w:p>
        </w:tc>
        <w:tc>
          <w:tcPr>
            <w:tcW w:w="1004" w:type="dxa"/>
          </w:tcPr>
          <w:p w14:paraId="18FC1A1F">
            <w:pPr>
              <w:pStyle w:val="14"/>
              <w:spacing w:before="7"/>
              <w:rPr>
                <w:b/>
                <w:sz w:val="15"/>
              </w:rPr>
            </w:pPr>
          </w:p>
          <w:p w14:paraId="5F836655">
            <w:pPr>
              <w:pStyle w:val="14"/>
              <w:ind w:left="86" w:right="78"/>
              <w:jc w:val="center"/>
              <w:rPr>
                <w:rFonts w:ascii="Times New Roman"/>
                <w:sz w:val="21"/>
              </w:rPr>
            </w:pPr>
            <w:r>
              <w:rPr>
                <w:rFonts w:ascii="Times New Roman"/>
                <w:sz w:val="21"/>
              </w:rPr>
              <w:t>0.1</w:t>
            </w:r>
          </w:p>
        </w:tc>
        <w:tc>
          <w:tcPr>
            <w:tcW w:w="1111" w:type="dxa"/>
          </w:tcPr>
          <w:p w14:paraId="7EAA603E">
            <w:pPr>
              <w:pStyle w:val="14"/>
              <w:spacing w:before="7"/>
              <w:rPr>
                <w:b/>
                <w:sz w:val="15"/>
              </w:rPr>
            </w:pPr>
          </w:p>
          <w:p w14:paraId="50EEF995">
            <w:pPr>
              <w:pStyle w:val="14"/>
              <w:ind w:left="86" w:right="79"/>
              <w:jc w:val="center"/>
              <w:rPr>
                <w:rFonts w:ascii="Times New Roman"/>
                <w:sz w:val="21"/>
              </w:rPr>
            </w:pPr>
            <w:r>
              <w:rPr>
                <w:rFonts w:ascii="Times New Roman"/>
                <w:sz w:val="21"/>
              </w:rPr>
              <w:t>0.0174</w:t>
            </w:r>
          </w:p>
        </w:tc>
        <w:tc>
          <w:tcPr>
            <w:tcW w:w="1004" w:type="dxa"/>
          </w:tcPr>
          <w:p w14:paraId="0848D58E">
            <w:pPr>
              <w:pStyle w:val="14"/>
              <w:spacing w:before="7"/>
              <w:rPr>
                <w:b/>
                <w:sz w:val="15"/>
              </w:rPr>
            </w:pPr>
          </w:p>
          <w:p w14:paraId="657D7A50">
            <w:pPr>
              <w:pStyle w:val="14"/>
              <w:ind w:left="8"/>
              <w:jc w:val="center"/>
              <w:rPr>
                <w:rFonts w:ascii="Times New Roman"/>
                <w:sz w:val="21"/>
              </w:rPr>
            </w:pPr>
            <w:r>
              <w:rPr>
                <w:rFonts w:ascii="Times New Roman"/>
                <w:w w:val="99"/>
                <w:sz w:val="21"/>
              </w:rPr>
              <w:t>/</w:t>
            </w:r>
          </w:p>
        </w:tc>
        <w:tc>
          <w:tcPr>
            <w:tcW w:w="1165" w:type="dxa"/>
          </w:tcPr>
          <w:p w14:paraId="06093B51">
            <w:pPr>
              <w:pStyle w:val="14"/>
              <w:spacing w:before="7"/>
              <w:rPr>
                <w:b/>
                <w:sz w:val="15"/>
              </w:rPr>
            </w:pPr>
          </w:p>
          <w:p w14:paraId="7D4F894A">
            <w:pPr>
              <w:pStyle w:val="14"/>
              <w:ind w:left="9"/>
              <w:jc w:val="center"/>
              <w:rPr>
                <w:rFonts w:ascii="Times New Roman"/>
                <w:sz w:val="21"/>
              </w:rPr>
            </w:pPr>
            <w:r>
              <w:rPr>
                <w:rFonts w:ascii="Times New Roman"/>
                <w:w w:val="99"/>
                <w:sz w:val="21"/>
              </w:rPr>
              <w:t>/</w:t>
            </w:r>
          </w:p>
        </w:tc>
      </w:tr>
      <w:tr w14:paraId="69D2E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697" w:type="dxa"/>
            <w:vMerge w:val="continue"/>
            <w:tcBorders>
              <w:top w:val="nil"/>
              <w:bottom w:val="nil"/>
            </w:tcBorders>
          </w:tcPr>
          <w:p w14:paraId="5A5A80DC">
            <w:pPr>
              <w:rPr>
                <w:sz w:val="2"/>
                <w:szCs w:val="2"/>
              </w:rPr>
            </w:pPr>
          </w:p>
        </w:tc>
        <w:tc>
          <w:tcPr>
            <w:tcW w:w="658" w:type="dxa"/>
            <w:tcBorders>
              <w:bottom w:val="nil"/>
            </w:tcBorders>
          </w:tcPr>
          <w:p w14:paraId="1270C729">
            <w:pPr>
              <w:pStyle w:val="14"/>
              <w:spacing w:before="47"/>
              <w:ind w:left="97" w:right="90"/>
              <w:jc w:val="center"/>
              <w:rPr>
                <w:sz w:val="21"/>
              </w:rPr>
            </w:pPr>
            <w:r>
              <w:rPr>
                <w:sz w:val="21"/>
              </w:rPr>
              <w:t>氮氧</w:t>
            </w:r>
          </w:p>
        </w:tc>
        <w:tc>
          <w:tcPr>
            <w:tcW w:w="836" w:type="dxa"/>
            <w:vMerge w:val="restart"/>
          </w:tcPr>
          <w:p w14:paraId="09A1B69D">
            <w:pPr>
              <w:pStyle w:val="14"/>
              <w:spacing w:before="198"/>
              <w:ind w:left="180"/>
              <w:rPr>
                <w:rFonts w:ascii="Times New Roman"/>
                <w:sz w:val="21"/>
              </w:rPr>
            </w:pPr>
            <w:r>
              <w:rPr>
                <w:rFonts w:ascii="Times New Roman"/>
                <w:sz w:val="21"/>
              </w:rPr>
              <w:t>39.38</w:t>
            </w:r>
          </w:p>
        </w:tc>
        <w:tc>
          <w:tcPr>
            <w:tcW w:w="1012" w:type="dxa"/>
            <w:vMerge w:val="restart"/>
          </w:tcPr>
          <w:p w14:paraId="5102BC62">
            <w:pPr>
              <w:pStyle w:val="14"/>
              <w:spacing w:before="198"/>
              <w:ind w:left="268"/>
              <w:rPr>
                <w:rFonts w:ascii="Times New Roman"/>
                <w:sz w:val="21"/>
              </w:rPr>
            </w:pPr>
            <w:r>
              <w:rPr>
                <w:rFonts w:ascii="Times New Roman"/>
                <w:sz w:val="21"/>
              </w:rPr>
              <w:t>0.021</w:t>
            </w:r>
          </w:p>
        </w:tc>
        <w:tc>
          <w:tcPr>
            <w:tcW w:w="933" w:type="dxa"/>
            <w:vMerge w:val="restart"/>
          </w:tcPr>
          <w:p w14:paraId="6177D581">
            <w:pPr>
              <w:pStyle w:val="14"/>
              <w:spacing w:before="198"/>
              <w:ind w:left="228"/>
              <w:rPr>
                <w:rFonts w:ascii="Times New Roman"/>
                <w:sz w:val="21"/>
              </w:rPr>
            </w:pPr>
            <w:r>
              <w:rPr>
                <w:rFonts w:ascii="Times New Roman"/>
                <w:sz w:val="21"/>
              </w:rPr>
              <w:t>0.174</w:t>
            </w:r>
          </w:p>
        </w:tc>
        <w:tc>
          <w:tcPr>
            <w:tcW w:w="757" w:type="dxa"/>
            <w:vMerge w:val="continue"/>
            <w:tcBorders>
              <w:top w:val="nil"/>
              <w:bottom w:val="nil"/>
            </w:tcBorders>
          </w:tcPr>
          <w:p w14:paraId="706F3F17">
            <w:pPr>
              <w:rPr>
                <w:sz w:val="2"/>
                <w:szCs w:val="2"/>
              </w:rPr>
            </w:pPr>
          </w:p>
        </w:tc>
        <w:tc>
          <w:tcPr>
            <w:tcW w:w="1832" w:type="dxa"/>
            <w:vMerge w:val="continue"/>
            <w:tcBorders>
              <w:top w:val="nil"/>
              <w:bottom w:val="nil"/>
            </w:tcBorders>
          </w:tcPr>
          <w:p w14:paraId="0D679F90">
            <w:pPr>
              <w:rPr>
                <w:sz w:val="2"/>
                <w:szCs w:val="2"/>
              </w:rPr>
            </w:pPr>
          </w:p>
        </w:tc>
        <w:tc>
          <w:tcPr>
            <w:tcW w:w="666" w:type="dxa"/>
            <w:vMerge w:val="continue"/>
            <w:tcBorders>
              <w:top w:val="nil"/>
              <w:bottom w:val="nil"/>
            </w:tcBorders>
          </w:tcPr>
          <w:p w14:paraId="1FA9912D">
            <w:pPr>
              <w:rPr>
                <w:sz w:val="2"/>
                <w:szCs w:val="2"/>
              </w:rPr>
            </w:pPr>
          </w:p>
        </w:tc>
        <w:tc>
          <w:tcPr>
            <w:tcW w:w="851" w:type="dxa"/>
            <w:vMerge w:val="continue"/>
            <w:tcBorders>
              <w:top w:val="nil"/>
              <w:bottom w:val="nil"/>
            </w:tcBorders>
          </w:tcPr>
          <w:p w14:paraId="53D69011">
            <w:pPr>
              <w:rPr>
                <w:sz w:val="2"/>
                <w:szCs w:val="2"/>
              </w:rPr>
            </w:pPr>
          </w:p>
        </w:tc>
        <w:tc>
          <w:tcPr>
            <w:tcW w:w="726" w:type="dxa"/>
            <w:vMerge w:val="continue"/>
            <w:tcBorders>
              <w:top w:val="nil"/>
              <w:bottom w:val="nil"/>
            </w:tcBorders>
          </w:tcPr>
          <w:p w14:paraId="25F6EAE4">
            <w:pPr>
              <w:rPr>
                <w:sz w:val="2"/>
                <w:szCs w:val="2"/>
              </w:rPr>
            </w:pPr>
          </w:p>
        </w:tc>
        <w:tc>
          <w:tcPr>
            <w:tcW w:w="922" w:type="dxa"/>
            <w:vMerge w:val="restart"/>
          </w:tcPr>
          <w:p w14:paraId="303C546E">
            <w:pPr>
              <w:pStyle w:val="14"/>
              <w:spacing w:before="198"/>
              <w:ind w:left="276"/>
              <w:rPr>
                <w:rFonts w:ascii="Times New Roman"/>
                <w:sz w:val="21"/>
              </w:rPr>
            </w:pPr>
            <w:r>
              <w:rPr>
                <w:rFonts w:ascii="Times New Roman"/>
                <w:sz w:val="21"/>
              </w:rPr>
              <w:t>3.82</w:t>
            </w:r>
          </w:p>
        </w:tc>
        <w:tc>
          <w:tcPr>
            <w:tcW w:w="1004" w:type="dxa"/>
            <w:vMerge w:val="restart"/>
          </w:tcPr>
          <w:p w14:paraId="49E6FFDD">
            <w:pPr>
              <w:pStyle w:val="14"/>
              <w:spacing w:before="198"/>
              <w:ind w:left="264"/>
              <w:rPr>
                <w:rFonts w:ascii="Times New Roman"/>
                <w:sz w:val="21"/>
              </w:rPr>
            </w:pPr>
            <w:r>
              <w:rPr>
                <w:rFonts w:ascii="Times New Roman"/>
                <w:sz w:val="21"/>
              </w:rPr>
              <w:t>0.174</w:t>
            </w:r>
          </w:p>
        </w:tc>
        <w:tc>
          <w:tcPr>
            <w:tcW w:w="1111" w:type="dxa"/>
            <w:vMerge w:val="restart"/>
          </w:tcPr>
          <w:p w14:paraId="31A67544">
            <w:pPr>
              <w:pStyle w:val="14"/>
              <w:spacing w:before="198"/>
              <w:ind w:left="318"/>
              <w:rPr>
                <w:rFonts w:ascii="Times New Roman"/>
                <w:sz w:val="21"/>
              </w:rPr>
            </w:pPr>
            <w:r>
              <w:rPr>
                <w:rFonts w:ascii="Times New Roman"/>
                <w:sz w:val="21"/>
              </w:rPr>
              <w:t>0.021</w:t>
            </w:r>
          </w:p>
        </w:tc>
        <w:tc>
          <w:tcPr>
            <w:tcW w:w="1004" w:type="dxa"/>
            <w:vMerge w:val="restart"/>
          </w:tcPr>
          <w:p w14:paraId="2DF01EAD">
            <w:pPr>
              <w:pStyle w:val="14"/>
              <w:spacing w:before="198"/>
              <w:ind w:left="8"/>
              <w:jc w:val="center"/>
              <w:rPr>
                <w:rFonts w:ascii="Times New Roman"/>
                <w:sz w:val="21"/>
              </w:rPr>
            </w:pPr>
            <w:r>
              <w:rPr>
                <w:rFonts w:ascii="Times New Roman"/>
                <w:w w:val="99"/>
                <w:sz w:val="21"/>
              </w:rPr>
              <w:t>/</w:t>
            </w:r>
          </w:p>
        </w:tc>
        <w:tc>
          <w:tcPr>
            <w:tcW w:w="1165" w:type="dxa"/>
            <w:vMerge w:val="restart"/>
          </w:tcPr>
          <w:p w14:paraId="0E0D9427">
            <w:pPr>
              <w:pStyle w:val="14"/>
              <w:spacing w:before="198"/>
              <w:ind w:left="9"/>
              <w:jc w:val="center"/>
              <w:rPr>
                <w:rFonts w:ascii="Times New Roman"/>
                <w:sz w:val="21"/>
              </w:rPr>
            </w:pPr>
            <w:r>
              <w:rPr>
                <w:rFonts w:ascii="Times New Roman"/>
                <w:w w:val="99"/>
                <w:sz w:val="21"/>
              </w:rPr>
              <w:t>/</w:t>
            </w:r>
          </w:p>
        </w:tc>
      </w:tr>
      <w:tr w14:paraId="3B77B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697" w:type="dxa"/>
            <w:tcBorders>
              <w:top w:val="nil"/>
            </w:tcBorders>
          </w:tcPr>
          <w:p w14:paraId="07BE140B">
            <w:pPr>
              <w:pStyle w:val="14"/>
              <w:rPr>
                <w:rFonts w:ascii="Times New Roman"/>
                <w:sz w:val="20"/>
              </w:rPr>
            </w:pPr>
          </w:p>
        </w:tc>
        <w:tc>
          <w:tcPr>
            <w:tcW w:w="658" w:type="dxa"/>
            <w:tcBorders>
              <w:top w:val="nil"/>
            </w:tcBorders>
          </w:tcPr>
          <w:p w14:paraId="541E5622">
            <w:pPr>
              <w:pStyle w:val="14"/>
              <w:spacing w:before="19" w:line="254" w:lineRule="exact"/>
              <w:ind w:left="97" w:right="90"/>
              <w:jc w:val="center"/>
              <w:rPr>
                <w:sz w:val="21"/>
              </w:rPr>
            </w:pPr>
            <w:r>
              <w:rPr>
                <w:sz w:val="21"/>
              </w:rPr>
              <w:t>化物</w:t>
            </w:r>
          </w:p>
        </w:tc>
        <w:tc>
          <w:tcPr>
            <w:tcW w:w="836" w:type="dxa"/>
            <w:vMerge w:val="continue"/>
            <w:tcBorders>
              <w:top w:val="nil"/>
            </w:tcBorders>
          </w:tcPr>
          <w:p w14:paraId="314FB25D">
            <w:pPr>
              <w:rPr>
                <w:sz w:val="2"/>
                <w:szCs w:val="2"/>
              </w:rPr>
            </w:pPr>
          </w:p>
        </w:tc>
        <w:tc>
          <w:tcPr>
            <w:tcW w:w="1012" w:type="dxa"/>
            <w:vMerge w:val="continue"/>
            <w:tcBorders>
              <w:top w:val="nil"/>
            </w:tcBorders>
          </w:tcPr>
          <w:p w14:paraId="7AD0A118">
            <w:pPr>
              <w:rPr>
                <w:sz w:val="2"/>
                <w:szCs w:val="2"/>
              </w:rPr>
            </w:pPr>
          </w:p>
        </w:tc>
        <w:tc>
          <w:tcPr>
            <w:tcW w:w="933" w:type="dxa"/>
            <w:vMerge w:val="continue"/>
            <w:tcBorders>
              <w:top w:val="nil"/>
            </w:tcBorders>
          </w:tcPr>
          <w:p w14:paraId="06F01B53">
            <w:pPr>
              <w:rPr>
                <w:sz w:val="2"/>
                <w:szCs w:val="2"/>
              </w:rPr>
            </w:pPr>
          </w:p>
        </w:tc>
        <w:tc>
          <w:tcPr>
            <w:tcW w:w="757" w:type="dxa"/>
            <w:tcBorders>
              <w:top w:val="nil"/>
            </w:tcBorders>
          </w:tcPr>
          <w:p w14:paraId="6CA61283">
            <w:pPr>
              <w:pStyle w:val="14"/>
              <w:rPr>
                <w:rFonts w:ascii="Times New Roman"/>
                <w:sz w:val="20"/>
              </w:rPr>
            </w:pPr>
          </w:p>
        </w:tc>
        <w:tc>
          <w:tcPr>
            <w:tcW w:w="1832" w:type="dxa"/>
            <w:tcBorders>
              <w:top w:val="nil"/>
            </w:tcBorders>
          </w:tcPr>
          <w:p w14:paraId="692EB4BB">
            <w:pPr>
              <w:pStyle w:val="14"/>
              <w:rPr>
                <w:rFonts w:ascii="Times New Roman"/>
                <w:sz w:val="20"/>
              </w:rPr>
            </w:pPr>
          </w:p>
        </w:tc>
        <w:tc>
          <w:tcPr>
            <w:tcW w:w="666" w:type="dxa"/>
            <w:tcBorders>
              <w:top w:val="nil"/>
            </w:tcBorders>
          </w:tcPr>
          <w:p w14:paraId="7A3A4A47">
            <w:pPr>
              <w:pStyle w:val="14"/>
              <w:rPr>
                <w:rFonts w:ascii="Times New Roman"/>
                <w:sz w:val="20"/>
              </w:rPr>
            </w:pPr>
          </w:p>
        </w:tc>
        <w:tc>
          <w:tcPr>
            <w:tcW w:w="851" w:type="dxa"/>
            <w:tcBorders>
              <w:top w:val="nil"/>
            </w:tcBorders>
          </w:tcPr>
          <w:p w14:paraId="13CE5CCD">
            <w:pPr>
              <w:pStyle w:val="14"/>
              <w:rPr>
                <w:rFonts w:ascii="Times New Roman"/>
                <w:sz w:val="20"/>
              </w:rPr>
            </w:pPr>
          </w:p>
        </w:tc>
        <w:tc>
          <w:tcPr>
            <w:tcW w:w="726" w:type="dxa"/>
            <w:tcBorders>
              <w:top w:val="nil"/>
            </w:tcBorders>
          </w:tcPr>
          <w:p w14:paraId="24B8D7E2">
            <w:pPr>
              <w:pStyle w:val="14"/>
              <w:rPr>
                <w:rFonts w:ascii="Times New Roman"/>
                <w:sz w:val="20"/>
              </w:rPr>
            </w:pPr>
          </w:p>
        </w:tc>
        <w:tc>
          <w:tcPr>
            <w:tcW w:w="922" w:type="dxa"/>
            <w:vMerge w:val="continue"/>
            <w:tcBorders>
              <w:top w:val="nil"/>
            </w:tcBorders>
          </w:tcPr>
          <w:p w14:paraId="5E2EE77E">
            <w:pPr>
              <w:rPr>
                <w:sz w:val="2"/>
                <w:szCs w:val="2"/>
              </w:rPr>
            </w:pPr>
          </w:p>
        </w:tc>
        <w:tc>
          <w:tcPr>
            <w:tcW w:w="1004" w:type="dxa"/>
            <w:vMerge w:val="continue"/>
            <w:tcBorders>
              <w:top w:val="nil"/>
            </w:tcBorders>
          </w:tcPr>
          <w:p w14:paraId="069B5B32">
            <w:pPr>
              <w:rPr>
                <w:sz w:val="2"/>
                <w:szCs w:val="2"/>
              </w:rPr>
            </w:pPr>
          </w:p>
        </w:tc>
        <w:tc>
          <w:tcPr>
            <w:tcW w:w="1111" w:type="dxa"/>
            <w:vMerge w:val="continue"/>
            <w:tcBorders>
              <w:top w:val="nil"/>
            </w:tcBorders>
          </w:tcPr>
          <w:p w14:paraId="20AD46E8">
            <w:pPr>
              <w:rPr>
                <w:sz w:val="2"/>
                <w:szCs w:val="2"/>
              </w:rPr>
            </w:pPr>
          </w:p>
        </w:tc>
        <w:tc>
          <w:tcPr>
            <w:tcW w:w="1004" w:type="dxa"/>
            <w:vMerge w:val="continue"/>
            <w:tcBorders>
              <w:top w:val="nil"/>
            </w:tcBorders>
          </w:tcPr>
          <w:p w14:paraId="0AB0686F">
            <w:pPr>
              <w:rPr>
                <w:sz w:val="2"/>
                <w:szCs w:val="2"/>
              </w:rPr>
            </w:pPr>
          </w:p>
        </w:tc>
        <w:tc>
          <w:tcPr>
            <w:tcW w:w="1165" w:type="dxa"/>
            <w:vMerge w:val="continue"/>
            <w:tcBorders>
              <w:top w:val="nil"/>
            </w:tcBorders>
          </w:tcPr>
          <w:p w14:paraId="77A8E035">
            <w:pPr>
              <w:rPr>
                <w:sz w:val="2"/>
                <w:szCs w:val="2"/>
              </w:rPr>
            </w:pPr>
          </w:p>
        </w:tc>
      </w:tr>
      <w:tr w14:paraId="3E55C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97" w:type="dxa"/>
            <w:tcBorders>
              <w:bottom w:val="nil"/>
            </w:tcBorders>
          </w:tcPr>
          <w:p w14:paraId="46E663BD">
            <w:pPr>
              <w:pStyle w:val="14"/>
              <w:spacing w:before="21" w:line="245" w:lineRule="exact"/>
              <w:ind w:left="37" w:right="34"/>
              <w:jc w:val="center"/>
              <w:rPr>
                <w:sz w:val="21"/>
              </w:rPr>
            </w:pPr>
            <w:r>
              <w:rPr>
                <w:sz w:val="21"/>
              </w:rPr>
              <w:t>预留</w:t>
            </w:r>
          </w:p>
        </w:tc>
        <w:tc>
          <w:tcPr>
            <w:tcW w:w="658" w:type="dxa"/>
            <w:vMerge w:val="restart"/>
          </w:tcPr>
          <w:p w14:paraId="3EAC86AD">
            <w:pPr>
              <w:pStyle w:val="14"/>
              <w:spacing w:before="130"/>
              <w:ind w:left="142"/>
              <w:rPr>
                <w:rFonts w:ascii="Times New Roman"/>
                <w:sz w:val="21"/>
              </w:rPr>
            </w:pPr>
            <w:r>
              <w:rPr>
                <w:rFonts w:ascii="Times New Roman"/>
                <w:position w:val="2"/>
                <w:sz w:val="21"/>
              </w:rPr>
              <w:t>NH</w:t>
            </w:r>
            <w:r>
              <w:rPr>
                <w:rFonts w:ascii="Times New Roman"/>
                <w:position w:val="2"/>
                <w:sz w:val="21"/>
                <w:vertAlign w:val="subscript"/>
              </w:rPr>
              <w:t>3</w:t>
            </w:r>
          </w:p>
        </w:tc>
        <w:tc>
          <w:tcPr>
            <w:tcW w:w="836" w:type="dxa"/>
            <w:vMerge w:val="restart"/>
          </w:tcPr>
          <w:p w14:paraId="68B59109">
            <w:pPr>
              <w:pStyle w:val="14"/>
              <w:spacing w:before="133"/>
              <w:ind w:left="9"/>
              <w:jc w:val="center"/>
              <w:rPr>
                <w:rFonts w:ascii="Times New Roman"/>
                <w:sz w:val="21"/>
              </w:rPr>
            </w:pPr>
            <w:r>
              <w:rPr>
                <w:rFonts w:ascii="Times New Roman"/>
                <w:w w:val="99"/>
                <w:sz w:val="21"/>
              </w:rPr>
              <w:t>2</w:t>
            </w:r>
          </w:p>
        </w:tc>
        <w:tc>
          <w:tcPr>
            <w:tcW w:w="1012" w:type="dxa"/>
            <w:vMerge w:val="restart"/>
          </w:tcPr>
          <w:p w14:paraId="28D75563">
            <w:pPr>
              <w:pStyle w:val="14"/>
              <w:spacing w:before="133"/>
              <w:ind w:left="268"/>
              <w:rPr>
                <w:rFonts w:ascii="Times New Roman"/>
                <w:sz w:val="21"/>
              </w:rPr>
            </w:pPr>
            <w:r>
              <w:rPr>
                <w:rFonts w:ascii="Times New Roman"/>
                <w:sz w:val="21"/>
              </w:rPr>
              <w:t>0.017</w:t>
            </w:r>
          </w:p>
        </w:tc>
        <w:tc>
          <w:tcPr>
            <w:tcW w:w="933" w:type="dxa"/>
            <w:vMerge w:val="restart"/>
          </w:tcPr>
          <w:p w14:paraId="397FEBC7">
            <w:pPr>
              <w:pStyle w:val="14"/>
              <w:spacing w:before="133"/>
              <w:ind w:left="228"/>
              <w:rPr>
                <w:rFonts w:ascii="Times New Roman"/>
                <w:sz w:val="21"/>
              </w:rPr>
            </w:pPr>
            <w:r>
              <w:rPr>
                <w:rFonts w:ascii="Times New Roman"/>
                <w:sz w:val="21"/>
              </w:rPr>
              <w:t>0.041</w:t>
            </w:r>
          </w:p>
        </w:tc>
        <w:tc>
          <w:tcPr>
            <w:tcW w:w="757" w:type="dxa"/>
            <w:tcBorders>
              <w:bottom w:val="nil"/>
            </w:tcBorders>
          </w:tcPr>
          <w:p w14:paraId="62CB3EC1">
            <w:pPr>
              <w:pStyle w:val="14"/>
              <w:rPr>
                <w:rFonts w:ascii="Times New Roman"/>
                <w:sz w:val="20"/>
              </w:rPr>
            </w:pPr>
          </w:p>
        </w:tc>
        <w:tc>
          <w:tcPr>
            <w:tcW w:w="1832" w:type="dxa"/>
            <w:vMerge w:val="restart"/>
          </w:tcPr>
          <w:p w14:paraId="353E8217">
            <w:pPr>
              <w:pStyle w:val="14"/>
              <w:spacing w:before="155" w:line="244" w:lineRule="auto"/>
              <w:ind w:left="122" w:right="113"/>
              <w:jc w:val="center"/>
              <w:rPr>
                <w:sz w:val="21"/>
              </w:rPr>
            </w:pPr>
            <w:r>
              <w:rPr>
                <w:w w:val="95"/>
                <w:sz w:val="21"/>
              </w:rPr>
              <w:t>喷淋吸收塔</w:t>
            </w:r>
            <w:r>
              <w:rPr>
                <w:rFonts w:ascii="Times New Roman" w:eastAsia="Times New Roman"/>
                <w:w w:val="95"/>
                <w:sz w:val="21"/>
              </w:rPr>
              <w:t>+</w:t>
            </w:r>
            <w:r>
              <w:rPr>
                <w:w w:val="95"/>
                <w:sz w:val="21"/>
              </w:rPr>
              <w:t>生物</w:t>
            </w:r>
            <w:r>
              <w:rPr>
                <w:sz w:val="21"/>
              </w:rPr>
              <w:t>除臭装置处理</w:t>
            </w:r>
          </w:p>
          <w:p w14:paraId="2E19B18D">
            <w:pPr>
              <w:pStyle w:val="14"/>
              <w:spacing w:line="265" w:lineRule="exact"/>
              <w:ind w:left="120" w:right="113"/>
              <w:jc w:val="center"/>
              <w:rPr>
                <w:sz w:val="21"/>
              </w:rPr>
            </w:pPr>
            <w:r>
              <w:rPr>
                <w:rFonts w:ascii="Times New Roman" w:eastAsia="Times New Roman"/>
                <w:sz w:val="21"/>
              </w:rPr>
              <w:t xml:space="preserve">+15m </w:t>
            </w:r>
            <w:r>
              <w:rPr>
                <w:sz w:val="21"/>
              </w:rPr>
              <w:t>排气筒</w:t>
            </w:r>
          </w:p>
          <w:p w14:paraId="4D0B4909">
            <w:pPr>
              <w:pStyle w:val="14"/>
              <w:spacing w:before="5"/>
              <w:ind w:left="120" w:right="113"/>
              <w:jc w:val="center"/>
              <w:rPr>
                <w:sz w:val="21"/>
              </w:rPr>
            </w:pPr>
            <w:r>
              <w:rPr>
                <w:sz w:val="21"/>
              </w:rPr>
              <w:t>（</w:t>
            </w:r>
            <w:r>
              <w:rPr>
                <w:rFonts w:ascii="Times New Roman" w:eastAsia="Times New Roman"/>
                <w:sz w:val="21"/>
              </w:rPr>
              <w:t>DA003</w:t>
            </w:r>
            <w:r>
              <w:rPr>
                <w:sz w:val="21"/>
              </w:rPr>
              <w:t>）</w:t>
            </w:r>
          </w:p>
        </w:tc>
        <w:tc>
          <w:tcPr>
            <w:tcW w:w="666" w:type="dxa"/>
            <w:tcBorders>
              <w:bottom w:val="nil"/>
            </w:tcBorders>
          </w:tcPr>
          <w:p w14:paraId="1F5FDA92">
            <w:pPr>
              <w:pStyle w:val="14"/>
              <w:rPr>
                <w:rFonts w:ascii="Times New Roman"/>
                <w:sz w:val="20"/>
              </w:rPr>
            </w:pPr>
          </w:p>
        </w:tc>
        <w:tc>
          <w:tcPr>
            <w:tcW w:w="851" w:type="dxa"/>
            <w:tcBorders>
              <w:bottom w:val="nil"/>
            </w:tcBorders>
          </w:tcPr>
          <w:p w14:paraId="375C8429">
            <w:pPr>
              <w:pStyle w:val="14"/>
              <w:rPr>
                <w:rFonts w:ascii="Times New Roman"/>
                <w:sz w:val="20"/>
              </w:rPr>
            </w:pPr>
          </w:p>
        </w:tc>
        <w:tc>
          <w:tcPr>
            <w:tcW w:w="726" w:type="dxa"/>
            <w:tcBorders>
              <w:bottom w:val="nil"/>
            </w:tcBorders>
          </w:tcPr>
          <w:p w14:paraId="0D61DDF5">
            <w:pPr>
              <w:pStyle w:val="14"/>
              <w:rPr>
                <w:rFonts w:ascii="Times New Roman"/>
                <w:sz w:val="20"/>
              </w:rPr>
            </w:pPr>
          </w:p>
        </w:tc>
        <w:tc>
          <w:tcPr>
            <w:tcW w:w="922" w:type="dxa"/>
            <w:vMerge w:val="restart"/>
          </w:tcPr>
          <w:p w14:paraId="6633E798">
            <w:pPr>
              <w:pStyle w:val="14"/>
              <w:spacing w:before="133"/>
              <w:ind w:left="276"/>
              <w:rPr>
                <w:rFonts w:ascii="Times New Roman"/>
                <w:sz w:val="21"/>
              </w:rPr>
            </w:pPr>
            <w:r>
              <w:rPr>
                <w:rFonts w:ascii="Times New Roman"/>
                <w:sz w:val="21"/>
              </w:rPr>
              <w:t>0.19</w:t>
            </w:r>
          </w:p>
        </w:tc>
        <w:tc>
          <w:tcPr>
            <w:tcW w:w="1004" w:type="dxa"/>
            <w:vMerge w:val="restart"/>
          </w:tcPr>
          <w:p w14:paraId="55C6D96C">
            <w:pPr>
              <w:pStyle w:val="14"/>
              <w:spacing w:before="133"/>
              <w:ind w:left="213"/>
              <w:rPr>
                <w:rFonts w:ascii="Times New Roman"/>
                <w:sz w:val="21"/>
              </w:rPr>
            </w:pPr>
            <w:r>
              <w:rPr>
                <w:rFonts w:ascii="Times New Roman"/>
                <w:sz w:val="21"/>
              </w:rPr>
              <w:t>0.0039</w:t>
            </w:r>
          </w:p>
        </w:tc>
        <w:tc>
          <w:tcPr>
            <w:tcW w:w="1111" w:type="dxa"/>
            <w:vMerge w:val="restart"/>
          </w:tcPr>
          <w:p w14:paraId="1A5BBC6A">
            <w:pPr>
              <w:pStyle w:val="14"/>
              <w:spacing w:before="133"/>
              <w:ind w:left="265"/>
              <w:rPr>
                <w:rFonts w:ascii="Times New Roman"/>
                <w:sz w:val="21"/>
              </w:rPr>
            </w:pPr>
            <w:r>
              <w:rPr>
                <w:rFonts w:ascii="Times New Roman"/>
                <w:sz w:val="21"/>
              </w:rPr>
              <w:t>0.0016</w:t>
            </w:r>
          </w:p>
        </w:tc>
        <w:tc>
          <w:tcPr>
            <w:tcW w:w="1004" w:type="dxa"/>
            <w:vMerge w:val="restart"/>
          </w:tcPr>
          <w:p w14:paraId="2E628D4B">
            <w:pPr>
              <w:pStyle w:val="14"/>
              <w:spacing w:before="133"/>
              <w:ind w:left="263"/>
              <w:rPr>
                <w:rFonts w:ascii="Times New Roman"/>
                <w:sz w:val="21"/>
              </w:rPr>
            </w:pPr>
            <w:r>
              <w:rPr>
                <w:rFonts w:ascii="Times New Roman"/>
                <w:sz w:val="21"/>
              </w:rPr>
              <w:t>0.002</w:t>
            </w:r>
          </w:p>
        </w:tc>
        <w:tc>
          <w:tcPr>
            <w:tcW w:w="1165" w:type="dxa"/>
            <w:vMerge w:val="restart"/>
          </w:tcPr>
          <w:p w14:paraId="0DD8AA93">
            <w:pPr>
              <w:pStyle w:val="14"/>
              <w:spacing w:before="133"/>
              <w:ind w:left="241"/>
              <w:rPr>
                <w:rFonts w:ascii="Times New Roman"/>
                <w:sz w:val="21"/>
              </w:rPr>
            </w:pPr>
            <w:r>
              <w:rPr>
                <w:rFonts w:ascii="Times New Roman"/>
                <w:sz w:val="21"/>
              </w:rPr>
              <w:t>0.00085</w:t>
            </w:r>
          </w:p>
        </w:tc>
      </w:tr>
      <w:tr w14:paraId="1D9F0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697" w:type="dxa"/>
            <w:vMerge w:val="restart"/>
            <w:tcBorders>
              <w:top w:val="nil"/>
              <w:bottom w:val="nil"/>
            </w:tcBorders>
          </w:tcPr>
          <w:p w14:paraId="0DAA42A0">
            <w:pPr>
              <w:pStyle w:val="14"/>
              <w:spacing w:line="239" w:lineRule="exact"/>
              <w:ind w:left="136"/>
              <w:rPr>
                <w:sz w:val="21"/>
              </w:rPr>
            </w:pPr>
            <w:r>
              <w:rPr>
                <w:sz w:val="21"/>
              </w:rPr>
              <w:t>车间</w:t>
            </w:r>
          </w:p>
        </w:tc>
        <w:tc>
          <w:tcPr>
            <w:tcW w:w="658" w:type="dxa"/>
            <w:vMerge w:val="continue"/>
            <w:tcBorders>
              <w:top w:val="nil"/>
            </w:tcBorders>
          </w:tcPr>
          <w:p w14:paraId="69C58F87">
            <w:pPr>
              <w:rPr>
                <w:sz w:val="2"/>
                <w:szCs w:val="2"/>
              </w:rPr>
            </w:pPr>
          </w:p>
        </w:tc>
        <w:tc>
          <w:tcPr>
            <w:tcW w:w="836" w:type="dxa"/>
            <w:vMerge w:val="continue"/>
            <w:tcBorders>
              <w:top w:val="nil"/>
            </w:tcBorders>
          </w:tcPr>
          <w:p w14:paraId="1F38CAB4">
            <w:pPr>
              <w:rPr>
                <w:sz w:val="2"/>
                <w:szCs w:val="2"/>
              </w:rPr>
            </w:pPr>
          </w:p>
        </w:tc>
        <w:tc>
          <w:tcPr>
            <w:tcW w:w="1012" w:type="dxa"/>
            <w:vMerge w:val="continue"/>
            <w:tcBorders>
              <w:top w:val="nil"/>
            </w:tcBorders>
          </w:tcPr>
          <w:p w14:paraId="5B94191A">
            <w:pPr>
              <w:rPr>
                <w:sz w:val="2"/>
                <w:szCs w:val="2"/>
              </w:rPr>
            </w:pPr>
          </w:p>
        </w:tc>
        <w:tc>
          <w:tcPr>
            <w:tcW w:w="933" w:type="dxa"/>
            <w:vMerge w:val="continue"/>
            <w:tcBorders>
              <w:top w:val="nil"/>
            </w:tcBorders>
          </w:tcPr>
          <w:p w14:paraId="6C25E28A">
            <w:pPr>
              <w:rPr>
                <w:sz w:val="2"/>
                <w:szCs w:val="2"/>
              </w:rPr>
            </w:pPr>
          </w:p>
        </w:tc>
        <w:tc>
          <w:tcPr>
            <w:tcW w:w="757" w:type="dxa"/>
            <w:vMerge w:val="restart"/>
            <w:tcBorders>
              <w:top w:val="nil"/>
              <w:bottom w:val="nil"/>
            </w:tcBorders>
          </w:tcPr>
          <w:p w14:paraId="270960B2">
            <w:pPr>
              <w:pStyle w:val="14"/>
              <w:rPr>
                <w:rFonts w:ascii="Times New Roman"/>
                <w:sz w:val="18"/>
              </w:rPr>
            </w:pPr>
          </w:p>
        </w:tc>
        <w:tc>
          <w:tcPr>
            <w:tcW w:w="1832" w:type="dxa"/>
            <w:vMerge w:val="continue"/>
            <w:tcBorders>
              <w:top w:val="nil"/>
            </w:tcBorders>
          </w:tcPr>
          <w:p w14:paraId="7804F09D">
            <w:pPr>
              <w:rPr>
                <w:sz w:val="2"/>
                <w:szCs w:val="2"/>
              </w:rPr>
            </w:pPr>
          </w:p>
        </w:tc>
        <w:tc>
          <w:tcPr>
            <w:tcW w:w="666" w:type="dxa"/>
            <w:vMerge w:val="restart"/>
            <w:tcBorders>
              <w:top w:val="nil"/>
              <w:bottom w:val="nil"/>
            </w:tcBorders>
          </w:tcPr>
          <w:p w14:paraId="78B64C51">
            <w:pPr>
              <w:pStyle w:val="14"/>
              <w:rPr>
                <w:rFonts w:ascii="Times New Roman"/>
                <w:sz w:val="18"/>
              </w:rPr>
            </w:pPr>
          </w:p>
        </w:tc>
        <w:tc>
          <w:tcPr>
            <w:tcW w:w="851" w:type="dxa"/>
            <w:vMerge w:val="restart"/>
            <w:tcBorders>
              <w:top w:val="nil"/>
              <w:bottom w:val="nil"/>
            </w:tcBorders>
          </w:tcPr>
          <w:p w14:paraId="28CEEF41">
            <w:pPr>
              <w:pStyle w:val="14"/>
              <w:rPr>
                <w:rFonts w:ascii="Times New Roman"/>
                <w:sz w:val="18"/>
              </w:rPr>
            </w:pPr>
          </w:p>
        </w:tc>
        <w:tc>
          <w:tcPr>
            <w:tcW w:w="726" w:type="dxa"/>
            <w:vMerge w:val="restart"/>
            <w:tcBorders>
              <w:top w:val="nil"/>
              <w:bottom w:val="nil"/>
            </w:tcBorders>
          </w:tcPr>
          <w:p w14:paraId="4D1C53B9">
            <w:pPr>
              <w:pStyle w:val="14"/>
              <w:rPr>
                <w:rFonts w:ascii="Times New Roman"/>
                <w:sz w:val="18"/>
              </w:rPr>
            </w:pPr>
          </w:p>
        </w:tc>
        <w:tc>
          <w:tcPr>
            <w:tcW w:w="922" w:type="dxa"/>
            <w:vMerge w:val="continue"/>
            <w:tcBorders>
              <w:top w:val="nil"/>
            </w:tcBorders>
          </w:tcPr>
          <w:p w14:paraId="55B763FA">
            <w:pPr>
              <w:rPr>
                <w:sz w:val="2"/>
                <w:szCs w:val="2"/>
              </w:rPr>
            </w:pPr>
          </w:p>
        </w:tc>
        <w:tc>
          <w:tcPr>
            <w:tcW w:w="1004" w:type="dxa"/>
            <w:vMerge w:val="continue"/>
            <w:tcBorders>
              <w:top w:val="nil"/>
            </w:tcBorders>
          </w:tcPr>
          <w:p w14:paraId="0E771EF1">
            <w:pPr>
              <w:rPr>
                <w:sz w:val="2"/>
                <w:szCs w:val="2"/>
              </w:rPr>
            </w:pPr>
          </w:p>
        </w:tc>
        <w:tc>
          <w:tcPr>
            <w:tcW w:w="1111" w:type="dxa"/>
            <w:vMerge w:val="continue"/>
            <w:tcBorders>
              <w:top w:val="nil"/>
            </w:tcBorders>
          </w:tcPr>
          <w:p w14:paraId="7A1CA0F7">
            <w:pPr>
              <w:rPr>
                <w:sz w:val="2"/>
                <w:szCs w:val="2"/>
              </w:rPr>
            </w:pPr>
          </w:p>
        </w:tc>
        <w:tc>
          <w:tcPr>
            <w:tcW w:w="1004" w:type="dxa"/>
            <w:vMerge w:val="continue"/>
            <w:tcBorders>
              <w:top w:val="nil"/>
            </w:tcBorders>
          </w:tcPr>
          <w:p w14:paraId="6D8A20AC">
            <w:pPr>
              <w:rPr>
                <w:sz w:val="2"/>
                <w:szCs w:val="2"/>
              </w:rPr>
            </w:pPr>
          </w:p>
        </w:tc>
        <w:tc>
          <w:tcPr>
            <w:tcW w:w="1165" w:type="dxa"/>
            <w:vMerge w:val="continue"/>
            <w:tcBorders>
              <w:top w:val="nil"/>
            </w:tcBorders>
          </w:tcPr>
          <w:p w14:paraId="0CC0B3CB">
            <w:pPr>
              <w:rPr>
                <w:sz w:val="2"/>
                <w:szCs w:val="2"/>
              </w:rPr>
            </w:pPr>
          </w:p>
        </w:tc>
      </w:tr>
      <w:tr w14:paraId="0EF04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 w:hRule="atLeast"/>
        </w:trPr>
        <w:tc>
          <w:tcPr>
            <w:tcW w:w="697" w:type="dxa"/>
            <w:vMerge w:val="continue"/>
            <w:tcBorders>
              <w:top w:val="nil"/>
              <w:bottom w:val="nil"/>
            </w:tcBorders>
          </w:tcPr>
          <w:p w14:paraId="7743AA31">
            <w:pPr>
              <w:rPr>
                <w:sz w:val="2"/>
                <w:szCs w:val="2"/>
              </w:rPr>
            </w:pPr>
          </w:p>
        </w:tc>
        <w:tc>
          <w:tcPr>
            <w:tcW w:w="658" w:type="dxa"/>
            <w:tcBorders>
              <w:bottom w:val="nil"/>
            </w:tcBorders>
          </w:tcPr>
          <w:p w14:paraId="56000745">
            <w:pPr>
              <w:pStyle w:val="14"/>
              <w:rPr>
                <w:rFonts w:ascii="Times New Roman"/>
                <w:sz w:val="2"/>
              </w:rPr>
            </w:pPr>
          </w:p>
        </w:tc>
        <w:tc>
          <w:tcPr>
            <w:tcW w:w="836" w:type="dxa"/>
            <w:tcBorders>
              <w:bottom w:val="nil"/>
            </w:tcBorders>
          </w:tcPr>
          <w:p w14:paraId="380DFCC4">
            <w:pPr>
              <w:pStyle w:val="14"/>
              <w:rPr>
                <w:rFonts w:ascii="Times New Roman"/>
                <w:sz w:val="2"/>
              </w:rPr>
            </w:pPr>
          </w:p>
        </w:tc>
        <w:tc>
          <w:tcPr>
            <w:tcW w:w="1012" w:type="dxa"/>
            <w:tcBorders>
              <w:bottom w:val="nil"/>
            </w:tcBorders>
          </w:tcPr>
          <w:p w14:paraId="7A775E88">
            <w:pPr>
              <w:pStyle w:val="14"/>
              <w:rPr>
                <w:rFonts w:ascii="Times New Roman"/>
                <w:sz w:val="2"/>
              </w:rPr>
            </w:pPr>
          </w:p>
        </w:tc>
        <w:tc>
          <w:tcPr>
            <w:tcW w:w="933" w:type="dxa"/>
            <w:tcBorders>
              <w:bottom w:val="nil"/>
            </w:tcBorders>
          </w:tcPr>
          <w:p w14:paraId="538137E1">
            <w:pPr>
              <w:pStyle w:val="14"/>
              <w:rPr>
                <w:rFonts w:ascii="Times New Roman"/>
                <w:sz w:val="2"/>
              </w:rPr>
            </w:pPr>
          </w:p>
        </w:tc>
        <w:tc>
          <w:tcPr>
            <w:tcW w:w="757" w:type="dxa"/>
            <w:vMerge w:val="continue"/>
            <w:tcBorders>
              <w:top w:val="nil"/>
              <w:bottom w:val="nil"/>
            </w:tcBorders>
          </w:tcPr>
          <w:p w14:paraId="589DAD35">
            <w:pPr>
              <w:rPr>
                <w:sz w:val="2"/>
                <w:szCs w:val="2"/>
              </w:rPr>
            </w:pPr>
          </w:p>
        </w:tc>
        <w:tc>
          <w:tcPr>
            <w:tcW w:w="1832" w:type="dxa"/>
            <w:vMerge w:val="continue"/>
            <w:tcBorders>
              <w:top w:val="nil"/>
            </w:tcBorders>
          </w:tcPr>
          <w:p w14:paraId="2DDB85D0">
            <w:pPr>
              <w:rPr>
                <w:sz w:val="2"/>
                <w:szCs w:val="2"/>
              </w:rPr>
            </w:pPr>
          </w:p>
        </w:tc>
        <w:tc>
          <w:tcPr>
            <w:tcW w:w="666" w:type="dxa"/>
            <w:vMerge w:val="continue"/>
            <w:tcBorders>
              <w:top w:val="nil"/>
              <w:bottom w:val="nil"/>
            </w:tcBorders>
          </w:tcPr>
          <w:p w14:paraId="005BC847">
            <w:pPr>
              <w:rPr>
                <w:sz w:val="2"/>
                <w:szCs w:val="2"/>
              </w:rPr>
            </w:pPr>
          </w:p>
        </w:tc>
        <w:tc>
          <w:tcPr>
            <w:tcW w:w="851" w:type="dxa"/>
            <w:vMerge w:val="continue"/>
            <w:tcBorders>
              <w:top w:val="nil"/>
              <w:bottom w:val="nil"/>
            </w:tcBorders>
          </w:tcPr>
          <w:p w14:paraId="62B87E2A">
            <w:pPr>
              <w:rPr>
                <w:sz w:val="2"/>
                <w:szCs w:val="2"/>
              </w:rPr>
            </w:pPr>
          </w:p>
        </w:tc>
        <w:tc>
          <w:tcPr>
            <w:tcW w:w="726" w:type="dxa"/>
            <w:vMerge w:val="continue"/>
            <w:tcBorders>
              <w:top w:val="nil"/>
              <w:bottom w:val="nil"/>
            </w:tcBorders>
          </w:tcPr>
          <w:p w14:paraId="2A2D8674">
            <w:pPr>
              <w:rPr>
                <w:sz w:val="2"/>
                <w:szCs w:val="2"/>
              </w:rPr>
            </w:pPr>
          </w:p>
        </w:tc>
        <w:tc>
          <w:tcPr>
            <w:tcW w:w="922" w:type="dxa"/>
            <w:tcBorders>
              <w:bottom w:val="nil"/>
            </w:tcBorders>
          </w:tcPr>
          <w:p w14:paraId="19ED8F49">
            <w:pPr>
              <w:pStyle w:val="14"/>
              <w:rPr>
                <w:rFonts w:ascii="Times New Roman"/>
                <w:sz w:val="2"/>
              </w:rPr>
            </w:pPr>
          </w:p>
        </w:tc>
        <w:tc>
          <w:tcPr>
            <w:tcW w:w="1004" w:type="dxa"/>
            <w:tcBorders>
              <w:bottom w:val="nil"/>
            </w:tcBorders>
          </w:tcPr>
          <w:p w14:paraId="77041DF7">
            <w:pPr>
              <w:pStyle w:val="14"/>
              <w:rPr>
                <w:rFonts w:ascii="Times New Roman"/>
                <w:sz w:val="2"/>
              </w:rPr>
            </w:pPr>
          </w:p>
        </w:tc>
        <w:tc>
          <w:tcPr>
            <w:tcW w:w="1111" w:type="dxa"/>
            <w:tcBorders>
              <w:bottom w:val="nil"/>
            </w:tcBorders>
          </w:tcPr>
          <w:p w14:paraId="2217ECAF">
            <w:pPr>
              <w:pStyle w:val="14"/>
              <w:rPr>
                <w:rFonts w:ascii="Times New Roman"/>
                <w:sz w:val="2"/>
              </w:rPr>
            </w:pPr>
          </w:p>
        </w:tc>
        <w:tc>
          <w:tcPr>
            <w:tcW w:w="1004" w:type="dxa"/>
            <w:tcBorders>
              <w:bottom w:val="nil"/>
            </w:tcBorders>
          </w:tcPr>
          <w:p w14:paraId="040DB4EE">
            <w:pPr>
              <w:pStyle w:val="14"/>
              <w:rPr>
                <w:rFonts w:ascii="Times New Roman"/>
                <w:sz w:val="2"/>
              </w:rPr>
            </w:pPr>
          </w:p>
        </w:tc>
        <w:tc>
          <w:tcPr>
            <w:tcW w:w="1165" w:type="dxa"/>
            <w:tcBorders>
              <w:bottom w:val="nil"/>
            </w:tcBorders>
          </w:tcPr>
          <w:p w14:paraId="2D2FB6FC">
            <w:pPr>
              <w:pStyle w:val="14"/>
              <w:rPr>
                <w:rFonts w:ascii="Times New Roman"/>
                <w:sz w:val="2"/>
              </w:rPr>
            </w:pPr>
          </w:p>
        </w:tc>
      </w:tr>
      <w:tr w14:paraId="35D24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697" w:type="dxa"/>
            <w:tcBorders>
              <w:top w:val="nil"/>
              <w:bottom w:val="nil"/>
            </w:tcBorders>
          </w:tcPr>
          <w:p w14:paraId="3F10CD00">
            <w:pPr>
              <w:pStyle w:val="14"/>
              <w:spacing w:line="244" w:lineRule="exact"/>
              <w:ind w:left="37" w:right="34"/>
              <w:jc w:val="center"/>
              <w:rPr>
                <w:sz w:val="21"/>
              </w:rPr>
            </w:pPr>
            <w:r>
              <w:rPr>
                <w:sz w:val="21"/>
              </w:rPr>
              <w:t>及急</w:t>
            </w:r>
          </w:p>
        </w:tc>
        <w:tc>
          <w:tcPr>
            <w:tcW w:w="658" w:type="dxa"/>
            <w:tcBorders>
              <w:top w:val="nil"/>
              <w:bottom w:val="nil"/>
            </w:tcBorders>
          </w:tcPr>
          <w:p w14:paraId="309AC21C">
            <w:pPr>
              <w:pStyle w:val="14"/>
              <w:rPr>
                <w:rFonts w:ascii="Times New Roman"/>
                <w:sz w:val="18"/>
              </w:rPr>
            </w:pPr>
          </w:p>
        </w:tc>
        <w:tc>
          <w:tcPr>
            <w:tcW w:w="836" w:type="dxa"/>
            <w:tcBorders>
              <w:top w:val="nil"/>
              <w:bottom w:val="nil"/>
            </w:tcBorders>
          </w:tcPr>
          <w:p w14:paraId="39558A29">
            <w:pPr>
              <w:pStyle w:val="14"/>
              <w:rPr>
                <w:rFonts w:ascii="Times New Roman"/>
                <w:sz w:val="18"/>
              </w:rPr>
            </w:pPr>
          </w:p>
        </w:tc>
        <w:tc>
          <w:tcPr>
            <w:tcW w:w="1012" w:type="dxa"/>
            <w:tcBorders>
              <w:top w:val="nil"/>
              <w:bottom w:val="nil"/>
            </w:tcBorders>
          </w:tcPr>
          <w:p w14:paraId="2006360C">
            <w:pPr>
              <w:pStyle w:val="14"/>
              <w:rPr>
                <w:rFonts w:ascii="Times New Roman"/>
                <w:sz w:val="18"/>
              </w:rPr>
            </w:pPr>
          </w:p>
        </w:tc>
        <w:tc>
          <w:tcPr>
            <w:tcW w:w="933" w:type="dxa"/>
            <w:tcBorders>
              <w:top w:val="nil"/>
              <w:bottom w:val="nil"/>
            </w:tcBorders>
          </w:tcPr>
          <w:p w14:paraId="04427E9B">
            <w:pPr>
              <w:pStyle w:val="14"/>
              <w:rPr>
                <w:rFonts w:ascii="Times New Roman"/>
                <w:sz w:val="18"/>
              </w:rPr>
            </w:pPr>
          </w:p>
        </w:tc>
        <w:tc>
          <w:tcPr>
            <w:tcW w:w="757" w:type="dxa"/>
            <w:tcBorders>
              <w:top w:val="nil"/>
              <w:bottom w:val="nil"/>
            </w:tcBorders>
          </w:tcPr>
          <w:p w14:paraId="4992D74A">
            <w:pPr>
              <w:pStyle w:val="14"/>
              <w:spacing w:before="14" w:line="230" w:lineRule="exact"/>
              <w:ind w:left="186"/>
              <w:rPr>
                <w:rFonts w:ascii="Times New Roman"/>
                <w:sz w:val="21"/>
              </w:rPr>
            </w:pPr>
            <w:r>
              <w:rPr>
                <w:rFonts w:ascii="Times New Roman"/>
                <w:sz w:val="21"/>
              </w:rPr>
              <w:t>95%</w:t>
            </w:r>
          </w:p>
        </w:tc>
        <w:tc>
          <w:tcPr>
            <w:tcW w:w="1832" w:type="dxa"/>
            <w:vMerge w:val="continue"/>
            <w:tcBorders>
              <w:top w:val="nil"/>
            </w:tcBorders>
          </w:tcPr>
          <w:p w14:paraId="4E8947CD">
            <w:pPr>
              <w:rPr>
                <w:sz w:val="2"/>
                <w:szCs w:val="2"/>
              </w:rPr>
            </w:pPr>
          </w:p>
        </w:tc>
        <w:tc>
          <w:tcPr>
            <w:tcW w:w="666" w:type="dxa"/>
            <w:tcBorders>
              <w:top w:val="nil"/>
              <w:bottom w:val="nil"/>
            </w:tcBorders>
          </w:tcPr>
          <w:p w14:paraId="3028B584">
            <w:pPr>
              <w:pStyle w:val="14"/>
              <w:spacing w:before="14" w:line="230" w:lineRule="exact"/>
              <w:ind w:left="138"/>
              <w:rPr>
                <w:rFonts w:ascii="Times New Roman"/>
                <w:sz w:val="21"/>
              </w:rPr>
            </w:pPr>
            <w:r>
              <w:rPr>
                <w:rFonts w:ascii="Times New Roman"/>
                <w:sz w:val="21"/>
              </w:rPr>
              <w:t>90%</w:t>
            </w:r>
          </w:p>
        </w:tc>
        <w:tc>
          <w:tcPr>
            <w:tcW w:w="851" w:type="dxa"/>
            <w:tcBorders>
              <w:top w:val="nil"/>
              <w:bottom w:val="nil"/>
            </w:tcBorders>
          </w:tcPr>
          <w:p w14:paraId="564D9925">
            <w:pPr>
              <w:pStyle w:val="14"/>
              <w:spacing w:before="14" w:line="230" w:lineRule="exact"/>
              <w:ind w:left="214"/>
              <w:rPr>
                <w:rFonts w:ascii="Times New Roman"/>
                <w:sz w:val="21"/>
              </w:rPr>
            </w:pPr>
            <w:r>
              <w:rPr>
                <w:rFonts w:ascii="Times New Roman"/>
                <w:sz w:val="21"/>
              </w:rPr>
              <w:t>8500</w:t>
            </w:r>
          </w:p>
        </w:tc>
        <w:tc>
          <w:tcPr>
            <w:tcW w:w="726" w:type="dxa"/>
            <w:tcBorders>
              <w:top w:val="nil"/>
              <w:bottom w:val="nil"/>
            </w:tcBorders>
          </w:tcPr>
          <w:p w14:paraId="028EE279">
            <w:pPr>
              <w:pStyle w:val="14"/>
              <w:spacing w:before="14" w:line="230" w:lineRule="exact"/>
              <w:ind w:left="152"/>
              <w:rPr>
                <w:rFonts w:ascii="Times New Roman"/>
                <w:sz w:val="21"/>
              </w:rPr>
            </w:pPr>
            <w:r>
              <w:rPr>
                <w:rFonts w:ascii="Times New Roman"/>
                <w:sz w:val="21"/>
              </w:rPr>
              <w:t>2400</w:t>
            </w:r>
          </w:p>
        </w:tc>
        <w:tc>
          <w:tcPr>
            <w:tcW w:w="922" w:type="dxa"/>
            <w:tcBorders>
              <w:top w:val="nil"/>
              <w:bottom w:val="nil"/>
            </w:tcBorders>
          </w:tcPr>
          <w:p w14:paraId="5AC217E9">
            <w:pPr>
              <w:pStyle w:val="14"/>
              <w:rPr>
                <w:rFonts w:ascii="Times New Roman"/>
                <w:sz w:val="18"/>
              </w:rPr>
            </w:pPr>
          </w:p>
        </w:tc>
        <w:tc>
          <w:tcPr>
            <w:tcW w:w="1004" w:type="dxa"/>
            <w:tcBorders>
              <w:top w:val="nil"/>
              <w:bottom w:val="nil"/>
            </w:tcBorders>
          </w:tcPr>
          <w:p w14:paraId="76FB6441">
            <w:pPr>
              <w:pStyle w:val="14"/>
              <w:rPr>
                <w:rFonts w:ascii="Times New Roman"/>
                <w:sz w:val="18"/>
              </w:rPr>
            </w:pPr>
          </w:p>
        </w:tc>
        <w:tc>
          <w:tcPr>
            <w:tcW w:w="1111" w:type="dxa"/>
            <w:tcBorders>
              <w:top w:val="nil"/>
              <w:bottom w:val="nil"/>
            </w:tcBorders>
          </w:tcPr>
          <w:p w14:paraId="2768AD63">
            <w:pPr>
              <w:pStyle w:val="14"/>
              <w:rPr>
                <w:rFonts w:ascii="Times New Roman"/>
                <w:sz w:val="18"/>
              </w:rPr>
            </w:pPr>
          </w:p>
        </w:tc>
        <w:tc>
          <w:tcPr>
            <w:tcW w:w="1004" w:type="dxa"/>
            <w:tcBorders>
              <w:top w:val="nil"/>
              <w:bottom w:val="nil"/>
            </w:tcBorders>
          </w:tcPr>
          <w:p w14:paraId="1D6C2A87">
            <w:pPr>
              <w:pStyle w:val="14"/>
              <w:rPr>
                <w:rFonts w:ascii="Times New Roman"/>
                <w:sz w:val="18"/>
              </w:rPr>
            </w:pPr>
          </w:p>
        </w:tc>
        <w:tc>
          <w:tcPr>
            <w:tcW w:w="1165" w:type="dxa"/>
            <w:tcBorders>
              <w:top w:val="nil"/>
              <w:bottom w:val="nil"/>
            </w:tcBorders>
          </w:tcPr>
          <w:p w14:paraId="00449EB2">
            <w:pPr>
              <w:pStyle w:val="14"/>
              <w:rPr>
                <w:rFonts w:ascii="Times New Roman"/>
                <w:sz w:val="18"/>
              </w:rPr>
            </w:pPr>
          </w:p>
        </w:tc>
      </w:tr>
      <w:tr w14:paraId="3BFCD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697" w:type="dxa"/>
            <w:tcBorders>
              <w:top w:val="nil"/>
              <w:bottom w:val="nil"/>
            </w:tcBorders>
          </w:tcPr>
          <w:p w14:paraId="4282F4C0">
            <w:pPr>
              <w:pStyle w:val="14"/>
              <w:spacing w:line="246" w:lineRule="exact"/>
              <w:ind w:left="37" w:right="34"/>
              <w:jc w:val="center"/>
              <w:rPr>
                <w:sz w:val="21"/>
              </w:rPr>
            </w:pPr>
            <w:r>
              <w:rPr>
                <w:sz w:val="21"/>
              </w:rPr>
              <w:t>宰化</w:t>
            </w:r>
          </w:p>
        </w:tc>
        <w:tc>
          <w:tcPr>
            <w:tcW w:w="658" w:type="dxa"/>
            <w:tcBorders>
              <w:top w:val="nil"/>
              <w:bottom w:val="nil"/>
            </w:tcBorders>
          </w:tcPr>
          <w:p w14:paraId="0CB777C1">
            <w:pPr>
              <w:pStyle w:val="14"/>
              <w:spacing w:line="246" w:lineRule="exact"/>
              <w:ind w:left="97" w:right="89"/>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836" w:type="dxa"/>
            <w:tcBorders>
              <w:top w:val="nil"/>
              <w:bottom w:val="nil"/>
            </w:tcBorders>
          </w:tcPr>
          <w:p w14:paraId="2CDC55D7">
            <w:pPr>
              <w:pStyle w:val="14"/>
              <w:spacing w:line="241" w:lineRule="exact"/>
              <w:ind w:left="159" w:right="152"/>
              <w:jc w:val="center"/>
              <w:rPr>
                <w:rFonts w:ascii="Times New Roman"/>
                <w:sz w:val="21"/>
              </w:rPr>
            </w:pPr>
            <w:r>
              <w:rPr>
                <w:rFonts w:ascii="Times New Roman"/>
                <w:sz w:val="21"/>
              </w:rPr>
              <w:t>0.006</w:t>
            </w:r>
          </w:p>
        </w:tc>
        <w:tc>
          <w:tcPr>
            <w:tcW w:w="1012" w:type="dxa"/>
            <w:tcBorders>
              <w:top w:val="nil"/>
              <w:bottom w:val="nil"/>
            </w:tcBorders>
          </w:tcPr>
          <w:p w14:paraId="0855445D">
            <w:pPr>
              <w:pStyle w:val="14"/>
              <w:spacing w:line="241" w:lineRule="exact"/>
              <w:ind w:left="143" w:right="136"/>
              <w:jc w:val="center"/>
              <w:rPr>
                <w:rFonts w:ascii="Times New Roman"/>
                <w:sz w:val="21"/>
              </w:rPr>
            </w:pPr>
            <w:r>
              <w:rPr>
                <w:rFonts w:ascii="Times New Roman"/>
                <w:sz w:val="21"/>
              </w:rPr>
              <w:t>0.00005</w:t>
            </w:r>
          </w:p>
        </w:tc>
        <w:tc>
          <w:tcPr>
            <w:tcW w:w="933" w:type="dxa"/>
            <w:tcBorders>
              <w:top w:val="nil"/>
              <w:bottom w:val="nil"/>
            </w:tcBorders>
          </w:tcPr>
          <w:p w14:paraId="34F2C827">
            <w:pPr>
              <w:pStyle w:val="14"/>
              <w:spacing w:line="241" w:lineRule="exact"/>
              <w:ind w:left="23" w:right="12"/>
              <w:jc w:val="center"/>
              <w:rPr>
                <w:rFonts w:ascii="Times New Roman"/>
                <w:sz w:val="21"/>
              </w:rPr>
            </w:pPr>
            <w:r>
              <w:rPr>
                <w:rFonts w:ascii="Times New Roman"/>
                <w:sz w:val="21"/>
              </w:rPr>
              <w:t>0.00012</w:t>
            </w:r>
          </w:p>
        </w:tc>
        <w:tc>
          <w:tcPr>
            <w:tcW w:w="757" w:type="dxa"/>
            <w:tcBorders>
              <w:top w:val="nil"/>
              <w:bottom w:val="nil"/>
            </w:tcBorders>
          </w:tcPr>
          <w:p w14:paraId="2BA6981F">
            <w:pPr>
              <w:pStyle w:val="14"/>
              <w:rPr>
                <w:rFonts w:ascii="Times New Roman"/>
                <w:sz w:val="18"/>
              </w:rPr>
            </w:pPr>
          </w:p>
        </w:tc>
        <w:tc>
          <w:tcPr>
            <w:tcW w:w="1832" w:type="dxa"/>
            <w:vMerge w:val="continue"/>
            <w:tcBorders>
              <w:top w:val="nil"/>
            </w:tcBorders>
          </w:tcPr>
          <w:p w14:paraId="4D252992">
            <w:pPr>
              <w:rPr>
                <w:sz w:val="2"/>
                <w:szCs w:val="2"/>
              </w:rPr>
            </w:pPr>
          </w:p>
        </w:tc>
        <w:tc>
          <w:tcPr>
            <w:tcW w:w="666" w:type="dxa"/>
            <w:tcBorders>
              <w:top w:val="nil"/>
              <w:bottom w:val="nil"/>
            </w:tcBorders>
          </w:tcPr>
          <w:p w14:paraId="3CC6B334">
            <w:pPr>
              <w:pStyle w:val="14"/>
              <w:rPr>
                <w:rFonts w:ascii="Times New Roman"/>
                <w:sz w:val="18"/>
              </w:rPr>
            </w:pPr>
          </w:p>
        </w:tc>
        <w:tc>
          <w:tcPr>
            <w:tcW w:w="851" w:type="dxa"/>
            <w:tcBorders>
              <w:top w:val="nil"/>
              <w:bottom w:val="nil"/>
            </w:tcBorders>
          </w:tcPr>
          <w:p w14:paraId="39E6D62B">
            <w:pPr>
              <w:pStyle w:val="14"/>
              <w:rPr>
                <w:rFonts w:ascii="Times New Roman"/>
                <w:sz w:val="18"/>
              </w:rPr>
            </w:pPr>
          </w:p>
        </w:tc>
        <w:tc>
          <w:tcPr>
            <w:tcW w:w="726" w:type="dxa"/>
            <w:tcBorders>
              <w:top w:val="nil"/>
              <w:bottom w:val="nil"/>
            </w:tcBorders>
          </w:tcPr>
          <w:p w14:paraId="1FE8F6BE">
            <w:pPr>
              <w:pStyle w:val="14"/>
              <w:rPr>
                <w:rFonts w:ascii="Times New Roman"/>
                <w:sz w:val="18"/>
              </w:rPr>
            </w:pPr>
          </w:p>
        </w:tc>
        <w:tc>
          <w:tcPr>
            <w:tcW w:w="922" w:type="dxa"/>
            <w:tcBorders>
              <w:top w:val="nil"/>
              <w:bottom w:val="nil"/>
            </w:tcBorders>
          </w:tcPr>
          <w:p w14:paraId="3DEF48A2">
            <w:pPr>
              <w:pStyle w:val="14"/>
              <w:spacing w:line="241" w:lineRule="exact"/>
              <w:ind w:left="98" w:right="91"/>
              <w:jc w:val="center"/>
              <w:rPr>
                <w:rFonts w:ascii="Times New Roman"/>
                <w:sz w:val="21"/>
              </w:rPr>
            </w:pPr>
            <w:r>
              <w:rPr>
                <w:rFonts w:ascii="Times New Roman"/>
                <w:sz w:val="21"/>
              </w:rPr>
              <w:t>0.00056</w:t>
            </w:r>
          </w:p>
        </w:tc>
        <w:tc>
          <w:tcPr>
            <w:tcW w:w="1004" w:type="dxa"/>
            <w:tcBorders>
              <w:top w:val="nil"/>
              <w:bottom w:val="nil"/>
            </w:tcBorders>
          </w:tcPr>
          <w:p w14:paraId="526B9713">
            <w:pPr>
              <w:pStyle w:val="14"/>
              <w:spacing w:line="241" w:lineRule="exact"/>
              <w:ind w:left="87" w:right="77"/>
              <w:jc w:val="center"/>
              <w:rPr>
                <w:rFonts w:ascii="Times New Roman"/>
                <w:sz w:val="21"/>
              </w:rPr>
            </w:pPr>
            <w:r>
              <w:rPr>
                <w:rFonts w:ascii="Times New Roman"/>
                <w:sz w:val="21"/>
              </w:rPr>
              <w:t>0.000011</w:t>
            </w:r>
          </w:p>
        </w:tc>
        <w:tc>
          <w:tcPr>
            <w:tcW w:w="1111" w:type="dxa"/>
            <w:tcBorders>
              <w:top w:val="nil"/>
              <w:bottom w:val="nil"/>
            </w:tcBorders>
          </w:tcPr>
          <w:p w14:paraId="084F3D6E">
            <w:pPr>
              <w:pStyle w:val="14"/>
              <w:spacing w:line="241" w:lineRule="exact"/>
              <w:ind w:left="89" w:right="79"/>
              <w:jc w:val="center"/>
              <w:rPr>
                <w:rFonts w:ascii="Times New Roman"/>
                <w:sz w:val="21"/>
              </w:rPr>
            </w:pPr>
            <w:r>
              <w:rPr>
                <w:rFonts w:ascii="Times New Roman"/>
                <w:sz w:val="21"/>
              </w:rPr>
              <w:t>0.0000048</w:t>
            </w:r>
          </w:p>
        </w:tc>
        <w:tc>
          <w:tcPr>
            <w:tcW w:w="1004" w:type="dxa"/>
            <w:tcBorders>
              <w:top w:val="nil"/>
              <w:bottom w:val="nil"/>
            </w:tcBorders>
          </w:tcPr>
          <w:p w14:paraId="5866A6B3">
            <w:pPr>
              <w:pStyle w:val="14"/>
              <w:spacing w:line="241" w:lineRule="exact"/>
              <w:ind w:left="87" w:right="78"/>
              <w:jc w:val="center"/>
              <w:rPr>
                <w:rFonts w:ascii="Times New Roman"/>
                <w:sz w:val="21"/>
              </w:rPr>
            </w:pPr>
            <w:r>
              <w:rPr>
                <w:rFonts w:ascii="Times New Roman"/>
                <w:sz w:val="21"/>
              </w:rPr>
              <w:t>0.000006</w:t>
            </w:r>
          </w:p>
        </w:tc>
        <w:tc>
          <w:tcPr>
            <w:tcW w:w="1165" w:type="dxa"/>
            <w:tcBorders>
              <w:top w:val="nil"/>
              <w:bottom w:val="nil"/>
            </w:tcBorders>
          </w:tcPr>
          <w:p w14:paraId="54DF4C94">
            <w:pPr>
              <w:pStyle w:val="14"/>
              <w:spacing w:line="241" w:lineRule="exact"/>
              <w:ind w:left="116" w:right="106"/>
              <w:jc w:val="center"/>
              <w:rPr>
                <w:rFonts w:ascii="Times New Roman"/>
                <w:sz w:val="21"/>
              </w:rPr>
            </w:pPr>
            <w:r>
              <w:rPr>
                <w:rFonts w:ascii="Times New Roman"/>
                <w:sz w:val="21"/>
              </w:rPr>
              <w:t>0.0000025</w:t>
            </w:r>
          </w:p>
        </w:tc>
      </w:tr>
      <w:tr w14:paraId="11CB0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97" w:type="dxa"/>
            <w:tcBorders>
              <w:top w:val="nil"/>
            </w:tcBorders>
          </w:tcPr>
          <w:p w14:paraId="768AAD35">
            <w:pPr>
              <w:pStyle w:val="14"/>
              <w:spacing w:line="263" w:lineRule="exact"/>
              <w:ind w:left="37" w:right="34"/>
              <w:jc w:val="center"/>
              <w:rPr>
                <w:sz w:val="21"/>
              </w:rPr>
            </w:pPr>
            <w:r>
              <w:rPr>
                <w:sz w:val="21"/>
              </w:rPr>
              <w:t>制间</w:t>
            </w:r>
          </w:p>
        </w:tc>
        <w:tc>
          <w:tcPr>
            <w:tcW w:w="658" w:type="dxa"/>
            <w:tcBorders>
              <w:top w:val="nil"/>
            </w:tcBorders>
          </w:tcPr>
          <w:p w14:paraId="23DA241A">
            <w:pPr>
              <w:pStyle w:val="14"/>
              <w:rPr>
                <w:rFonts w:ascii="Times New Roman"/>
                <w:sz w:val="20"/>
              </w:rPr>
            </w:pPr>
          </w:p>
        </w:tc>
        <w:tc>
          <w:tcPr>
            <w:tcW w:w="836" w:type="dxa"/>
            <w:tcBorders>
              <w:top w:val="nil"/>
            </w:tcBorders>
          </w:tcPr>
          <w:p w14:paraId="7E273036">
            <w:pPr>
              <w:pStyle w:val="14"/>
              <w:rPr>
                <w:rFonts w:ascii="Times New Roman"/>
                <w:sz w:val="20"/>
              </w:rPr>
            </w:pPr>
          </w:p>
        </w:tc>
        <w:tc>
          <w:tcPr>
            <w:tcW w:w="1012" w:type="dxa"/>
            <w:tcBorders>
              <w:top w:val="nil"/>
            </w:tcBorders>
          </w:tcPr>
          <w:p w14:paraId="033EE6A6">
            <w:pPr>
              <w:pStyle w:val="14"/>
              <w:rPr>
                <w:rFonts w:ascii="Times New Roman"/>
                <w:sz w:val="20"/>
              </w:rPr>
            </w:pPr>
          </w:p>
        </w:tc>
        <w:tc>
          <w:tcPr>
            <w:tcW w:w="933" w:type="dxa"/>
            <w:tcBorders>
              <w:top w:val="nil"/>
            </w:tcBorders>
          </w:tcPr>
          <w:p w14:paraId="5048C972">
            <w:pPr>
              <w:pStyle w:val="14"/>
              <w:rPr>
                <w:rFonts w:ascii="Times New Roman"/>
                <w:sz w:val="20"/>
              </w:rPr>
            </w:pPr>
          </w:p>
        </w:tc>
        <w:tc>
          <w:tcPr>
            <w:tcW w:w="757" w:type="dxa"/>
            <w:tcBorders>
              <w:top w:val="nil"/>
            </w:tcBorders>
          </w:tcPr>
          <w:p w14:paraId="25FB6422">
            <w:pPr>
              <w:pStyle w:val="14"/>
              <w:rPr>
                <w:rFonts w:ascii="Times New Roman"/>
                <w:sz w:val="20"/>
              </w:rPr>
            </w:pPr>
          </w:p>
        </w:tc>
        <w:tc>
          <w:tcPr>
            <w:tcW w:w="1832" w:type="dxa"/>
            <w:vMerge w:val="continue"/>
            <w:tcBorders>
              <w:top w:val="nil"/>
            </w:tcBorders>
          </w:tcPr>
          <w:p w14:paraId="680AD936">
            <w:pPr>
              <w:rPr>
                <w:sz w:val="2"/>
                <w:szCs w:val="2"/>
              </w:rPr>
            </w:pPr>
          </w:p>
        </w:tc>
        <w:tc>
          <w:tcPr>
            <w:tcW w:w="666" w:type="dxa"/>
            <w:tcBorders>
              <w:top w:val="nil"/>
            </w:tcBorders>
          </w:tcPr>
          <w:p w14:paraId="6EA76705">
            <w:pPr>
              <w:pStyle w:val="14"/>
              <w:rPr>
                <w:rFonts w:ascii="Times New Roman"/>
                <w:sz w:val="20"/>
              </w:rPr>
            </w:pPr>
          </w:p>
        </w:tc>
        <w:tc>
          <w:tcPr>
            <w:tcW w:w="851" w:type="dxa"/>
            <w:tcBorders>
              <w:top w:val="nil"/>
            </w:tcBorders>
          </w:tcPr>
          <w:p w14:paraId="1082A41D">
            <w:pPr>
              <w:pStyle w:val="14"/>
              <w:rPr>
                <w:rFonts w:ascii="Times New Roman"/>
                <w:sz w:val="20"/>
              </w:rPr>
            </w:pPr>
          </w:p>
        </w:tc>
        <w:tc>
          <w:tcPr>
            <w:tcW w:w="726" w:type="dxa"/>
            <w:tcBorders>
              <w:top w:val="nil"/>
            </w:tcBorders>
          </w:tcPr>
          <w:p w14:paraId="64627FDA">
            <w:pPr>
              <w:pStyle w:val="14"/>
              <w:rPr>
                <w:rFonts w:ascii="Times New Roman"/>
                <w:sz w:val="20"/>
              </w:rPr>
            </w:pPr>
          </w:p>
        </w:tc>
        <w:tc>
          <w:tcPr>
            <w:tcW w:w="922" w:type="dxa"/>
            <w:tcBorders>
              <w:top w:val="nil"/>
            </w:tcBorders>
          </w:tcPr>
          <w:p w14:paraId="4FEFF12E">
            <w:pPr>
              <w:pStyle w:val="14"/>
              <w:rPr>
                <w:rFonts w:ascii="Times New Roman"/>
                <w:sz w:val="20"/>
              </w:rPr>
            </w:pPr>
          </w:p>
        </w:tc>
        <w:tc>
          <w:tcPr>
            <w:tcW w:w="1004" w:type="dxa"/>
            <w:tcBorders>
              <w:top w:val="nil"/>
            </w:tcBorders>
          </w:tcPr>
          <w:p w14:paraId="60FE13B7">
            <w:pPr>
              <w:pStyle w:val="14"/>
              <w:rPr>
                <w:rFonts w:ascii="Times New Roman"/>
                <w:sz w:val="20"/>
              </w:rPr>
            </w:pPr>
          </w:p>
        </w:tc>
        <w:tc>
          <w:tcPr>
            <w:tcW w:w="1111" w:type="dxa"/>
            <w:tcBorders>
              <w:top w:val="nil"/>
            </w:tcBorders>
          </w:tcPr>
          <w:p w14:paraId="5D550A4B">
            <w:pPr>
              <w:pStyle w:val="14"/>
              <w:rPr>
                <w:rFonts w:ascii="Times New Roman"/>
                <w:sz w:val="20"/>
              </w:rPr>
            </w:pPr>
          </w:p>
        </w:tc>
        <w:tc>
          <w:tcPr>
            <w:tcW w:w="1004" w:type="dxa"/>
            <w:tcBorders>
              <w:top w:val="nil"/>
            </w:tcBorders>
          </w:tcPr>
          <w:p w14:paraId="140BB91E">
            <w:pPr>
              <w:pStyle w:val="14"/>
              <w:rPr>
                <w:rFonts w:ascii="Times New Roman"/>
                <w:sz w:val="20"/>
              </w:rPr>
            </w:pPr>
          </w:p>
        </w:tc>
        <w:tc>
          <w:tcPr>
            <w:tcW w:w="1165" w:type="dxa"/>
            <w:tcBorders>
              <w:top w:val="nil"/>
            </w:tcBorders>
          </w:tcPr>
          <w:p w14:paraId="1ED7F375">
            <w:pPr>
              <w:pStyle w:val="14"/>
              <w:rPr>
                <w:rFonts w:ascii="Times New Roman"/>
                <w:sz w:val="20"/>
              </w:rPr>
            </w:pPr>
          </w:p>
        </w:tc>
      </w:tr>
    </w:tbl>
    <w:p w14:paraId="5CA6E050">
      <w:pPr>
        <w:pStyle w:val="7"/>
        <w:rPr>
          <w:b/>
          <w:sz w:val="20"/>
        </w:rPr>
      </w:pPr>
    </w:p>
    <w:p w14:paraId="1BE0614F">
      <w:pPr>
        <w:pStyle w:val="7"/>
        <w:rPr>
          <w:b/>
          <w:sz w:val="20"/>
        </w:rPr>
      </w:pPr>
    </w:p>
    <w:p w14:paraId="0EDB1CD0">
      <w:pPr>
        <w:pStyle w:val="7"/>
        <w:rPr>
          <w:b/>
          <w:sz w:val="20"/>
        </w:rPr>
      </w:pPr>
    </w:p>
    <w:p w14:paraId="792F29CB">
      <w:pPr>
        <w:pStyle w:val="7"/>
        <w:rPr>
          <w:b/>
          <w:sz w:val="20"/>
        </w:rPr>
      </w:pPr>
    </w:p>
    <w:p w14:paraId="4A1AA80A">
      <w:pPr>
        <w:pStyle w:val="7"/>
        <w:rPr>
          <w:b/>
          <w:sz w:val="20"/>
        </w:rPr>
      </w:pPr>
    </w:p>
    <w:p w14:paraId="42B5AD49">
      <w:pPr>
        <w:pStyle w:val="7"/>
        <w:rPr>
          <w:b/>
          <w:sz w:val="20"/>
        </w:rPr>
      </w:pPr>
    </w:p>
    <w:p w14:paraId="46D9C3FE">
      <w:pPr>
        <w:pStyle w:val="7"/>
        <w:spacing w:before="12"/>
        <w:rPr>
          <w:b/>
          <w:sz w:val="18"/>
        </w:rPr>
      </w:pPr>
    </w:p>
    <w:p w14:paraId="3E040A10">
      <w:pPr>
        <w:spacing w:after="0"/>
        <w:rPr>
          <w:sz w:val="18"/>
        </w:rPr>
        <w:sectPr>
          <w:headerReference r:id="rId27" w:type="default"/>
          <w:footerReference r:id="rId28" w:type="default"/>
          <w:pgSz w:w="16840" w:h="11910" w:orient="landscape"/>
          <w:pgMar w:top="800" w:right="1220" w:bottom="280" w:left="1220" w:header="0" w:footer="0" w:gutter="0"/>
          <w:cols w:space="720" w:num="1"/>
        </w:sectPr>
      </w:pPr>
    </w:p>
    <w:p w14:paraId="68733B45">
      <w:pPr>
        <w:pStyle w:val="7"/>
        <w:spacing w:before="10"/>
        <w:rPr>
          <w:b/>
          <w:sz w:val="23"/>
        </w:rPr>
      </w:pPr>
    </w:p>
    <w:p w14:paraId="3EF7A65D">
      <w:pPr>
        <w:spacing w:before="1"/>
        <w:ind w:left="0" w:right="0" w:firstLine="0"/>
        <w:jc w:val="right"/>
        <w:rPr>
          <w:rFonts w:ascii="Times New Roman"/>
          <w:sz w:val="18"/>
        </w:rPr>
      </w:pPr>
      <w:r>
        <w:rPr>
          <w:rFonts w:ascii="Times New Roman"/>
          <w:sz w:val="18"/>
        </w:rPr>
        <w:t>- 78 -</w:t>
      </w:r>
    </w:p>
    <w:p w14:paraId="5FBCD626">
      <w:pPr>
        <w:spacing w:before="75"/>
        <w:ind w:left="3394" w:right="0" w:firstLine="0"/>
        <w:jc w:val="left"/>
        <w:rPr>
          <w:sz w:val="18"/>
        </w:rPr>
      </w:pPr>
      <w:r>
        <w:br w:type="column"/>
      </w:r>
      <w:r>
        <w:rPr>
          <w:sz w:val="18"/>
        </w:rPr>
        <w:t>编制单位：湖南明启环保工程股份有限公司</w:t>
      </w:r>
    </w:p>
    <w:p w14:paraId="6ED31FFB">
      <w:pPr>
        <w:spacing w:after="0"/>
        <w:jc w:val="left"/>
        <w:rPr>
          <w:sz w:val="18"/>
        </w:rPr>
        <w:sectPr>
          <w:type w:val="continuous"/>
          <w:pgSz w:w="16840" w:h="11910" w:orient="landscape"/>
          <w:pgMar w:top="1580" w:right="1220" w:bottom="280" w:left="1220" w:header="720" w:footer="720" w:gutter="0"/>
          <w:cols w:equalWidth="0" w:num="2">
            <w:col w:w="7324" w:space="40"/>
            <w:col w:w="7036"/>
          </w:cols>
        </w:sectPr>
      </w:pPr>
    </w:p>
    <w:p w14:paraId="5954E3A3">
      <w:pPr>
        <w:pStyle w:val="6"/>
        <w:spacing w:before="68"/>
        <w:ind w:left="940"/>
      </w:pPr>
      <w:r>
        <w:rPr>
          <w:rFonts w:ascii="Times New Roman" w:eastAsia="Times New Roman"/>
        </w:rPr>
        <w:t xml:space="preserve">3.7.4.2 </w:t>
      </w:r>
      <w:r>
        <w:t>废水污染物源强核算</w:t>
      </w:r>
    </w:p>
    <w:p w14:paraId="246999E8">
      <w:pPr>
        <w:pStyle w:val="7"/>
        <w:spacing w:before="160"/>
        <w:ind w:left="940"/>
      </w:pPr>
      <w:r>
        <w:rPr>
          <w:rFonts w:ascii="Times New Roman" w:eastAsia="Times New Roman"/>
        </w:rPr>
        <w:t>1</w:t>
      </w:r>
      <w:r>
        <w:t>）废水量</w:t>
      </w:r>
    </w:p>
    <w:p w14:paraId="19B06BA8">
      <w:pPr>
        <w:pStyle w:val="7"/>
        <w:spacing w:before="159" w:line="364" w:lineRule="auto"/>
        <w:ind w:left="460" w:right="477" w:firstLine="480"/>
      </w:pPr>
      <w:r>
        <w:t>根据前述给排水和水平衡分析可知，本项目采取无误分流，项目产生废水主要包括生活污水、屠宰废水以及相关工序排水，其中生活污水产生量为</w:t>
      </w:r>
    </w:p>
    <w:p w14:paraId="3585C833">
      <w:pPr>
        <w:pStyle w:val="7"/>
        <w:spacing w:line="364" w:lineRule="auto"/>
        <w:ind w:left="460" w:right="477"/>
        <w:jc w:val="both"/>
      </w:pPr>
      <w:r>
        <w:rPr>
          <w:rFonts w:ascii="Times New Roman" w:eastAsia="Times New Roman"/>
        </w:rPr>
        <w:t>22.44m</w:t>
      </w:r>
      <w:r>
        <w:rPr>
          <w:rFonts w:ascii="Times New Roman" w:eastAsia="Times New Roman"/>
          <w:position w:val="8"/>
          <w:sz w:val="15"/>
        </w:rPr>
        <w:t>3</w:t>
      </w:r>
      <w:r>
        <w:rPr>
          <w:rFonts w:ascii="Times New Roman" w:eastAsia="Times New Roman"/>
        </w:rPr>
        <w:t>/d(6732m</w:t>
      </w:r>
      <w:r>
        <w:rPr>
          <w:rFonts w:ascii="Times New Roman" w:eastAsia="Times New Roman"/>
          <w:position w:val="8"/>
          <w:sz w:val="15"/>
        </w:rPr>
        <w:t>3</w:t>
      </w:r>
      <w:r>
        <w:rPr>
          <w:rFonts w:ascii="Times New Roman" w:eastAsia="Times New Roman"/>
        </w:rPr>
        <w:t>/a)</w:t>
      </w:r>
      <w:r>
        <w:t xml:space="preserve">，排入化粪池预处理后经总排口入污水管网；屠宰废水为圈栏冲洗、宰前淋洗、宰后烫毛或剥皮、开腔、劈半、解体、内脏洗涤及车间冲洗等过程产生的废水，与暂养废水总计 </w:t>
      </w:r>
      <w:r>
        <w:rPr>
          <w:rFonts w:ascii="Times New Roman" w:eastAsia="Times New Roman"/>
        </w:rPr>
        <w:t>226000m</w:t>
      </w:r>
      <w:r>
        <w:rPr>
          <w:rFonts w:ascii="Times New Roman" w:eastAsia="Times New Roman"/>
          <w:position w:val="8"/>
          <w:sz w:val="15"/>
        </w:rPr>
        <w:t xml:space="preserve">3 </w:t>
      </w:r>
      <w:r>
        <w:t xml:space="preserve">一起排入污水处理站处理后，尾水其中 </w:t>
      </w:r>
      <w:r>
        <w:rPr>
          <w:rFonts w:ascii="Times New Roman" w:eastAsia="Times New Roman"/>
        </w:rPr>
        <w:t>35926m</w:t>
      </w:r>
      <w:r>
        <w:rPr>
          <w:rFonts w:ascii="Times New Roman" w:eastAsia="Times New Roman"/>
          <w:position w:val="8"/>
          <w:sz w:val="15"/>
        </w:rPr>
        <w:t xml:space="preserve">3 </w:t>
      </w:r>
      <w:r>
        <w:t xml:space="preserve">回用于屠宰相关工序用水，其余 </w:t>
      </w:r>
      <w:r>
        <w:rPr>
          <w:rFonts w:ascii="Times New Roman" w:eastAsia="Times New Roman"/>
        </w:rPr>
        <w:t>190074m</w:t>
      </w:r>
      <w:r>
        <w:rPr>
          <w:rFonts w:ascii="Times New Roman" w:eastAsia="Times New Roman"/>
          <w:position w:val="8"/>
          <w:sz w:val="15"/>
        </w:rPr>
        <w:t xml:space="preserve">3 </w:t>
      </w:r>
      <w:r>
        <w:t xml:space="preserve">与处理后生活污水排入污水管网，衔接至荣新东路市政污水管网后进入岳阳县污水处理厂， 本项目外排总废水量为 </w:t>
      </w:r>
      <w:r>
        <w:rPr>
          <w:rFonts w:ascii="Times New Roman" w:eastAsia="Times New Roman"/>
        </w:rPr>
        <w:t>196806m</w:t>
      </w:r>
      <w:r>
        <w:rPr>
          <w:rFonts w:ascii="Times New Roman" w:eastAsia="Times New Roman"/>
          <w:position w:val="8"/>
          <w:sz w:val="15"/>
        </w:rPr>
        <w:t>3</w:t>
      </w:r>
      <w:r>
        <w:rPr>
          <w:rFonts w:ascii="Times New Roman" w:eastAsia="Times New Roman"/>
        </w:rPr>
        <w:t>/a</w:t>
      </w:r>
      <w:r>
        <w:t>。</w:t>
      </w:r>
    </w:p>
    <w:p w14:paraId="5796EAE3">
      <w:pPr>
        <w:pStyle w:val="7"/>
        <w:spacing w:line="304" w:lineRule="exact"/>
        <w:ind w:left="940"/>
      </w:pPr>
      <w:r>
        <w:rPr>
          <w:rFonts w:ascii="Times New Roman" w:eastAsia="Times New Roman"/>
        </w:rPr>
        <w:t>2</w:t>
      </w:r>
      <w:r>
        <w:t>）生活污水污染物浓度</w:t>
      </w:r>
    </w:p>
    <w:p w14:paraId="73916553">
      <w:pPr>
        <w:pStyle w:val="7"/>
        <w:spacing w:before="156" w:line="362" w:lineRule="auto"/>
        <w:ind w:left="460" w:right="477" w:firstLine="480"/>
        <w:jc w:val="both"/>
        <w:rPr>
          <w:rFonts w:ascii="Times New Roman" w:eastAsia="Times New Roman"/>
        </w:rPr>
      </w:pPr>
      <w:r>
        <w:rPr>
          <w:position w:val="2"/>
        </w:rPr>
        <w:t xml:space="preserve">项目生活污水中主要污染物为 </w:t>
      </w:r>
      <w:r>
        <w:rPr>
          <w:rFonts w:ascii="Times New Roman" w:eastAsia="Times New Roman"/>
          <w:position w:val="2"/>
        </w:rPr>
        <w:t>COD</w:t>
      </w:r>
      <w:r>
        <w:rPr>
          <w:rFonts w:ascii="Times New Roman" w:eastAsia="Times New Roman"/>
          <w:position w:val="2"/>
          <w:vertAlign w:val="subscript"/>
        </w:rPr>
        <w:t>Cr</w:t>
      </w:r>
      <w:r>
        <w:rPr>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，考虑到本项目</w:t>
      </w:r>
      <w:r>
        <w:rPr>
          <w:vertAlign w:val="baseline"/>
        </w:rPr>
        <w:t>员工生活污水主要来自更衣室淋浴、日常洗手、上厕所等，生活污水中污染物浓度较一般居民生活污水浓度低，参照《环境影响评价工程师职业资格登记培</w:t>
      </w:r>
      <w:r>
        <w:rPr>
          <w:position w:val="2"/>
          <w:vertAlign w:val="baseline"/>
        </w:rPr>
        <w:t>训教材</w:t>
      </w:r>
      <w:r>
        <w:rPr>
          <w:rFonts w:ascii="Times New Roman" w:eastAsia="Times New Roman"/>
          <w:position w:val="2"/>
          <w:vertAlign w:val="baseline"/>
        </w:rPr>
        <w:t>-</w:t>
      </w:r>
      <w:r>
        <w:rPr>
          <w:position w:val="2"/>
          <w:vertAlign w:val="baseline"/>
        </w:rPr>
        <w:t>社会区域类环境影响评价</w:t>
      </w:r>
      <w:r>
        <w:rPr>
          <w:rFonts w:ascii="Times New Roman" w:eastAsia="Times New Roman"/>
          <w:position w:val="2"/>
          <w:vertAlign w:val="baseline"/>
        </w:rPr>
        <w:t xml:space="preserve">(2007 </w:t>
      </w:r>
      <w:r>
        <w:rPr>
          <w:position w:val="2"/>
          <w:vertAlign w:val="baseline"/>
        </w:rPr>
        <w:t>版</w:t>
      </w:r>
      <w:r>
        <w:rPr>
          <w:rFonts w:ascii="Times New Roman" w:eastAsia="Times New Roman"/>
          <w:position w:val="2"/>
          <w:vertAlign w:val="baseline"/>
        </w:rPr>
        <w:t>)</w:t>
      </w:r>
      <w:r>
        <w:rPr>
          <w:position w:val="2"/>
          <w:vertAlign w:val="baseline"/>
        </w:rPr>
        <w:t xml:space="preserve">》，主要污染物浓度分别为 </w:t>
      </w:r>
      <w:r>
        <w:rPr>
          <w:rFonts w:ascii="Times New Roman" w:eastAsia="Times New Roman"/>
          <w:position w:val="2"/>
          <w:vertAlign w:val="baseline"/>
        </w:rPr>
        <w:t>COD</w:t>
      </w:r>
      <w:r>
        <w:rPr>
          <w:rFonts w:ascii="Times New Roman" w:eastAsia="Times New Roman"/>
          <w:position w:val="2"/>
          <w:vertAlign w:val="subscript"/>
        </w:rPr>
        <w:t>Cr</w:t>
      </w:r>
    </w:p>
    <w:p w14:paraId="0B47EE75">
      <w:pPr>
        <w:pStyle w:val="7"/>
        <w:spacing w:before="1" w:line="360" w:lineRule="auto"/>
        <w:ind w:left="460" w:right="477"/>
        <w:jc w:val="both"/>
      </w:pPr>
      <w:r>
        <w:rPr>
          <w:rFonts w:ascii="Times New Roman" w:eastAsia="Times New Roman"/>
          <w:position w:val="2"/>
        </w:rPr>
        <w:t>350mg/L</w:t>
      </w:r>
      <w:r>
        <w:rPr>
          <w:spacing w:val="2"/>
          <w:position w:val="2"/>
        </w:rPr>
        <w:t>、</w:t>
      </w:r>
      <w:r>
        <w:rPr>
          <w:rFonts w:ascii="Times New Roman" w:eastAsia="Times New Roman"/>
          <w:position w:val="2"/>
        </w:rPr>
        <w:t>BOD</w:t>
      </w:r>
      <w:r>
        <w:rPr>
          <w:rFonts w:ascii="Times New Roman" w:eastAsia="Times New Roman"/>
          <w:position w:val="2"/>
          <w:vertAlign w:val="subscript"/>
        </w:rPr>
        <w:t>5</w:t>
      </w:r>
      <w:r>
        <w:rPr>
          <w:rFonts w:ascii="Times New Roman" w:eastAsia="Times New Roman"/>
          <w:spacing w:val="6"/>
          <w:position w:val="2"/>
          <w:vertAlign w:val="baseline"/>
        </w:rPr>
        <w:t xml:space="preserve"> </w:t>
      </w:r>
      <w:r>
        <w:rPr>
          <w:rFonts w:ascii="Times New Roman" w:eastAsia="Times New Roman"/>
          <w:position w:val="2"/>
          <w:vertAlign w:val="baseline"/>
        </w:rPr>
        <w:t>250mg/L</w:t>
      </w:r>
      <w:r>
        <w:rPr>
          <w:spacing w:val="2"/>
          <w:position w:val="2"/>
          <w:vertAlign w:val="baseline"/>
        </w:rPr>
        <w:t>、</w:t>
      </w:r>
      <w:r>
        <w:rPr>
          <w:rFonts w:ascii="Times New Roman" w:eastAsia="Times New Roman"/>
          <w:position w:val="2"/>
          <w:vertAlign w:val="baseline"/>
        </w:rPr>
        <w:t>SS</w:t>
      </w:r>
      <w:r>
        <w:rPr>
          <w:rFonts w:ascii="Times New Roman" w:eastAsia="Times New Roman"/>
          <w:spacing w:val="7"/>
          <w:position w:val="2"/>
          <w:vertAlign w:val="baseline"/>
        </w:rPr>
        <w:t xml:space="preserve"> </w:t>
      </w:r>
      <w:r>
        <w:rPr>
          <w:rFonts w:ascii="Times New Roman" w:eastAsia="Times New Roman"/>
          <w:position w:val="2"/>
          <w:vertAlign w:val="baseline"/>
        </w:rPr>
        <w:t>250mg/L</w:t>
      </w:r>
      <w:r>
        <w:rPr>
          <w:spacing w:val="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rFonts w:ascii="Times New Roman" w:eastAsia="Times New Roman"/>
          <w:spacing w:val="8"/>
          <w:position w:val="2"/>
          <w:vertAlign w:val="baseline"/>
        </w:rPr>
        <w:t xml:space="preserve"> </w:t>
      </w:r>
      <w:r>
        <w:rPr>
          <w:rFonts w:ascii="Times New Roman" w:eastAsia="Times New Roman"/>
          <w:position w:val="2"/>
          <w:vertAlign w:val="baseline"/>
        </w:rPr>
        <w:t>35mg/L</w:t>
      </w:r>
      <w:r>
        <w:rPr>
          <w:position w:val="2"/>
          <w:vertAlign w:val="baseline"/>
        </w:rPr>
        <w:t>。隔油池、化粪池对各</w:t>
      </w:r>
      <w:r>
        <w:rPr>
          <w:spacing w:val="1"/>
          <w:position w:val="2"/>
          <w:vertAlign w:val="baseline"/>
        </w:rPr>
        <w:t>污染物去除效率：</w:t>
      </w:r>
      <w:r>
        <w:rPr>
          <w:rFonts w:ascii="Times New Roman" w:eastAsia="Times New Roman"/>
          <w:position w:val="2"/>
          <w:vertAlign w:val="baseline"/>
        </w:rPr>
        <w:t>CODcr</w:t>
      </w:r>
      <w:r>
        <w:rPr>
          <w:rFonts w:ascii="Times New Roman" w:eastAsia="Times New Roman"/>
          <w:spacing w:val="15"/>
          <w:position w:val="2"/>
          <w:vertAlign w:val="baseline"/>
        </w:rPr>
        <w:t xml:space="preserve"> </w:t>
      </w:r>
      <w:r>
        <w:rPr>
          <w:rFonts w:ascii="Times New Roman" w:eastAsia="Times New Roman"/>
          <w:position w:val="2"/>
          <w:vertAlign w:val="baseline"/>
        </w:rPr>
        <w:t>15%</w:t>
      </w:r>
      <w:r>
        <w:rPr>
          <w:spacing w:val="2"/>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rFonts w:ascii="Times New Roman" w:eastAsia="Times New Roman"/>
          <w:spacing w:val="10"/>
          <w:position w:val="2"/>
          <w:vertAlign w:val="baseline"/>
        </w:rPr>
        <w:t xml:space="preserve"> </w:t>
      </w:r>
      <w:r>
        <w:rPr>
          <w:rFonts w:ascii="Times New Roman" w:eastAsia="Times New Roman"/>
          <w:position w:val="2"/>
          <w:vertAlign w:val="baseline"/>
        </w:rPr>
        <w:t>50%</w:t>
      </w:r>
      <w:r>
        <w:rPr>
          <w:spacing w:val="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rFonts w:ascii="Times New Roman" w:eastAsia="Times New Roman"/>
          <w:spacing w:val="11"/>
          <w:position w:val="2"/>
          <w:vertAlign w:val="baseline"/>
        </w:rPr>
        <w:t xml:space="preserve"> </w:t>
      </w:r>
      <w:r>
        <w:rPr>
          <w:rFonts w:ascii="Times New Roman" w:eastAsia="Times New Roman"/>
          <w:spacing w:val="1"/>
          <w:position w:val="2"/>
          <w:vertAlign w:val="baseline"/>
        </w:rPr>
        <w:t>8%</w:t>
      </w:r>
      <w:r>
        <w:rPr>
          <w:spacing w:val="2"/>
          <w:position w:val="2"/>
          <w:vertAlign w:val="baseline"/>
        </w:rPr>
        <w:t>、</w:t>
      </w:r>
      <w:r>
        <w:rPr>
          <w:rFonts w:ascii="Times New Roman" w:eastAsia="Times New Roman"/>
          <w:position w:val="2"/>
          <w:vertAlign w:val="baseline"/>
        </w:rPr>
        <w:t>SS</w:t>
      </w:r>
      <w:r>
        <w:rPr>
          <w:rFonts w:ascii="Times New Roman" w:eastAsia="Times New Roman"/>
          <w:spacing w:val="13"/>
          <w:position w:val="2"/>
          <w:vertAlign w:val="baseline"/>
        </w:rPr>
        <w:t xml:space="preserve"> </w:t>
      </w:r>
      <w:r>
        <w:rPr>
          <w:rFonts w:ascii="Times New Roman" w:eastAsia="Times New Roman"/>
          <w:position w:val="2"/>
          <w:vertAlign w:val="baseline"/>
        </w:rPr>
        <w:t>60%</w:t>
      </w:r>
      <w:r>
        <w:rPr>
          <w:spacing w:val="0"/>
          <w:position w:val="2"/>
          <w:vertAlign w:val="baseline"/>
        </w:rPr>
        <w:t>，则处理后的</w:t>
      </w:r>
      <w:r>
        <w:rPr>
          <w:spacing w:val="12"/>
          <w:position w:val="2"/>
          <w:vertAlign w:val="baseline"/>
        </w:rPr>
        <w:t xml:space="preserve">生活污水浓度为 </w:t>
      </w:r>
      <w:r>
        <w:rPr>
          <w:rFonts w:ascii="Times New Roman" w:eastAsia="Times New Roman"/>
          <w:position w:val="2"/>
          <w:vertAlign w:val="baseline"/>
        </w:rPr>
        <w:t>COD</w:t>
      </w:r>
      <w:r>
        <w:rPr>
          <w:rFonts w:ascii="Times New Roman" w:eastAsia="Times New Roman"/>
          <w:position w:val="2"/>
          <w:vertAlign w:val="subscript"/>
        </w:rPr>
        <w:t>Cr</w:t>
      </w:r>
      <w:r>
        <w:rPr>
          <w:rFonts w:ascii="Times New Roman" w:eastAsia="Times New Roman"/>
          <w:spacing w:val="-32"/>
          <w:position w:val="2"/>
          <w:vertAlign w:val="baseline"/>
        </w:rPr>
        <w:t xml:space="preserve"> </w:t>
      </w:r>
      <w:r>
        <w:rPr>
          <w:spacing w:val="22"/>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rFonts w:ascii="Times New Roman" w:eastAsia="Times New Roman"/>
          <w:spacing w:val="-32"/>
          <w:position w:val="2"/>
          <w:vertAlign w:val="baseline"/>
        </w:rPr>
        <w:t xml:space="preserve"> </w:t>
      </w:r>
      <w:r>
        <w:rPr>
          <w:spacing w:val="22"/>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rFonts w:ascii="Times New Roman" w:eastAsia="Times New Roman"/>
          <w:spacing w:val="-34"/>
          <w:position w:val="2"/>
          <w:vertAlign w:val="baseline"/>
        </w:rPr>
        <w:t xml:space="preserve"> </w:t>
      </w:r>
      <w:r>
        <w:rPr>
          <w:spacing w:val="25"/>
          <w:position w:val="2"/>
          <w:vertAlign w:val="baseline"/>
        </w:rPr>
        <w:t>、</w:t>
      </w:r>
      <w:r>
        <w:rPr>
          <w:rFonts w:ascii="Times New Roman" w:eastAsia="Times New Roman"/>
          <w:position w:val="2"/>
          <w:vertAlign w:val="baseline"/>
        </w:rPr>
        <w:t>SS</w:t>
      </w:r>
      <w:r>
        <w:rPr>
          <w:rFonts w:ascii="Times New Roman" w:eastAsia="Times New Roman"/>
          <w:spacing w:val="15"/>
          <w:position w:val="2"/>
          <w:vertAlign w:val="baseline"/>
        </w:rPr>
        <w:t xml:space="preserve"> </w:t>
      </w:r>
      <w:r>
        <w:rPr>
          <w:spacing w:val="12"/>
          <w:position w:val="2"/>
          <w:vertAlign w:val="baseline"/>
        </w:rPr>
        <w:t xml:space="preserve">排放浓度分别为 </w:t>
      </w:r>
      <w:r>
        <w:rPr>
          <w:rFonts w:ascii="Times New Roman" w:eastAsia="Times New Roman"/>
          <w:position w:val="2"/>
          <w:vertAlign w:val="baseline"/>
        </w:rPr>
        <w:t>297.5mg/L</w:t>
      </w:r>
      <w:r>
        <w:rPr>
          <w:rFonts w:ascii="Times New Roman" w:eastAsia="Times New Roman"/>
          <w:spacing w:val="-31"/>
          <w:position w:val="2"/>
          <w:vertAlign w:val="baseline"/>
        </w:rPr>
        <w:t xml:space="preserve"> </w:t>
      </w:r>
      <w:r>
        <w:rPr>
          <w:position w:val="2"/>
          <w:vertAlign w:val="baseline"/>
        </w:rPr>
        <w:t>、</w:t>
      </w:r>
    </w:p>
    <w:p w14:paraId="76320271">
      <w:pPr>
        <w:pStyle w:val="7"/>
        <w:spacing w:before="7"/>
        <w:ind w:left="460"/>
      </w:pPr>
      <w:r>
        <w:rPr>
          <w:rFonts w:ascii="Times New Roman" w:eastAsia="Times New Roman"/>
        </w:rPr>
        <w:t>125mg/L</w:t>
      </w:r>
      <w:r>
        <w:t>、</w:t>
      </w:r>
      <w:r>
        <w:rPr>
          <w:rFonts w:ascii="Times New Roman" w:eastAsia="Times New Roman"/>
        </w:rPr>
        <w:t>32.2mg/L</w:t>
      </w:r>
      <w:r>
        <w:t>、</w:t>
      </w:r>
      <w:r>
        <w:rPr>
          <w:rFonts w:ascii="Times New Roman" w:eastAsia="Times New Roman"/>
        </w:rPr>
        <w:t>100mg/L</w:t>
      </w:r>
      <w:r>
        <w:t>。</w:t>
      </w:r>
    </w:p>
    <w:p w14:paraId="2D2CEB5A">
      <w:pPr>
        <w:pStyle w:val="7"/>
        <w:spacing w:before="159"/>
        <w:ind w:left="940"/>
      </w:pPr>
      <w:r>
        <w:rPr>
          <w:rFonts w:ascii="Times New Roman" w:eastAsia="Times New Roman"/>
        </w:rPr>
        <w:t>3</w:t>
      </w:r>
      <w:r>
        <w:t>）生产废水污染物浓度</w:t>
      </w:r>
    </w:p>
    <w:p w14:paraId="70D30560">
      <w:pPr>
        <w:pStyle w:val="7"/>
        <w:spacing w:before="157" w:line="364" w:lineRule="auto"/>
        <w:ind w:left="460" w:right="477" w:firstLine="480"/>
        <w:jc w:val="both"/>
      </w:pPr>
      <w:r>
        <w:rPr>
          <w:position w:val="2"/>
        </w:rPr>
        <w:t xml:space="preserve">项目生产废水中主要污染物为 </w:t>
      </w:r>
      <w:r>
        <w:rPr>
          <w:rFonts w:ascii="Times New Roman" w:eastAsia="Times New Roman"/>
          <w:position w:val="2"/>
        </w:rPr>
        <w:t>COD</w:t>
      </w:r>
      <w:r>
        <w:rPr>
          <w:rFonts w:ascii="Times New Roman" w:eastAsia="Times New Roman"/>
          <w:position w:val="2"/>
          <w:vertAlign w:val="subscript"/>
        </w:rPr>
        <w:t>Cr</w:t>
      </w:r>
      <w:r>
        <w:rPr>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、总磷、总氮、</w:t>
      </w:r>
      <w:r>
        <w:rPr>
          <w:vertAlign w:val="baseline"/>
        </w:rPr>
        <w:t xml:space="preserve">动植物油，经查阅相应资料，屠宰生产废水中猪粪及肠胃内容物溢出水质中有机物含量最高，其中 </w:t>
      </w:r>
      <w:r>
        <w:rPr>
          <w:rFonts w:ascii="Times New Roman" w:eastAsia="Times New Roman"/>
          <w:vertAlign w:val="baseline"/>
        </w:rPr>
        <w:t xml:space="preserve">COD </w:t>
      </w:r>
      <w:r>
        <w:rPr>
          <w:vertAlign w:val="baseline"/>
        </w:rPr>
        <w:t xml:space="preserve">浓度可高达 </w:t>
      </w:r>
      <w:r>
        <w:rPr>
          <w:rFonts w:ascii="Times New Roman" w:eastAsia="Times New Roman"/>
          <w:vertAlign w:val="baseline"/>
        </w:rPr>
        <w:t>5000mg/L</w:t>
      </w:r>
      <w:r>
        <w:rPr>
          <w:vertAlign w:val="baseline"/>
        </w:rPr>
        <w:t>，但因其排水量占比极小，经与其他废水混合后，浓度下降较多，对屠宰生产废水水质影响较小；废水中的清洗废水及车间设施设备清洁废水水质中有机物含量相对较低，</w:t>
      </w:r>
      <w:r>
        <w:rPr>
          <w:rFonts w:ascii="Times New Roman" w:eastAsia="Times New Roman"/>
          <w:vertAlign w:val="baseline"/>
        </w:rPr>
        <w:t xml:space="preserve">COD </w:t>
      </w:r>
      <w:r>
        <w:rPr>
          <w:vertAlign w:val="baseline"/>
        </w:rPr>
        <w:t>浓度约在</w:t>
      </w:r>
    </w:p>
    <w:p w14:paraId="41FF8F08">
      <w:pPr>
        <w:pStyle w:val="7"/>
        <w:spacing w:line="364" w:lineRule="auto"/>
        <w:ind w:left="460" w:right="477"/>
        <w:jc w:val="both"/>
      </w:pPr>
      <w:r>
        <w:rPr>
          <w:rFonts w:ascii="Times New Roman" w:eastAsia="Times New Roman"/>
        </w:rPr>
        <w:t xml:space="preserve">600mg/L </w:t>
      </w:r>
      <w:r>
        <w:t>左右；废水中的生猪整猪清洗废水、猪胴体消毒清洗废水、烫毛废水、内脏清洗废水、分割肉清洗废水、屠宰设备清洗废水等是屠宰生产加工过程中主要废水来源，</w:t>
      </w:r>
      <w:r>
        <w:rPr>
          <w:rFonts w:ascii="Times New Roman" w:eastAsia="Times New Roman"/>
        </w:rPr>
        <w:t xml:space="preserve">COD </w:t>
      </w:r>
      <w:r>
        <w:t xml:space="preserve">浓度约为 </w:t>
      </w:r>
      <w:r>
        <w:rPr>
          <w:rFonts w:ascii="Times New Roman" w:eastAsia="Times New Roman"/>
        </w:rPr>
        <w:t>600~2000mg/L</w:t>
      </w:r>
      <w:r>
        <w:t>。根据资料调研，国内一些肉类加工厂生产混合废水原水水质数据见下表。</w:t>
      </w:r>
    </w:p>
    <w:p w14:paraId="3CF2EBE4">
      <w:pPr>
        <w:spacing w:before="0" w:line="268" w:lineRule="exact"/>
        <w:ind w:left="1600" w:right="0" w:firstLine="0"/>
        <w:jc w:val="left"/>
        <w:rPr>
          <w:b/>
          <w:sz w:val="21"/>
        </w:rPr>
      </w:pPr>
      <w:r>
        <w:rPr>
          <w:b/>
          <w:sz w:val="21"/>
        </w:rPr>
        <w:t xml:space="preserve">表 </w:t>
      </w:r>
      <w:r>
        <w:rPr>
          <w:rFonts w:ascii="Times New Roman" w:eastAsia="Times New Roman"/>
          <w:b/>
          <w:sz w:val="21"/>
        </w:rPr>
        <w:t xml:space="preserve">3.7-15 </w:t>
      </w:r>
      <w:r>
        <w:rPr>
          <w:b/>
          <w:sz w:val="21"/>
        </w:rPr>
        <w:t>本项目屠宰生产混合废水水质参考数据（单位：</w:t>
      </w:r>
      <w:r>
        <w:rPr>
          <w:rFonts w:ascii="Times New Roman" w:eastAsia="Times New Roman"/>
          <w:b/>
          <w:sz w:val="21"/>
        </w:rPr>
        <w:t>mg/L</w:t>
      </w:r>
      <w:r>
        <w:rPr>
          <w:b/>
          <w:sz w:val="21"/>
        </w:rPr>
        <w:t>）</w:t>
      </w:r>
    </w:p>
    <w:p w14:paraId="7BC1B3EC">
      <w:pPr>
        <w:spacing w:after="0" w:line="268" w:lineRule="exact"/>
        <w:jc w:val="left"/>
        <w:rPr>
          <w:sz w:val="21"/>
        </w:rPr>
        <w:sectPr>
          <w:headerReference r:id="rId29" w:type="default"/>
          <w:footerReference r:id="rId30" w:type="default"/>
          <w:pgSz w:w="11910" w:h="16840"/>
          <w:pgMar w:top="1360" w:right="1320" w:bottom="1400" w:left="1340" w:header="878" w:footer="1204" w:gutter="0"/>
          <w:pgNumType w:start="79"/>
          <w:cols w:space="720" w:num="1"/>
        </w:sectPr>
      </w:pPr>
    </w:p>
    <w:p w14:paraId="2DA2957A">
      <w:pPr>
        <w:pStyle w:val="7"/>
        <w:spacing w:before="3"/>
        <w:rPr>
          <w:b/>
          <w:sz w:val="5"/>
        </w:rPr>
      </w:pPr>
    </w:p>
    <w:tbl>
      <w:tblPr>
        <w:tblStyle w:val="10"/>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1174"/>
        <w:gridCol w:w="1069"/>
        <w:gridCol w:w="1174"/>
        <w:gridCol w:w="754"/>
        <w:gridCol w:w="652"/>
        <w:gridCol w:w="859"/>
        <w:gridCol w:w="567"/>
        <w:gridCol w:w="501"/>
      </w:tblGrid>
      <w:tr w14:paraId="184C3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6" w:type="dxa"/>
          </w:tcPr>
          <w:p w14:paraId="422574D8">
            <w:pPr>
              <w:pStyle w:val="14"/>
              <w:spacing w:before="91"/>
              <w:ind w:left="25" w:right="19"/>
              <w:jc w:val="center"/>
              <w:rPr>
                <w:b/>
                <w:sz w:val="21"/>
              </w:rPr>
            </w:pPr>
            <w:r>
              <w:rPr>
                <w:b/>
                <w:sz w:val="21"/>
              </w:rPr>
              <w:t>来源</w:t>
            </w:r>
          </w:p>
        </w:tc>
        <w:tc>
          <w:tcPr>
            <w:tcW w:w="1174" w:type="dxa"/>
          </w:tcPr>
          <w:p w14:paraId="21DA1FDD">
            <w:pPr>
              <w:pStyle w:val="14"/>
              <w:spacing w:before="111"/>
              <w:ind w:left="89" w:right="79"/>
              <w:jc w:val="center"/>
              <w:rPr>
                <w:rFonts w:ascii="Times New Roman"/>
                <w:b/>
                <w:sz w:val="21"/>
              </w:rPr>
            </w:pPr>
            <w:r>
              <w:rPr>
                <w:rFonts w:ascii="Times New Roman"/>
                <w:b/>
                <w:position w:val="1"/>
                <w:sz w:val="21"/>
              </w:rPr>
              <w:t>COD</w:t>
            </w:r>
            <w:r>
              <w:rPr>
                <w:rFonts w:ascii="Times New Roman"/>
                <w:b/>
                <w:position w:val="1"/>
                <w:sz w:val="21"/>
                <w:vertAlign w:val="subscript"/>
              </w:rPr>
              <w:t>Cr</w:t>
            </w:r>
          </w:p>
        </w:tc>
        <w:tc>
          <w:tcPr>
            <w:tcW w:w="1069" w:type="dxa"/>
          </w:tcPr>
          <w:p w14:paraId="653AEDFE">
            <w:pPr>
              <w:pStyle w:val="14"/>
              <w:spacing w:before="111"/>
              <w:ind w:left="112" w:right="103"/>
              <w:jc w:val="center"/>
              <w:rPr>
                <w:rFonts w:ascii="Times New Roman"/>
                <w:b/>
                <w:sz w:val="21"/>
              </w:rPr>
            </w:pPr>
            <w:r>
              <w:rPr>
                <w:rFonts w:ascii="Times New Roman"/>
                <w:b/>
                <w:position w:val="1"/>
                <w:sz w:val="21"/>
              </w:rPr>
              <w:t>BOD</w:t>
            </w:r>
            <w:r>
              <w:rPr>
                <w:rFonts w:ascii="Times New Roman"/>
                <w:b/>
                <w:position w:val="1"/>
                <w:sz w:val="21"/>
                <w:vertAlign w:val="subscript"/>
              </w:rPr>
              <w:t>5</w:t>
            </w:r>
          </w:p>
        </w:tc>
        <w:tc>
          <w:tcPr>
            <w:tcW w:w="1174" w:type="dxa"/>
          </w:tcPr>
          <w:p w14:paraId="361F9A6A">
            <w:pPr>
              <w:pStyle w:val="14"/>
              <w:spacing w:before="107"/>
              <w:ind w:left="88" w:right="81"/>
              <w:jc w:val="center"/>
              <w:rPr>
                <w:rFonts w:ascii="Times New Roman"/>
                <w:b/>
                <w:sz w:val="21"/>
              </w:rPr>
            </w:pPr>
            <w:r>
              <w:rPr>
                <w:rFonts w:ascii="Times New Roman"/>
                <w:b/>
                <w:sz w:val="21"/>
              </w:rPr>
              <w:t>SS</w:t>
            </w:r>
          </w:p>
        </w:tc>
        <w:tc>
          <w:tcPr>
            <w:tcW w:w="754" w:type="dxa"/>
          </w:tcPr>
          <w:p w14:paraId="36F967F5">
            <w:pPr>
              <w:pStyle w:val="14"/>
              <w:spacing w:before="111"/>
              <w:ind w:left="53" w:right="45"/>
              <w:jc w:val="center"/>
              <w:rPr>
                <w:rFonts w:ascii="Times New Roman"/>
                <w:b/>
                <w:sz w:val="21"/>
              </w:rPr>
            </w:pPr>
            <w:r>
              <w:rPr>
                <w:rFonts w:ascii="Times New Roman"/>
                <w:b/>
                <w:position w:val="1"/>
                <w:sz w:val="21"/>
              </w:rPr>
              <w:t>NH</w:t>
            </w:r>
            <w:r>
              <w:rPr>
                <w:rFonts w:ascii="Times New Roman"/>
                <w:b/>
                <w:position w:val="1"/>
                <w:sz w:val="21"/>
                <w:vertAlign w:val="subscript"/>
              </w:rPr>
              <w:t>3</w:t>
            </w:r>
            <w:r>
              <w:rPr>
                <w:rFonts w:ascii="Times New Roman"/>
                <w:b/>
                <w:position w:val="1"/>
                <w:sz w:val="21"/>
                <w:vertAlign w:val="baseline"/>
              </w:rPr>
              <w:t>-N</w:t>
            </w:r>
          </w:p>
        </w:tc>
        <w:tc>
          <w:tcPr>
            <w:tcW w:w="652" w:type="dxa"/>
          </w:tcPr>
          <w:p w14:paraId="3BB12998">
            <w:pPr>
              <w:pStyle w:val="14"/>
              <w:spacing w:before="107"/>
              <w:ind w:left="142" w:right="134"/>
              <w:jc w:val="center"/>
              <w:rPr>
                <w:rFonts w:ascii="Times New Roman"/>
                <w:b/>
                <w:sz w:val="21"/>
              </w:rPr>
            </w:pPr>
            <w:r>
              <w:rPr>
                <w:rFonts w:ascii="Times New Roman"/>
                <w:b/>
                <w:sz w:val="21"/>
              </w:rPr>
              <w:t>pH</w:t>
            </w:r>
          </w:p>
        </w:tc>
        <w:tc>
          <w:tcPr>
            <w:tcW w:w="859" w:type="dxa"/>
          </w:tcPr>
          <w:p w14:paraId="09064E76">
            <w:pPr>
              <w:pStyle w:val="14"/>
              <w:spacing w:before="91"/>
              <w:ind w:left="6" w:right="-15"/>
              <w:jc w:val="center"/>
              <w:rPr>
                <w:b/>
                <w:sz w:val="21"/>
              </w:rPr>
            </w:pPr>
            <w:r>
              <w:rPr>
                <w:b/>
                <w:sz w:val="21"/>
              </w:rPr>
              <w:t>动植物油</w:t>
            </w:r>
          </w:p>
        </w:tc>
        <w:tc>
          <w:tcPr>
            <w:tcW w:w="567" w:type="dxa"/>
          </w:tcPr>
          <w:p w14:paraId="4E252FF0">
            <w:pPr>
              <w:pStyle w:val="14"/>
              <w:spacing w:before="91"/>
              <w:ind w:left="51" w:right="44"/>
              <w:jc w:val="center"/>
              <w:rPr>
                <w:b/>
                <w:sz w:val="21"/>
              </w:rPr>
            </w:pPr>
            <w:r>
              <w:rPr>
                <w:b/>
                <w:sz w:val="21"/>
              </w:rPr>
              <w:t>总氮</w:t>
            </w:r>
          </w:p>
        </w:tc>
        <w:tc>
          <w:tcPr>
            <w:tcW w:w="501" w:type="dxa"/>
          </w:tcPr>
          <w:p w14:paraId="031D0C20">
            <w:pPr>
              <w:pStyle w:val="14"/>
              <w:spacing w:before="91"/>
              <w:ind w:left="16" w:right="12"/>
              <w:jc w:val="center"/>
              <w:rPr>
                <w:b/>
                <w:sz w:val="21"/>
              </w:rPr>
            </w:pPr>
            <w:r>
              <w:rPr>
                <w:b/>
                <w:sz w:val="21"/>
              </w:rPr>
              <w:t>总磷</w:t>
            </w:r>
          </w:p>
        </w:tc>
      </w:tr>
      <w:tr w14:paraId="4D74E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6" w:type="dxa"/>
          </w:tcPr>
          <w:p w14:paraId="152F5AEF">
            <w:pPr>
              <w:pStyle w:val="14"/>
              <w:spacing w:before="90"/>
              <w:ind w:right="142"/>
              <w:jc w:val="right"/>
              <w:rPr>
                <w:sz w:val="21"/>
              </w:rPr>
            </w:pPr>
            <w:r>
              <w:rPr>
                <w:w w:val="95"/>
                <w:sz w:val="21"/>
              </w:rPr>
              <w:t>北京肉联厂①</w:t>
            </w:r>
          </w:p>
        </w:tc>
        <w:tc>
          <w:tcPr>
            <w:tcW w:w="1174" w:type="dxa"/>
          </w:tcPr>
          <w:p w14:paraId="3D555EF5">
            <w:pPr>
              <w:pStyle w:val="14"/>
              <w:spacing w:before="106"/>
              <w:ind w:left="89" w:right="81"/>
              <w:jc w:val="center"/>
              <w:rPr>
                <w:rFonts w:ascii="Times New Roman"/>
                <w:sz w:val="21"/>
              </w:rPr>
            </w:pPr>
            <w:r>
              <w:rPr>
                <w:rFonts w:ascii="Times New Roman"/>
                <w:sz w:val="21"/>
              </w:rPr>
              <w:t>621~1778</w:t>
            </w:r>
          </w:p>
        </w:tc>
        <w:tc>
          <w:tcPr>
            <w:tcW w:w="1069" w:type="dxa"/>
          </w:tcPr>
          <w:p w14:paraId="0F88E117">
            <w:pPr>
              <w:pStyle w:val="14"/>
              <w:spacing w:before="106"/>
              <w:ind w:left="112" w:right="103"/>
              <w:jc w:val="center"/>
              <w:rPr>
                <w:rFonts w:ascii="Times New Roman"/>
                <w:sz w:val="21"/>
              </w:rPr>
            </w:pPr>
            <w:r>
              <w:rPr>
                <w:rFonts w:ascii="Times New Roman"/>
                <w:sz w:val="21"/>
              </w:rPr>
              <w:t>301~721</w:t>
            </w:r>
          </w:p>
        </w:tc>
        <w:tc>
          <w:tcPr>
            <w:tcW w:w="1174" w:type="dxa"/>
          </w:tcPr>
          <w:p w14:paraId="2F98EF8E">
            <w:pPr>
              <w:pStyle w:val="14"/>
              <w:spacing w:before="106"/>
              <w:ind w:left="89" w:right="79"/>
              <w:jc w:val="center"/>
              <w:rPr>
                <w:rFonts w:ascii="Times New Roman"/>
                <w:sz w:val="21"/>
              </w:rPr>
            </w:pPr>
            <w:r>
              <w:rPr>
                <w:rFonts w:ascii="Times New Roman"/>
                <w:sz w:val="21"/>
              </w:rPr>
              <w:t>234~800</w:t>
            </w:r>
          </w:p>
        </w:tc>
        <w:tc>
          <w:tcPr>
            <w:tcW w:w="754" w:type="dxa"/>
          </w:tcPr>
          <w:p w14:paraId="09D53021">
            <w:pPr>
              <w:pStyle w:val="14"/>
              <w:spacing w:before="106"/>
              <w:ind w:left="53" w:right="44"/>
              <w:jc w:val="center"/>
              <w:rPr>
                <w:rFonts w:ascii="Times New Roman"/>
                <w:sz w:val="21"/>
              </w:rPr>
            </w:pPr>
            <w:r>
              <w:rPr>
                <w:rFonts w:ascii="Times New Roman"/>
                <w:sz w:val="21"/>
              </w:rPr>
              <w:t>49.2</w:t>
            </w:r>
          </w:p>
        </w:tc>
        <w:tc>
          <w:tcPr>
            <w:tcW w:w="652" w:type="dxa"/>
          </w:tcPr>
          <w:p w14:paraId="3A5BCDD8">
            <w:pPr>
              <w:pStyle w:val="14"/>
              <w:spacing w:before="106"/>
              <w:ind w:left="144" w:right="134"/>
              <w:jc w:val="center"/>
              <w:rPr>
                <w:rFonts w:ascii="Times New Roman"/>
                <w:sz w:val="21"/>
              </w:rPr>
            </w:pPr>
            <w:r>
              <w:rPr>
                <w:rFonts w:ascii="Times New Roman"/>
                <w:sz w:val="21"/>
              </w:rPr>
              <w:t>6~9</w:t>
            </w:r>
          </w:p>
        </w:tc>
        <w:tc>
          <w:tcPr>
            <w:tcW w:w="859" w:type="dxa"/>
          </w:tcPr>
          <w:p w14:paraId="028B19E5">
            <w:pPr>
              <w:pStyle w:val="14"/>
              <w:spacing w:before="106"/>
              <w:ind w:left="10"/>
              <w:jc w:val="center"/>
              <w:rPr>
                <w:rFonts w:ascii="Times New Roman"/>
                <w:sz w:val="21"/>
              </w:rPr>
            </w:pPr>
            <w:r>
              <w:rPr>
                <w:rFonts w:ascii="Times New Roman"/>
                <w:w w:val="99"/>
                <w:sz w:val="21"/>
              </w:rPr>
              <w:t>/</w:t>
            </w:r>
          </w:p>
        </w:tc>
        <w:tc>
          <w:tcPr>
            <w:tcW w:w="567" w:type="dxa"/>
          </w:tcPr>
          <w:p w14:paraId="6DEE865E">
            <w:pPr>
              <w:pStyle w:val="14"/>
              <w:spacing w:before="106"/>
              <w:ind w:left="9"/>
              <w:jc w:val="center"/>
              <w:rPr>
                <w:rFonts w:ascii="Times New Roman"/>
                <w:sz w:val="21"/>
              </w:rPr>
            </w:pPr>
            <w:r>
              <w:rPr>
                <w:rFonts w:ascii="Times New Roman"/>
                <w:w w:val="99"/>
                <w:sz w:val="21"/>
              </w:rPr>
              <w:t>/</w:t>
            </w:r>
          </w:p>
        </w:tc>
        <w:tc>
          <w:tcPr>
            <w:tcW w:w="501" w:type="dxa"/>
          </w:tcPr>
          <w:p w14:paraId="5DAC2AE4">
            <w:pPr>
              <w:pStyle w:val="14"/>
              <w:spacing w:before="106"/>
              <w:ind w:left="7"/>
              <w:jc w:val="center"/>
              <w:rPr>
                <w:rFonts w:ascii="Times New Roman"/>
                <w:sz w:val="21"/>
              </w:rPr>
            </w:pPr>
            <w:r>
              <w:rPr>
                <w:rFonts w:ascii="Times New Roman"/>
                <w:w w:val="99"/>
                <w:sz w:val="21"/>
              </w:rPr>
              <w:t>/</w:t>
            </w:r>
          </w:p>
        </w:tc>
      </w:tr>
      <w:tr w14:paraId="62CDA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66" w:type="dxa"/>
          </w:tcPr>
          <w:p w14:paraId="26AEDA4E">
            <w:pPr>
              <w:pStyle w:val="14"/>
              <w:ind w:left="27" w:right="19"/>
              <w:jc w:val="center"/>
              <w:rPr>
                <w:sz w:val="21"/>
              </w:rPr>
            </w:pPr>
            <w:r>
              <w:rPr>
                <w:sz w:val="21"/>
              </w:rPr>
              <w:t>齐齐哈尔肉联厂</w:t>
            </w:r>
          </w:p>
          <w:p w14:paraId="2E46703F">
            <w:pPr>
              <w:pStyle w:val="14"/>
              <w:spacing w:before="5" w:line="251" w:lineRule="exact"/>
              <w:ind w:left="6"/>
              <w:jc w:val="center"/>
              <w:rPr>
                <w:sz w:val="21"/>
              </w:rPr>
            </w:pPr>
            <w:r>
              <w:rPr>
                <w:w w:val="99"/>
                <w:sz w:val="21"/>
              </w:rPr>
              <w:t>①</w:t>
            </w:r>
          </w:p>
        </w:tc>
        <w:tc>
          <w:tcPr>
            <w:tcW w:w="1174" w:type="dxa"/>
          </w:tcPr>
          <w:p w14:paraId="5E3D543A">
            <w:pPr>
              <w:pStyle w:val="14"/>
              <w:spacing w:before="151"/>
              <w:ind w:left="89" w:right="81"/>
              <w:jc w:val="center"/>
              <w:rPr>
                <w:rFonts w:ascii="Times New Roman"/>
                <w:sz w:val="21"/>
              </w:rPr>
            </w:pPr>
            <w:r>
              <w:rPr>
                <w:rFonts w:ascii="Times New Roman"/>
                <w:sz w:val="21"/>
              </w:rPr>
              <w:t>246~1023</w:t>
            </w:r>
          </w:p>
        </w:tc>
        <w:tc>
          <w:tcPr>
            <w:tcW w:w="1069" w:type="dxa"/>
          </w:tcPr>
          <w:p w14:paraId="70B4B15E">
            <w:pPr>
              <w:pStyle w:val="14"/>
              <w:spacing w:before="151"/>
              <w:ind w:left="112" w:right="103"/>
              <w:jc w:val="center"/>
              <w:rPr>
                <w:rFonts w:ascii="Times New Roman"/>
                <w:sz w:val="21"/>
              </w:rPr>
            </w:pPr>
            <w:r>
              <w:rPr>
                <w:rFonts w:ascii="Times New Roman"/>
                <w:sz w:val="21"/>
              </w:rPr>
              <w:t>180~655</w:t>
            </w:r>
          </w:p>
        </w:tc>
        <w:tc>
          <w:tcPr>
            <w:tcW w:w="1174" w:type="dxa"/>
          </w:tcPr>
          <w:p w14:paraId="7DFA6EA2">
            <w:pPr>
              <w:pStyle w:val="14"/>
              <w:spacing w:before="151"/>
              <w:ind w:left="86" w:right="81"/>
              <w:jc w:val="center"/>
              <w:rPr>
                <w:rFonts w:ascii="Times New Roman"/>
                <w:sz w:val="21"/>
              </w:rPr>
            </w:pPr>
            <w:r>
              <w:rPr>
                <w:rFonts w:ascii="Times New Roman"/>
                <w:sz w:val="21"/>
              </w:rPr>
              <w:t>310~1036</w:t>
            </w:r>
          </w:p>
        </w:tc>
        <w:tc>
          <w:tcPr>
            <w:tcW w:w="754" w:type="dxa"/>
          </w:tcPr>
          <w:p w14:paraId="590D3430">
            <w:pPr>
              <w:pStyle w:val="14"/>
              <w:spacing w:before="151"/>
              <w:ind w:left="4" w:right="-15"/>
              <w:jc w:val="center"/>
              <w:rPr>
                <w:rFonts w:ascii="Times New Roman"/>
                <w:sz w:val="21"/>
              </w:rPr>
            </w:pPr>
            <w:r>
              <w:rPr>
                <w:rFonts w:ascii="Times New Roman"/>
                <w:sz w:val="21"/>
              </w:rPr>
              <w:t>1.5~28.5</w:t>
            </w:r>
          </w:p>
        </w:tc>
        <w:tc>
          <w:tcPr>
            <w:tcW w:w="652" w:type="dxa"/>
          </w:tcPr>
          <w:p w14:paraId="7B465ABD">
            <w:pPr>
              <w:pStyle w:val="14"/>
              <w:spacing w:before="151"/>
              <w:ind w:left="6" w:right="-15"/>
              <w:jc w:val="center"/>
              <w:rPr>
                <w:rFonts w:ascii="Times New Roman"/>
                <w:sz w:val="21"/>
              </w:rPr>
            </w:pPr>
            <w:r>
              <w:rPr>
                <w:rFonts w:ascii="Times New Roman"/>
                <w:sz w:val="21"/>
              </w:rPr>
              <w:t>7.0~7.6</w:t>
            </w:r>
          </w:p>
        </w:tc>
        <w:tc>
          <w:tcPr>
            <w:tcW w:w="859" w:type="dxa"/>
          </w:tcPr>
          <w:p w14:paraId="0A4EEBA0">
            <w:pPr>
              <w:pStyle w:val="14"/>
              <w:spacing w:before="151"/>
              <w:ind w:left="10"/>
              <w:jc w:val="center"/>
              <w:rPr>
                <w:rFonts w:ascii="Times New Roman"/>
                <w:sz w:val="21"/>
              </w:rPr>
            </w:pPr>
            <w:r>
              <w:rPr>
                <w:rFonts w:ascii="Times New Roman"/>
                <w:w w:val="99"/>
                <w:sz w:val="21"/>
              </w:rPr>
              <w:t>/</w:t>
            </w:r>
          </w:p>
        </w:tc>
        <w:tc>
          <w:tcPr>
            <w:tcW w:w="567" w:type="dxa"/>
          </w:tcPr>
          <w:p w14:paraId="7E479145">
            <w:pPr>
              <w:pStyle w:val="14"/>
              <w:spacing w:before="151"/>
              <w:ind w:left="9"/>
              <w:jc w:val="center"/>
              <w:rPr>
                <w:rFonts w:ascii="Times New Roman"/>
                <w:sz w:val="21"/>
              </w:rPr>
            </w:pPr>
            <w:r>
              <w:rPr>
                <w:rFonts w:ascii="Times New Roman"/>
                <w:w w:val="99"/>
                <w:sz w:val="21"/>
              </w:rPr>
              <w:t>/</w:t>
            </w:r>
          </w:p>
        </w:tc>
        <w:tc>
          <w:tcPr>
            <w:tcW w:w="501" w:type="dxa"/>
          </w:tcPr>
          <w:p w14:paraId="13D0DD6E">
            <w:pPr>
              <w:pStyle w:val="14"/>
              <w:spacing w:before="151"/>
              <w:ind w:left="7"/>
              <w:jc w:val="center"/>
              <w:rPr>
                <w:rFonts w:ascii="Times New Roman"/>
                <w:sz w:val="21"/>
              </w:rPr>
            </w:pPr>
            <w:r>
              <w:rPr>
                <w:rFonts w:ascii="Times New Roman"/>
                <w:w w:val="99"/>
                <w:sz w:val="21"/>
              </w:rPr>
              <w:t>/</w:t>
            </w:r>
          </w:p>
        </w:tc>
      </w:tr>
      <w:tr w14:paraId="13602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6" w:type="dxa"/>
          </w:tcPr>
          <w:p w14:paraId="3C1C4D89">
            <w:pPr>
              <w:pStyle w:val="14"/>
              <w:spacing w:before="91"/>
              <w:ind w:right="142"/>
              <w:jc w:val="right"/>
              <w:rPr>
                <w:sz w:val="21"/>
              </w:rPr>
            </w:pPr>
            <w:r>
              <w:rPr>
                <w:w w:val="95"/>
                <w:sz w:val="21"/>
              </w:rPr>
              <w:t>南京肉联厂①</w:t>
            </w:r>
          </w:p>
        </w:tc>
        <w:tc>
          <w:tcPr>
            <w:tcW w:w="1174" w:type="dxa"/>
          </w:tcPr>
          <w:p w14:paraId="13D99609">
            <w:pPr>
              <w:pStyle w:val="14"/>
              <w:spacing w:before="105"/>
              <w:ind w:left="89" w:right="81"/>
              <w:jc w:val="center"/>
              <w:rPr>
                <w:rFonts w:ascii="Times New Roman"/>
                <w:sz w:val="21"/>
              </w:rPr>
            </w:pPr>
            <w:r>
              <w:rPr>
                <w:rFonts w:ascii="Times New Roman"/>
                <w:sz w:val="21"/>
              </w:rPr>
              <w:t>1401</w:t>
            </w:r>
          </w:p>
        </w:tc>
        <w:tc>
          <w:tcPr>
            <w:tcW w:w="1069" w:type="dxa"/>
          </w:tcPr>
          <w:p w14:paraId="20D777DE">
            <w:pPr>
              <w:pStyle w:val="14"/>
              <w:spacing w:before="105"/>
              <w:ind w:left="112" w:right="101"/>
              <w:jc w:val="center"/>
              <w:rPr>
                <w:rFonts w:ascii="Times New Roman"/>
                <w:sz w:val="21"/>
              </w:rPr>
            </w:pPr>
            <w:r>
              <w:rPr>
                <w:rFonts w:ascii="Times New Roman"/>
                <w:sz w:val="21"/>
              </w:rPr>
              <w:t>759</w:t>
            </w:r>
          </w:p>
        </w:tc>
        <w:tc>
          <w:tcPr>
            <w:tcW w:w="1174" w:type="dxa"/>
          </w:tcPr>
          <w:p w14:paraId="2B2AF6EE">
            <w:pPr>
              <w:pStyle w:val="14"/>
              <w:spacing w:before="105"/>
              <w:ind w:left="89" w:right="79"/>
              <w:jc w:val="center"/>
              <w:rPr>
                <w:rFonts w:ascii="Times New Roman"/>
                <w:sz w:val="21"/>
              </w:rPr>
            </w:pPr>
            <w:r>
              <w:rPr>
                <w:rFonts w:ascii="Times New Roman"/>
                <w:sz w:val="21"/>
              </w:rPr>
              <w:t>556</w:t>
            </w:r>
          </w:p>
        </w:tc>
        <w:tc>
          <w:tcPr>
            <w:tcW w:w="754" w:type="dxa"/>
          </w:tcPr>
          <w:p w14:paraId="2957DE2A">
            <w:pPr>
              <w:pStyle w:val="14"/>
              <w:spacing w:before="105"/>
              <w:ind w:left="52" w:right="45"/>
              <w:jc w:val="center"/>
              <w:rPr>
                <w:rFonts w:ascii="Times New Roman"/>
                <w:sz w:val="21"/>
              </w:rPr>
            </w:pPr>
            <w:r>
              <w:rPr>
                <w:rFonts w:ascii="Times New Roman"/>
                <w:sz w:val="21"/>
              </w:rPr>
              <w:t>42</w:t>
            </w:r>
          </w:p>
        </w:tc>
        <w:tc>
          <w:tcPr>
            <w:tcW w:w="652" w:type="dxa"/>
          </w:tcPr>
          <w:p w14:paraId="20A193B1">
            <w:pPr>
              <w:pStyle w:val="14"/>
              <w:spacing w:before="105"/>
              <w:ind w:left="7"/>
              <w:jc w:val="center"/>
              <w:rPr>
                <w:rFonts w:ascii="Times New Roman"/>
                <w:sz w:val="21"/>
              </w:rPr>
            </w:pPr>
            <w:r>
              <w:rPr>
                <w:rFonts w:ascii="Times New Roman"/>
                <w:w w:val="99"/>
                <w:sz w:val="21"/>
              </w:rPr>
              <w:t>7</w:t>
            </w:r>
          </w:p>
        </w:tc>
        <w:tc>
          <w:tcPr>
            <w:tcW w:w="859" w:type="dxa"/>
          </w:tcPr>
          <w:p w14:paraId="0F8FDBF8">
            <w:pPr>
              <w:pStyle w:val="14"/>
              <w:spacing w:before="105"/>
              <w:ind w:left="10"/>
              <w:jc w:val="center"/>
              <w:rPr>
                <w:rFonts w:ascii="Times New Roman"/>
                <w:sz w:val="21"/>
              </w:rPr>
            </w:pPr>
            <w:r>
              <w:rPr>
                <w:rFonts w:ascii="Times New Roman"/>
                <w:w w:val="99"/>
                <w:sz w:val="21"/>
              </w:rPr>
              <w:t>/</w:t>
            </w:r>
          </w:p>
        </w:tc>
        <w:tc>
          <w:tcPr>
            <w:tcW w:w="567" w:type="dxa"/>
          </w:tcPr>
          <w:p w14:paraId="772DC6B9">
            <w:pPr>
              <w:pStyle w:val="14"/>
              <w:spacing w:before="105"/>
              <w:ind w:left="9"/>
              <w:jc w:val="center"/>
              <w:rPr>
                <w:rFonts w:ascii="Times New Roman"/>
                <w:sz w:val="21"/>
              </w:rPr>
            </w:pPr>
            <w:r>
              <w:rPr>
                <w:rFonts w:ascii="Times New Roman"/>
                <w:w w:val="99"/>
                <w:sz w:val="21"/>
              </w:rPr>
              <w:t>/</w:t>
            </w:r>
          </w:p>
        </w:tc>
        <w:tc>
          <w:tcPr>
            <w:tcW w:w="501" w:type="dxa"/>
          </w:tcPr>
          <w:p w14:paraId="7264C364">
            <w:pPr>
              <w:pStyle w:val="14"/>
              <w:spacing w:before="105"/>
              <w:ind w:left="7"/>
              <w:jc w:val="center"/>
              <w:rPr>
                <w:rFonts w:ascii="Times New Roman"/>
                <w:sz w:val="21"/>
              </w:rPr>
            </w:pPr>
            <w:r>
              <w:rPr>
                <w:rFonts w:ascii="Times New Roman"/>
                <w:w w:val="99"/>
                <w:sz w:val="21"/>
              </w:rPr>
              <w:t>/</w:t>
            </w:r>
          </w:p>
        </w:tc>
      </w:tr>
      <w:tr w14:paraId="015F9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566" w:type="dxa"/>
          </w:tcPr>
          <w:p w14:paraId="12327B2C">
            <w:pPr>
              <w:pStyle w:val="14"/>
              <w:spacing w:line="268" w:lineRule="exact"/>
              <w:ind w:left="27" w:right="19"/>
              <w:jc w:val="center"/>
              <w:rPr>
                <w:sz w:val="21"/>
              </w:rPr>
            </w:pPr>
            <w:r>
              <w:rPr>
                <w:sz w:val="21"/>
              </w:rPr>
              <w:t>广州天河区柯木</w:t>
            </w:r>
          </w:p>
          <w:p w14:paraId="7AB02FA0">
            <w:pPr>
              <w:pStyle w:val="14"/>
              <w:spacing w:before="4" w:line="251" w:lineRule="exact"/>
              <w:ind w:left="25" w:right="19"/>
              <w:jc w:val="center"/>
              <w:rPr>
                <w:sz w:val="21"/>
              </w:rPr>
            </w:pPr>
            <w:r>
              <w:rPr>
                <w:sz w:val="21"/>
              </w:rPr>
              <w:t>郎屠宰场①</w:t>
            </w:r>
          </w:p>
        </w:tc>
        <w:tc>
          <w:tcPr>
            <w:tcW w:w="1174" w:type="dxa"/>
          </w:tcPr>
          <w:p w14:paraId="5CA28BBD">
            <w:pPr>
              <w:pStyle w:val="14"/>
              <w:spacing w:before="149"/>
              <w:ind w:left="89" w:right="81"/>
              <w:jc w:val="center"/>
              <w:rPr>
                <w:rFonts w:ascii="Times New Roman"/>
                <w:sz w:val="21"/>
              </w:rPr>
            </w:pPr>
            <w:r>
              <w:rPr>
                <w:rFonts w:ascii="Times New Roman"/>
                <w:sz w:val="21"/>
              </w:rPr>
              <w:t>800~1200</w:t>
            </w:r>
          </w:p>
        </w:tc>
        <w:tc>
          <w:tcPr>
            <w:tcW w:w="1069" w:type="dxa"/>
          </w:tcPr>
          <w:p w14:paraId="3388EEE7">
            <w:pPr>
              <w:pStyle w:val="14"/>
              <w:spacing w:before="149"/>
              <w:ind w:left="112" w:right="103"/>
              <w:jc w:val="center"/>
              <w:rPr>
                <w:rFonts w:ascii="Times New Roman"/>
                <w:sz w:val="21"/>
              </w:rPr>
            </w:pPr>
            <w:r>
              <w:rPr>
                <w:rFonts w:ascii="Times New Roman"/>
                <w:sz w:val="21"/>
              </w:rPr>
              <w:t>600~800</w:t>
            </w:r>
          </w:p>
        </w:tc>
        <w:tc>
          <w:tcPr>
            <w:tcW w:w="1174" w:type="dxa"/>
          </w:tcPr>
          <w:p w14:paraId="1825D2DA">
            <w:pPr>
              <w:pStyle w:val="14"/>
              <w:spacing w:before="149"/>
              <w:ind w:left="89" w:right="79"/>
              <w:jc w:val="center"/>
              <w:rPr>
                <w:rFonts w:ascii="Times New Roman"/>
                <w:sz w:val="21"/>
              </w:rPr>
            </w:pPr>
            <w:r>
              <w:rPr>
                <w:rFonts w:ascii="Times New Roman"/>
                <w:sz w:val="21"/>
              </w:rPr>
              <w:t>1500</w:t>
            </w:r>
          </w:p>
        </w:tc>
        <w:tc>
          <w:tcPr>
            <w:tcW w:w="754" w:type="dxa"/>
          </w:tcPr>
          <w:p w14:paraId="72C6AA36">
            <w:pPr>
              <w:pStyle w:val="14"/>
              <w:spacing w:before="149"/>
              <w:ind w:left="52" w:right="45"/>
              <w:jc w:val="center"/>
              <w:rPr>
                <w:rFonts w:ascii="Times New Roman"/>
                <w:sz w:val="21"/>
              </w:rPr>
            </w:pPr>
            <w:r>
              <w:rPr>
                <w:rFonts w:ascii="Times New Roman"/>
                <w:sz w:val="21"/>
              </w:rPr>
              <w:t>30</w:t>
            </w:r>
          </w:p>
        </w:tc>
        <w:tc>
          <w:tcPr>
            <w:tcW w:w="652" w:type="dxa"/>
          </w:tcPr>
          <w:p w14:paraId="0C1E5C4C">
            <w:pPr>
              <w:pStyle w:val="14"/>
              <w:spacing w:before="149"/>
              <w:ind w:left="144" w:right="134"/>
              <w:jc w:val="center"/>
              <w:rPr>
                <w:rFonts w:ascii="Times New Roman"/>
                <w:sz w:val="21"/>
              </w:rPr>
            </w:pPr>
            <w:r>
              <w:rPr>
                <w:rFonts w:ascii="Times New Roman"/>
                <w:sz w:val="21"/>
              </w:rPr>
              <w:t>6~9</w:t>
            </w:r>
          </w:p>
        </w:tc>
        <w:tc>
          <w:tcPr>
            <w:tcW w:w="859" w:type="dxa"/>
          </w:tcPr>
          <w:p w14:paraId="1543F017">
            <w:pPr>
              <w:pStyle w:val="14"/>
              <w:rPr>
                <w:b/>
                <w:sz w:val="21"/>
              </w:rPr>
            </w:pPr>
          </w:p>
          <w:p w14:paraId="61D1C3A1">
            <w:pPr>
              <w:pStyle w:val="14"/>
              <w:ind w:left="10"/>
              <w:jc w:val="center"/>
              <w:rPr>
                <w:rFonts w:ascii="Times New Roman"/>
                <w:sz w:val="21"/>
              </w:rPr>
            </w:pPr>
            <w:r>
              <w:rPr>
                <w:rFonts w:ascii="Times New Roman"/>
                <w:w w:val="99"/>
                <w:sz w:val="21"/>
              </w:rPr>
              <w:t>/</w:t>
            </w:r>
          </w:p>
        </w:tc>
        <w:tc>
          <w:tcPr>
            <w:tcW w:w="567" w:type="dxa"/>
          </w:tcPr>
          <w:p w14:paraId="0AD87EAB">
            <w:pPr>
              <w:pStyle w:val="14"/>
              <w:rPr>
                <w:b/>
                <w:sz w:val="21"/>
              </w:rPr>
            </w:pPr>
          </w:p>
          <w:p w14:paraId="325E7A90">
            <w:pPr>
              <w:pStyle w:val="14"/>
              <w:ind w:left="9"/>
              <w:jc w:val="center"/>
              <w:rPr>
                <w:rFonts w:ascii="Times New Roman"/>
                <w:sz w:val="21"/>
              </w:rPr>
            </w:pPr>
            <w:r>
              <w:rPr>
                <w:rFonts w:ascii="Times New Roman"/>
                <w:w w:val="99"/>
                <w:sz w:val="21"/>
              </w:rPr>
              <w:t>/</w:t>
            </w:r>
          </w:p>
        </w:tc>
        <w:tc>
          <w:tcPr>
            <w:tcW w:w="501" w:type="dxa"/>
          </w:tcPr>
          <w:p w14:paraId="2B5BB868">
            <w:pPr>
              <w:pStyle w:val="14"/>
              <w:rPr>
                <w:b/>
                <w:sz w:val="21"/>
              </w:rPr>
            </w:pPr>
          </w:p>
          <w:p w14:paraId="0B2AFDCB">
            <w:pPr>
              <w:pStyle w:val="14"/>
              <w:ind w:left="7"/>
              <w:jc w:val="center"/>
              <w:rPr>
                <w:rFonts w:ascii="Times New Roman"/>
                <w:sz w:val="21"/>
              </w:rPr>
            </w:pPr>
            <w:r>
              <w:rPr>
                <w:rFonts w:ascii="Times New Roman"/>
                <w:w w:val="99"/>
                <w:sz w:val="21"/>
              </w:rPr>
              <w:t>/</w:t>
            </w:r>
          </w:p>
        </w:tc>
      </w:tr>
      <w:tr w14:paraId="6E220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66" w:type="dxa"/>
          </w:tcPr>
          <w:p w14:paraId="6C09BCEE">
            <w:pPr>
              <w:pStyle w:val="14"/>
              <w:spacing w:before="1"/>
              <w:ind w:left="27" w:right="19"/>
              <w:jc w:val="center"/>
              <w:rPr>
                <w:sz w:val="21"/>
              </w:rPr>
            </w:pPr>
            <w:r>
              <w:rPr>
                <w:sz w:val="21"/>
              </w:rPr>
              <w:t>华容县惠民食品</w:t>
            </w:r>
          </w:p>
          <w:p w14:paraId="709C05B5">
            <w:pPr>
              <w:pStyle w:val="14"/>
              <w:spacing w:before="3" w:line="252" w:lineRule="exact"/>
              <w:ind w:left="25" w:right="19"/>
              <w:jc w:val="center"/>
              <w:rPr>
                <w:sz w:val="21"/>
              </w:rPr>
            </w:pPr>
            <w:r>
              <w:rPr>
                <w:sz w:val="21"/>
              </w:rPr>
              <w:t>有限公司②</w:t>
            </w:r>
          </w:p>
        </w:tc>
        <w:tc>
          <w:tcPr>
            <w:tcW w:w="1174" w:type="dxa"/>
          </w:tcPr>
          <w:p w14:paraId="6D79019C">
            <w:pPr>
              <w:pStyle w:val="14"/>
              <w:spacing w:before="150"/>
              <w:ind w:left="3" w:right="-15"/>
              <w:jc w:val="center"/>
              <w:rPr>
                <w:rFonts w:ascii="Times New Roman"/>
                <w:sz w:val="21"/>
              </w:rPr>
            </w:pPr>
            <w:r>
              <w:rPr>
                <w:rFonts w:ascii="Times New Roman"/>
                <w:sz w:val="21"/>
              </w:rPr>
              <w:t>848.4~1500.7</w:t>
            </w:r>
          </w:p>
        </w:tc>
        <w:tc>
          <w:tcPr>
            <w:tcW w:w="1069" w:type="dxa"/>
          </w:tcPr>
          <w:p w14:paraId="158A3593">
            <w:pPr>
              <w:pStyle w:val="14"/>
              <w:spacing w:before="150"/>
              <w:ind w:left="5" w:right="-15"/>
              <w:jc w:val="center"/>
              <w:rPr>
                <w:rFonts w:ascii="Times New Roman"/>
                <w:sz w:val="21"/>
              </w:rPr>
            </w:pPr>
            <w:r>
              <w:rPr>
                <w:rFonts w:ascii="Times New Roman"/>
                <w:sz w:val="21"/>
              </w:rPr>
              <w:t>463.2~616.4</w:t>
            </w:r>
          </w:p>
        </w:tc>
        <w:tc>
          <w:tcPr>
            <w:tcW w:w="1174" w:type="dxa"/>
          </w:tcPr>
          <w:p w14:paraId="73DC622C">
            <w:pPr>
              <w:pStyle w:val="14"/>
              <w:spacing w:before="150"/>
              <w:ind w:left="4" w:right="-15"/>
              <w:jc w:val="center"/>
              <w:rPr>
                <w:rFonts w:ascii="Times New Roman"/>
                <w:sz w:val="21"/>
              </w:rPr>
            </w:pPr>
            <w:r>
              <w:rPr>
                <w:rFonts w:ascii="Times New Roman"/>
                <w:sz w:val="21"/>
              </w:rPr>
              <w:t>381.2~1973.5</w:t>
            </w:r>
          </w:p>
        </w:tc>
        <w:tc>
          <w:tcPr>
            <w:tcW w:w="754" w:type="dxa"/>
          </w:tcPr>
          <w:p w14:paraId="48E73BC8">
            <w:pPr>
              <w:pStyle w:val="14"/>
              <w:spacing w:before="150"/>
              <w:ind w:left="7"/>
              <w:jc w:val="center"/>
              <w:rPr>
                <w:rFonts w:ascii="Times New Roman"/>
                <w:sz w:val="21"/>
              </w:rPr>
            </w:pPr>
            <w:r>
              <w:rPr>
                <w:rFonts w:ascii="Times New Roman"/>
                <w:w w:val="99"/>
                <w:sz w:val="21"/>
              </w:rPr>
              <w:t>5</w:t>
            </w:r>
          </w:p>
        </w:tc>
        <w:tc>
          <w:tcPr>
            <w:tcW w:w="652" w:type="dxa"/>
          </w:tcPr>
          <w:p w14:paraId="58B44628">
            <w:pPr>
              <w:pStyle w:val="14"/>
              <w:spacing w:before="150"/>
              <w:ind w:left="6" w:right="-15"/>
              <w:jc w:val="center"/>
              <w:rPr>
                <w:rFonts w:ascii="Times New Roman"/>
                <w:sz w:val="21"/>
              </w:rPr>
            </w:pPr>
            <w:r>
              <w:rPr>
                <w:rFonts w:ascii="Times New Roman"/>
                <w:sz w:val="21"/>
              </w:rPr>
              <w:t>7.7~8.1</w:t>
            </w:r>
          </w:p>
        </w:tc>
        <w:tc>
          <w:tcPr>
            <w:tcW w:w="859" w:type="dxa"/>
          </w:tcPr>
          <w:p w14:paraId="7A662087">
            <w:pPr>
              <w:pStyle w:val="14"/>
              <w:spacing w:before="150"/>
              <w:ind w:left="10"/>
              <w:jc w:val="center"/>
              <w:rPr>
                <w:rFonts w:ascii="Times New Roman"/>
                <w:sz w:val="21"/>
              </w:rPr>
            </w:pPr>
            <w:r>
              <w:rPr>
                <w:rFonts w:ascii="Times New Roman"/>
                <w:w w:val="99"/>
                <w:sz w:val="21"/>
              </w:rPr>
              <w:t>/</w:t>
            </w:r>
          </w:p>
        </w:tc>
        <w:tc>
          <w:tcPr>
            <w:tcW w:w="567" w:type="dxa"/>
          </w:tcPr>
          <w:p w14:paraId="17F176A3">
            <w:pPr>
              <w:pStyle w:val="14"/>
              <w:spacing w:before="150"/>
              <w:ind w:left="9"/>
              <w:jc w:val="center"/>
              <w:rPr>
                <w:rFonts w:ascii="Times New Roman"/>
                <w:sz w:val="21"/>
              </w:rPr>
            </w:pPr>
            <w:r>
              <w:rPr>
                <w:rFonts w:ascii="Times New Roman"/>
                <w:w w:val="99"/>
                <w:sz w:val="21"/>
              </w:rPr>
              <w:t>/</w:t>
            </w:r>
          </w:p>
        </w:tc>
        <w:tc>
          <w:tcPr>
            <w:tcW w:w="501" w:type="dxa"/>
          </w:tcPr>
          <w:p w14:paraId="4433CD99">
            <w:pPr>
              <w:pStyle w:val="14"/>
              <w:spacing w:before="150"/>
              <w:ind w:left="7"/>
              <w:jc w:val="center"/>
              <w:rPr>
                <w:rFonts w:ascii="Times New Roman"/>
                <w:sz w:val="21"/>
              </w:rPr>
            </w:pPr>
            <w:r>
              <w:rPr>
                <w:rFonts w:ascii="Times New Roman"/>
                <w:w w:val="99"/>
                <w:sz w:val="21"/>
              </w:rPr>
              <w:t>/</w:t>
            </w:r>
          </w:p>
        </w:tc>
      </w:tr>
      <w:tr w14:paraId="00B06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6" w:type="dxa"/>
          </w:tcPr>
          <w:p w14:paraId="5285A815">
            <w:pPr>
              <w:pStyle w:val="14"/>
              <w:spacing w:before="90"/>
              <w:ind w:left="256"/>
              <w:rPr>
                <w:sz w:val="21"/>
              </w:rPr>
            </w:pPr>
            <w:r>
              <w:rPr>
                <w:sz w:val="21"/>
              </w:rPr>
              <w:t>宰猪废水③</w:t>
            </w:r>
          </w:p>
        </w:tc>
        <w:tc>
          <w:tcPr>
            <w:tcW w:w="1174" w:type="dxa"/>
          </w:tcPr>
          <w:p w14:paraId="1C338F7B">
            <w:pPr>
              <w:pStyle w:val="14"/>
              <w:spacing w:before="106"/>
              <w:ind w:left="89" w:right="81"/>
              <w:jc w:val="center"/>
              <w:rPr>
                <w:rFonts w:ascii="Times New Roman"/>
                <w:sz w:val="21"/>
              </w:rPr>
            </w:pPr>
            <w:r>
              <w:rPr>
                <w:rFonts w:ascii="Times New Roman"/>
                <w:sz w:val="21"/>
              </w:rPr>
              <w:t>900~2200</w:t>
            </w:r>
          </w:p>
        </w:tc>
        <w:tc>
          <w:tcPr>
            <w:tcW w:w="1069" w:type="dxa"/>
          </w:tcPr>
          <w:p w14:paraId="1582B37E">
            <w:pPr>
              <w:pStyle w:val="14"/>
              <w:spacing w:before="106"/>
              <w:ind w:left="88" w:right="81"/>
              <w:jc w:val="center"/>
              <w:rPr>
                <w:rFonts w:ascii="Times New Roman"/>
                <w:sz w:val="21"/>
              </w:rPr>
            </w:pPr>
            <w:r>
              <w:rPr>
                <w:rFonts w:ascii="Times New Roman"/>
                <w:sz w:val="21"/>
              </w:rPr>
              <w:t>500~1200</w:t>
            </w:r>
          </w:p>
        </w:tc>
        <w:tc>
          <w:tcPr>
            <w:tcW w:w="1174" w:type="dxa"/>
          </w:tcPr>
          <w:p w14:paraId="60E43D65">
            <w:pPr>
              <w:pStyle w:val="14"/>
              <w:spacing w:before="106"/>
              <w:ind w:left="86" w:right="81"/>
              <w:jc w:val="center"/>
              <w:rPr>
                <w:rFonts w:ascii="Times New Roman"/>
                <w:sz w:val="21"/>
              </w:rPr>
            </w:pPr>
            <w:r>
              <w:rPr>
                <w:rFonts w:ascii="Times New Roman"/>
                <w:sz w:val="21"/>
              </w:rPr>
              <w:t>800~1000</w:t>
            </w:r>
          </w:p>
        </w:tc>
        <w:tc>
          <w:tcPr>
            <w:tcW w:w="754" w:type="dxa"/>
          </w:tcPr>
          <w:p w14:paraId="11150743">
            <w:pPr>
              <w:pStyle w:val="14"/>
              <w:spacing w:before="106"/>
              <w:ind w:left="8"/>
              <w:jc w:val="center"/>
              <w:rPr>
                <w:rFonts w:ascii="Times New Roman"/>
                <w:sz w:val="21"/>
              </w:rPr>
            </w:pPr>
            <w:r>
              <w:rPr>
                <w:rFonts w:ascii="Times New Roman"/>
                <w:w w:val="99"/>
                <w:sz w:val="21"/>
              </w:rPr>
              <w:t>/</w:t>
            </w:r>
          </w:p>
        </w:tc>
        <w:tc>
          <w:tcPr>
            <w:tcW w:w="652" w:type="dxa"/>
          </w:tcPr>
          <w:p w14:paraId="61B17524">
            <w:pPr>
              <w:pStyle w:val="14"/>
              <w:spacing w:before="106"/>
              <w:ind w:left="6" w:right="-15"/>
              <w:jc w:val="center"/>
              <w:rPr>
                <w:rFonts w:ascii="Times New Roman"/>
                <w:sz w:val="21"/>
              </w:rPr>
            </w:pPr>
            <w:r>
              <w:rPr>
                <w:rFonts w:ascii="Times New Roman"/>
                <w:sz w:val="21"/>
              </w:rPr>
              <w:t>6.9~7.1</w:t>
            </w:r>
          </w:p>
        </w:tc>
        <w:tc>
          <w:tcPr>
            <w:tcW w:w="859" w:type="dxa"/>
          </w:tcPr>
          <w:p w14:paraId="1E996504">
            <w:pPr>
              <w:pStyle w:val="14"/>
              <w:spacing w:before="106"/>
              <w:ind w:left="85" w:right="79"/>
              <w:jc w:val="center"/>
              <w:rPr>
                <w:rFonts w:ascii="Times New Roman"/>
                <w:sz w:val="21"/>
              </w:rPr>
            </w:pPr>
            <w:r>
              <w:rPr>
                <w:rFonts w:ascii="Times New Roman"/>
                <w:sz w:val="21"/>
              </w:rPr>
              <w:t>25~50</w:t>
            </w:r>
          </w:p>
        </w:tc>
        <w:tc>
          <w:tcPr>
            <w:tcW w:w="567" w:type="dxa"/>
          </w:tcPr>
          <w:p w14:paraId="3C58FEF3">
            <w:pPr>
              <w:pStyle w:val="14"/>
              <w:spacing w:before="106"/>
              <w:ind w:left="9"/>
              <w:jc w:val="center"/>
              <w:rPr>
                <w:rFonts w:ascii="Times New Roman"/>
                <w:sz w:val="21"/>
              </w:rPr>
            </w:pPr>
            <w:r>
              <w:rPr>
                <w:rFonts w:ascii="Times New Roman"/>
                <w:w w:val="99"/>
                <w:sz w:val="21"/>
              </w:rPr>
              <w:t>/</w:t>
            </w:r>
          </w:p>
        </w:tc>
        <w:tc>
          <w:tcPr>
            <w:tcW w:w="501" w:type="dxa"/>
          </w:tcPr>
          <w:p w14:paraId="55A66365">
            <w:pPr>
              <w:pStyle w:val="14"/>
              <w:spacing w:before="106"/>
              <w:ind w:left="7"/>
              <w:jc w:val="center"/>
              <w:rPr>
                <w:rFonts w:ascii="Times New Roman"/>
                <w:sz w:val="21"/>
              </w:rPr>
            </w:pPr>
            <w:r>
              <w:rPr>
                <w:rFonts w:ascii="Times New Roman"/>
                <w:w w:val="99"/>
                <w:sz w:val="21"/>
              </w:rPr>
              <w:t>/</w:t>
            </w:r>
          </w:p>
        </w:tc>
      </w:tr>
      <w:tr w14:paraId="64178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6" w:type="dxa"/>
          </w:tcPr>
          <w:p w14:paraId="1A8874D3">
            <w:pPr>
              <w:pStyle w:val="14"/>
              <w:spacing w:before="91"/>
              <w:ind w:left="256"/>
              <w:rPr>
                <w:sz w:val="21"/>
              </w:rPr>
            </w:pPr>
            <w:r>
              <w:rPr>
                <w:sz w:val="21"/>
              </w:rPr>
              <w:t>宰猪废水④</w:t>
            </w:r>
          </w:p>
        </w:tc>
        <w:tc>
          <w:tcPr>
            <w:tcW w:w="1174" w:type="dxa"/>
          </w:tcPr>
          <w:p w14:paraId="67102EA1">
            <w:pPr>
              <w:pStyle w:val="14"/>
              <w:spacing w:before="105"/>
              <w:ind w:left="89" w:right="81"/>
              <w:jc w:val="center"/>
              <w:rPr>
                <w:rFonts w:ascii="Times New Roman"/>
                <w:sz w:val="21"/>
              </w:rPr>
            </w:pPr>
            <w:r>
              <w:rPr>
                <w:rFonts w:ascii="Times New Roman"/>
                <w:sz w:val="21"/>
              </w:rPr>
              <w:t>1220~1580</w:t>
            </w:r>
          </w:p>
        </w:tc>
        <w:tc>
          <w:tcPr>
            <w:tcW w:w="1069" w:type="dxa"/>
          </w:tcPr>
          <w:p w14:paraId="72479511">
            <w:pPr>
              <w:pStyle w:val="14"/>
              <w:spacing w:before="105"/>
              <w:ind w:left="112" w:right="103"/>
              <w:jc w:val="center"/>
              <w:rPr>
                <w:rFonts w:ascii="Times New Roman"/>
                <w:sz w:val="21"/>
              </w:rPr>
            </w:pPr>
            <w:r>
              <w:rPr>
                <w:rFonts w:ascii="Times New Roman"/>
                <w:sz w:val="21"/>
              </w:rPr>
              <w:t>480~690</w:t>
            </w:r>
          </w:p>
        </w:tc>
        <w:tc>
          <w:tcPr>
            <w:tcW w:w="1174" w:type="dxa"/>
          </w:tcPr>
          <w:p w14:paraId="1EB4D1FA">
            <w:pPr>
              <w:pStyle w:val="14"/>
              <w:spacing w:before="105"/>
              <w:ind w:left="86" w:right="81"/>
              <w:jc w:val="center"/>
              <w:rPr>
                <w:rFonts w:ascii="Times New Roman"/>
                <w:sz w:val="21"/>
              </w:rPr>
            </w:pPr>
            <w:r>
              <w:rPr>
                <w:rFonts w:ascii="Times New Roman"/>
                <w:sz w:val="21"/>
              </w:rPr>
              <w:t>780~1070</w:t>
            </w:r>
          </w:p>
        </w:tc>
        <w:tc>
          <w:tcPr>
            <w:tcW w:w="754" w:type="dxa"/>
          </w:tcPr>
          <w:p w14:paraId="501A35FD">
            <w:pPr>
              <w:pStyle w:val="14"/>
              <w:spacing w:before="105"/>
              <w:ind w:left="8"/>
              <w:jc w:val="center"/>
              <w:rPr>
                <w:rFonts w:ascii="Times New Roman"/>
                <w:sz w:val="21"/>
              </w:rPr>
            </w:pPr>
            <w:r>
              <w:rPr>
                <w:rFonts w:ascii="Times New Roman"/>
                <w:w w:val="99"/>
                <w:sz w:val="21"/>
              </w:rPr>
              <w:t>/</w:t>
            </w:r>
          </w:p>
        </w:tc>
        <w:tc>
          <w:tcPr>
            <w:tcW w:w="652" w:type="dxa"/>
          </w:tcPr>
          <w:p w14:paraId="5FDCD26D">
            <w:pPr>
              <w:pStyle w:val="14"/>
              <w:spacing w:before="105"/>
              <w:ind w:left="6" w:right="-15"/>
              <w:jc w:val="center"/>
              <w:rPr>
                <w:rFonts w:ascii="Times New Roman"/>
                <w:sz w:val="21"/>
              </w:rPr>
            </w:pPr>
            <w:r>
              <w:rPr>
                <w:rFonts w:ascii="Times New Roman"/>
                <w:sz w:val="21"/>
              </w:rPr>
              <w:t>6.9~7.2</w:t>
            </w:r>
          </w:p>
        </w:tc>
        <w:tc>
          <w:tcPr>
            <w:tcW w:w="859" w:type="dxa"/>
          </w:tcPr>
          <w:p w14:paraId="20CBB2FE">
            <w:pPr>
              <w:pStyle w:val="14"/>
              <w:spacing w:before="105"/>
              <w:ind w:left="4" w:right="-15"/>
              <w:jc w:val="center"/>
              <w:rPr>
                <w:rFonts w:ascii="Times New Roman"/>
                <w:sz w:val="21"/>
              </w:rPr>
            </w:pPr>
            <w:r>
              <w:rPr>
                <w:rFonts w:ascii="Times New Roman"/>
                <w:sz w:val="21"/>
              </w:rPr>
              <w:t>36.8~57.6</w:t>
            </w:r>
          </w:p>
        </w:tc>
        <w:tc>
          <w:tcPr>
            <w:tcW w:w="567" w:type="dxa"/>
          </w:tcPr>
          <w:p w14:paraId="48758AC3">
            <w:pPr>
              <w:pStyle w:val="14"/>
              <w:spacing w:before="105"/>
              <w:ind w:left="9"/>
              <w:jc w:val="center"/>
              <w:rPr>
                <w:rFonts w:ascii="Times New Roman"/>
                <w:sz w:val="21"/>
              </w:rPr>
            </w:pPr>
            <w:r>
              <w:rPr>
                <w:rFonts w:ascii="Times New Roman"/>
                <w:w w:val="99"/>
                <w:sz w:val="21"/>
              </w:rPr>
              <w:t>/</w:t>
            </w:r>
          </w:p>
        </w:tc>
        <w:tc>
          <w:tcPr>
            <w:tcW w:w="501" w:type="dxa"/>
          </w:tcPr>
          <w:p w14:paraId="6EB3AFA8">
            <w:pPr>
              <w:pStyle w:val="14"/>
              <w:spacing w:before="105"/>
              <w:ind w:left="7"/>
              <w:jc w:val="center"/>
              <w:rPr>
                <w:rFonts w:ascii="Times New Roman"/>
                <w:sz w:val="21"/>
              </w:rPr>
            </w:pPr>
            <w:r>
              <w:rPr>
                <w:rFonts w:ascii="Times New Roman"/>
                <w:w w:val="99"/>
                <w:sz w:val="21"/>
              </w:rPr>
              <w:t>/</w:t>
            </w:r>
          </w:p>
        </w:tc>
      </w:tr>
      <w:tr w14:paraId="5038A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6" w:type="dxa"/>
          </w:tcPr>
          <w:p w14:paraId="26FB49D4">
            <w:pPr>
              <w:pStyle w:val="14"/>
              <w:spacing w:before="93"/>
              <w:ind w:right="97"/>
              <w:jc w:val="right"/>
              <w:rPr>
                <w:sz w:val="21"/>
              </w:rPr>
            </w:pPr>
            <w:r>
              <w:rPr>
                <w:rFonts w:ascii="Times New Roman" w:hAnsi="Times New Roman"/>
                <w:w w:val="95"/>
                <w:sz w:val="21"/>
              </w:rPr>
              <w:t>HJ2004-2010</w:t>
            </w:r>
            <w:r>
              <w:rPr>
                <w:w w:val="95"/>
                <w:sz w:val="21"/>
              </w:rPr>
              <w:t>⑤</w:t>
            </w:r>
          </w:p>
        </w:tc>
        <w:tc>
          <w:tcPr>
            <w:tcW w:w="1174" w:type="dxa"/>
          </w:tcPr>
          <w:p w14:paraId="4FED22E5">
            <w:pPr>
              <w:pStyle w:val="14"/>
              <w:spacing w:before="107"/>
              <w:ind w:left="89" w:right="81"/>
              <w:jc w:val="center"/>
              <w:rPr>
                <w:rFonts w:ascii="Times New Roman"/>
                <w:sz w:val="21"/>
              </w:rPr>
            </w:pPr>
            <w:r>
              <w:rPr>
                <w:rFonts w:ascii="Times New Roman"/>
                <w:sz w:val="21"/>
              </w:rPr>
              <w:t>800~2000</w:t>
            </w:r>
          </w:p>
        </w:tc>
        <w:tc>
          <w:tcPr>
            <w:tcW w:w="1069" w:type="dxa"/>
          </w:tcPr>
          <w:p w14:paraId="054F2E57">
            <w:pPr>
              <w:pStyle w:val="14"/>
              <w:spacing w:before="107"/>
              <w:ind w:left="88" w:right="81"/>
              <w:jc w:val="center"/>
              <w:rPr>
                <w:rFonts w:ascii="Times New Roman"/>
                <w:sz w:val="21"/>
              </w:rPr>
            </w:pPr>
            <w:r>
              <w:rPr>
                <w:rFonts w:ascii="Times New Roman"/>
                <w:sz w:val="21"/>
              </w:rPr>
              <w:t>500~1000</w:t>
            </w:r>
          </w:p>
        </w:tc>
        <w:tc>
          <w:tcPr>
            <w:tcW w:w="1174" w:type="dxa"/>
          </w:tcPr>
          <w:p w14:paraId="73FCA366">
            <w:pPr>
              <w:pStyle w:val="14"/>
              <w:spacing w:before="107"/>
              <w:ind w:left="86" w:right="81"/>
              <w:jc w:val="center"/>
              <w:rPr>
                <w:rFonts w:ascii="Times New Roman"/>
                <w:sz w:val="21"/>
              </w:rPr>
            </w:pPr>
            <w:r>
              <w:rPr>
                <w:rFonts w:ascii="Times New Roman"/>
                <w:sz w:val="21"/>
              </w:rPr>
              <w:t>500~1000</w:t>
            </w:r>
          </w:p>
        </w:tc>
        <w:tc>
          <w:tcPr>
            <w:tcW w:w="754" w:type="dxa"/>
          </w:tcPr>
          <w:p w14:paraId="4DB0CF22">
            <w:pPr>
              <w:pStyle w:val="14"/>
              <w:spacing w:before="107"/>
              <w:ind w:left="53" w:right="44"/>
              <w:jc w:val="center"/>
              <w:rPr>
                <w:rFonts w:ascii="Times New Roman"/>
                <w:sz w:val="21"/>
              </w:rPr>
            </w:pPr>
            <w:r>
              <w:rPr>
                <w:rFonts w:ascii="Times New Roman"/>
                <w:sz w:val="21"/>
              </w:rPr>
              <w:t>25~70</w:t>
            </w:r>
          </w:p>
        </w:tc>
        <w:tc>
          <w:tcPr>
            <w:tcW w:w="652" w:type="dxa"/>
          </w:tcPr>
          <w:p w14:paraId="653BF508">
            <w:pPr>
              <w:pStyle w:val="14"/>
              <w:spacing w:before="107"/>
              <w:ind w:left="6" w:right="-15"/>
              <w:jc w:val="center"/>
              <w:rPr>
                <w:rFonts w:ascii="Times New Roman"/>
                <w:sz w:val="21"/>
              </w:rPr>
            </w:pPr>
            <w:r>
              <w:rPr>
                <w:rFonts w:ascii="Times New Roman"/>
                <w:sz w:val="21"/>
              </w:rPr>
              <w:t>6.5~7.5</w:t>
            </w:r>
          </w:p>
        </w:tc>
        <w:tc>
          <w:tcPr>
            <w:tcW w:w="859" w:type="dxa"/>
          </w:tcPr>
          <w:p w14:paraId="083AFFF4">
            <w:pPr>
              <w:pStyle w:val="14"/>
              <w:spacing w:before="107"/>
              <w:ind w:left="90" w:right="79"/>
              <w:jc w:val="center"/>
              <w:rPr>
                <w:rFonts w:ascii="Times New Roman"/>
                <w:sz w:val="21"/>
              </w:rPr>
            </w:pPr>
            <w:r>
              <w:rPr>
                <w:rFonts w:ascii="Times New Roman"/>
                <w:sz w:val="21"/>
              </w:rPr>
              <w:t>30~100</w:t>
            </w:r>
          </w:p>
        </w:tc>
        <w:tc>
          <w:tcPr>
            <w:tcW w:w="567" w:type="dxa"/>
          </w:tcPr>
          <w:p w14:paraId="19806601">
            <w:pPr>
              <w:pStyle w:val="14"/>
              <w:spacing w:before="107"/>
              <w:ind w:left="9"/>
              <w:jc w:val="center"/>
              <w:rPr>
                <w:rFonts w:ascii="Times New Roman"/>
                <w:sz w:val="21"/>
              </w:rPr>
            </w:pPr>
            <w:r>
              <w:rPr>
                <w:rFonts w:ascii="Times New Roman"/>
                <w:w w:val="99"/>
                <w:sz w:val="21"/>
              </w:rPr>
              <w:t>/</w:t>
            </w:r>
          </w:p>
        </w:tc>
        <w:tc>
          <w:tcPr>
            <w:tcW w:w="501" w:type="dxa"/>
          </w:tcPr>
          <w:p w14:paraId="184A50D4">
            <w:pPr>
              <w:pStyle w:val="14"/>
              <w:spacing w:before="107"/>
              <w:ind w:left="7"/>
              <w:jc w:val="center"/>
              <w:rPr>
                <w:rFonts w:ascii="Times New Roman"/>
                <w:sz w:val="21"/>
              </w:rPr>
            </w:pPr>
            <w:r>
              <w:rPr>
                <w:rFonts w:ascii="Times New Roman"/>
                <w:w w:val="99"/>
                <w:sz w:val="21"/>
              </w:rPr>
              <w:t>/</w:t>
            </w:r>
          </w:p>
        </w:tc>
      </w:tr>
      <w:tr w14:paraId="6C0C5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66" w:type="dxa"/>
          </w:tcPr>
          <w:p w14:paraId="755A7231">
            <w:pPr>
              <w:pStyle w:val="14"/>
              <w:spacing w:before="90"/>
              <w:ind w:left="256"/>
              <w:rPr>
                <w:sz w:val="21"/>
              </w:rPr>
            </w:pPr>
            <w:r>
              <w:rPr>
                <w:sz w:val="21"/>
              </w:rPr>
              <w:t>宰猪废水⑥</w:t>
            </w:r>
          </w:p>
        </w:tc>
        <w:tc>
          <w:tcPr>
            <w:tcW w:w="1174" w:type="dxa"/>
          </w:tcPr>
          <w:p w14:paraId="45D98081">
            <w:pPr>
              <w:pStyle w:val="14"/>
              <w:spacing w:before="106"/>
              <w:ind w:left="89" w:right="81"/>
              <w:jc w:val="center"/>
              <w:rPr>
                <w:rFonts w:ascii="Times New Roman"/>
                <w:sz w:val="21"/>
              </w:rPr>
            </w:pPr>
            <w:r>
              <w:rPr>
                <w:rFonts w:ascii="Times New Roman"/>
                <w:sz w:val="21"/>
              </w:rPr>
              <w:t>2300</w:t>
            </w:r>
          </w:p>
        </w:tc>
        <w:tc>
          <w:tcPr>
            <w:tcW w:w="1069" w:type="dxa"/>
          </w:tcPr>
          <w:p w14:paraId="4F0B3AC8">
            <w:pPr>
              <w:pStyle w:val="14"/>
              <w:spacing w:before="106"/>
              <w:ind w:left="112" w:right="103"/>
              <w:jc w:val="center"/>
              <w:rPr>
                <w:rFonts w:ascii="Times New Roman"/>
                <w:sz w:val="21"/>
              </w:rPr>
            </w:pPr>
            <w:r>
              <w:rPr>
                <w:rFonts w:ascii="Times New Roman"/>
                <w:sz w:val="21"/>
              </w:rPr>
              <w:t>1035</w:t>
            </w:r>
          </w:p>
        </w:tc>
        <w:tc>
          <w:tcPr>
            <w:tcW w:w="1174" w:type="dxa"/>
          </w:tcPr>
          <w:p w14:paraId="2E47C1E3">
            <w:pPr>
              <w:pStyle w:val="14"/>
              <w:spacing w:before="106"/>
              <w:ind w:left="89" w:right="79"/>
              <w:jc w:val="center"/>
              <w:rPr>
                <w:rFonts w:ascii="Times New Roman"/>
                <w:sz w:val="21"/>
              </w:rPr>
            </w:pPr>
            <w:r>
              <w:rPr>
                <w:rFonts w:ascii="Times New Roman"/>
                <w:sz w:val="21"/>
              </w:rPr>
              <w:t>943</w:t>
            </w:r>
          </w:p>
        </w:tc>
        <w:tc>
          <w:tcPr>
            <w:tcW w:w="754" w:type="dxa"/>
          </w:tcPr>
          <w:p w14:paraId="58E3C951">
            <w:pPr>
              <w:pStyle w:val="14"/>
              <w:spacing w:before="106"/>
              <w:ind w:left="53" w:right="44"/>
              <w:jc w:val="center"/>
              <w:rPr>
                <w:rFonts w:ascii="Times New Roman"/>
                <w:sz w:val="21"/>
              </w:rPr>
            </w:pPr>
            <w:r>
              <w:rPr>
                <w:rFonts w:ascii="Times New Roman"/>
                <w:sz w:val="21"/>
              </w:rPr>
              <w:t>43.8</w:t>
            </w:r>
          </w:p>
        </w:tc>
        <w:tc>
          <w:tcPr>
            <w:tcW w:w="652" w:type="dxa"/>
          </w:tcPr>
          <w:p w14:paraId="5A1CC426">
            <w:pPr>
              <w:pStyle w:val="14"/>
              <w:spacing w:before="106"/>
              <w:ind w:left="9"/>
              <w:jc w:val="center"/>
              <w:rPr>
                <w:rFonts w:ascii="Times New Roman"/>
                <w:sz w:val="21"/>
              </w:rPr>
            </w:pPr>
            <w:r>
              <w:rPr>
                <w:rFonts w:ascii="Times New Roman"/>
                <w:w w:val="99"/>
                <w:sz w:val="21"/>
              </w:rPr>
              <w:t>/</w:t>
            </w:r>
          </w:p>
        </w:tc>
        <w:tc>
          <w:tcPr>
            <w:tcW w:w="859" w:type="dxa"/>
          </w:tcPr>
          <w:p w14:paraId="6A0E6906">
            <w:pPr>
              <w:pStyle w:val="14"/>
              <w:spacing w:before="106"/>
              <w:ind w:left="87" w:right="79"/>
              <w:jc w:val="center"/>
              <w:rPr>
                <w:rFonts w:ascii="Times New Roman"/>
                <w:sz w:val="21"/>
              </w:rPr>
            </w:pPr>
            <w:r>
              <w:rPr>
                <w:rFonts w:ascii="Times New Roman"/>
                <w:sz w:val="21"/>
              </w:rPr>
              <w:t>172</w:t>
            </w:r>
          </w:p>
        </w:tc>
        <w:tc>
          <w:tcPr>
            <w:tcW w:w="567" w:type="dxa"/>
          </w:tcPr>
          <w:p w14:paraId="3CDB4236">
            <w:pPr>
              <w:pStyle w:val="14"/>
              <w:spacing w:before="106"/>
              <w:ind w:left="9"/>
              <w:jc w:val="center"/>
              <w:rPr>
                <w:rFonts w:ascii="Times New Roman"/>
                <w:sz w:val="21"/>
              </w:rPr>
            </w:pPr>
            <w:r>
              <w:rPr>
                <w:rFonts w:ascii="Times New Roman"/>
                <w:w w:val="99"/>
                <w:sz w:val="21"/>
              </w:rPr>
              <w:t>/</w:t>
            </w:r>
          </w:p>
        </w:tc>
        <w:tc>
          <w:tcPr>
            <w:tcW w:w="501" w:type="dxa"/>
          </w:tcPr>
          <w:p w14:paraId="5769FD3E">
            <w:pPr>
              <w:pStyle w:val="14"/>
              <w:spacing w:before="106"/>
              <w:ind w:left="7"/>
              <w:jc w:val="center"/>
              <w:rPr>
                <w:rFonts w:ascii="Times New Roman"/>
                <w:sz w:val="21"/>
              </w:rPr>
            </w:pPr>
            <w:r>
              <w:rPr>
                <w:rFonts w:ascii="Times New Roman"/>
                <w:w w:val="99"/>
                <w:sz w:val="21"/>
              </w:rPr>
              <w:t>/</w:t>
            </w:r>
          </w:p>
        </w:tc>
      </w:tr>
      <w:tr w14:paraId="55D0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66" w:type="dxa"/>
          </w:tcPr>
          <w:p w14:paraId="5D42E8CD">
            <w:pPr>
              <w:pStyle w:val="14"/>
              <w:spacing w:before="91"/>
              <w:ind w:right="70"/>
              <w:jc w:val="right"/>
              <w:rPr>
                <w:sz w:val="21"/>
              </w:rPr>
            </w:pPr>
            <w:r>
              <w:rPr>
                <w:rFonts w:ascii="Times New Roman" w:hAnsi="Times New Roman"/>
                <w:w w:val="95"/>
                <w:sz w:val="21"/>
              </w:rPr>
              <w:t>HJ860.3-2018</w:t>
            </w:r>
            <w:r>
              <w:rPr>
                <w:w w:val="95"/>
                <w:sz w:val="21"/>
              </w:rPr>
              <w:t>⑦</w:t>
            </w:r>
          </w:p>
        </w:tc>
        <w:tc>
          <w:tcPr>
            <w:tcW w:w="1174" w:type="dxa"/>
          </w:tcPr>
          <w:p w14:paraId="3C51A65D">
            <w:pPr>
              <w:pStyle w:val="14"/>
              <w:spacing w:before="105"/>
              <w:ind w:left="89" w:right="81"/>
              <w:jc w:val="center"/>
              <w:rPr>
                <w:rFonts w:ascii="Times New Roman"/>
                <w:sz w:val="21"/>
              </w:rPr>
            </w:pPr>
            <w:r>
              <w:rPr>
                <w:rFonts w:ascii="Times New Roman"/>
                <w:sz w:val="21"/>
              </w:rPr>
              <w:t>2058</w:t>
            </w:r>
          </w:p>
        </w:tc>
        <w:tc>
          <w:tcPr>
            <w:tcW w:w="1069" w:type="dxa"/>
          </w:tcPr>
          <w:p w14:paraId="5C9B8ACF">
            <w:pPr>
              <w:pStyle w:val="14"/>
              <w:spacing w:before="105"/>
              <w:ind w:left="8"/>
              <w:jc w:val="center"/>
              <w:rPr>
                <w:rFonts w:ascii="Times New Roman"/>
                <w:sz w:val="21"/>
              </w:rPr>
            </w:pPr>
            <w:r>
              <w:rPr>
                <w:rFonts w:ascii="Times New Roman"/>
                <w:w w:val="99"/>
                <w:sz w:val="21"/>
              </w:rPr>
              <w:t>/</w:t>
            </w:r>
          </w:p>
        </w:tc>
        <w:tc>
          <w:tcPr>
            <w:tcW w:w="1174" w:type="dxa"/>
          </w:tcPr>
          <w:p w14:paraId="77853669">
            <w:pPr>
              <w:pStyle w:val="14"/>
              <w:spacing w:before="105"/>
              <w:ind w:left="7"/>
              <w:jc w:val="center"/>
              <w:rPr>
                <w:rFonts w:ascii="Times New Roman"/>
                <w:sz w:val="21"/>
              </w:rPr>
            </w:pPr>
            <w:r>
              <w:rPr>
                <w:rFonts w:ascii="Times New Roman"/>
                <w:w w:val="99"/>
                <w:sz w:val="21"/>
              </w:rPr>
              <w:t>/</w:t>
            </w:r>
          </w:p>
        </w:tc>
        <w:tc>
          <w:tcPr>
            <w:tcW w:w="754" w:type="dxa"/>
          </w:tcPr>
          <w:p w14:paraId="414454D4">
            <w:pPr>
              <w:pStyle w:val="14"/>
              <w:spacing w:before="105"/>
              <w:ind w:left="53" w:right="44"/>
              <w:jc w:val="center"/>
              <w:rPr>
                <w:rFonts w:ascii="Times New Roman"/>
                <w:sz w:val="21"/>
              </w:rPr>
            </w:pPr>
            <w:r>
              <w:rPr>
                <w:rFonts w:ascii="Times New Roman"/>
                <w:sz w:val="21"/>
              </w:rPr>
              <w:t>81.6</w:t>
            </w:r>
          </w:p>
        </w:tc>
        <w:tc>
          <w:tcPr>
            <w:tcW w:w="652" w:type="dxa"/>
          </w:tcPr>
          <w:p w14:paraId="58131983">
            <w:pPr>
              <w:pStyle w:val="14"/>
              <w:spacing w:before="105"/>
              <w:ind w:left="9"/>
              <w:jc w:val="center"/>
              <w:rPr>
                <w:rFonts w:ascii="Times New Roman"/>
                <w:sz w:val="21"/>
              </w:rPr>
            </w:pPr>
            <w:r>
              <w:rPr>
                <w:rFonts w:ascii="Times New Roman"/>
                <w:w w:val="99"/>
                <w:sz w:val="21"/>
              </w:rPr>
              <w:t>/</w:t>
            </w:r>
          </w:p>
        </w:tc>
        <w:tc>
          <w:tcPr>
            <w:tcW w:w="859" w:type="dxa"/>
          </w:tcPr>
          <w:p w14:paraId="1FB8195D">
            <w:pPr>
              <w:pStyle w:val="14"/>
              <w:spacing w:before="105"/>
              <w:ind w:left="10"/>
              <w:jc w:val="center"/>
              <w:rPr>
                <w:rFonts w:ascii="Times New Roman"/>
                <w:sz w:val="21"/>
              </w:rPr>
            </w:pPr>
            <w:r>
              <w:rPr>
                <w:rFonts w:ascii="Times New Roman"/>
                <w:w w:val="99"/>
                <w:sz w:val="21"/>
              </w:rPr>
              <w:t>/</w:t>
            </w:r>
          </w:p>
        </w:tc>
        <w:tc>
          <w:tcPr>
            <w:tcW w:w="567" w:type="dxa"/>
          </w:tcPr>
          <w:p w14:paraId="75F4DF6D">
            <w:pPr>
              <w:pStyle w:val="14"/>
              <w:spacing w:before="105"/>
              <w:ind w:left="51" w:right="43"/>
              <w:jc w:val="center"/>
              <w:rPr>
                <w:rFonts w:ascii="Times New Roman"/>
                <w:sz w:val="21"/>
              </w:rPr>
            </w:pPr>
            <w:r>
              <w:rPr>
                <w:rFonts w:ascii="Times New Roman"/>
                <w:sz w:val="21"/>
              </w:rPr>
              <w:t>158</w:t>
            </w:r>
          </w:p>
        </w:tc>
        <w:tc>
          <w:tcPr>
            <w:tcW w:w="501" w:type="dxa"/>
          </w:tcPr>
          <w:p w14:paraId="2C4AF13A">
            <w:pPr>
              <w:pStyle w:val="14"/>
              <w:spacing w:before="105"/>
              <w:ind w:left="16" w:right="6"/>
              <w:jc w:val="center"/>
              <w:rPr>
                <w:rFonts w:ascii="Times New Roman"/>
                <w:sz w:val="21"/>
              </w:rPr>
            </w:pPr>
            <w:r>
              <w:rPr>
                <w:rFonts w:ascii="Times New Roman"/>
                <w:sz w:val="21"/>
              </w:rPr>
              <w:t>5.6</w:t>
            </w:r>
          </w:p>
        </w:tc>
      </w:tr>
      <w:tr w14:paraId="0142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1566" w:type="dxa"/>
          </w:tcPr>
          <w:p w14:paraId="16C190FA">
            <w:pPr>
              <w:pStyle w:val="14"/>
              <w:spacing w:before="2" w:line="242" w:lineRule="auto"/>
              <w:ind w:left="47" w:right="37"/>
              <w:jc w:val="both"/>
              <w:rPr>
                <w:sz w:val="21"/>
              </w:rPr>
            </w:pPr>
            <w:r>
              <w:rPr>
                <w:w w:val="95"/>
                <w:sz w:val="21"/>
              </w:rPr>
              <w:t>《排放源统计调查产排污核算方法和系数手册》</w:t>
            </w:r>
          </w:p>
          <w:p w14:paraId="02EB9238">
            <w:pPr>
              <w:pStyle w:val="14"/>
              <w:spacing w:line="251" w:lineRule="exact"/>
              <w:ind w:left="6"/>
              <w:jc w:val="center"/>
              <w:rPr>
                <w:sz w:val="21"/>
              </w:rPr>
            </w:pPr>
            <w:r>
              <w:rPr>
                <w:w w:val="99"/>
                <w:sz w:val="21"/>
              </w:rPr>
              <w:t>⑧</w:t>
            </w:r>
          </w:p>
        </w:tc>
        <w:tc>
          <w:tcPr>
            <w:tcW w:w="1174" w:type="dxa"/>
          </w:tcPr>
          <w:p w14:paraId="6C56845B">
            <w:pPr>
              <w:pStyle w:val="14"/>
              <w:rPr>
                <w:b/>
                <w:sz w:val="22"/>
              </w:rPr>
            </w:pPr>
          </w:p>
          <w:p w14:paraId="048DE14B">
            <w:pPr>
              <w:pStyle w:val="14"/>
              <w:spacing w:before="142"/>
              <w:ind w:left="89" w:right="81"/>
              <w:jc w:val="center"/>
              <w:rPr>
                <w:rFonts w:ascii="Times New Roman"/>
                <w:sz w:val="21"/>
              </w:rPr>
            </w:pPr>
            <w:r>
              <w:rPr>
                <w:rFonts w:ascii="Times New Roman"/>
                <w:sz w:val="21"/>
              </w:rPr>
              <w:t>2185</w:t>
            </w:r>
          </w:p>
        </w:tc>
        <w:tc>
          <w:tcPr>
            <w:tcW w:w="1069" w:type="dxa"/>
          </w:tcPr>
          <w:p w14:paraId="5AE98012">
            <w:pPr>
              <w:pStyle w:val="14"/>
              <w:rPr>
                <w:b/>
                <w:sz w:val="22"/>
              </w:rPr>
            </w:pPr>
          </w:p>
          <w:p w14:paraId="6FF48A1C">
            <w:pPr>
              <w:pStyle w:val="14"/>
              <w:spacing w:before="142"/>
              <w:ind w:left="8"/>
              <w:jc w:val="center"/>
              <w:rPr>
                <w:rFonts w:ascii="Times New Roman"/>
                <w:sz w:val="21"/>
              </w:rPr>
            </w:pPr>
            <w:r>
              <w:rPr>
                <w:rFonts w:ascii="Times New Roman"/>
                <w:w w:val="99"/>
                <w:sz w:val="21"/>
              </w:rPr>
              <w:t>/</w:t>
            </w:r>
          </w:p>
        </w:tc>
        <w:tc>
          <w:tcPr>
            <w:tcW w:w="1174" w:type="dxa"/>
          </w:tcPr>
          <w:p w14:paraId="49176F88">
            <w:pPr>
              <w:pStyle w:val="14"/>
              <w:rPr>
                <w:b/>
                <w:sz w:val="22"/>
              </w:rPr>
            </w:pPr>
          </w:p>
          <w:p w14:paraId="0169ACB2">
            <w:pPr>
              <w:pStyle w:val="14"/>
              <w:spacing w:before="142"/>
              <w:ind w:left="7"/>
              <w:jc w:val="center"/>
              <w:rPr>
                <w:rFonts w:ascii="Times New Roman"/>
                <w:sz w:val="21"/>
              </w:rPr>
            </w:pPr>
            <w:r>
              <w:rPr>
                <w:rFonts w:ascii="Times New Roman"/>
                <w:w w:val="99"/>
                <w:sz w:val="21"/>
              </w:rPr>
              <w:t>/</w:t>
            </w:r>
          </w:p>
        </w:tc>
        <w:tc>
          <w:tcPr>
            <w:tcW w:w="754" w:type="dxa"/>
          </w:tcPr>
          <w:p w14:paraId="05E14928">
            <w:pPr>
              <w:pStyle w:val="14"/>
              <w:rPr>
                <w:b/>
                <w:sz w:val="22"/>
              </w:rPr>
            </w:pPr>
          </w:p>
          <w:p w14:paraId="58E1F0E2">
            <w:pPr>
              <w:pStyle w:val="14"/>
              <w:spacing w:before="142"/>
              <w:ind w:left="53" w:right="44"/>
              <w:jc w:val="center"/>
              <w:rPr>
                <w:rFonts w:ascii="Times New Roman"/>
                <w:sz w:val="21"/>
              </w:rPr>
            </w:pPr>
            <w:r>
              <w:rPr>
                <w:rFonts w:ascii="Times New Roman"/>
                <w:sz w:val="21"/>
              </w:rPr>
              <w:t>75.5</w:t>
            </w:r>
          </w:p>
        </w:tc>
        <w:tc>
          <w:tcPr>
            <w:tcW w:w="652" w:type="dxa"/>
          </w:tcPr>
          <w:p w14:paraId="117DFE84">
            <w:pPr>
              <w:pStyle w:val="14"/>
              <w:rPr>
                <w:b/>
                <w:sz w:val="22"/>
              </w:rPr>
            </w:pPr>
          </w:p>
          <w:p w14:paraId="1CA38361">
            <w:pPr>
              <w:pStyle w:val="14"/>
              <w:spacing w:before="142"/>
              <w:ind w:left="9"/>
              <w:jc w:val="center"/>
              <w:rPr>
                <w:rFonts w:ascii="Times New Roman"/>
                <w:sz w:val="21"/>
              </w:rPr>
            </w:pPr>
            <w:r>
              <w:rPr>
                <w:rFonts w:ascii="Times New Roman"/>
                <w:w w:val="99"/>
                <w:sz w:val="21"/>
              </w:rPr>
              <w:t>/</w:t>
            </w:r>
          </w:p>
        </w:tc>
        <w:tc>
          <w:tcPr>
            <w:tcW w:w="859" w:type="dxa"/>
          </w:tcPr>
          <w:p w14:paraId="7DBCCDCF">
            <w:pPr>
              <w:pStyle w:val="14"/>
              <w:rPr>
                <w:b/>
                <w:sz w:val="22"/>
              </w:rPr>
            </w:pPr>
          </w:p>
          <w:p w14:paraId="37D073A3">
            <w:pPr>
              <w:pStyle w:val="14"/>
              <w:spacing w:before="142"/>
              <w:ind w:left="10"/>
              <w:jc w:val="center"/>
              <w:rPr>
                <w:rFonts w:ascii="Times New Roman"/>
                <w:sz w:val="21"/>
              </w:rPr>
            </w:pPr>
            <w:r>
              <w:rPr>
                <w:rFonts w:ascii="Times New Roman"/>
                <w:w w:val="99"/>
                <w:sz w:val="21"/>
              </w:rPr>
              <w:t>/</w:t>
            </w:r>
          </w:p>
        </w:tc>
        <w:tc>
          <w:tcPr>
            <w:tcW w:w="567" w:type="dxa"/>
          </w:tcPr>
          <w:p w14:paraId="4DCA7F4D">
            <w:pPr>
              <w:pStyle w:val="14"/>
              <w:rPr>
                <w:b/>
                <w:sz w:val="22"/>
              </w:rPr>
            </w:pPr>
          </w:p>
          <w:p w14:paraId="2C219DF4">
            <w:pPr>
              <w:pStyle w:val="14"/>
              <w:spacing w:before="142"/>
              <w:ind w:left="51" w:right="43"/>
              <w:jc w:val="center"/>
              <w:rPr>
                <w:rFonts w:ascii="Times New Roman"/>
                <w:sz w:val="21"/>
              </w:rPr>
            </w:pPr>
            <w:r>
              <w:rPr>
                <w:rFonts w:ascii="Times New Roman"/>
                <w:sz w:val="21"/>
              </w:rPr>
              <w:t>119</w:t>
            </w:r>
          </w:p>
        </w:tc>
        <w:tc>
          <w:tcPr>
            <w:tcW w:w="501" w:type="dxa"/>
          </w:tcPr>
          <w:p w14:paraId="44E04F4A">
            <w:pPr>
              <w:pStyle w:val="14"/>
              <w:rPr>
                <w:b/>
                <w:sz w:val="22"/>
              </w:rPr>
            </w:pPr>
          </w:p>
          <w:p w14:paraId="16EBC731">
            <w:pPr>
              <w:pStyle w:val="14"/>
              <w:spacing w:before="142"/>
              <w:ind w:left="16" w:right="6"/>
              <w:jc w:val="center"/>
              <w:rPr>
                <w:rFonts w:ascii="Times New Roman"/>
                <w:sz w:val="21"/>
              </w:rPr>
            </w:pPr>
            <w:r>
              <w:rPr>
                <w:rFonts w:ascii="Times New Roman"/>
                <w:sz w:val="21"/>
              </w:rPr>
              <w:t>23</w:t>
            </w:r>
          </w:p>
        </w:tc>
      </w:tr>
      <w:tr w14:paraId="4BB86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2" w:hRule="atLeast"/>
        </w:trPr>
        <w:tc>
          <w:tcPr>
            <w:tcW w:w="8316" w:type="dxa"/>
            <w:gridSpan w:val="9"/>
          </w:tcPr>
          <w:p w14:paraId="562AAB58">
            <w:pPr>
              <w:pStyle w:val="14"/>
              <w:spacing w:before="1"/>
              <w:ind w:left="4"/>
              <w:rPr>
                <w:sz w:val="18"/>
              </w:rPr>
            </w:pPr>
            <w:r>
              <w:rPr>
                <w:sz w:val="18"/>
              </w:rPr>
              <w:t>注：①数据来自《环境工程手册</w:t>
            </w:r>
            <w:r>
              <w:rPr>
                <w:rFonts w:ascii="Times New Roman" w:hAnsi="Times New Roman" w:eastAsia="Times New Roman"/>
                <w:sz w:val="18"/>
              </w:rPr>
              <w:t>——</w:t>
            </w:r>
            <w:r>
              <w:rPr>
                <w:sz w:val="18"/>
              </w:rPr>
              <w:t xml:space="preserve">水污染防治卷》高等教育出版社 </w:t>
            </w:r>
            <w:r>
              <w:rPr>
                <w:rFonts w:ascii="Times New Roman" w:hAnsi="Times New Roman" w:eastAsia="Times New Roman"/>
                <w:sz w:val="18"/>
              </w:rPr>
              <w:t xml:space="preserve">1993 </w:t>
            </w:r>
            <w:r>
              <w:rPr>
                <w:sz w:val="18"/>
              </w:rPr>
              <w:t>年；</w:t>
            </w:r>
          </w:p>
          <w:p w14:paraId="45D87820">
            <w:pPr>
              <w:pStyle w:val="14"/>
              <w:spacing w:before="4"/>
              <w:ind w:left="4"/>
              <w:rPr>
                <w:sz w:val="18"/>
              </w:rPr>
            </w:pPr>
            <w:r>
              <w:rPr>
                <w:sz w:val="18"/>
              </w:rPr>
              <w:t>②环评报告数据；</w:t>
            </w:r>
          </w:p>
          <w:p w14:paraId="61EB0C73">
            <w:pPr>
              <w:pStyle w:val="14"/>
              <w:spacing w:before="2"/>
              <w:ind w:left="4"/>
              <w:rPr>
                <w:sz w:val="18"/>
              </w:rPr>
            </w:pPr>
            <w:r>
              <w:rPr>
                <w:sz w:val="18"/>
              </w:rPr>
              <w:t>③《屠宰废水的处理》》（郑春媛，工业用水与废水，</w:t>
            </w:r>
            <w:r>
              <w:rPr>
                <w:rFonts w:ascii="Times New Roman" w:hAnsi="Times New Roman" w:eastAsia="Times New Roman"/>
                <w:sz w:val="18"/>
              </w:rPr>
              <w:t xml:space="preserve">2000 </w:t>
            </w:r>
            <w:r>
              <w:rPr>
                <w:sz w:val="18"/>
              </w:rPr>
              <w:t xml:space="preserve">年 </w:t>
            </w:r>
            <w:r>
              <w:rPr>
                <w:rFonts w:ascii="Times New Roman" w:hAnsi="Times New Roman" w:eastAsia="Times New Roman"/>
                <w:sz w:val="18"/>
              </w:rPr>
              <w:t xml:space="preserve">11 </w:t>
            </w:r>
            <w:r>
              <w:rPr>
                <w:sz w:val="18"/>
              </w:rPr>
              <w:t xml:space="preserve">月 </w:t>
            </w:r>
            <w:r>
              <w:rPr>
                <w:rFonts w:ascii="Times New Roman" w:hAnsi="Times New Roman" w:eastAsia="Times New Roman"/>
                <w:sz w:val="18"/>
              </w:rPr>
              <w:t xml:space="preserve">31 </w:t>
            </w:r>
            <w:r>
              <w:rPr>
                <w:sz w:val="18"/>
              </w:rPr>
              <w:t>期，</w:t>
            </w:r>
            <w:r>
              <w:rPr>
                <w:rFonts w:ascii="Times New Roman" w:hAnsi="Times New Roman" w:eastAsia="Times New Roman"/>
                <w:sz w:val="18"/>
              </w:rPr>
              <w:t>P27-28</w:t>
            </w:r>
            <w:r>
              <w:rPr>
                <w:sz w:val="18"/>
              </w:rPr>
              <w:t>）；</w:t>
            </w:r>
          </w:p>
          <w:p w14:paraId="19D97C9D">
            <w:pPr>
              <w:pStyle w:val="14"/>
              <w:spacing w:before="3"/>
              <w:ind w:left="4"/>
              <w:rPr>
                <w:sz w:val="18"/>
              </w:rPr>
            </w:pPr>
            <w:r>
              <w:rPr>
                <w:sz w:val="18"/>
              </w:rPr>
              <w:t>④《</w:t>
            </w:r>
            <w:r>
              <w:rPr>
                <w:rFonts w:ascii="Times New Roman" w:hAnsi="Times New Roman" w:eastAsia="Times New Roman"/>
                <w:sz w:val="18"/>
              </w:rPr>
              <w:t xml:space="preserve">SBR </w:t>
            </w:r>
            <w:r>
              <w:rPr>
                <w:sz w:val="18"/>
              </w:rPr>
              <w:t>工艺处理屠宰废水》（刘祖文，唐敏康，南方冶金学院学报，</w:t>
            </w:r>
            <w:r>
              <w:rPr>
                <w:rFonts w:ascii="Times New Roman" w:hAnsi="Times New Roman" w:eastAsia="Times New Roman"/>
                <w:sz w:val="18"/>
              </w:rPr>
              <w:t xml:space="preserve">2001 </w:t>
            </w:r>
            <w:r>
              <w:rPr>
                <w:sz w:val="18"/>
              </w:rPr>
              <w:t xml:space="preserve">年 </w:t>
            </w:r>
            <w:r>
              <w:rPr>
                <w:rFonts w:ascii="Times New Roman" w:hAnsi="Times New Roman" w:eastAsia="Times New Roman"/>
                <w:sz w:val="18"/>
              </w:rPr>
              <w:t xml:space="preserve">3 </w:t>
            </w:r>
            <w:r>
              <w:rPr>
                <w:sz w:val="18"/>
              </w:rPr>
              <w:t xml:space="preserve">月第 </w:t>
            </w:r>
            <w:r>
              <w:rPr>
                <w:rFonts w:ascii="Times New Roman" w:hAnsi="Times New Roman" w:eastAsia="Times New Roman"/>
                <w:sz w:val="18"/>
              </w:rPr>
              <w:t xml:space="preserve">22 </w:t>
            </w:r>
            <w:r>
              <w:rPr>
                <w:sz w:val="18"/>
              </w:rPr>
              <w:t xml:space="preserve">卷第 </w:t>
            </w:r>
            <w:r>
              <w:rPr>
                <w:rFonts w:ascii="Times New Roman" w:hAnsi="Times New Roman" w:eastAsia="Times New Roman"/>
                <w:sz w:val="18"/>
              </w:rPr>
              <w:t xml:space="preserve">2 </w:t>
            </w:r>
            <w:r>
              <w:rPr>
                <w:sz w:val="18"/>
              </w:rPr>
              <w:t>期，</w:t>
            </w:r>
          </w:p>
          <w:p w14:paraId="042C582E">
            <w:pPr>
              <w:pStyle w:val="14"/>
              <w:spacing w:before="2"/>
              <w:ind w:left="4"/>
              <w:rPr>
                <w:sz w:val="18"/>
              </w:rPr>
            </w:pPr>
            <w:r>
              <w:rPr>
                <w:rFonts w:ascii="Times New Roman" w:eastAsia="Times New Roman"/>
                <w:sz w:val="18"/>
              </w:rPr>
              <w:t>P117~118</w:t>
            </w:r>
            <w:r>
              <w:rPr>
                <w:sz w:val="18"/>
              </w:rPr>
              <w:t>）；</w:t>
            </w:r>
          </w:p>
          <w:p w14:paraId="5260C429">
            <w:pPr>
              <w:pStyle w:val="14"/>
              <w:spacing w:before="4"/>
              <w:ind w:left="4"/>
              <w:rPr>
                <w:sz w:val="18"/>
              </w:rPr>
            </w:pPr>
            <w:r>
              <w:rPr>
                <w:sz w:val="18"/>
              </w:rPr>
              <w:t>⑤《屠宰与肉类加工废水治理工程技术规范》（</w:t>
            </w:r>
            <w:r>
              <w:rPr>
                <w:rFonts w:ascii="Times New Roman" w:hAnsi="Times New Roman" w:eastAsia="Times New Roman"/>
                <w:sz w:val="18"/>
              </w:rPr>
              <w:t>HJ2004-2010</w:t>
            </w:r>
            <w:r>
              <w:rPr>
                <w:sz w:val="18"/>
              </w:rPr>
              <w:t>）；</w:t>
            </w:r>
          </w:p>
          <w:p w14:paraId="103E93F5">
            <w:pPr>
              <w:pStyle w:val="14"/>
              <w:spacing w:before="3" w:line="242" w:lineRule="auto"/>
              <w:ind w:left="4" w:right="85"/>
              <w:rPr>
                <w:sz w:val="18"/>
              </w:rPr>
            </w:pPr>
            <w:r>
              <w:rPr>
                <w:spacing w:val="-3"/>
                <w:sz w:val="18"/>
              </w:rPr>
              <w:t xml:space="preserve">⑥深圳市索奥检测技术有限公司 </w:t>
            </w:r>
            <w:r>
              <w:rPr>
                <w:rFonts w:ascii="Times New Roman" w:hAnsi="Times New Roman" w:eastAsia="Times New Roman"/>
                <w:sz w:val="18"/>
              </w:rPr>
              <w:t xml:space="preserve">2013 </w:t>
            </w:r>
            <w:r>
              <w:rPr>
                <w:spacing w:val="-24"/>
                <w:sz w:val="18"/>
              </w:rPr>
              <w:t xml:space="preserve">年 </w:t>
            </w:r>
            <w:r>
              <w:rPr>
                <w:rFonts w:ascii="Times New Roman" w:hAnsi="Times New Roman" w:eastAsia="Times New Roman"/>
                <w:sz w:val="18"/>
              </w:rPr>
              <w:t xml:space="preserve">10 </w:t>
            </w:r>
            <w:r>
              <w:rPr>
                <w:spacing w:val="-23"/>
                <w:sz w:val="18"/>
              </w:rPr>
              <w:t xml:space="preserve">月 </w:t>
            </w:r>
            <w:r>
              <w:rPr>
                <w:rFonts w:ascii="Times New Roman" w:hAnsi="Times New Roman" w:eastAsia="Times New Roman"/>
                <w:sz w:val="18"/>
              </w:rPr>
              <w:t xml:space="preserve">15 </w:t>
            </w:r>
            <w:r>
              <w:rPr>
                <w:sz w:val="18"/>
              </w:rPr>
              <w:t>日对《东莞市长安食品公司屠宰及腊味加工迁扩建项目环境影响报告书》中生产废水水质检测报告（</w:t>
            </w:r>
            <w:r>
              <w:rPr>
                <w:spacing w:val="-10"/>
                <w:sz w:val="18"/>
              </w:rPr>
              <w:t xml:space="preserve">报告编号 </w:t>
            </w:r>
            <w:r>
              <w:rPr>
                <w:rFonts w:ascii="Times New Roman" w:hAnsi="Times New Roman" w:eastAsia="Times New Roman"/>
                <w:sz w:val="18"/>
              </w:rPr>
              <w:t>R13A1511</w:t>
            </w:r>
            <w:r>
              <w:rPr>
                <w:sz w:val="18"/>
              </w:rPr>
              <w:t>）监测数据；</w:t>
            </w:r>
          </w:p>
          <w:p w14:paraId="26F4135C">
            <w:pPr>
              <w:pStyle w:val="14"/>
              <w:spacing w:line="230" w:lineRule="exact"/>
              <w:ind w:left="4"/>
              <w:rPr>
                <w:sz w:val="18"/>
              </w:rPr>
            </w:pPr>
            <w:r>
              <w:rPr>
                <w:spacing w:val="-3"/>
                <w:sz w:val="18"/>
              </w:rPr>
              <w:t>⑦根据《排污许可证申请与核发技术规范 农副食品加工工业</w:t>
            </w:r>
            <w:r>
              <w:rPr>
                <w:rFonts w:ascii="Times New Roman" w:hAnsi="Times New Roman" w:eastAsia="Times New Roman"/>
                <w:sz w:val="18"/>
              </w:rPr>
              <w:t>—</w:t>
            </w:r>
            <w:r>
              <w:rPr>
                <w:sz w:val="18"/>
              </w:rPr>
              <w:t>屠宰及肉类加工工业》（</w:t>
            </w:r>
            <w:r>
              <w:rPr>
                <w:rFonts w:ascii="Times New Roman" w:hAnsi="Times New Roman" w:eastAsia="Times New Roman"/>
                <w:sz w:val="18"/>
              </w:rPr>
              <w:t>HJ860.3-2018</w:t>
            </w:r>
            <w:r>
              <w:rPr>
                <w:sz w:val="18"/>
              </w:rPr>
              <w:t>）表</w:t>
            </w:r>
          </w:p>
          <w:p w14:paraId="21164BB9">
            <w:pPr>
              <w:pStyle w:val="14"/>
              <w:spacing w:before="2"/>
              <w:ind w:left="4"/>
              <w:rPr>
                <w:sz w:val="18"/>
              </w:rPr>
            </w:pPr>
            <w:r>
              <w:rPr>
                <w:rFonts w:ascii="Times New Roman" w:eastAsia="Times New Roman"/>
                <w:sz w:val="18"/>
              </w:rPr>
              <w:t xml:space="preserve">C.1 </w:t>
            </w:r>
            <w:r>
              <w:rPr>
                <w:sz w:val="18"/>
              </w:rPr>
              <w:t>主要屠宰工业的废水产污系数计算。</w:t>
            </w:r>
          </w:p>
          <w:p w14:paraId="180F7E4C">
            <w:pPr>
              <w:pStyle w:val="14"/>
              <w:spacing w:before="4" w:line="230" w:lineRule="atLeast"/>
              <w:ind w:left="4" w:right="19"/>
              <w:rPr>
                <w:sz w:val="18"/>
              </w:rPr>
            </w:pPr>
            <w:r>
              <w:rPr>
                <w:spacing w:val="-2"/>
                <w:sz w:val="18"/>
              </w:rPr>
              <w:t xml:space="preserve">⑧根据《排放源统计调查产排污核算方法和系数手册》中 </w:t>
            </w:r>
            <w:r>
              <w:rPr>
                <w:rFonts w:ascii="Times New Roman" w:hAnsi="Times New Roman" w:eastAsia="Times New Roman"/>
                <w:sz w:val="18"/>
              </w:rPr>
              <w:t xml:space="preserve">135 </w:t>
            </w:r>
            <w:r>
              <w:rPr>
                <w:sz w:val="18"/>
              </w:rPr>
              <w:t>屠宰及肉类加工行业系数手册中产污系数计算。</w:t>
            </w:r>
          </w:p>
        </w:tc>
      </w:tr>
    </w:tbl>
    <w:p w14:paraId="33D7A1A9">
      <w:pPr>
        <w:pStyle w:val="7"/>
        <w:spacing w:before="9"/>
        <w:rPr>
          <w:b/>
          <w:sz w:val="16"/>
        </w:rPr>
      </w:pPr>
    </w:p>
    <w:p w14:paraId="45D7CC66">
      <w:pPr>
        <w:pStyle w:val="7"/>
        <w:spacing w:before="66" w:line="364" w:lineRule="auto"/>
        <w:ind w:left="460" w:right="477" w:firstLine="482"/>
        <w:jc w:val="both"/>
      </w:pPr>
      <w:r>
        <w:t>本项目生猪屠宰工艺及加工工艺与上表中屠宰加工厂生产工艺基本一致， 故本项目废水水质可类比上表肉类加工厂生产废水数据，重点参照《屠宰和肉</w:t>
      </w:r>
      <w:r>
        <w:rPr>
          <w:spacing w:val="-3"/>
        </w:rPr>
        <w:t>类加工废水治理工程技术规范》</w:t>
      </w:r>
      <w:r>
        <w:t>（</w:t>
      </w:r>
      <w:r>
        <w:rPr>
          <w:rFonts w:ascii="Times New Roman" w:hAnsi="Times New Roman" w:eastAsia="Times New Roman"/>
        </w:rPr>
        <w:t>HJ2004-2010</w:t>
      </w:r>
      <w:r>
        <w:t>）</w:t>
      </w:r>
      <w:r>
        <w:rPr>
          <w:spacing w:val="-5"/>
        </w:rPr>
        <w:t xml:space="preserve">中表 </w:t>
      </w:r>
      <w:r>
        <w:rPr>
          <w:rFonts w:ascii="Times New Roman" w:hAnsi="Times New Roman" w:eastAsia="Times New Roman"/>
          <w:spacing w:val="5"/>
        </w:rPr>
        <w:t>4</w:t>
      </w:r>
      <w:r>
        <w:rPr>
          <w:spacing w:val="5"/>
        </w:rPr>
        <w:t>“肉类加工废水水质设</w:t>
      </w:r>
      <w:r>
        <w:rPr>
          <w:spacing w:val="-1"/>
        </w:rPr>
        <w:t>计取值”数据及《排污许可证申请与核发技术规范 农副食品加工工业—屠宰及</w:t>
      </w:r>
      <w:r>
        <w:rPr>
          <w:spacing w:val="-15"/>
        </w:rPr>
        <w:t>肉类加工工业》</w:t>
      </w:r>
      <w:r>
        <w:t>（</w:t>
      </w:r>
      <w:r>
        <w:rPr>
          <w:rFonts w:ascii="Times New Roman" w:hAnsi="Times New Roman" w:eastAsia="Times New Roman"/>
        </w:rPr>
        <w:t>HJ860.3-2018</w:t>
      </w:r>
      <w:r>
        <w:t>）</w:t>
      </w:r>
      <w:r>
        <w:rPr>
          <w:spacing w:val="-21"/>
        </w:rPr>
        <w:t xml:space="preserve">表 </w:t>
      </w:r>
      <w:r>
        <w:rPr>
          <w:rFonts w:ascii="Times New Roman" w:hAnsi="Times New Roman" w:eastAsia="Times New Roman"/>
        </w:rPr>
        <w:t>C.1</w:t>
      </w:r>
      <w:r>
        <w:rPr>
          <w:rFonts w:ascii="Times New Roman" w:hAnsi="Times New Roman" w:eastAsia="Times New Roman"/>
          <w:spacing w:val="0"/>
        </w:rPr>
        <w:t xml:space="preserve"> </w:t>
      </w:r>
      <w:r>
        <w:rPr>
          <w:spacing w:val="0"/>
        </w:rPr>
        <w:t>主要屠宰工业的废水产污系数，确定本</w:t>
      </w:r>
      <w:r>
        <w:rPr>
          <w:spacing w:val="21"/>
          <w:position w:val="2"/>
        </w:rPr>
        <w:t xml:space="preserve">项目进水水质中各污染物的产生浓度分别为 </w:t>
      </w:r>
      <w:r>
        <w:rPr>
          <w:rFonts w:ascii="Times New Roman" w:hAnsi="Times New Roman" w:eastAsia="Times New Roman"/>
          <w:position w:val="2"/>
        </w:rPr>
        <w:t>COD</w:t>
      </w:r>
      <w:r>
        <w:rPr>
          <w:rFonts w:ascii="Times New Roman" w:hAnsi="Times New Roman" w:eastAsia="Times New Roman"/>
          <w:position w:val="2"/>
          <w:vertAlign w:val="subscript"/>
        </w:rPr>
        <w:t>Cr</w:t>
      </w:r>
      <w:r>
        <w:rPr>
          <w:rFonts w:ascii="Times New Roman" w:hAnsi="Times New Roman" w:eastAsia="Times New Roman"/>
          <w:spacing w:val="-29"/>
          <w:position w:val="2"/>
          <w:vertAlign w:val="baseline"/>
        </w:rPr>
        <w:t xml:space="preserve"> </w:t>
      </w:r>
      <w:r>
        <w:rPr>
          <w:spacing w:val="-44"/>
          <w:position w:val="2"/>
          <w:vertAlign w:val="baseline"/>
        </w:rPr>
        <w:t xml:space="preserve">： </w:t>
      </w:r>
      <w:r>
        <w:rPr>
          <w:rFonts w:ascii="Times New Roman" w:hAnsi="Times New Roman" w:eastAsia="Times New Roman"/>
          <w:position w:val="2"/>
          <w:vertAlign w:val="baseline"/>
        </w:rPr>
        <w:t>2300mg/L</w:t>
      </w:r>
      <w:r>
        <w:rPr>
          <w:rFonts w:ascii="Times New Roman" w:hAnsi="Times New Roman" w:eastAsia="Times New Roman"/>
          <w:spacing w:val="-27"/>
          <w:position w:val="2"/>
          <w:vertAlign w:val="baseline"/>
        </w:rPr>
        <w:t xml:space="preserve"> </w:t>
      </w:r>
      <w:r>
        <w:rPr>
          <w:spacing w:val="-44"/>
          <w:position w:val="2"/>
          <w:vertAlign w:val="baseline"/>
        </w:rPr>
        <w:t xml:space="preserve">， </w:t>
      </w:r>
      <w:r>
        <w:rPr>
          <w:rFonts w:ascii="Times New Roman" w:hAnsi="Times New Roman" w:eastAsia="Times New Roman"/>
          <w:position w:val="2"/>
          <w:vertAlign w:val="baseline"/>
        </w:rPr>
        <w:t>BOD</w:t>
      </w:r>
      <w:r>
        <w:rPr>
          <w:rFonts w:ascii="Times New Roman" w:hAnsi="Times New Roman" w:eastAsia="Times New Roman"/>
          <w:position w:val="2"/>
          <w:vertAlign w:val="subscript"/>
        </w:rPr>
        <w:t>5</w:t>
      </w:r>
      <w:r>
        <w:rPr>
          <w:rFonts w:ascii="Times New Roman" w:hAnsi="Times New Roman" w:eastAsia="Times New Roman"/>
          <w:spacing w:val="-31"/>
          <w:position w:val="2"/>
          <w:vertAlign w:val="baseline"/>
        </w:rPr>
        <w:t xml:space="preserve"> </w:t>
      </w:r>
      <w:r>
        <w:rPr>
          <w:position w:val="2"/>
          <w:vertAlign w:val="baseline"/>
        </w:rPr>
        <w:t xml:space="preserve">： </w:t>
      </w:r>
      <w:r>
        <w:rPr>
          <w:rFonts w:ascii="Times New Roman" w:hAnsi="Times New Roman" w:eastAsia="Times New Roman"/>
          <w:position w:val="2"/>
          <w:vertAlign w:val="baseline"/>
        </w:rPr>
        <w:t>1000mg/L</w:t>
      </w:r>
      <w:r>
        <w:rPr>
          <w:rFonts w:ascii="Times New Roman" w:hAnsi="Times New Roman" w:eastAsia="Times New Roman"/>
          <w:spacing w:val="-28"/>
          <w:position w:val="2"/>
          <w:vertAlign w:val="baseline"/>
        </w:rPr>
        <w:t xml:space="preserve"> </w:t>
      </w:r>
      <w:r>
        <w:rPr>
          <w:spacing w:val="3"/>
          <w:position w:val="2"/>
          <w:vertAlign w:val="baseline"/>
        </w:rPr>
        <w:t>，</w:t>
      </w:r>
      <w:r>
        <w:rPr>
          <w:rFonts w:ascii="Times New Roman" w:hAnsi="Times New Roman" w:eastAsia="Times New Roman"/>
          <w:spacing w:val="3"/>
          <w:position w:val="2"/>
          <w:vertAlign w:val="baseline"/>
        </w:rPr>
        <w:t>SS</w:t>
      </w:r>
      <w:r>
        <w:rPr>
          <w:spacing w:val="3"/>
          <w:position w:val="2"/>
          <w:vertAlign w:val="baseline"/>
        </w:rPr>
        <w:t>：</w:t>
      </w:r>
      <w:r>
        <w:rPr>
          <w:rFonts w:ascii="Times New Roman" w:hAnsi="Times New Roman" w:eastAsia="Times New Roman"/>
          <w:spacing w:val="3"/>
          <w:position w:val="2"/>
          <w:vertAlign w:val="baseline"/>
        </w:rPr>
        <w:t>1000mg/L</w:t>
      </w:r>
      <w:r>
        <w:rPr>
          <w:spacing w:val="3"/>
          <w:position w:val="2"/>
          <w:vertAlign w:val="baseline"/>
        </w:rPr>
        <w:t>，</w:t>
      </w:r>
      <w:r>
        <w:rPr>
          <w:rFonts w:ascii="Times New Roman" w:hAnsi="Times New Roman" w:eastAsia="Times New Roman"/>
          <w:spacing w:val="3"/>
          <w:position w:val="2"/>
          <w:vertAlign w:val="baseline"/>
        </w:rPr>
        <w:t>NH</w:t>
      </w:r>
      <w:r>
        <w:rPr>
          <w:rFonts w:ascii="Times New Roman" w:hAnsi="Times New Roman" w:eastAsia="Times New Roman"/>
          <w:spacing w:val="3"/>
          <w:position w:val="2"/>
          <w:vertAlign w:val="subscript"/>
        </w:rPr>
        <w:t>3</w:t>
      </w:r>
      <w:r>
        <w:rPr>
          <w:rFonts w:ascii="Times New Roman" w:hAnsi="Times New Roman" w:eastAsia="Times New Roman"/>
          <w:spacing w:val="3"/>
          <w:position w:val="2"/>
          <w:vertAlign w:val="baseline"/>
        </w:rPr>
        <w:t>-N</w:t>
      </w:r>
      <w:r>
        <w:rPr>
          <w:spacing w:val="3"/>
          <w:position w:val="2"/>
          <w:vertAlign w:val="baseline"/>
        </w:rPr>
        <w:t>：</w:t>
      </w:r>
      <w:r>
        <w:rPr>
          <w:rFonts w:ascii="Times New Roman" w:hAnsi="Times New Roman" w:eastAsia="Times New Roman"/>
          <w:spacing w:val="3"/>
          <w:position w:val="2"/>
          <w:vertAlign w:val="baseline"/>
        </w:rPr>
        <w:t>85mg/L</w:t>
      </w:r>
      <w:r>
        <w:rPr>
          <w:rFonts w:ascii="Times New Roman" w:hAnsi="Times New Roman" w:eastAsia="Times New Roman"/>
          <w:spacing w:val="-28"/>
          <w:position w:val="2"/>
          <w:vertAlign w:val="baseline"/>
        </w:rPr>
        <w:t xml:space="preserve"> </w:t>
      </w:r>
      <w:r>
        <w:rPr>
          <w:spacing w:val="13"/>
          <w:position w:val="2"/>
          <w:vertAlign w:val="baseline"/>
        </w:rPr>
        <w:t>，动植物油：</w:t>
      </w:r>
      <w:r>
        <w:rPr>
          <w:rFonts w:ascii="Times New Roman" w:hAnsi="Times New Roman" w:eastAsia="Times New Roman"/>
          <w:position w:val="2"/>
          <w:vertAlign w:val="baseline"/>
        </w:rPr>
        <w:t>172mg/L</w:t>
      </w:r>
      <w:r>
        <w:rPr>
          <w:rFonts w:ascii="Times New Roman" w:hAnsi="Times New Roman" w:eastAsia="Times New Roman"/>
          <w:spacing w:val="-28"/>
          <w:position w:val="2"/>
          <w:vertAlign w:val="baseline"/>
        </w:rPr>
        <w:t xml:space="preserve"> </w:t>
      </w:r>
      <w:r>
        <w:rPr>
          <w:spacing w:val="12"/>
          <w:position w:val="2"/>
          <w:vertAlign w:val="baseline"/>
        </w:rPr>
        <w:t>，总氮：</w:t>
      </w:r>
    </w:p>
    <w:p w14:paraId="66B7D3A6">
      <w:pPr>
        <w:pStyle w:val="7"/>
        <w:spacing w:line="296" w:lineRule="exact"/>
        <w:ind w:left="460"/>
      </w:pPr>
      <w:r>
        <w:rPr>
          <w:rFonts w:ascii="Times New Roman" w:hAnsi="Times New Roman" w:eastAsia="Times New Roman"/>
        </w:rPr>
        <w:t>160mg/L</w:t>
      </w:r>
      <w:r>
        <w:t>，总磷：</w:t>
      </w:r>
      <w:r>
        <w:rPr>
          <w:rFonts w:ascii="Times New Roman" w:hAnsi="Times New Roman" w:eastAsia="Times New Roman"/>
        </w:rPr>
        <w:t>23mg/L</w:t>
      </w:r>
      <w:r>
        <w:t>。项目污水处理设计处理方案为“预处理</w:t>
      </w:r>
      <w:r>
        <w:rPr>
          <w:rFonts w:ascii="Times New Roman" w:hAnsi="Times New Roman" w:eastAsia="Times New Roman"/>
        </w:rPr>
        <w:t>+</w:t>
      </w:r>
      <w:r>
        <w:t>水解酸化</w:t>
      </w:r>
    </w:p>
    <w:p w14:paraId="2C1441C4">
      <w:pPr>
        <w:pStyle w:val="7"/>
        <w:spacing w:before="161"/>
        <w:ind w:left="460"/>
      </w:pPr>
      <w:r>
        <w:rPr>
          <w:rFonts w:ascii="Times New Roman" w:hAnsi="Times New Roman" w:eastAsia="Times New Roman"/>
        </w:rPr>
        <w:t>+A/O+</w:t>
      </w:r>
      <w:r>
        <w:t>混凝沉淀</w:t>
      </w:r>
      <w:r>
        <w:rPr>
          <w:rFonts w:ascii="Times New Roman" w:hAnsi="Times New Roman" w:eastAsia="Times New Roman"/>
        </w:rPr>
        <w:t>+</w:t>
      </w:r>
      <w:r>
        <w:t>消毒”的工艺方案，根据《屠宰及肉类加工业污染防治可行技</w:t>
      </w:r>
    </w:p>
    <w:p w14:paraId="33E85DE3">
      <w:pPr>
        <w:spacing w:after="0"/>
        <w:sectPr>
          <w:footerReference r:id="rId31" w:type="default"/>
          <w:pgSz w:w="11910" w:h="16840"/>
          <w:pgMar w:top="1360" w:right="1320" w:bottom="1400" w:left="1340" w:header="878" w:footer="1204" w:gutter="0"/>
          <w:pgNumType w:start="80"/>
          <w:cols w:space="720" w:num="1"/>
        </w:sectPr>
      </w:pPr>
    </w:p>
    <w:p w14:paraId="7801D797">
      <w:pPr>
        <w:pStyle w:val="7"/>
        <w:spacing w:before="68"/>
        <w:ind w:left="149" w:right="286"/>
        <w:jc w:val="center"/>
      </w:pPr>
      <w:r>
        <w:t>术指南 》（</w:t>
      </w:r>
      <w:r>
        <w:rPr>
          <w:rFonts w:ascii="Times New Roman" w:hAnsi="Times New Roman" w:eastAsia="Times New Roman"/>
        </w:rPr>
        <w:t>HJ 1285</w:t>
      </w:r>
      <w:r>
        <w:t>—</w:t>
      </w:r>
      <w:r>
        <w:rPr>
          <w:rFonts w:ascii="Times New Roman" w:hAnsi="Times New Roman" w:eastAsia="Times New Roman"/>
        </w:rPr>
        <w:t>2023</w:t>
      </w:r>
      <w:r>
        <w:t>）中相关技术要求严格设计配套，具体参数详见下表</w:t>
      </w:r>
    </w:p>
    <w:p w14:paraId="094A0E9A">
      <w:pPr>
        <w:pStyle w:val="7"/>
        <w:spacing w:before="7"/>
        <w:rPr>
          <w:sz w:val="19"/>
        </w:rPr>
      </w:pPr>
    </w:p>
    <w:p w14:paraId="57B6D09F">
      <w:pPr>
        <w:spacing w:before="0" w:after="4"/>
        <w:ind w:left="1861" w:right="0" w:firstLine="0"/>
        <w:jc w:val="left"/>
        <w:rPr>
          <w:rFonts w:ascii="Times New Roman" w:eastAsia="Times New Roman"/>
          <w:b/>
          <w:sz w:val="21"/>
        </w:rPr>
      </w:pPr>
      <w:r>
        <w:rPr>
          <w:b/>
          <w:sz w:val="21"/>
        </w:rPr>
        <w:t xml:space="preserve">表 </w:t>
      </w:r>
      <w:r>
        <w:rPr>
          <w:rFonts w:ascii="Times New Roman" w:eastAsia="Times New Roman"/>
          <w:b/>
          <w:sz w:val="21"/>
        </w:rPr>
        <w:t xml:space="preserve">3.7-16 </w:t>
      </w:r>
      <w:r>
        <w:rPr>
          <w:b/>
          <w:sz w:val="21"/>
        </w:rPr>
        <w:t>项目废水处理站预处理设计参数一览表 单位：</w:t>
      </w:r>
      <w:r>
        <w:rPr>
          <w:rFonts w:ascii="Times New Roman" w:eastAsia="Times New Roman"/>
          <w:b/>
          <w:sz w:val="21"/>
        </w:rPr>
        <w:t>mg/L</w:t>
      </w:r>
    </w:p>
    <w:tbl>
      <w:tblPr>
        <w:tblStyle w:val="10"/>
        <w:tblW w:w="0" w:type="auto"/>
        <w:tblInd w:w="3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41"/>
        <w:gridCol w:w="1060"/>
        <w:gridCol w:w="916"/>
        <w:gridCol w:w="798"/>
        <w:gridCol w:w="1007"/>
        <w:gridCol w:w="1274"/>
        <w:gridCol w:w="799"/>
        <w:gridCol w:w="799"/>
      </w:tblGrid>
      <w:tr w14:paraId="7AD1E9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1941" w:type="dxa"/>
          </w:tcPr>
          <w:p w14:paraId="09A70F1C">
            <w:pPr>
              <w:pStyle w:val="14"/>
              <w:spacing w:before="118"/>
              <w:ind w:left="230" w:right="215"/>
              <w:jc w:val="center"/>
              <w:rPr>
                <w:b/>
                <w:sz w:val="21"/>
              </w:rPr>
            </w:pPr>
            <w:r>
              <w:rPr>
                <w:b/>
                <w:sz w:val="21"/>
              </w:rPr>
              <w:t>污染物</w:t>
            </w:r>
          </w:p>
        </w:tc>
        <w:tc>
          <w:tcPr>
            <w:tcW w:w="1060" w:type="dxa"/>
          </w:tcPr>
          <w:p w14:paraId="6E72014E">
            <w:pPr>
              <w:pStyle w:val="14"/>
              <w:spacing w:before="131"/>
              <w:ind w:left="180" w:right="165"/>
              <w:jc w:val="center"/>
              <w:rPr>
                <w:rFonts w:ascii="Times New Roman"/>
                <w:b/>
                <w:sz w:val="21"/>
              </w:rPr>
            </w:pPr>
            <w:r>
              <w:rPr>
                <w:rFonts w:ascii="Times New Roman"/>
                <w:b/>
                <w:sz w:val="21"/>
              </w:rPr>
              <w:t>CODcr</w:t>
            </w:r>
          </w:p>
        </w:tc>
        <w:tc>
          <w:tcPr>
            <w:tcW w:w="916" w:type="dxa"/>
          </w:tcPr>
          <w:p w14:paraId="4328BA4D">
            <w:pPr>
              <w:pStyle w:val="14"/>
              <w:spacing w:before="128"/>
              <w:ind w:left="175" w:right="156"/>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798" w:type="dxa"/>
          </w:tcPr>
          <w:p w14:paraId="12261539">
            <w:pPr>
              <w:pStyle w:val="14"/>
              <w:spacing w:before="131"/>
              <w:ind w:left="261" w:right="243"/>
              <w:jc w:val="center"/>
              <w:rPr>
                <w:rFonts w:ascii="Times New Roman"/>
                <w:b/>
                <w:sz w:val="21"/>
              </w:rPr>
            </w:pPr>
            <w:r>
              <w:rPr>
                <w:rFonts w:ascii="Times New Roman"/>
                <w:b/>
                <w:sz w:val="21"/>
              </w:rPr>
              <w:t>SS</w:t>
            </w:r>
          </w:p>
        </w:tc>
        <w:tc>
          <w:tcPr>
            <w:tcW w:w="1007" w:type="dxa"/>
          </w:tcPr>
          <w:p w14:paraId="2704FEE4">
            <w:pPr>
              <w:pStyle w:val="14"/>
              <w:spacing w:before="128"/>
              <w:ind w:left="179" w:right="162"/>
              <w:jc w:val="center"/>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vertAlign w:val="baseline"/>
              </w:rPr>
              <w:t>-N</w:t>
            </w:r>
          </w:p>
        </w:tc>
        <w:tc>
          <w:tcPr>
            <w:tcW w:w="1274" w:type="dxa"/>
          </w:tcPr>
          <w:p w14:paraId="5A33CB7A">
            <w:pPr>
              <w:pStyle w:val="14"/>
              <w:spacing w:before="118"/>
              <w:ind w:left="194" w:right="176"/>
              <w:jc w:val="center"/>
              <w:rPr>
                <w:b/>
                <w:sz w:val="21"/>
              </w:rPr>
            </w:pPr>
            <w:r>
              <w:rPr>
                <w:b/>
                <w:sz w:val="21"/>
              </w:rPr>
              <w:t>动植物油</w:t>
            </w:r>
          </w:p>
        </w:tc>
        <w:tc>
          <w:tcPr>
            <w:tcW w:w="799" w:type="dxa"/>
          </w:tcPr>
          <w:p w14:paraId="57799E0F">
            <w:pPr>
              <w:pStyle w:val="14"/>
              <w:spacing w:before="118"/>
              <w:ind w:left="165" w:right="151"/>
              <w:jc w:val="center"/>
              <w:rPr>
                <w:b/>
                <w:sz w:val="21"/>
              </w:rPr>
            </w:pPr>
            <w:r>
              <w:rPr>
                <w:b/>
                <w:sz w:val="21"/>
              </w:rPr>
              <w:t>总磷</w:t>
            </w:r>
          </w:p>
        </w:tc>
        <w:tc>
          <w:tcPr>
            <w:tcW w:w="799" w:type="dxa"/>
          </w:tcPr>
          <w:p w14:paraId="1F1EB783">
            <w:pPr>
              <w:pStyle w:val="14"/>
              <w:spacing w:before="118"/>
              <w:ind w:right="169"/>
              <w:jc w:val="right"/>
              <w:rPr>
                <w:b/>
                <w:sz w:val="21"/>
              </w:rPr>
            </w:pPr>
            <w:r>
              <w:rPr>
                <w:b/>
                <w:w w:val="95"/>
                <w:sz w:val="21"/>
              </w:rPr>
              <w:t>总氮</w:t>
            </w:r>
          </w:p>
        </w:tc>
      </w:tr>
      <w:tr w14:paraId="33A1B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1941" w:type="dxa"/>
          </w:tcPr>
          <w:p w14:paraId="40ED1A95">
            <w:pPr>
              <w:pStyle w:val="14"/>
              <w:spacing w:before="117"/>
              <w:ind w:left="231" w:right="214"/>
              <w:jc w:val="center"/>
              <w:rPr>
                <w:sz w:val="21"/>
              </w:rPr>
            </w:pPr>
            <w:r>
              <w:rPr>
                <w:sz w:val="21"/>
              </w:rPr>
              <w:t>设计进水水质</w:t>
            </w:r>
          </w:p>
        </w:tc>
        <w:tc>
          <w:tcPr>
            <w:tcW w:w="1060" w:type="dxa"/>
          </w:tcPr>
          <w:p w14:paraId="20AD3022">
            <w:pPr>
              <w:pStyle w:val="14"/>
              <w:spacing w:before="131"/>
              <w:ind w:left="180" w:right="160"/>
              <w:jc w:val="center"/>
              <w:rPr>
                <w:rFonts w:ascii="Times New Roman"/>
                <w:sz w:val="21"/>
              </w:rPr>
            </w:pPr>
            <w:r>
              <w:rPr>
                <w:rFonts w:ascii="Times New Roman"/>
                <w:sz w:val="21"/>
              </w:rPr>
              <w:t>2300</w:t>
            </w:r>
          </w:p>
        </w:tc>
        <w:tc>
          <w:tcPr>
            <w:tcW w:w="916" w:type="dxa"/>
          </w:tcPr>
          <w:p w14:paraId="5898010C">
            <w:pPr>
              <w:pStyle w:val="14"/>
              <w:spacing w:before="131"/>
              <w:ind w:left="175" w:right="156"/>
              <w:jc w:val="center"/>
              <w:rPr>
                <w:rFonts w:ascii="Times New Roman"/>
                <w:sz w:val="21"/>
              </w:rPr>
            </w:pPr>
            <w:r>
              <w:rPr>
                <w:rFonts w:ascii="Times New Roman"/>
                <w:sz w:val="21"/>
              </w:rPr>
              <w:t>1000</w:t>
            </w:r>
          </w:p>
        </w:tc>
        <w:tc>
          <w:tcPr>
            <w:tcW w:w="798" w:type="dxa"/>
          </w:tcPr>
          <w:p w14:paraId="44929CB1">
            <w:pPr>
              <w:pStyle w:val="14"/>
              <w:spacing w:before="131"/>
              <w:ind w:right="165"/>
              <w:jc w:val="right"/>
              <w:rPr>
                <w:rFonts w:ascii="Times New Roman"/>
                <w:sz w:val="21"/>
              </w:rPr>
            </w:pPr>
            <w:r>
              <w:rPr>
                <w:rFonts w:ascii="Times New Roman"/>
                <w:sz w:val="21"/>
              </w:rPr>
              <w:t>1000</w:t>
            </w:r>
          </w:p>
        </w:tc>
        <w:tc>
          <w:tcPr>
            <w:tcW w:w="1007" w:type="dxa"/>
          </w:tcPr>
          <w:p w14:paraId="0F931465">
            <w:pPr>
              <w:pStyle w:val="14"/>
              <w:spacing w:before="131"/>
              <w:ind w:left="178" w:right="162"/>
              <w:jc w:val="center"/>
              <w:rPr>
                <w:rFonts w:ascii="Times New Roman"/>
                <w:sz w:val="21"/>
              </w:rPr>
            </w:pPr>
            <w:r>
              <w:rPr>
                <w:rFonts w:ascii="Times New Roman"/>
                <w:sz w:val="21"/>
              </w:rPr>
              <w:t>85</w:t>
            </w:r>
          </w:p>
        </w:tc>
        <w:tc>
          <w:tcPr>
            <w:tcW w:w="1274" w:type="dxa"/>
          </w:tcPr>
          <w:p w14:paraId="0E2B7C95">
            <w:pPr>
              <w:pStyle w:val="14"/>
              <w:spacing w:before="131"/>
              <w:ind w:left="194" w:right="174"/>
              <w:jc w:val="center"/>
              <w:rPr>
                <w:rFonts w:ascii="Times New Roman"/>
                <w:sz w:val="21"/>
              </w:rPr>
            </w:pPr>
            <w:r>
              <w:rPr>
                <w:rFonts w:ascii="Times New Roman"/>
                <w:sz w:val="21"/>
              </w:rPr>
              <w:t>172</w:t>
            </w:r>
          </w:p>
        </w:tc>
        <w:tc>
          <w:tcPr>
            <w:tcW w:w="799" w:type="dxa"/>
          </w:tcPr>
          <w:p w14:paraId="6899B518">
            <w:pPr>
              <w:pStyle w:val="14"/>
              <w:spacing w:before="131"/>
              <w:ind w:left="165" w:right="150"/>
              <w:jc w:val="center"/>
              <w:rPr>
                <w:rFonts w:ascii="Times New Roman"/>
                <w:sz w:val="21"/>
              </w:rPr>
            </w:pPr>
            <w:r>
              <w:rPr>
                <w:rFonts w:ascii="Times New Roman"/>
                <w:sz w:val="21"/>
              </w:rPr>
              <w:t>23</w:t>
            </w:r>
          </w:p>
        </w:tc>
        <w:tc>
          <w:tcPr>
            <w:tcW w:w="799" w:type="dxa"/>
          </w:tcPr>
          <w:p w14:paraId="7A74A0BA">
            <w:pPr>
              <w:pStyle w:val="14"/>
              <w:spacing w:before="131"/>
              <w:ind w:right="219"/>
              <w:jc w:val="right"/>
              <w:rPr>
                <w:rFonts w:ascii="Times New Roman"/>
                <w:sz w:val="21"/>
              </w:rPr>
            </w:pPr>
            <w:r>
              <w:rPr>
                <w:rFonts w:ascii="Times New Roman"/>
                <w:sz w:val="21"/>
              </w:rPr>
              <w:t>160</w:t>
            </w:r>
          </w:p>
        </w:tc>
      </w:tr>
      <w:tr w14:paraId="2EB08C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1941" w:type="dxa"/>
          </w:tcPr>
          <w:p w14:paraId="51E60038">
            <w:pPr>
              <w:pStyle w:val="14"/>
              <w:spacing w:before="117"/>
              <w:ind w:left="231" w:right="215"/>
              <w:jc w:val="center"/>
              <w:rPr>
                <w:rFonts w:ascii="Times New Roman" w:eastAsia="Times New Roman"/>
                <w:sz w:val="21"/>
              </w:rPr>
            </w:pPr>
            <w:r>
              <w:rPr>
                <w:sz w:val="21"/>
              </w:rPr>
              <w:t>综合处理效率</w:t>
            </w:r>
            <w:r>
              <w:rPr>
                <w:rFonts w:ascii="Times New Roman" w:eastAsia="Times New Roman"/>
                <w:sz w:val="21"/>
              </w:rPr>
              <w:t>%</w:t>
            </w:r>
          </w:p>
        </w:tc>
        <w:tc>
          <w:tcPr>
            <w:tcW w:w="1060" w:type="dxa"/>
          </w:tcPr>
          <w:p w14:paraId="7A56605B">
            <w:pPr>
              <w:pStyle w:val="14"/>
              <w:spacing w:before="133"/>
              <w:ind w:left="180" w:right="160"/>
              <w:jc w:val="center"/>
              <w:rPr>
                <w:rFonts w:ascii="Times New Roman"/>
                <w:sz w:val="21"/>
              </w:rPr>
            </w:pPr>
            <w:r>
              <w:rPr>
                <w:rFonts w:ascii="Times New Roman"/>
                <w:sz w:val="21"/>
              </w:rPr>
              <w:t>87</w:t>
            </w:r>
          </w:p>
        </w:tc>
        <w:tc>
          <w:tcPr>
            <w:tcW w:w="916" w:type="dxa"/>
          </w:tcPr>
          <w:p w14:paraId="624DE119">
            <w:pPr>
              <w:pStyle w:val="14"/>
              <w:spacing w:before="133"/>
              <w:ind w:left="172" w:right="156"/>
              <w:jc w:val="center"/>
              <w:rPr>
                <w:rFonts w:ascii="Times New Roman"/>
                <w:sz w:val="21"/>
              </w:rPr>
            </w:pPr>
            <w:r>
              <w:rPr>
                <w:rFonts w:ascii="Times New Roman"/>
                <w:sz w:val="21"/>
              </w:rPr>
              <w:t>95</w:t>
            </w:r>
          </w:p>
        </w:tc>
        <w:tc>
          <w:tcPr>
            <w:tcW w:w="798" w:type="dxa"/>
          </w:tcPr>
          <w:p w14:paraId="4DB843AD">
            <w:pPr>
              <w:pStyle w:val="14"/>
              <w:spacing w:before="133"/>
              <w:ind w:left="261" w:right="240"/>
              <w:jc w:val="center"/>
              <w:rPr>
                <w:rFonts w:ascii="Times New Roman"/>
                <w:sz w:val="21"/>
              </w:rPr>
            </w:pPr>
            <w:r>
              <w:rPr>
                <w:rFonts w:ascii="Times New Roman"/>
                <w:sz w:val="21"/>
              </w:rPr>
              <w:t>80</w:t>
            </w:r>
          </w:p>
        </w:tc>
        <w:tc>
          <w:tcPr>
            <w:tcW w:w="1007" w:type="dxa"/>
          </w:tcPr>
          <w:p w14:paraId="08ABD6EF">
            <w:pPr>
              <w:pStyle w:val="14"/>
              <w:spacing w:before="133"/>
              <w:ind w:left="178" w:right="162"/>
              <w:jc w:val="center"/>
              <w:rPr>
                <w:rFonts w:ascii="Times New Roman"/>
                <w:sz w:val="21"/>
              </w:rPr>
            </w:pPr>
            <w:r>
              <w:rPr>
                <w:rFonts w:ascii="Times New Roman"/>
                <w:sz w:val="21"/>
              </w:rPr>
              <w:t>60</w:t>
            </w:r>
          </w:p>
        </w:tc>
        <w:tc>
          <w:tcPr>
            <w:tcW w:w="1274" w:type="dxa"/>
          </w:tcPr>
          <w:p w14:paraId="65B04CDF">
            <w:pPr>
              <w:pStyle w:val="14"/>
              <w:spacing w:before="133"/>
              <w:ind w:left="194" w:right="174"/>
              <w:jc w:val="center"/>
              <w:rPr>
                <w:rFonts w:ascii="Times New Roman"/>
                <w:sz w:val="21"/>
              </w:rPr>
            </w:pPr>
            <w:r>
              <w:rPr>
                <w:rFonts w:ascii="Times New Roman"/>
                <w:sz w:val="21"/>
              </w:rPr>
              <w:t>70</w:t>
            </w:r>
          </w:p>
        </w:tc>
        <w:tc>
          <w:tcPr>
            <w:tcW w:w="799" w:type="dxa"/>
          </w:tcPr>
          <w:p w14:paraId="1C773EDC">
            <w:pPr>
              <w:pStyle w:val="14"/>
              <w:spacing w:before="133"/>
              <w:ind w:left="165" w:right="150"/>
              <w:jc w:val="center"/>
              <w:rPr>
                <w:rFonts w:ascii="Times New Roman"/>
                <w:sz w:val="21"/>
              </w:rPr>
            </w:pPr>
            <w:r>
              <w:rPr>
                <w:rFonts w:ascii="Times New Roman"/>
                <w:sz w:val="21"/>
              </w:rPr>
              <w:t>80</w:t>
            </w:r>
          </w:p>
        </w:tc>
        <w:tc>
          <w:tcPr>
            <w:tcW w:w="799" w:type="dxa"/>
          </w:tcPr>
          <w:p w14:paraId="66B4056E">
            <w:pPr>
              <w:pStyle w:val="14"/>
              <w:spacing w:before="133"/>
              <w:ind w:left="165" w:right="149"/>
              <w:jc w:val="center"/>
              <w:rPr>
                <w:rFonts w:ascii="Times New Roman"/>
                <w:sz w:val="21"/>
              </w:rPr>
            </w:pPr>
            <w:r>
              <w:rPr>
                <w:rFonts w:ascii="Times New Roman"/>
                <w:sz w:val="21"/>
              </w:rPr>
              <w:t>85</w:t>
            </w:r>
          </w:p>
        </w:tc>
      </w:tr>
      <w:tr w14:paraId="1B031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1941" w:type="dxa"/>
          </w:tcPr>
          <w:p w14:paraId="4A94F437">
            <w:pPr>
              <w:pStyle w:val="14"/>
              <w:spacing w:before="116"/>
              <w:ind w:left="231" w:right="214"/>
              <w:jc w:val="center"/>
              <w:rPr>
                <w:sz w:val="21"/>
              </w:rPr>
            </w:pPr>
            <w:r>
              <w:rPr>
                <w:sz w:val="21"/>
              </w:rPr>
              <w:t>设计出水水质</w:t>
            </w:r>
          </w:p>
        </w:tc>
        <w:tc>
          <w:tcPr>
            <w:tcW w:w="1060" w:type="dxa"/>
          </w:tcPr>
          <w:p w14:paraId="423A1146">
            <w:pPr>
              <w:pStyle w:val="14"/>
              <w:spacing w:before="133"/>
              <w:ind w:left="180" w:right="160"/>
              <w:jc w:val="center"/>
              <w:rPr>
                <w:rFonts w:ascii="Times New Roman"/>
                <w:sz w:val="21"/>
              </w:rPr>
            </w:pPr>
            <w:r>
              <w:rPr>
                <w:rFonts w:ascii="Times New Roman"/>
                <w:sz w:val="21"/>
              </w:rPr>
              <w:t>299</w:t>
            </w:r>
          </w:p>
        </w:tc>
        <w:tc>
          <w:tcPr>
            <w:tcW w:w="916" w:type="dxa"/>
          </w:tcPr>
          <w:p w14:paraId="4BDC7822">
            <w:pPr>
              <w:pStyle w:val="14"/>
              <w:spacing w:before="133"/>
              <w:ind w:left="172" w:right="156"/>
              <w:jc w:val="center"/>
              <w:rPr>
                <w:rFonts w:ascii="Times New Roman"/>
                <w:sz w:val="21"/>
              </w:rPr>
            </w:pPr>
            <w:r>
              <w:rPr>
                <w:rFonts w:ascii="Times New Roman"/>
                <w:sz w:val="21"/>
              </w:rPr>
              <w:t>50</w:t>
            </w:r>
          </w:p>
        </w:tc>
        <w:tc>
          <w:tcPr>
            <w:tcW w:w="798" w:type="dxa"/>
          </w:tcPr>
          <w:p w14:paraId="1AED3A01">
            <w:pPr>
              <w:pStyle w:val="14"/>
              <w:spacing w:before="133"/>
              <w:ind w:right="220"/>
              <w:jc w:val="right"/>
              <w:rPr>
                <w:rFonts w:ascii="Times New Roman"/>
                <w:sz w:val="21"/>
              </w:rPr>
            </w:pPr>
            <w:r>
              <w:rPr>
                <w:rFonts w:ascii="Times New Roman"/>
                <w:sz w:val="21"/>
              </w:rPr>
              <w:t>200</w:t>
            </w:r>
          </w:p>
        </w:tc>
        <w:tc>
          <w:tcPr>
            <w:tcW w:w="1007" w:type="dxa"/>
          </w:tcPr>
          <w:p w14:paraId="74FBECA5">
            <w:pPr>
              <w:pStyle w:val="14"/>
              <w:spacing w:before="133"/>
              <w:ind w:left="178" w:right="162"/>
              <w:jc w:val="center"/>
              <w:rPr>
                <w:rFonts w:ascii="Times New Roman"/>
                <w:sz w:val="21"/>
              </w:rPr>
            </w:pPr>
            <w:r>
              <w:rPr>
                <w:rFonts w:ascii="Times New Roman"/>
                <w:sz w:val="21"/>
              </w:rPr>
              <w:t>34</w:t>
            </w:r>
          </w:p>
        </w:tc>
        <w:tc>
          <w:tcPr>
            <w:tcW w:w="1274" w:type="dxa"/>
          </w:tcPr>
          <w:p w14:paraId="2FDB839E">
            <w:pPr>
              <w:pStyle w:val="14"/>
              <w:spacing w:before="133"/>
              <w:ind w:left="194" w:right="174"/>
              <w:jc w:val="center"/>
              <w:rPr>
                <w:rFonts w:ascii="Times New Roman"/>
                <w:sz w:val="21"/>
              </w:rPr>
            </w:pPr>
            <w:r>
              <w:rPr>
                <w:rFonts w:ascii="Times New Roman"/>
                <w:sz w:val="21"/>
              </w:rPr>
              <w:t>51.6</w:t>
            </w:r>
          </w:p>
        </w:tc>
        <w:tc>
          <w:tcPr>
            <w:tcW w:w="799" w:type="dxa"/>
          </w:tcPr>
          <w:p w14:paraId="2726ACCA">
            <w:pPr>
              <w:pStyle w:val="14"/>
              <w:spacing w:before="133"/>
              <w:ind w:left="165" w:right="150"/>
              <w:jc w:val="center"/>
              <w:rPr>
                <w:rFonts w:ascii="Times New Roman"/>
                <w:sz w:val="21"/>
              </w:rPr>
            </w:pPr>
            <w:r>
              <w:rPr>
                <w:rFonts w:ascii="Times New Roman"/>
                <w:sz w:val="21"/>
              </w:rPr>
              <w:t>32</w:t>
            </w:r>
          </w:p>
        </w:tc>
        <w:tc>
          <w:tcPr>
            <w:tcW w:w="799" w:type="dxa"/>
          </w:tcPr>
          <w:p w14:paraId="5763DB8A">
            <w:pPr>
              <w:pStyle w:val="14"/>
              <w:spacing w:before="133"/>
              <w:ind w:right="195"/>
              <w:jc w:val="right"/>
              <w:rPr>
                <w:rFonts w:ascii="Times New Roman"/>
                <w:sz w:val="21"/>
              </w:rPr>
            </w:pPr>
            <w:r>
              <w:rPr>
                <w:rFonts w:ascii="Times New Roman"/>
                <w:sz w:val="21"/>
              </w:rPr>
              <w:t>3.45</w:t>
            </w:r>
          </w:p>
        </w:tc>
      </w:tr>
    </w:tbl>
    <w:p w14:paraId="39C72300">
      <w:pPr>
        <w:pStyle w:val="7"/>
        <w:spacing w:before="2"/>
        <w:ind w:left="940"/>
      </w:pPr>
      <w:r>
        <w:t>本项目废水污染物产生及排放情况见表。</w:t>
      </w:r>
    </w:p>
    <w:p w14:paraId="5E1839C1">
      <w:pPr>
        <w:spacing w:before="160"/>
        <w:ind w:left="264" w:right="286" w:firstLine="0"/>
        <w:jc w:val="center"/>
        <w:rPr>
          <w:b/>
          <w:sz w:val="21"/>
        </w:rPr>
      </w:pPr>
      <w:r>
        <w:rPr>
          <w:b/>
          <w:sz w:val="21"/>
        </w:rPr>
        <w:t xml:space="preserve">表 </w:t>
      </w:r>
      <w:r>
        <w:rPr>
          <w:rFonts w:ascii="Times New Roman" w:eastAsia="Times New Roman"/>
          <w:b/>
          <w:sz w:val="21"/>
        </w:rPr>
        <w:t xml:space="preserve">3.7-17 </w:t>
      </w:r>
      <w:r>
        <w:rPr>
          <w:b/>
          <w:sz w:val="21"/>
        </w:rPr>
        <w:t>本项目运营期污水产生及排放情况一览表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9"/>
        <w:gridCol w:w="877"/>
        <w:gridCol w:w="899"/>
        <w:gridCol w:w="899"/>
        <w:gridCol w:w="899"/>
        <w:gridCol w:w="701"/>
        <w:gridCol w:w="821"/>
        <w:gridCol w:w="795"/>
        <w:gridCol w:w="692"/>
      </w:tblGrid>
      <w:tr w14:paraId="2DC06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939" w:type="dxa"/>
          </w:tcPr>
          <w:p w14:paraId="164A6C6F">
            <w:pPr>
              <w:pStyle w:val="14"/>
              <w:spacing w:before="156"/>
              <w:ind w:left="108" w:right="101"/>
              <w:jc w:val="center"/>
              <w:rPr>
                <w:b/>
                <w:sz w:val="21"/>
              </w:rPr>
            </w:pPr>
            <w:r>
              <w:rPr>
                <w:b/>
                <w:sz w:val="21"/>
              </w:rPr>
              <w:t>项目</w:t>
            </w:r>
          </w:p>
        </w:tc>
        <w:tc>
          <w:tcPr>
            <w:tcW w:w="877" w:type="dxa"/>
          </w:tcPr>
          <w:p w14:paraId="4EA8344A">
            <w:pPr>
              <w:pStyle w:val="14"/>
              <w:spacing w:before="156"/>
              <w:ind w:left="176" w:right="172"/>
              <w:jc w:val="center"/>
              <w:rPr>
                <w:b/>
                <w:sz w:val="21"/>
              </w:rPr>
            </w:pPr>
            <w:r>
              <w:rPr>
                <w:b/>
                <w:sz w:val="21"/>
              </w:rPr>
              <w:t>单位</w:t>
            </w:r>
          </w:p>
        </w:tc>
        <w:tc>
          <w:tcPr>
            <w:tcW w:w="899" w:type="dxa"/>
          </w:tcPr>
          <w:p w14:paraId="6B70F033">
            <w:pPr>
              <w:pStyle w:val="14"/>
              <w:spacing w:before="167"/>
              <w:ind w:left="86" w:right="77"/>
              <w:jc w:val="center"/>
              <w:rPr>
                <w:rFonts w:ascii="Times New Roman"/>
                <w:b/>
                <w:sz w:val="21"/>
              </w:rPr>
            </w:pPr>
            <w:r>
              <w:rPr>
                <w:rFonts w:ascii="Times New Roman"/>
                <w:b/>
                <w:position w:val="2"/>
                <w:sz w:val="21"/>
              </w:rPr>
              <w:t>COD</w:t>
            </w:r>
            <w:r>
              <w:rPr>
                <w:rFonts w:ascii="Times New Roman"/>
                <w:b/>
                <w:position w:val="2"/>
                <w:sz w:val="21"/>
                <w:vertAlign w:val="subscript"/>
              </w:rPr>
              <w:t>Cr</w:t>
            </w:r>
          </w:p>
        </w:tc>
        <w:tc>
          <w:tcPr>
            <w:tcW w:w="899" w:type="dxa"/>
          </w:tcPr>
          <w:p w14:paraId="3659D5A8">
            <w:pPr>
              <w:pStyle w:val="14"/>
              <w:spacing w:before="167"/>
              <w:ind w:left="86" w:right="77"/>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899" w:type="dxa"/>
          </w:tcPr>
          <w:p w14:paraId="3D70DCE4">
            <w:pPr>
              <w:pStyle w:val="14"/>
              <w:spacing w:before="170"/>
              <w:ind w:left="84" w:right="78"/>
              <w:jc w:val="center"/>
              <w:rPr>
                <w:rFonts w:ascii="Times New Roman"/>
                <w:b/>
                <w:sz w:val="21"/>
              </w:rPr>
            </w:pPr>
            <w:r>
              <w:rPr>
                <w:rFonts w:ascii="Times New Roman"/>
                <w:b/>
                <w:sz w:val="21"/>
              </w:rPr>
              <w:t>SS</w:t>
            </w:r>
          </w:p>
        </w:tc>
        <w:tc>
          <w:tcPr>
            <w:tcW w:w="701" w:type="dxa"/>
          </w:tcPr>
          <w:p w14:paraId="51480765">
            <w:pPr>
              <w:pStyle w:val="14"/>
              <w:spacing w:before="63" w:line="220" w:lineRule="auto"/>
              <w:ind w:left="273" w:right="93" w:hanging="149"/>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vertAlign w:val="baseline"/>
              </w:rPr>
              <w:t xml:space="preserve">- </w:t>
            </w:r>
            <w:r>
              <w:rPr>
                <w:rFonts w:ascii="Times New Roman"/>
                <w:b/>
                <w:sz w:val="21"/>
                <w:vertAlign w:val="baseline"/>
              </w:rPr>
              <w:t>N</w:t>
            </w:r>
          </w:p>
        </w:tc>
        <w:tc>
          <w:tcPr>
            <w:tcW w:w="821" w:type="dxa"/>
          </w:tcPr>
          <w:p w14:paraId="1A6E9817">
            <w:pPr>
              <w:pStyle w:val="14"/>
              <w:spacing w:before="21" w:line="270" w:lineRule="atLeast"/>
              <w:ind w:left="198" w:right="190"/>
              <w:rPr>
                <w:b/>
                <w:sz w:val="21"/>
              </w:rPr>
            </w:pPr>
            <w:r>
              <w:rPr>
                <w:b/>
                <w:sz w:val="21"/>
              </w:rPr>
              <w:t>动植物油</w:t>
            </w:r>
          </w:p>
        </w:tc>
        <w:tc>
          <w:tcPr>
            <w:tcW w:w="795" w:type="dxa"/>
          </w:tcPr>
          <w:p w14:paraId="312F9AF0">
            <w:pPr>
              <w:pStyle w:val="14"/>
              <w:spacing w:before="156"/>
              <w:ind w:left="86" w:right="79"/>
              <w:jc w:val="center"/>
              <w:rPr>
                <w:b/>
                <w:sz w:val="21"/>
              </w:rPr>
            </w:pPr>
            <w:r>
              <w:rPr>
                <w:b/>
                <w:sz w:val="21"/>
              </w:rPr>
              <w:t>总氮</w:t>
            </w:r>
          </w:p>
        </w:tc>
        <w:tc>
          <w:tcPr>
            <w:tcW w:w="692" w:type="dxa"/>
          </w:tcPr>
          <w:p w14:paraId="06EDDD59">
            <w:pPr>
              <w:pStyle w:val="14"/>
              <w:spacing w:before="156"/>
              <w:ind w:right="124"/>
              <w:jc w:val="right"/>
              <w:rPr>
                <w:b/>
                <w:sz w:val="21"/>
              </w:rPr>
            </w:pPr>
            <w:r>
              <w:rPr>
                <w:b/>
                <w:w w:val="95"/>
                <w:sz w:val="21"/>
              </w:rPr>
              <w:t>总磷</w:t>
            </w:r>
          </w:p>
        </w:tc>
      </w:tr>
      <w:tr w14:paraId="561E6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22" w:type="dxa"/>
            <w:gridSpan w:val="9"/>
          </w:tcPr>
          <w:p w14:paraId="0CDF397F">
            <w:pPr>
              <w:pStyle w:val="14"/>
              <w:spacing w:before="92"/>
              <w:ind w:left="3090" w:right="3083"/>
              <w:jc w:val="center"/>
              <w:rPr>
                <w:b/>
                <w:sz w:val="21"/>
              </w:rPr>
            </w:pPr>
            <w:r>
              <w:rPr>
                <w:b/>
                <w:sz w:val="21"/>
              </w:rPr>
              <w:t>生活污水（</w:t>
            </w:r>
            <w:r>
              <w:rPr>
                <w:rFonts w:ascii="Times New Roman" w:eastAsia="Times New Roman"/>
                <w:b/>
                <w:sz w:val="21"/>
              </w:rPr>
              <w:t>8075m</w:t>
            </w:r>
            <w:r>
              <w:rPr>
                <w:rFonts w:ascii="Times New Roman" w:eastAsia="Times New Roman"/>
                <w:b/>
                <w:position w:val="7"/>
                <w:sz w:val="13"/>
              </w:rPr>
              <w:t>3</w:t>
            </w:r>
            <w:r>
              <w:rPr>
                <w:rFonts w:ascii="Times New Roman" w:eastAsia="Times New Roman"/>
                <w:b/>
                <w:sz w:val="21"/>
              </w:rPr>
              <w:t>/a</w:t>
            </w:r>
            <w:r>
              <w:rPr>
                <w:b/>
                <w:sz w:val="21"/>
              </w:rPr>
              <w:t>）</w:t>
            </w:r>
          </w:p>
        </w:tc>
      </w:tr>
      <w:tr w14:paraId="2B264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39" w:type="dxa"/>
          </w:tcPr>
          <w:p w14:paraId="4BD37BB3">
            <w:pPr>
              <w:pStyle w:val="14"/>
              <w:spacing w:before="91"/>
              <w:ind w:left="108" w:right="101"/>
              <w:jc w:val="center"/>
              <w:rPr>
                <w:sz w:val="21"/>
              </w:rPr>
            </w:pPr>
            <w:r>
              <w:rPr>
                <w:sz w:val="21"/>
              </w:rPr>
              <w:t>产生浓度</w:t>
            </w:r>
          </w:p>
        </w:tc>
        <w:tc>
          <w:tcPr>
            <w:tcW w:w="877" w:type="dxa"/>
          </w:tcPr>
          <w:p w14:paraId="2BFE747E">
            <w:pPr>
              <w:pStyle w:val="14"/>
              <w:spacing w:before="105"/>
              <w:ind w:left="179" w:right="172"/>
              <w:jc w:val="center"/>
              <w:rPr>
                <w:rFonts w:ascii="Times New Roman"/>
                <w:sz w:val="21"/>
              </w:rPr>
            </w:pPr>
            <w:r>
              <w:rPr>
                <w:rFonts w:ascii="Times New Roman"/>
                <w:sz w:val="21"/>
              </w:rPr>
              <w:t>mg/L</w:t>
            </w:r>
          </w:p>
        </w:tc>
        <w:tc>
          <w:tcPr>
            <w:tcW w:w="899" w:type="dxa"/>
          </w:tcPr>
          <w:p w14:paraId="70CD2D03">
            <w:pPr>
              <w:pStyle w:val="14"/>
              <w:spacing w:before="105"/>
              <w:ind w:left="86" w:right="76"/>
              <w:jc w:val="center"/>
              <w:rPr>
                <w:rFonts w:ascii="Times New Roman"/>
                <w:sz w:val="21"/>
              </w:rPr>
            </w:pPr>
            <w:r>
              <w:rPr>
                <w:rFonts w:ascii="Times New Roman"/>
                <w:sz w:val="21"/>
              </w:rPr>
              <w:t>350</w:t>
            </w:r>
          </w:p>
        </w:tc>
        <w:tc>
          <w:tcPr>
            <w:tcW w:w="899" w:type="dxa"/>
          </w:tcPr>
          <w:p w14:paraId="4FCB7D28">
            <w:pPr>
              <w:pStyle w:val="14"/>
              <w:spacing w:before="105"/>
              <w:ind w:left="86" w:right="74"/>
              <w:jc w:val="center"/>
              <w:rPr>
                <w:rFonts w:ascii="Times New Roman"/>
                <w:sz w:val="21"/>
              </w:rPr>
            </w:pPr>
            <w:r>
              <w:rPr>
                <w:rFonts w:ascii="Times New Roman"/>
                <w:sz w:val="21"/>
              </w:rPr>
              <w:t>250</w:t>
            </w:r>
          </w:p>
        </w:tc>
        <w:tc>
          <w:tcPr>
            <w:tcW w:w="899" w:type="dxa"/>
          </w:tcPr>
          <w:p w14:paraId="3BE17DB2">
            <w:pPr>
              <w:pStyle w:val="14"/>
              <w:spacing w:before="105"/>
              <w:ind w:left="86" w:right="77"/>
              <w:jc w:val="center"/>
              <w:rPr>
                <w:rFonts w:ascii="Times New Roman"/>
                <w:sz w:val="21"/>
              </w:rPr>
            </w:pPr>
            <w:r>
              <w:rPr>
                <w:rFonts w:ascii="Times New Roman"/>
                <w:sz w:val="21"/>
              </w:rPr>
              <w:t>250</w:t>
            </w:r>
          </w:p>
        </w:tc>
        <w:tc>
          <w:tcPr>
            <w:tcW w:w="701" w:type="dxa"/>
          </w:tcPr>
          <w:p w14:paraId="302F4439">
            <w:pPr>
              <w:pStyle w:val="14"/>
              <w:spacing w:before="105"/>
              <w:ind w:left="91" w:right="84"/>
              <w:jc w:val="center"/>
              <w:rPr>
                <w:rFonts w:ascii="Times New Roman"/>
                <w:sz w:val="21"/>
              </w:rPr>
            </w:pPr>
            <w:r>
              <w:rPr>
                <w:rFonts w:ascii="Times New Roman"/>
                <w:sz w:val="21"/>
              </w:rPr>
              <w:t>35</w:t>
            </w:r>
          </w:p>
        </w:tc>
        <w:tc>
          <w:tcPr>
            <w:tcW w:w="821" w:type="dxa"/>
          </w:tcPr>
          <w:p w14:paraId="7F376F7E">
            <w:pPr>
              <w:pStyle w:val="14"/>
              <w:spacing w:before="105"/>
              <w:ind w:left="9"/>
              <w:jc w:val="center"/>
              <w:rPr>
                <w:rFonts w:ascii="Times New Roman"/>
                <w:sz w:val="21"/>
              </w:rPr>
            </w:pPr>
            <w:r>
              <w:rPr>
                <w:rFonts w:ascii="Times New Roman"/>
                <w:w w:val="99"/>
                <w:sz w:val="21"/>
              </w:rPr>
              <w:t>/</w:t>
            </w:r>
          </w:p>
        </w:tc>
        <w:tc>
          <w:tcPr>
            <w:tcW w:w="795" w:type="dxa"/>
          </w:tcPr>
          <w:p w14:paraId="3A18DEE1">
            <w:pPr>
              <w:pStyle w:val="14"/>
              <w:spacing w:before="105"/>
              <w:ind w:left="10"/>
              <w:jc w:val="center"/>
              <w:rPr>
                <w:rFonts w:ascii="Times New Roman"/>
                <w:sz w:val="21"/>
              </w:rPr>
            </w:pPr>
            <w:r>
              <w:rPr>
                <w:rFonts w:ascii="Times New Roman"/>
                <w:w w:val="99"/>
                <w:sz w:val="21"/>
              </w:rPr>
              <w:t>/</w:t>
            </w:r>
          </w:p>
        </w:tc>
        <w:tc>
          <w:tcPr>
            <w:tcW w:w="692" w:type="dxa"/>
          </w:tcPr>
          <w:p w14:paraId="789CE5BB">
            <w:pPr>
              <w:pStyle w:val="14"/>
              <w:spacing w:before="105"/>
              <w:ind w:left="11"/>
              <w:jc w:val="center"/>
              <w:rPr>
                <w:rFonts w:ascii="Times New Roman"/>
                <w:sz w:val="21"/>
              </w:rPr>
            </w:pPr>
            <w:r>
              <w:rPr>
                <w:rFonts w:ascii="Times New Roman"/>
                <w:w w:val="99"/>
                <w:sz w:val="21"/>
              </w:rPr>
              <w:t>/</w:t>
            </w:r>
          </w:p>
        </w:tc>
      </w:tr>
      <w:tr w14:paraId="41585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39" w:type="dxa"/>
          </w:tcPr>
          <w:p w14:paraId="02C077F7">
            <w:pPr>
              <w:pStyle w:val="14"/>
              <w:spacing w:before="90"/>
              <w:ind w:left="106" w:right="101"/>
              <w:jc w:val="center"/>
              <w:rPr>
                <w:sz w:val="21"/>
              </w:rPr>
            </w:pPr>
            <w:r>
              <w:rPr>
                <w:sz w:val="21"/>
              </w:rPr>
              <w:t>污染物产生量</w:t>
            </w:r>
          </w:p>
        </w:tc>
        <w:tc>
          <w:tcPr>
            <w:tcW w:w="877" w:type="dxa"/>
          </w:tcPr>
          <w:p w14:paraId="164033F0">
            <w:pPr>
              <w:pStyle w:val="14"/>
              <w:spacing w:before="106"/>
              <w:ind w:left="180" w:right="172"/>
              <w:jc w:val="center"/>
              <w:rPr>
                <w:rFonts w:ascii="Times New Roman"/>
                <w:sz w:val="21"/>
              </w:rPr>
            </w:pPr>
            <w:r>
              <w:rPr>
                <w:rFonts w:ascii="Times New Roman"/>
                <w:sz w:val="21"/>
              </w:rPr>
              <w:t>t/a</w:t>
            </w:r>
          </w:p>
        </w:tc>
        <w:tc>
          <w:tcPr>
            <w:tcW w:w="899" w:type="dxa"/>
          </w:tcPr>
          <w:p w14:paraId="0415180B">
            <w:pPr>
              <w:pStyle w:val="14"/>
              <w:spacing w:before="106"/>
              <w:ind w:left="85" w:right="78"/>
              <w:jc w:val="center"/>
              <w:rPr>
                <w:rFonts w:ascii="Times New Roman"/>
                <w:sz w:val="21"/>
              </w:rPr>
            </w:pPr>
            <w:r>
              <w:rPr>
                <w:rFonts w:ascii="Times New Roman"/>
                <w:sz w:val="21"/>
              </w:rPr>
              <w:t>2.36</w:t>
            </w:r>
          </w:p>
        </w:tc>
        <w:tc>
          <w:tcPr>
            <w:tcW w:w="899" w:type="dxa"/>
          </w:tcPr>
          <w:p w14:paraId="118E11BC">
            <w:pPr>
              <w:pStyle w:val="14"/>
              <w:spacing w:before="106"/>
              <w:ind w:left="85" w:right="78"/>
              <w:jc w:val="center"/>
              <w:rPr>
                <w:rFonts w:ascii="Times New Roman"/>
                <w:sz w:val="21"/>
              </w:rPr>
            </w:pPr>
            <w:r>
              <w:rPr>
                <w:rFonts w:ascii="Times New Roman"/>
                <w:sz w:val="21"/>
              </w:rPr>
              <w:t>1.68</w:t>
            </w:r>
          </w:p>
        </w:tc>
        <w:tc>
          <w:tcPr>
            <w:tcW w:w="899" w:type="dxa"/>
          </w:tcPr>
          <w:p w14:paraId="1043A352">
            <w:pPr>
              <w:pStyle w:val="14"/>
              <w:spacing w:before="106"/>
              <w:ind w:left="86" w:right="77"/>
              <w:jc w:val="center"/>
              <w:rPr>
                <w:rFonts w:ascii="Times New Roman"/>
                <w:sz w:val="21"/>
              </w:rPr>
            </w:pPr>
            <w:r>
              <w:rPr>
                <w:rFonts w:ascii="Times New Roman"/>
                <w:sz w:val="21"/>
              </w:rPr>
              <w:t>1.68</w:t>
            </w:r>
          </w:p>
        </w:tc>
        <w:tc>
          <w:tcPr>
            <w:tcW w:w="701" w:type="dxa"/>
          </w:tcPr>
          <w:p w14:paraId="7997F3F8">
            <w:pPr>
              <w:pStyle w:val="14"/>
              <w:spacing w:before="106"/>
              <w:ind w:left="91" w:right="84"/>
              <w:jc w:val="center"/>
              <w:rPr>
                <w:rFonts w:ascii="Times New Roman"/>
                <w:sz w:val="21"/>
              </w:rPr>
            </w:pPr>
            <w:r>
              <w:rPr>
                <w:rFonts w:ascii="Times New Roman"/>
                <w:sz w:val="21"/>
              </w:rPr>
              <w:t>0.24</w:t>
            </w:r>
          </w:p>
        </w:tc>
        <w:tc>
          <w:tcPr>
            <w:tcW w:w="821" w:type="dxa"/>
          </w:tcPr>
          <w:p w14:paraId="6A29EF86">
            <w:pPr>
              <w:pStyle w:val="14"/>
              <w:spacing w:before="106"/>
              <w:ind w:left="9"/>
              <w:jc w:val="center"/>
              <w:rPr>
                <w:rFonts w:ascii="Times New Roman"/>
                <w:sz w:val="21"/>
              </w:rPr>
            </w:pPr>
            <w:r>
              <w:rPr>
                <w:rFonts w:ascii="Times New Roman"/>
                <w:w w:val="99"/>
                <w:sz w:val="21"/>
              </w:rPr>
              <w:t>/</w:t>
            </w:r>
          </w:p>
        </w:tc>
        <w:tc>
          <w:tcPr>
            <w:tcW w:w="795" w:type="dxa"/>
          </w:tcPr>
          <w:p w14:paraId="730FF948">
            <w:pPr>
              <w:pStyle w:val="14"/>
              <w:spacing w:before="106"/>
              <w:ind w:left="10"/>
              <w:jc w:val="center"/>
              <w:rPr>
                <w:rFonts w:ascii="Times New Roman"/>
                <w:sz w:val="21"/>
              </w:rPr>
            </w:pPr>
            <w:r>
              <w:rPr>
                <w:rFonts w:ascii="Times New Roman"/>
                <w:w w:val="99"/>
                <w:sz w:val="21"/>
              </w:rPr>
              <w:t>/</w:t>
            </w:r>
          </w:p>
        </w:tc>
        <w:tc>
          <w:tcPr>
            <w:tcW w:w="692" w:type="dxa"/>
          </w:tcPr>
          <w:p w14:paraId="396039CF">
            <w:pPr>
              <w:pStyle w:val="14"/>
              <w:spacing w:before="106"/>
              <w:ind w:left="11"/>
              <w:jc w:val="center"/>
              <w:rPr>
                <w:rFonts w:ascii="Times New Roman"/>
                <w:sz w:val="21"/>
              </w:rPr>
            </w:pPr>
            <w:r>
              <w:rPr>
                <w:rFonts w:ascii="Times New Roman"/>
                <w:w w:val="99"/>
                <w:sz w:val="21"/>
              </w:rPr>
              <w:t>/</w:t>
            </w:r>
          </w:p>
        </w:tc>
      </w:tr>
      <w:tr w14:paraId="6540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939" w:type="dxa"/>
          </w:tcPr>
          <w:p w14:paraId="4F703B55">
            <w:pPr>
              <w:pStyle w:val="14"/>
              <w:spacing w:before="19" w:line="270" w:lineRule="atLeast"/>
              <w:ind w:left="549" w:right="225" w:hanging="317"/>
              <w:rPr>
                <w:sz w:val="21"/>
              </w:rPr>
            </w:pPr>
            <w:r>
              <w:rPr>
                <w:w w:val="95"/>
                <w:sz w:val="21"/>
              </w:rPr>
              <w:t>化粪池预处理后</w:t>
            </w:r>
            <w:r>
              <w:rPr>
                <w:sz w:val="21"/>
              </w:rPr>
              <w:t>排放浓度</w:t>
            </w:r>
          </w:p>
        </w:tc>
        <w:tc>
          <w:tcPr>
            <w:tcW w:w="877" w:type="dxa"/>
          </w:tcPr>
          <w:p w14:paraId="44591B5B">
            <w:pPr>
              <w:pStyle w:val="14"/>
              <w:spacing w:before="170"/>
              <w:ind w:left="179" w:right="172"/>
              <w:jc w:val="center"/>
              <w:rPr>
                <w:rFonts w:ascii="Times New Roman"/>
                <w:sz w:val="21"/>
              </w:rPr>
            </w:pPr>
            <w:r>
              <w:rPr>
                <w:rFonts w:ascii="Times New Roman"/>
                <w:sz w:val="21"/>
              </w:rPr>
              <w:t>mg/L</w:t>
            </w:r>
          </w:p>
        </w:tc>
        <w:tc>
          <w:tcPr>
            <w:tcW w:w="899" w:type="dxa"/>
          </w:tcPr>
          <w:p w14:paraId="1B00C916">
            <w:pPr>
              <w:pStyle w:val="14"/>
              <w:spacing w:before="170"/>
              <w:ind w:left="86" w:right="76"/>
              <w:jc w:val="center"/>
              <w:rPr>
                <w:rFonts w:ascii="Times New Roman"/>
                <w:sz w:val="21"/>
              </w:rPr>
            </w:pPr>
            <w:r>
              <w:rPr>
                <w:rFonts w:ascii="Times New Roman"/>
                <w:sz w:val="21"/>
              </w:rPr>
              <w:t>297.5</w:t>
            </w:r>
          </w:p>
        </w:tc>
        <w:tc>
          <w:tcPr>
            <w:tcW w:w="899" w:type="dxa"/>
          </w:tcPr>
          <w:p w14:paraId="22EE5CE4">
            <w:pPr>
              <w:pStyle w:val="14"/>
              <w:spacing w:before="170"/>
              <w:ind w:left="86" w:right="74"/>
              <w:jc w:val="center"/>
              <w:rPr>
                <w:rFonts w:ascii="Times New Roman"/>
                <w:sz w:val="21"/>
              </w:rPr>
            </w:pPr>
            <w:r>
              <w:rPr>
                <w:rFonts w:ascii="Times New Roman"/>
                <w:sz w:val="21"/>
              </w:rPr>
              <w:t>125</w:t>
            </w:r>
          </w:p>
        </w:tc>
        <w:tc>
          <w:tcPr>
            <w:tcW w:w="899" w:type="dxa"/>
          </w:tcPr>
          <w:p w14:paraId="1226224A">
            <w:pPr>
              <w:pStyle w:val="14"/>
              <w:spacing w:before="170"/>
              <w:ind w:left="86" w:right="77"/>
              <w:jc w:val="center"/>
              <w:rPr>
                <w:rFonts w:ascii="Times New Roman"/>
                <w:sz w:val="21"/>
              </w:rPr>
            </w:pPr>
            <w:r>
              <w:rPr>
                <w:rFonts w:ascii="Times New Roman"/>
                <w:sz w:val="21"/>
              </w:rPr>
              <w:t>100</w:t>
            </w:r>
          </w:p>
        </w:tc>
        <w:tc>
          <w:tcPr>
            <w:tcW w:w="701" w:type="dxa"/>
          </w:tcPr>
          <w:p w14:paraId="18C00BF3">
            <w:pPr>
              <w:pStyle w:val="14"/>
              <w:spacing w:before="170"/>
              <w:ind w:left="91" w:right="84"/>
              <w:jc w:val="center"/>
              <w:rPr>
                <w:rFonts w:ascii="Times New Roman"/>
                <w:sz w:val="21"/>
              </w:rPr>
            </w:pPr>
            <w:r>
              <w:rPr>
                <w:rFonts w:ascii="Times New Roman"/>
                <w:sz w:val="21"/>
              </w:rPr>
              <w:t>32.2</w:t>
            </w:r>
          </w:p>
        </w:tc>
        <w:tc>
          <w:tcPr>
            <w:tcW w:w="821" w:type="dxa"/>
          </w:tcPr>
          <w:p w14:paraId="7012F632">
            <w:pPr>
              <w:pStyle w:val="14"/>
              <w:spacing w:before="170"/>
              <w:ind w:left="9"/>
              <w:jc w:val="center"/>
              <w:rPr>
                <w:rFonts w:ascii="Times New Roman"/>
                <w:sz w:val="21"/>
              </w:rPr>
            </w:pPr>
            <w:r>
              <w:rPr>
                <w:rFonts w:ascii="Times New Roman"/>
                <w:w w:val="99"/>
                <w:sz w:val="21"/>
              </w:rPr>
              <w:t>/</w:t>
            </w:r>
          </w:p>
        </w:tc>
        <w:tc>
          <w:tcPr>
            <w:tcW w:w="795" w:type="dxa"/>
          </w:tcPr>
          <w:p w14:paraId="599ABD86">
            <w:pPr>
              <w:pStyle w:val="14"/>
              <w:spacing w:before="170"/>
              <w:ind w:left="10"/>
              <w:jc w:val="center"/>
              <w:rPr>
                <w:rFonts w:ascii="Times New Roman"/>
                <w:sz w:val="21"/>
              </w:rPr>
            </w:pPr>
            <w:r>
              <w:rPr>
                <w:rFonts w:ascii="Times New Roman"/>
                <w:w w:val="99"/>
                <w:sz w:val="21"/>
              </w:rPr>
              <w:t>/</w:t>
            </w:r>
          </w:p>
        </w:tc>
        <w:tc>
          <w:tcPr>
            <w:tcW w:w="692" w:type="dxa"/>
          </w:tcPr>
          <w:p w14:paraId="2B382DB1">
            <w:pPr>
              <w:pStyle w:val="14"/>
              <w:spacing w:before="170"/>
              <w:ind w:left="11"/>
              <w:jc w:val="center"/>
              <w:rPr>
                <w:rFonts w:ascii="Times New Roman"/>
                <w:sz w:val="21"/>
              </w:rPr>
            </w:pPr>
            <w:r>
              <w:rPr>
                <w:rFonts w:ascii="Times New Roman"/>
                <w:w w:val="99"/>
                <w:sz w:val="21"/>
              </w:rPr>
              <w:t>/</w:t>
            </w:r>
          </w:p>
        </w:tc>
      </w:tr>
      <w:tr w14:paraId="5AF03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939" w:type="dxa"/>
          </w:tcPr>
          <w:p w14:paraId="367E76E4">
            <w:pPr>
              <w:pStyle w:val="14"/>
              <w:spacing w:before="20" w:line="242" w:lineRule="auto"/>
              <w:ind w:left="758" w:right="119" w:hanging="629"/>
              <w:rPr>
                <w:sz w:val="21"/>
              </w:rPr>
            </w:pPr>
            <w:r>
              <w:rPr>
                <w:w w:val="95"/>
                <w:sz w:val="21"/>
              </w:rPr>
              <w:t>生活污水污染物排</w:t>
            </w:r>
            <w:r>
              <w:rPr>
                <w:sz w:val="21"/>
              </w:rPr>
              <w:t>放量</w:t>
            </w:r>
          </w:p>
        </w:tc>
        <w:tc>
          <w:tcPr>
            <w:tcW w:w="877" w:type="dxa"/>
          </w:tcPr>
          <w:p w14:paraId="4F8FC3AD">
            <w:pPr>
              <w:pStyle w:val="14"/>
              <w:spacing w:before="171"/>
              <w:ind w:left="180" w:right="172"/>
              <w:jc w:val="center"/>
              <w:rPr>
                <w:rFonts w:ascii="Times New Roman"/>
                <w:sz w:val="21"/>
              </w:rPr>
            </w:pPr>
            <w:r>
              <w:rPr>
                <w:rFonts w:ascii="Times New Roman"/>
                <w:sz w:val="21"/>
              </w:rPr>
              <w:t>t/a</w:t>
            </w:r>
          </w:p>
        </w:tc>
        <w:tc>
          <w:tcPr>
            <w:tcW w:w="899" w:type="dxa"/>
          </w:tcPr>
          <w:p w14:paraId="031BDB91">
            <w:pPr>
              <w:pStyle w:val="14"/>
              <w:spacing w:before="171"/>
              <w:ind w:left="10"/>
              <w:jc w:val="center"/>
              <w:rPr>
                <w:rFonts w:ascii="Times New Roman"/>
                <w:sz w:val="21"/>
              </w:rPr>
            </w:pPr>
            <w:r>
              <w:rPr>
                <w:rFonts w:ascii="Times New Roman"/>
                <w:w w:val="99"/>
                <w:sz w:val="21"/>
              </w:rPr>
              <w:t>2</w:t>
            </w:r>
          </w:p>
        </w:tc>
        <w:tc>
          <w:tcPr>
            <w:tcW w:w="899" w:type="dxa"/>
          </w:tcPr>
          <w:p w14:paraId="3E7BABD4">
            <w:pPr>
              <w:pStyle w:val="14"/>
              <w:spacing w:before="171"/>
              <w:ind w:left="85" w:right="78"/>
              <w:jc w:val="center"/>
              <w:rPr>
                <w:rFonts w:ascii="Times New Roman"/>
                <w:sz w:val="21"/>
              </w:rPr>
            </w:pPr>
            <w:r>
              <w:rPr>
                <w:rFonts w:ascii="Times New Roman"/>
                <w:sz w:val="21"/>
              </w:rPr>
              <w:t>0.84</w:t>
            </w:r>
          </w:p>
        </w:tc>
        <w:tc>
          <w:tcPr>
            <w:tcW w:w="899" w:type="dxa"/>
          </w:tcPr>
          <w:p w14:paraId="23EEC860">
            <w:pPr>
              <w:pStyle w:val="14"/>
              <w:spacing w:before="171"/>
              <w:ind w:left="85" w:right="78"/>
              <w:jc w:val="center"/>
              <w:rPr>
                <w:rFonts w:ascii="Times New Roman"/>
                <w:sz w:val="21"/>
              </w:rPr>
            </w:pPr>
            <w:r>
              <w:rPr>
                <w:rFonts w:ascii="Times New Roman"/>
                <w:sz w:val="21"/>
              </w:rPr>
              <w:t>0.67</w:t>
            </w:r>
          </w:p>
        </w:tc>
        <w:tc>
          <w:tcPr>
            <w:tcW w:w="701" w:type="dxa"/>
          </w:tcPr>
          <w:p w14:paraId="1798EA5B">
            <w:pPr>
              <w:pStyle w:val="14"/>
              <w:spacing w:before="171"/>
              <w:ind w:left="91" w:right="84"/>
              <w:jc w:val="center"/>
              <w:rPr>
                <w:rFonts w:ascii="Times New Roman"/>
                <w:sz w:val="21"/>
              </w:rPr>
            </w:pPr>
            <w:r>
              <w:rPr>
                <w:rFonts w:ascii="Times New Roman"/>
                <w:sz w:val="21"/>
              </w:rPr>
              <w:t>0.22</w:t>
            </w:r>
          </w:p>
        </w:tc>
        <w:tc>
          <w:tcPr>
            <w:tcW w:w="821" w:type="dxa"/>
          </w:tcPr>
          <w:p w14:paraId="246C4432">
            <w:pPr>
              <w:pStyle w:val="14"/>
              <w:spacing w:before="171"/>
              <w:ind w:left="9"/>
              <w:jc w:val="center"/>
              <w:rPr>
                <w:rFonts w:ascii="Times New Roman"/>
                <w:sz w:val="21"/>
              </w:rPr>
            </w:pPr>
            <w:r>
              <w:rPr>
                <w:rFonts w:ascii="Times New Roman"/>
                <w:w w:val="99"/>
                <w:sz w:val="21"/>
              </w:rPr>
              <w:t>/</w:t>
            </w:r>
          </w:p>
        </w:tc>
        <w:tc>
          <w:tcPr>
            <w:tcW w:w="795" w:type="dxa"/>
          </w:tcPr>
          <w:p w14:paraId="5044AA4F">
            <w:pPr>
              <w:pStyle w:val="14"/>
              <w:spacing w:before="171"/>
              <w:ind w:left="10"/>
              <w:jc w:val="center"/>
              <w:rPr>
                <w:rFonts w:ascii="Times New Roman"/>
                <w:sz w:val="21"/>
              </w:rPr>
            </w:pPr>
            <w:r>
              <w:rPr>
                <w:rFonts w:ascii="Times New Roman"/>
                <w:w w:val="99"/>
                <w:sz w:val="21"/>
              </w:rPr>
              <w:t>/</w:t>
            </w:r>
          </w:p>
        </w:tc>
        <w:tc>
          <w:tcPr>
            <w:tcW w:w="692" w:type="dxa"/>
          </w:tcPr>
          <w:p w14:paraId="330B1284">
            <w:pPr>
              <w:pStyle w:val="14"/>
              <w:spacing w:before="171"/>
              <w:ind w:left="11"/>
              <w:jc w:val="center"/>
              <w:rPr>
                <w:rFonts w:ascii="Times New Roman"/>
                <w:sz w:val="21"/>
              </w:rPr>
            </w:pPr>
            <w:r>
              <w:rPr>
                <w:rFonts w:ascii="Times New Roman"/>
                <w:w w:val="99"/>
                <w:sz w:val="21"/>
              </w:rPr>
              <w:t>/</w:t>
            </w:r>
          </w:p>
        </w:tc>
      </w:tr>
      <w:tr w14:paraId="75282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9"/>
          </w:tcPr>
          <w:p w14:paraId="205BBB4E">
            <w:pPr>
              <w:pStyle w:val="14"/>
              <w:spacing w:before="90"/>
              <w:ind w:left="3090" w:right="3083"/>
              <w:jc w:val="center"/>
              <w:rPr>
                <w:b/>
                <w:sz w:val="21"/>
              </w:rPr>
            </w:pPr>
            <w:r>
              <w:rPr>
                <w:b/>
                <w:color w:val="3E3E3E"/>
                <w:sz w:val="21"/>
              </w:rPr>
              <w:t>生产废水（</w:t>
            </w:r>
            <w:r>
              <w:rPr>
                <w:rFonts w:ascii="Times New Roman" w:eastAsia="Times New Roman"/>
                <w:b/>
                <w:color w:val="3E3E3E"/>
                <w:sz w:val="21"/>
              </w:rPr>
              <w:t>226000m</w:t>
            </w:r>
            <w:r>
              <w:rPr>
                <w:rFonts w:ascii="Times New Roman" w:eastAsia="Times New Roman"/>
                <w:b/>
                <w:color w:val="3E3E3E"/>
                <w:position w:val="7"/>
                <w:sz w:val="13"/>
              </w:rPr>
              <w:t>3</w:t>
            </w:r>
            <w:r>
              <w:rPr>
                <w:rFonts w:ascii="Times New Roman" w:eastAsia="Times New Roman"/>
                <w:b/>
                <w:color w:val="3E3E3E"/>
                <w:sz w:val="21"/>
              </w:rPr>
              <w:t>/a</w:t>
            </w:r>
            <w:r>
              <w:rPr>
                <w:b/>
                <w:color w:val="3E3E3E"/>
                <w:sz w:val="21"/>
              </w:rPr>
              <w:t>）</w:t>
            </w:r>
          </w:p>
        </w:tc>
      </w:tr>
      <w:tr w14:paraId="22F44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39" w:type="dxa"/>
          </w:tcPr>
          <w:p w14:paraId="2B448EB1">
            <w:pPr>
              <w:pStyle w:val="14"/>
              <w:spacing w:before="89"/>
              <w:ind w:left="108" w:right="101"/>
              <w:jc w:val="center"/>
              <w:rPr>
                <w:sz w:val="21"/>
              </w:rPr>
            </w:pPr>
            <w:r>
              <w:rPr>
                <w:sz w:val="21"/>
              </w:rPr>
              <w:t>产生浓度</w:t>
            </w:r>
          </w:p>
        </w:tc>
        <w:tc>
          <w:tcPr>
            <w:tcW w:w="877" w:type="dxa"/>
          </w:tcPr>
          <w:p w14:paraId="34F74E22">
            <w:pPr>
              <w:pStyle w:val="14"/>
              <w:spacing w:before="105"/>
              <w:ind w:left="179" w:right="172"/>
              <w:jc w:val="center"/>
              <w:rPr>
                <w:rFonts w:ascii="Times New Roman"/>
                <w:sz w:val="21"/>
              </w:rPr>
            </w:pPr>
            <w:r>
              <w:rPr>
                <w:rFonts w:ascii="Times New Roman"/>
                <w:sz w:val="21"/>
              </w:rPr>
              <w:t>mg/L</w:t>
            </w:r>
          </w:p>
        </w:tc>
        <w:tc>
          <w:tcPr>
            <w:tcW w:w="899" w:type="dxa"/>
          </w:tcPr>
          <w:p w14:paraId="1343D021">
            <w:pPr>
              <w:pStyle w:val="14"/>
              <w:spacing w:before="105"/>
              <w:ind w:left="85" w:right="78"/>
              <w:jc w:val="center"/>
              <w:rPr>
                <w:rFonts w:ascii="Times New Roman"/>
                <w:sz w:val="21"/>
              </w:rPr>
            </w:pPr>
            <w:r>
              <w:rPr>
                <w:rFonts w:ascii="Times New Roman"/>
                <w:sz w:val="21"/>
              </w:rPr>
              <w:t>2300.00</w:t>
            </w:r>
          </w:p>
        </w:tc>
        <w:tc>
          <w:tcPr>
            <w:tcW w:w="899" w:type="dxa"/>
          </w:tcPr>
          <w:p w14:paraId="56FCD938">
            <w:pPr>
              <w:pStyle w:val="14"/>
              <w:spacing w:before="105"/>
              <w:ind w:left="86" w:right="77"/>
              <w:jc w:val="center"/>
              <w:rPr>
                <w:rFonts w:ascii="Times New Roman"/>
                <w:sz w:val="21"/>
              </w:rPr>
            </w:pPr>
            <w:r>
              <w:rPr>
                <w:rFonts w:ascii="Times New Roman"/>
                <w:sz w:val="21"/>
              </w:rPr>
              <w:t>1000.00</w:t>
            </w:r>
          </w:p>
        </w:tc>
        <w:tc>
          <w:tcPr>
            <w:tcW w:w="899" w:type="dxa"/>
          </w:tcPr>
          <w:p w14:paraId="3FCF5F5F">
            <w:pPr>
              <w:pStyle w:val="14"/>
              <w:spacing w:before="105"/>
              <w:ind w:left="85" w:right="78"/>
              <w:jc w:val="center"/>
              <w:rPr>
                <w:rFonts w:ascii="Times New Roman"/>
                <w:sz w:val="21"/>
              </w:rPr>
            </w:pPr>
            <w:r>
              <w:rPr>
                <w:rFonts w:ascii="Times New Roman"/>
                <w:sz w:val="21"/>
              </w:rPr>
              <w:t>1000.00</w:t>
            </w:r>
          </w:p>
        </w:tc>
        <w:tc>
          <w:tcPr>
            <w:tcW w:w="701" w:type="dxa"/>
          </w:tcPr>
          <w:p w14:paraId="295BBB30">
            <w:pPr>
              <w:pStyle w:val="14"/>
              <w:spacing w:before="105"/>
              <w:ind w:left="94" w:right="84"/>
              <w:jc w:val="center"/>
              <w:rPr>
                <w:rFonts w:ascii="Times New Roman"/>
                <w:sz w:val="21"/>
              </w:rPr>
            </w:pPr>
            <w:r>
              <w:rPr>
                <w:rFonts w:ascii="Times New Roman"/>
                <w:sz w:val="21"/>
              </w:rPr>
              <w:t>85.00</w:t>
            </w:r>
          </w:p>
        </w:tc>
        <w:tc>
          <w:tcPr>
            <w:tcW w:w="821" w:type="dxa"/>
          </w:tcPr>
          <w:p w14:paraId="1CDBC13C">
            <w:pPr>
              <w:pStyle w:val="14"/>
              <w:spacing w:before="105"/>
              <w:ind w:left="101" w:right="92"/>
              <w:jc w:val="center"/>
              <w:rPr>
                <w:rFonts w:ascii="Times New Roman"/>
                <w:sz w:val="21"/>
              </w:rPr>
            </w:pPr>
            <w:r>
              <w:rPr>
                <w:rFonts w:ascii="Times New Roman"/>
                <w:sz w:val="21"/>
              </w:rPr>
              <w:t>172.00</w:t>
            </w:r>
          </w:p>
        </w:tc>
        <w:tc>
          <w:tcPr>
            <w:tcW w:w="795" w:type="dxa"/>
          </w:tcPr>
          <w:p w14:paraId="668C0638">
            <w:pPr>
              <w:pStyle w:val="14"/>
              <w:spacing w:before="105"/>
              <w:ind w:left="86" w:right="80"/>
              <w:jc w:val="center"/>
              <w:rPr>
                <w:rFonts w:ascii="Times New Roman"/>
                <w:sz w:val="21"/>
              </w:rPr>
            </w:pPr>
            <w:r>
              <w:rPr>
                <w:rFonts w:ascii="Times New Roman"/>
                <w:sz w:val="21"/>
              </w:rPr>
              <w:t>160.00</w:t>
            </w:r>
          </w:p>
        </w:tc>
        <w:tc>
          <w:tcPr>
            <w:tcW w:w="692" w:type="dxa"/>
          </w:tcPr>
          <w:p w14:paraId="67F1B8A7">
            <w:pPr>
              <w:pStyle w:val="14"/>
              <w:spacing w:before="105"/>
              <w:ind w:right="96"/>
              <w:jc w:val="right"/>
              <w:rPr>
                <w:rFonts w:ascii="Times New Roman"/>
                <w:sz w:val="21"/>
              </w:rPr>
            </w:pPr>
            <w:r>
              <w:rPr>
                <w:rFonts w:ascii="Times New Roman"/>
                <w:sz w:val="21"/>
              </w:rPr>
              <w:t>23.00</w:t>
            </w:r>
          </w:p>
        </w:tc>
      </w:tr>
      <w:tr w14:paraId="5E7B8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39" w:type="dxa"/>
          </w:tcPr>
          <w:p w14:paraId="0986FC9E">
            <w:pPr>
              <w:pStyle w:val="14"/>
              <w:spacing w:before="91"/>
              <w:ind w:left="106" w:right="101"/>
              <w:jc w:val="center"/>
              <w:rPr>
                <w:sz w:val="21"/>
              </w:rPr>
            </w:pPr>
            <w:r>
              <w:rPr>
                <w:sz w:val="21"/>
              </w:rPr>
              <w:t>污染物产生量</w:t>
            </w:r>
          </w:p>
        </w:tc>
        <w:tc>
          <w:tcPr>
            <w:tcW w:w="877" w:type="dxa"/>
          </w:tcPr>
          <w:p w14:paraId="360A9FAF">
            <w:pPr>
              <w:pStyle w:val="14"/>
              <w:spacing w:before="104"/>
              <w:ind w:left="180" w:right="172"/>
              <w:jc w:val="center"/>
              <w:rPr>
                <w:rFonts w:ascii="Times New Roman"/>
                <w:sz w:val="21"/>
              </w:rPr>
            </w:pPr>
            <w:r>
              <w:rPr>
                <w:rFonts w:ascii="Times New Roman"/>
                <w:sz w:val="21"/>
              </w:rPr>
              <w:t>t/a</w:t>
            </w:r>
          </w:p>
        </w:tc>
        <w:tc>
          <w:tcPr>
            <w:tcW w:w="899" w:type="dxa"/>
          </w:tcPr>
          <w:p w14:paraId="5041713A">
            <w:pPr>
              <w:pStyle w:val="14"/>
              <w:spacing w:before="104"/>
              <w:ind w:left="86" w:right="76"/>
              <w:jc w:val="center"/>
              <w:rPr>
                <w:rFonts w:ascii="Times New Roman"/>
                <w:sz w:val="21"/>
              </w:rPr>
            </w:pPr>
            <w:r>
              <w:rPr>
                <w:rFonts w:ascii="Times New Roman"/>
                <w:sz w:val="21"/>
              </w:rPr>
              <w:t>519.8</w:t>
            </w:r>
          </w:p>
        </w:tc>
        <w:tc>
          <w:tcPr>
            <w:tcW w:w="899" w:type="dxa"/>
          </w:tcPr>
          <w:p w14:paraId="183192C9">
            <w:pPr>
              <w:pStyle w:val="14"/>
              <w:spacing w:before="104"/>
              <w:ind w:left="86" w:right="74"/>
              <w:jc w:val="center"/>
              <w:rPr>
                <w:rFonts w:ascii="Times New Roman"/>
                <w:sz w:val="21"/>
              </w:rPr>
            </w:pPr>
            <w:r>
              <w:rPr>
                <w:rFonts w:ascii="Times New Roman"/>
                <w:sz w:val="21"/>
              </w:rPr>
              <w:t>226</w:t>
            </w:r>
          </w:p>
        </w:tc>
        <w:tc>
          <w:tcPr>
            <w:tcW w:w="899" w:type="dxa"/>
          </w:tcPr>
          <w:p w14:paraId="70A538A5">
            <w:pPr>
              <w:pStyle w:val="14"/>
              <w:spacing w:before="104"/>
              <w:ind w:left="86" w:right="77"/>
              <w:jc w:val="center"/>
              <w:rPr>
                <w:rFonts w:ascii="Times New Roman"/>
                <w:sz w:val="21"/>
              </w:rPr>
            </w:pPr>
            <w:r>
              <w:rPr>
                <w:rFonts w:ascii="Times New Roman"/>
                <w:sz w:val="21"/>
              </w:rPr>
              <w:t>226</w:t>
            </w:r>
          </w:p>
        </w:tc>
        <w:tc>
          <w:tcPr>
            <w:tcW w:w="701" w:type="dxa"/>
          </w:tcPr>
          <w:p w14:paraId="40335D06">
            <w:pPr>
              <w:pStyle w:val="14"/>
              <w:spacing w:before="104"/>
              <w:ind w:left="91" w:right="84"/>
              <w:jc w:val="center"/>
              <w:rPr>
                <w:rFonts w:ascii="Times New Roman"/>
                <w:sz w:val="21"/>
              </w:rPr>
            </w:pPr>
            <w:r>
              <w:rPr>
                <w:rFonts w:ascii="Times New Roman"/>
                <w:sz w:val="21"/>
              </w:rPr>
              <w:t>19.2</w:t>
            </w:r>
          </w:p>
        </w:tc>
        <w:tc>
          <w:tcPr>
            <w:tcW w:w="821" w:type="dxa"/>
          </w:tcPr>
          <w:p w14:paraId="44933AEC">
            <w:pPr>
              <w:pStyle w:val="14"/>
              <w:spacing w:before="104"/>
              <w:ind w:left="99" w:right="92"/>
              <w:jc w:val="center"/>
              <w:rPr>
                <w:rFonts w:ascii="Times New Roman"/>
                <w:sz w:val="21"/>
              </w:rPr>
            </w:pPr>
            <w:r>
              <w:rPr>
                <w:rFonts w:ascii="Times New Roman"/>
                <w:sz w:val="21"/>
              </w:rPr>
              <w:t>38.9</w:t>
            </w:r>
          </w:p>
        </w:tc>
        <w:tc>
          <w:tcPr>
            <w:tcW w:w="795" w:type="dxa"/>
          </w:tcPr>
          <w:p w14:paraId="6A949EAD">
            <w:pPr>
              <w:pStyle w:val="14"/>
              <w:spacing w:before="104"/>
              <w:ind w:left="86" w:right="77"/>
              <w:jc w:val="center"/>
              <w:rPr>
                <w:rFonts w:ascii="Times New Roman"/>
                <w:sz w:val="21"/>
              </w:rPr>
            </w:pPr>
            <w:r>
              <w:rPr>
                <w:rFonts w:ascii="Times New Roman"/>
                <w:sz w:val="21"/>
              </w:rPr>
              <w:t>36.2</w:t>
            </w:r>
          </w:p>
        </w:tc>
        <w:tc>
          <w:tcPr>
            <w:tcW w:w="692" w:type="dxa"/>
          </w:tcPr>
          <w:p w14:paraId="5C99DAF5">
            <w:pPr>
              <w:pStyle w:val="14"/>
              <w:spacing w:before="104"/>
              <w:ind w:left="214"/>
              <w:rPr>
                <w:rFonts w:ascii="Times New Roman"/>
                <w:sz w:val="21"/>
              </w:rPr>
            </w:pPr>
            <w:r>
              <w:rPr>
                <w:rFonts w:ascii="Times New Roman"/>
                <w:sz w:val="21"/>
              </w:rPr>
              <w:t>5.2</w:t>
            </w:r>
          </w:p>
        </w:tc>
      </w:tr>
      <w:tr w14:paraId="2277B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522" w:type="dxa"/>
            <w:gridSpan w:val="9"/>
          </w:tcPr>
          <w:p w14:paraId="66624863">
            <w:pPr>
              <w:pStyle w:val="14"/>
              <w:spacing w:before="89"/>
              <w:ind w:left="2584"/>
              <w:rPr>
                <w:sz w:val="21"/>
              </w:rPr>
            </w:pPr>
            <w:r>
              <w:rPr>
                <w:b/>
                <w:position w:val="1"/>
                <w:sz w:val="21"/>
              </w:rPr>
              <w:t>污水处理站外排尾水（</w:t>
            </w:r>
            <w:r>
              <w:rPr>
                <w:rFonts w:ascii="Times New Roman" w:eastAsia="Times New Roman"/>
                <w:b/>
                <w:color w:val="3E3E3E"/>
                <w:position w:val="1"/>
                <w:sz w:val="21"/>
              </w:rPr>
              <w:t>190074m</w:t>
            </w:r>
            <w:r>
              <w:rPr>
                <w:rFonts w:ascii="Times New Roman" w:eastAsia="Times New Roman"/>
                <w:b/>
                <w:color w:val="3E3E3E"/>
                <w:position w:val="8"/>
                <w:sz w:val="13"/>
              </w:rPr>
              <w:t>3</w:t>
            </w:r>
            <w:r>
              <w:rPr>
                <w:rFonts w:ascii="Times New Roman" w:eastAsia="Times New Roman"/>
                <w:b/>
                <w:color w:val="3E3E3E"/>
                <w:position w:val="1"/>
                <w:sz w:val="21"/>
              </w:rPr>
              <w:t>/a</w:t>
            </w:r>
            <w:r>
              <w:rPr>
                <w:sz w:val="21"/>
              </w:rPr>
              <w:t>）</w:t>
            </w:r>
          </w:p>
        </w:tc>
      </w:tr>
      <w:tr w14:paraId="3AD69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939" w:type="dxa"/>
          </w:tcPr>
          <w:p w14:paraId="63172C9A">
            <w:pPr>
              <w:pStyle w:val="14"/>
              <w:spacing w:before="18" w:line="270" w:lineRule="atLeast"/>
              <w:ind w:left="777" w:right="119" w:hanging="648"/>
              <w:rPr>
                <w:rFonts w:ascii="Times New Roman" w:eastAsia="Times New Roman"/>
                <w:sz w:val="21"/>
              </w:rPr>
            </w:pPr>
            <w:r>
              <w:rPr>
                <w:w w:val="95"/>
                <w:sz w:val="21"/>
              </w:rPr>
              <w:t>污水处理站处理效</w:t>
            </w:r>
            <w:r>
              <w:rPr>
                <w:sz w:val="21"/>
              </w:rPr>
              <w:t>率</w:t>
            </w:r>
            <w:r>
              <w:rPr>
                <w:rFonts w:ascii="Times New Roman" w:eastAsia="Times New Roman"/>
                <w:sz w:val="21"/>
              </w:rPr>
              <w:t>%</w:t>
            </w:r>
          </w:p>
        </w:tc>
        <w:tc>
          <w:tcPr>
            <w:tcW w:w="877" w:type="dxa"/>
          </w:tcPr>
          <w:p w14:paraId="01E17615">
            <w:pPr>
              <w:pStyle w:val="14"/>
              <w:spacing w:before="19"/>
              <w:ind w:left="122"/>
              <w:rPr>
                <w:sz w:val="21"/>
              </w:rPr>
            </w:pPr>
            <w:r>
              <w:rPr>
                <w:w w:val="95"/>
                <w:sz w:val="21"/>
              </w:rPr>
              <w:t>去除率</w:t>
            </w:r>
          </w:p>
          <w:p w14:paraId="0529BFB6">
            <w:pPr>
              <w:pStyle w:val="14"/>
              <w:spacing w:before="5"/>
              <w:ind w:left="141"/>
              <w:rPr>
                <w:sz w:val="21"/>
              </w:rPr>
            </w:pPr>
            <w:r>
              <w:rPr>
                <w:sz w:val="21"/>
              </w:rPr>
              <w:t>（</w:t>
            </w:r>
            <w:r>
              <w:rPr>
                <w:rFonts w:ascii="Times New Roman" w:eastAsia="Times New Roman"/>
                <w:sz w:val="21"/>
              </w:rPr>
              <w:t>%</w:t>
            </w:r>
            <w:r>
              <w:rPr>
                <w:sz w:val="21"/>
              </w:rPr>
              <w:t>）</w:t>
            </w:r>
          </w:p>
        </w:tc>
        <w:tc>
          <w:tcPr>
            <w:tcW w:w="899" w:type="dxa"/>
          </w:tcPr>
          <w:p w14:paraId="1A8033E6">
            <w:pPr>
              <w:pStyle w:val="14"/>
              <w:spacing w:before="170"/>
              <w:ind w:left="86" w:right="76"/>
              <w:jc w:val="center"/>
              <w:rPr>
                <w:rFonts w:ascii="Times New Roman"/>
                <w:sz w:val="21"/>
              </w:rPr>
            </w:pPr>
            <w:r>
              <w:rPr>
                <w:rFonts w:ascii="Times New Roman"/>
                <w:sz w:val="21"/>
              </w:rPr>
              <w:t>87</w:t>
            </w:r>
          </w:p>
        </w:tc>
        <w:tc>
          <w:tcPr>
            <w:tcW w:w="899" w:type="dxa"/>
          </w:tcPr>
          <w:p w14:paraId="6830A223">
            <w:pPr>
              <w:pStyle w:val="14"/>
              <w:spacing w:before="170"/>
              <w:ind w:left="85" w:right="78"/>
              <w:jc w:val="center"/>
              <w:rPr>
                <w:rFonts w:ascii="Times New Roman"/>
                <w:sz w:val="21"/>
              </w:rPr>
            </w:pPr>
            <w:r>
              <w:rPr>
                <w:rFonts w:ascii="Times New Roman"/>
                <w:sz w:val="21"/>
              </w:rPr>
              <w:t>95</w:t>
            </w:r>
          </w:p>
        </w:tc>
        <w:tc>
          <w:tcPr>
            <w:tcW w:w="899" w:type="dxa"/>
          </w:tcPr>
          <w:p w14:paraId="4141B43E">
            <w:pPr>
              <w:pStyle w:val="14"/>
              <w:spacing w:before="170"/>
              <w:ind w:left="86" w:right="77"/>
              <w:jc w:val="center"/>
              <w:rPr>
                <w:rFonts w:ascii="Times New Roman"/>
                <w:sz w:val="21"/>
              </w:rPr>
            </w:pPr>
            <w:r>
              <w:rPr>
                <w:rFonts w:ascii="Times New Roman"/>
                <w:sz w:val="21"/>
              </w:rPr>
              <w:t>80</w:t>
            </w:r>
          </w:p>
        </w:tc>
        <w:tc>
          <w:tcPr>
            <w:tcW w:w="701" w:type="dxa"/>
          </w:tcPr>
          <w:p w14:paraId="7D46266D">
            <w:pPr>
              <w:pStyle w:val="14"/>
              <w:spacing w:before="170"/>
              <w:ind w:left="91" w:right="84"/>
              <w:jc w:val="center"/>
              <w:rPr>
                <w:rFonts w:ascii="Times New Roman"/>
                <w:sz w:val="21"/>
              </w:rPr>
            </w:pPr>
            <w:r>
              <w:rPr>
                <w:rFonts w:ascii="Times New Roman"/>
                <w:sz w:val="21"/>
              </w:rPr>
              <w:t>60</w:t>
            </w:r>
          </w:p>
        </w:tc>
        <w:tc>
          <w:tcPr>
            <w:tcW w:w="821" w:type="dxa"/>
          </w:tcPr>
          <w:p w14:paraId="6BAB32FE">
            <w:pPr>
              <w:pStyle w:val="14"/>
              <w:spacing w:before="170"/>
              <w:ind w:left="99" w:right="92"/>
              <w:jc w:val="center"/>
              <w:rPr>
                <w:rFonts w:ascii="Times New Roman"/>
                <w:sz w:val="21"/>
              </w:rPr>
            </w:pPr>
            <w:r>
              <w:rPr>
                <w:rFonts w:ascii="Times New Roman"/>
                <w:sz w:val="21"/>
              </w:rPr>
              <w:t>70</w:t>
            </w:r>
          </w:p>
        </w:tc>
        <w:tc>
          <w:tcPr>
            <w:tcW w:w="795" w:type="dxa"/>
          </w:tcPr>
          <w:p w14:paraId="46940B24">
            <w:pPr>
              <w:pStyle w:val="14"/>
              <w:spacing w:before="170"/>
              <w:ind w:left="86" w:right="77"/>
              <w:jc w:val="center"/>
              <w:rPr>
                <w:rFonts w:ascii="Times New Roman"/>
                <w:sz w:val="21"/>
              </w:rPr>
            </w:pPr>
            <w:r>
              <w:rPr>
                <w:rFonts w:ascii="Times New Roman"/>
                <w:sz w:val="21"/>
              </w:rPr>
              <w:t>80</w:t>
            </w:r>
          </w:p>
        </w:tc>
        <w:tc>
          <w:tcPr>
            <w:tcW w:w="692" w:type="dxa"/>
          </w:tcPr>
          <w:p w14:paraId="5CC62753">
            <w:pPr>
              <w:pStyle w:val="14"/>
              <w:spacing w:before="170"/>
              <w:ind w:left="221" w:right="211"/>
              <w:jc w:val="center"/>
              <w:rPr>
                <w:rFonts w:ascii="Times New Roman"/>
                <w:sz w:val="21"/>
              </w:rPr>
            </w:pPr>
            <w:r>
              <w:rPr>
                <w:rFonts w:ascii="Times New Roman"/>
                <w:sz w:val="21"/>
              </w:rPr>
              <w:t>85</w:t>
            </w:r>
          </w:p>
        </w:tc>
      </w:tr>
      <w:tr w14:paraId="69794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939" w:type="dxa"/>
          </w:tcPr>
          <w:p w14:paraId="24517B4C">
            <w:pPr>
              <w:pStyle w:val="14"/>
              <w:spacing w:before="21" w:line="242" w:lineRule="auto"/>
              <w:ind w:left="863" w:right="119" w:hanging="735"/>
              <w:rPr>
                <w:sz w:val="21"/>
              </w:rPr>
            </w:pPr>
            <w:r>
              <w:rPr>
                <w:w w:val="95"/>
                <w:sz w:val="21"/>
              </w:rPr>
              <w:t>污水处理站出口水</w:t>
            </w:r>
            <w:r>
              <w:rPr>
                <w:sz w:val="21"/>
              </w:rPr>
              <w:t>质</w:t>
            </w:r>
          </w:p>
        </w:tc>
        <w:tc>
          <w:tcPr>
            <w:tcW w:w="877" w:type="dxa"/>
          </w:tcPr>
          <w:p w14:paraId="5664467F">
            <w:pPr>
              <w:pStyle w:val="14"/>
              <w:spacing w:before="171"/>
              <w:ind w:left="179" w:right="172"/>
              <w:jc w:val="center"/>
              <w:rPr>
                <w:rFonts w:ascii="Times New Roman"/>
                <w:sz w:val="21"/>
              </w:rPr>
            </w:pPr>
            <w:r>
              <w:rPr>
                <w:rFonts w:ascii="Times New Roman"/>
                <w:sz w:val="21"/>
              </w:rPr>
              <w:t>mg/L</w:t>
            </w:r>
          </w:p>
        </w:tc>
        <w:tc>
          <w:tcPr>
            <w:tcW w:w="899" w:type="dxa"/>
          </w:tcPr>
          <w:p w14:paraId="0A0BFBDA">
            <w:pPr>
              <w:pStyle w:val="14"/>
              <w:spacing w:before="171"/>
              <w:ind w:left="86" w:right="76"/>
              <w:jc w:val="center"/>
              <w:rPr>
                <w:rFonts w:ascii="Times New Roman"/>
                <w:sz w:val="21"/>
              </w:rPr>
            </w:pPr>
            <w:r>
              <w:rPr>
                <w:rFonts w:ascii="Times New Roman"/>
                <w:sz w:val="21"/>
              </w:rPr>
              <w:t>299</w:t>
            </w:r>
          </w:p>
        </w:tc>
        <w:tc>
          <w:tcPr>
            <w:tcW w:w="899" w:type="dxa"/>
          </w:tcPr>
          <w:p w14:paraId="53AB01DD">
            <w:pPr>
              <w:pStyle w:val="14"/>
              <w:spacing w:before="171"/>
              <w:ind w:left="85" w:right="78"/>
              <w:jc w:val="center"/>
              <w:rPr>
                <w:rFonts w:ascii="Times New Roman"/>
                <w:sz w:val="21"/>
              </w:rPr>
            </w:pPr>
            <w:r>
              <w:rPr>
                <w:rFonts w:ascii="Times New Roman"/>
                <w:sz w:val="21"/>
              </w:rPr>
              <w:t>50</w:t>
            </w:r>
          </w:p>
        </w:tc>
        <w:tc>
          <w:tcPr>
            <w:tcW w:w="899" w:type="dxa"/>
          </w:tcPr>
          <w:p w14:paraId="11AE56CF">
            <w:pPr>
              <w:pStyle w:val="14"/>
              <w:spacing w:before="171"/>
              <w:ind w:left="86" w:right="77"/>
              <w:jc w:val="center"/>
              <w:rPr>
                <w:rFonts w:ascii="Times New Roman"/>
                <w:sz w:val="21"/>
              </w:rPr>
            </w:pPr>
            <w:r>
              <w:rPr>
                <w:rFonts w:ascii="Times New Roman"/>
                <w:sz w:val="21"/>
              </w:rPr>
              <w:t>200</w:t>
            </w:r>
          </w:p>
        </w:tc>
        <w:tc>
          <w:tcPr>
            <w:tcW w:w="701" w:type="dxa"/>
          </w:tcPr>
          <w:p w14:paraId="51F4D2F9">
            <w:pPr>
              <w:pStyle w:val="14"/>
              <w:spacing w:before="171"/>
              <w:ind w:left="91" w:right="84"/>
              <w:jc w:val="center"/>
              <w:rPr>
                <w:rFonts w:ascii="Times New Roman"/>
                <w:sz w:val="21"/>
              </w:rPr>
            </w:pPr>
            <w:r>
              <w:rPr>
                <w:rFonts w:ascii="Times New Roman"/>
                <w:sz w:val="21"/>
              </w:rPr>
              <w:t>34</w:t>
            </w:r>
          </w:p>
        </w:tc>
        <w:tc>
          <w:tcPr>
            <w:tcW w:w="821" w:type="dxa"/>
          </w:tcPr>
          <w:p w14:paraId="40FA5A12">
            <w:pPr>
              <w:pStyle w:val="14"/>
              <w:spacing w:before="171"/>
              <w:ind w:left="99" w:right="92"/>
              <w:jc w:val="center"/>
              <w:rPr>
                <w:rFonts w:ascii="Times New Roman"/>
                <w:sz w:val="21"/>
              </w:rPr>
            </w:pPr>
            <w:r>
              <w:rPr>
                <w:rFonts w:ascii="Times New Roman"/>
                <w:sz w:val="21"/>
              </w:rPr>
              <w:t>51.6</w:t>
            </w:r>
          </w:p>
        </w:tc>
        <w:tc>
          <w:tcPr>
            <w:tcW w:w="795" w:type="dxa"/>
          </w:tcPr>
          <w:p w14:paraId="0B4F5FB2">
            <w:pPr>
              <w:pStyle w:val="14"/>
              <w:spacing w:before="171"/>
              <w:ind w:left="86" w:right="77"/>
              <w:jc w:val="center"/>
              <w:rPr>
                <w:rFonts w:ascii="Times New Roman"/>
                <w:sz w:val="21"/>
              </w:rPr>
            </w:pPr>
            <w:r>
              <w:rPr>
                <w:rFonts w:ascii="Times New Roman"/>
                <w:sz w:val="21"/>
              </w:rPr>
              <w:t>32</w:t>
            </w:r>
          </w:p>
        </w:tc>
        <w:tc>
          <w:tcPr>
            <w:tcW w:w="692" w:type="dxa"/>
          </w:tcPr>
          <w:p w14:paraId="6E40ED2B">
            <w:pPr>
              <w:pStyle w:val="14"/>
              <w:spacing w:before="171"/>
              <w:ind w:right="149"/>
              <w:jc w:val="right"/>
              <w:rPr>
                <w:rFonts w:ascii="Times New Roman"/>
                <w:sz w:val="21"/>
              </w:rPr>
            </w:pPr>
            <w:r>
              <w:rPr>
                <w:rFonts w:ascii="Times New Roman"/>
                <w:sz w:val="21"/>
              </w:rPr>
              <w:t>3.45</w:t>
            </w:r>
          </w:p>
        </w:tc>
      </w:tr>
      <w:tr w14:paraId="3CEAD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939" w:type="dxa"/>
          </w:tcPr>
          <w:p w14:paraId="0A7CC80E">
            <w:pPr>
              <w:pStyle w:val="14"/>
              <w:spacing w:before="21" w:line="242" w:lineRule="auto"/>
              <w:ind w:left="443" w:right="119" w:hanging="315"/>
              <w:rPr>
                <w:sz w:val="21"/>
              </w:rPr>
            </w:pPr>
            <w:r>
              <w:rPr>
                <w:w w:val="95"/>
                <w:sz w:val="21"/>
              </w:rPr>
              <w:t>污水处理站出口污</w:t>
            </w:r>
            <w:r>
              <w:rPr>
                <w:sz w:val="21"/>
              </w:rPr>
              <w:t>染物排放量</w:t>
            </w:r>
          </w:p>
        </w:tc>
        <w:tc>
          <w:tcPr>
            <w:tcW w:w="877" w:type="dxa"/>
          </w:tcPr>
          <w:p w14:paraId="32E33612">
            <w:pPr>
              <w:pStyle w:val="14"/>
              <w:spacing w:before="169"/>
              <w:ind w:left="180" w:right="172"/>
              <w:jc w:val="center"/>
              <w:rPr>
                <w:rFonts w:ascii="Times New Roman"/>
                <w:sz w:val="21"/>
              </w:rPr>
            </w:pPr>
            <w:r>
              <w:rPr>
                <w:rFonts w:ascii="Times New Roman"/>
                <w:sz w:val="21"/>
              </w:rPr>
              <w:t>t/a</w:t>
            </w:r>
          </w:p>
        </w:tc>
        <w:tc>
          <w:tcPr>
            <w:tcW w:w="899" w:type="dxa"/>
          </w:tcPr>
          <w:p w14:paraId="3DBD216D">
            <w:pPr>
              <w:pStyle w:val="14"/>
              <w:spacing w:before="169"/>
              <w:ind w:left="86" w:right="76"/>
              <w:jc w:val="center"/>
              <w:rPr>
                <w:rFonts w:ascii="Times New Roman"/>
                <w:sz w:val="21"/>
              </w:rPr>
            </w:pPr>
            <w:r>
              <w:rPr>
                <w:rFonts w:ascii="Times New Roman"/>
                <w:sz w:val="21"/>
              </w:rPr>
              <w:t>56.8</w:t>
            </w:r>
          </w:p>
        </w:tc>
        <w:tc>
          <w:tcPr>
            <w:tcW w:w="899" w:type="dxa"/>
          </w:tcPr>
          <w:p w14:paraId="68858A85">
            <w:pPr>
              <w:pStyle w:val="14"/>
              <w:spacing w:before="169"/>
              <w:ind w:left="85" w:right="78"/>
              <w:jc w:val="center"/>
              <w:rPr>
                <w:rFonts w:ascii="Times New Roman"/>
                <w:sz w:val="21"/>
              </w:rPr>
            </w:pPr>
            <w:r>
              <w:rPr>
                <w:rFonts w:ascii="Times New Roman"/>
                <w:sz w:val="21"/>
              </w:rPr>
              <w:t>9.5</w:t>
            </w:r>
          </w:p>
        </w:tc>
        <w:tc>
          <w:tcPr>
            <w:tcW w:w="899" w:type="dxa"/>
          </w:tcPr>
          <w:p w14:paraId="38C9E27F">
            <w:pPr>
              <w:pStyle w:val="14"/>
              <w:spacing w:before="169"/>
              <w:ind w:left="86" w:right="77"/>
              <w:jc w:val="center"/>
              <w:rPr>
                <w:rFonts w:ascii="Times New Roman"/>
                <w:sz w:val="21"/>
              </w:rPr>
            </w:pPr>
            <w:r>
              <w:rPr>
                <w:rFonts w:ascii="Times New Roman"/>
                <w:sz w:val="21"/>
              </w:rPr>
              <w:t>38</w:t>
            </w:r>
          </w:p>
        </w:tc>
        <w:tc>
          <w:tcPr>
            <w:tcW w:w="701" w:type="dxa"/>
          </w:tcPr>
          <w:p w14:paraId="3B52A1AD">
            <w:pPr>
              <w:pStyle w:val="14"/>
              <w:spacing w:before="169"/>
              <w:ind w:left="91" w:right="84"/>
              <w:jc w:val="center"/>
              <w:rPr>
                <w:rFonts w:ascii="Times New Roman"/>
                <w:sz w:val="21"/>
              </w:rPr>
            </w:pPr>
            <w:r>
              <w:rPr>
                <w:rFonts w:ascii="Times New Roman"/>
                <w:sz w:val="21"/>
              </w:rPr>
              <w:t>6.5</w:t>
            </w:r>
          </w:p>
        </w:tc>
        <w:tc>
          <w:tcPr>
            <w:tcW w:w="821" w:type="dxa"/>
          </w:tcPr>
          <w:p w14:paraId="6CC5CD46">
            <w:pPr>
              <w:pStyle w:val="14"/>
              <w:spacing w:before="169"/>
              <w:ind w:left="99" w:right="92"/>
              <w:jc w:val="center"/>
              <w:rPr>
                <w:rFonts w:ascii="Times New Roman"/>
                <w:sz w:val="21"/>
              </w:rPr>
            </w:pPr>
            <w:r>
              <w:rPr>
                <w:rFonts w:ascii="Times New Roman"/>
                <w:sz w:val="21"/>
              </w:rPr>
              <w:t>9.8</w:t>
            </w:r>
          </w:p>
        </w:tc>
        <w:tc>
          <w:tcPr>
            <w:tcW w:w="795" w:type="dxa"/>
          </w:tcPr>
          <w:p w14:paraId="5EDAA1D9">
            <w:pPr>
              <w:pStyle w:val="14"/>
              <w:spacing w:before="169"/>
              <w:ind w:left="86" w:right="77"/>
              <w:jc w:val="center"/>
              <w:rPr>
                <w:rFonts w:ascii="Times New Roman"/>
                <w:sz w:val="21"/>
              </w:rPr>
            </w:pPr>
            <w:r>
              <w:rPr>
                <w:rFonts w:ascii="Times New Roman"/>
                <w:sz w:val="21"/>
              </w:rPr>
              <w:t>6.1</w:t>
            </w:r>
          </w:p>
        </w:tc>
        <w:tc>
          <w:tcPr>
            <w:tcW w:w="692" w:type="dxa"/>
          </w:tcPr>
          <w:p w14:paraId="570889AA">
            <w:pPr>
              <w:pStyle w:val="14"/>
              <w:spacing w:before="169"/>
              <w:ind w:right="149"/>
              <w:jc w:val="right"/>
              <w:rPr>
                <w:rFonts w:ascii="Times New Roman"/>
                <w:sz w:val="21"/>
              </w:rPr>
            </w:pPr>
            <w:r>
              <w:rPr>
                <w:rFonts w:ascii="Times New Roman"/>
                <w:sz w:val="21"/>
              </w:rPr>
              <w:t>0.66</w:t>
            </w:r>
          </w:p>
        </w:tc>
      </w:tr>
      <w:tr w14:paraId="2437A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939" w:type="dxa"/>
          </w:tcPr>
          <w:p w14:paraId="49E5B280">
            <w:pPr>
              <w:pStyle w:val="14"/>
              <w:spacing w:before="20" w:line="270" w:lineRule="atLeast"/>
              <w:ind w:left="549" w:right="119" w:hanging="420"/>
              <w:rPr>
                <w:sz w:val="21"/>
              </w:rPr>
            </w:pPr>
            <w:r>
              <w:rPr>
                <w:w w:val="95"/>
                <w:sz w:val="21"/>
              </w:rPr>
              <w:t>本项目废水污染物</w:t>
            </w:r>
            <w:r>
              <w:rPr>
                <w:sz w:val="21"/>
              </w:rPr>
              <w:t>排放总量</w:t>
            </w:r>
          </w:p>
        </w:tc>
        <w:tc>
          <w:tcPr>
            <w:tcW w:w="877" w:type="dxa"/>
          </w:tcPr>
          <w:p w14:paraId="688CF8E2">
            <w:pPr>
              <w:pStyle w:val="14"/>
              <w:spacing w:before="169"/>
              <w:ind w:left="180" w:right="172"/>
              <w:jc w:val="center"/>
              <w:rPr>
                <w:rFonts w:ascii="Times New Roman"/>
                <w:sz w:val="21"/>
              </w:rPr>
            </w:pPr>
            <w:r>
              <w:rPr>
                <w:rFonts w:ascii="Times New Roman"/>
                <w:sz w:val="21"/>
              </w:rPr>
              <w:t>t/a</w:t>
            </w:r>
          </w:p>
        </w:tc>
        <w:tc>
          <w:tcPr>
            <w:tcW w:w="899" w:type="dxa"/>
          </w:tcPr>
          <w:p w14:paraId="6155960D">
            <w:pPr>
              <w:pStyle w:val="14"/>
              <w:spacing w:before="169"/>
              <w:ind w:left="86" w:right="76"/>
              <w:jc w:val="center"/>
              <w:rPr>
                <w:rFonts w:ascii="Times New Roman"/>
                <w:sz w:val="21"/>
              </w:rPr>
            </w:pPr>
            <w:r>
              <w:rPr>
                <w:rFonts w:ascii="Times New Roman"/>
                <w:sz w:val="21"/>
              </w:rPr>
              <w:t>58.8</w:t>
            </w:r>
          </w:p>
        </w:tc>
        <w:tc>
          <w:tcPr>
            <w:tcW w:w="899" w:type="dxa"/>
          </w:tcPr>
          <w:p w14:paraId="16DE75F2">
            <w:pPr>
              <w:pStyle w:val="14"/>
              <w:spacing w:before="169"/>
              <w:ind w:left="85" w:right="78"/>
              <w:jc w:val="center"/>
              <w:rPr>
                <w:rFonts w:ascii="Times New Roman"/>
                <w:sz w:val="21"/>
              </w:rPr>
            </w:pPr>
            <w:r>
              <w:rPr>
                <w:rFonts w:ascii="Times New Roman"/>
                <w:sz w:val="21"/>
              </w:rPr>
              <w:t>10.4</w:t>
            </w:r>
          </w:p>
        </w:tc>
        <w:tc>
          <w:tcPr>
            <w:tcW w:w="899" w:type="dxa"/>
          </w:tcPr>
          <w:p w14:paraId="794653D6">
            <w:pPr>
              <w:pStyle w:val="14"/>
              <w:spacing w:before="169"/>
              <w:ind w:left="86" w:right="77"/>
              <w:jc w:val="center"/>
              <w:rPr>
                <w:rFonts w:ascii="Times New Roman"/>
                <w:sz w:val="21"/>
              </w:rPr>
            </w:pPr>
            <w:r>
              <w:rPr>
                <w:rFonts w:ascii="Times New Roman"/>
                <w:sz w:val="21"/>
              </w:rPr>
              <w:t>38.7</w:t>
            </w:r>
          </w:p>
        </w:tc>
        <w:tc>
          <w:tcPr>
            <w:tcW w:w="701" w:type="dxa"/>
          </w:tcPr>
          <w:p w14:paraId="5864BF4A">
            <w:pPr>
              <w:pStyle w:val="14"/>
              <w:spacing w:before="169"/>
              <w:ind w:left="91" w:right="84"/>
              <w:jc w:val="center"/>
              <w:rPr>
                <w:rFonts w:ascii="Times New Roman"/>
                <w:sz w:val="21"/>
              </w:rPr>
            </w:pPr>
            <w:r>
              <w:rPr>
                <w:rFonts w:ascii="Times New Roman"/>
                <w:sz w:val="21"/>
              </w:rPr>
              <w:t>6.8</w:t>
            </w:r>
          </w:p>
        </w:tc>
        <w:tc>
          <w:tcPr>
            <w:tcW w:w="821" w:type="dxa"/>
          </w:tcPr>
          <w:p w14:paraId="1B102F3E">
            <w:pPr>
              <w:pStyle w:val="14"/>
              <w:spacing w:before="169"/>
              <w:ind w:left="99" w:right="92"/>
              <w:jc w:val="center"/>
              <w:rPr>
                <w:rFonts w:ascii="Times New Roman"/>
                <w:sz w:val="21"/>
              </w:rPr>
            </w:pPr>
            <w:r>
              <w:rPr>
                <w:rFonts w:ascii="Times New Roman"/>
                <w:sz w:val="21"/>
              </w:rPr>
              <w:t>9.8</w:t>
            </w:r>
          </w:p>
        </w:tc>
        <w:tc>
          <w:tcPr>
            <w:tcW w:w="795" w:type="dxa"/>
          </w:tcPr>
          <w:p w14:paraId="021C15F3">
            <w:pPr>
              <w:pStyle w:val="14"/>
              <w:spacing w:before="169"/>
              <w:ind w:left="86" w:right="77"/>
              <w:jc w:val="center"/>
              <w:rPr>
                <w:rFonts w:ascii="Times New Roman"/>
                <w:sz w:val="21"/>
              </w:rPr>
            </w:pPr>
            <w:r>
              <w:rPr>
                <w:rFonts w:ascii="Times New Roman"/>
                <w:sz w:val="21"/>
              </w:rPr>
              <w:t>6.1</w:t>
            </w:r>
          </w:p>
        </w:tc>
        <w:tc>
          <w:tcPr>
            <w:tcW w:w="692" w:type="dxa"/>
          </w:tcPr>
          <w:p w14:paraId="4B681109">
            <w:pPr>
              <w:pStyle w:val="14"/>
              <w:spacing w:before="169"/>
              <w:ind w:left="214"/>
              <w:rPr>
                <w:rFonts w:ascii="Times New Roman"/>
                <w:sz w:val="21"/>
              </w:rPr>
            </w:pPr>
            <w:r>
              <w:rPr>
                <w:rFonts w:ascii="Times New Roman"/>
                <w:sz w:val="21"/>
              </w:rPr>
              <w:t>0.7</w:t>
            </w:r>
          </w:p>
        </w:tc>
      </w:tr>
      <w:tr w14:paraId="421FA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39" w:type="dxa"/>
          </w:tcPr>
          <w:p w14:paraId="56E59AB1">
            <w:pPr>
              <w:pStyle w:val="14"/>
              <w:spacing w:before="92"/>
              <w:ind w:left="108" w:right="101"/>
              <w:jc w:val="center"/>
              <w:rPr>
                <w:sz w:val="21"/>
              </w:rPr>
            </w:pPr>
            <w:r>
              <w:rPr>
                <w:sz w:val="21"/>
              </w:rPr>
              <w:t>项目废水排放标准</w:t>
            </w:r>
          </w:p>
        </w:tc>
        <w:tc>
          <w:tcPr>
            <w:tcW w:w="877" w:type="dxa"/>
          </w:tcPr>
          <w:p w14:paraId="3E727A1C">
            <w:pPr>
              <w:pStyle w:val="14"/>
              <w:spacing w:before="106"/>
              <w:ind w:left="179" w:right="172"/>
              <w:jc w:val="center"/>
              <w:rPr>
                <w:rFonts w:ascii="Times New Roman"/>
                <w:sz w:val="21"/>
              </w:rPr>
            </w:pPr>
            <w:r>
              <w:rPr>
                <w:rFonts w:ascii="Times New Roman"/>
                <w:sz w:val="21"/>
              </w:rPr>
              <w:t>mg/L</w:t>
            </w:r>
          </w:p>
        </w:tc>
        <w:tc>
          <w:tcPr>
            <w:tcW w:w="899" w:type="dxa"/>
          </w:tcPr>
          <w:p w14:paraId="0D7D743B">
            <w:pPr>
              <w:pStyle w:val="14"/>
              <w:spacing w:before="106"/>
              <w:ind w:left="86" w:right="76"/>
              <w:jc w:val="center"/>
              <w:rPr>
                <w:rFonts w:ascii="Times New Roman"/>
                <w:sz w:val="21"/>
              </w:rPr>
            </w:pPr>
            <w:r>
              <w:rPr>
                <w:rFonts w:ascii="Times New Roman"/>
                <w:sz w:val="21"/>
              </w:rPr>
              <w:t>300</w:t>
            </w:r>
          </w:p>
        </w:tc>
        <w:tc>
          <w:tcPr>
            <w:tcW w:w="899" w:type="dxa"/>
          </w:tcPr>
          <w:p w14:paraId="73B374CD">
            <w:pPr>
              <w:pStyle w:val="14"/>
              <w:spacing w:before="106"/>
              <w:ind w:left="86" w:right="74"/>
              <w:jc w:val="center"/>
              <w:rPr>
                <w:rFonts w:ascii="Times New Roman"/>
                <w:sz w:val="21"/>
              </w:rPr>
            </w:pPr>
            <w:r>
              <w:rPr>
                <w:rFonts w:ascii="Times New Roman"/>
                <w:sz w:val="21"/>
              </w:rPr>
              <w:t>130</w:t>
            </w:r>
          </w:p>
        </w:tc>
        <w:tc>
          <w:tcPr>
            <w:tcW w:w="899" w:type="dxa"/>
          </w:tcPr>
          <w:p w14:paraId="4341267B">
            <w:pPr>
              <w:pStyle w:val="14"/>
              <w:spacing w:before="106"/>
              <w:ind w:left="86" w:right="77"/>
              <w:jc w:val="center"/>
              <w:rPr>
                <w:rFonts w:ascii="Times New Roman"/>
                <w:sz w:val="21"/>
              </w:rPr>
            </w:pPr>
            <w:r>
              <w:rPr>
                <w:rFonts w:ascii="Times New Roman"/>
                <w:sz w:val="21"/>
              </w:rPr>
              <w:t>200</w:t>
            </w:r>
          </w:p>
        </w:tc>
        <w:tc>
          <w:tcPr>
            <w:tcW w:w="701" w:type="dxa"/>
          </w:tcPr>
          <w:p w14:paraId="75557A2D">
            <w:pPr>
              <w:pStyle w:val="14"/>
              <w:spacing w:before="106"/>
              <w:ind w:left="91" w:right="84"/>
              <w:jc w:val="center"/>
              <w:rPr>
                <w:rFonts w:ascii="Times New Roman"/>
                <w:sz w:val="21"/>
              </w:rPr>
            </w:pPr>
            <w:r>
              <w:rPr>
                <w:rFonts w:ascii="Times New Roman"/>
                <w:sz w:val="21"/>
              </w:rPr>
              <w:t>35</w:t>
            </w:r>
          </w:p>
        </w:tc>
        <w:tc>
          <w:tcPr>
            <w:tcW w:w="821" w:type="dxa"/>
          </w:tcPr>
          <w:p w14:paraId="64CE9979">
            <w:pPr>
              <w:pStyle w:val="14"/>
              <w:spacing w:before="106"/>
              <w:ind w:left="99" w:right="92"/>
              <w:jc w:val="center"/>
              <w:rPr>
                <w:rFonts w:ascii="Times New Roman"/>
                <w:sz w:val="21"/>
              </w:rPr>
            </w:pPr>
            <w:r>
              <w:rPr>
                <w:rFonts w:ascii="Times New Roman"/>
                <w:sz w:val="21"/>
              </w:rPr>
              <w:t>60</w:t>
            </w:r>
          </w:p>
        </w:tc>
        <w:tc>
          <w:tcPr>
            <w:tcW w:w="795" w:type="dxa"/>
          </w:tcPr>
          <w:p w14:paraId="57BB0EF6">
            <w:pPr>
              <w:pStyle w:val="14"/>
              <w:spacing w:before="106"/>
              <w:ind w:left="86" w:right="77"/>
              <w:jc w:val="center"/>
              <w:rPr>
                <w:rFonts w:ascii="Times New Roman"/>
                <w:sz w:val="21"/>
              </w:rPr>
            </w:pPr>
            <w:r>
              <w:rPr>
                <w:rFonts w:ascii="Times New Roman"/>
                <w:sz w:val="21"/>
              </w:rPr>
              <w:t>40</w:t>
            </w:r>
          </w:p>
        </w:tc>
        <w:tc>
          <w:tcPr>
            <w:tcW w:w="692" w:type="dxa"/>
          </w:tcPr>
          <w:p w14:paraId="08CC80FC">
            <w:pPr>
              <w:pStyle w:val="14"/>
              <w:spacing w:before="106"/>
              <w:ind w:left="10"/>
              <w:jc w:val="center"/>
              <w:rPr>
                <w:rFonts w:ascii="Times New Roman"/>
                <w:sz w:val="21"/>
              </w:rPr>
            </w:pPr>
            <w:r>
              <w:rPr>
                <w:rFonts w:ascii="Times New Roman"/>
                <w:w w:val="99"/>
                <w:sz w:val="21"/>
              </w:rPr>
              <w:t>4</w:t>
            </w:r>
          </w:p>
        </w:tc>
      </w:tr>
      <w:tr w14:paraId="7C47D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39" w:type="dxa"/>
          </w:tcPr>
          <w:p w14:paraId="6E6E39DA">
            <w:pPr>
              <w:pStyle w:val="14"/>
              <w:spacing w:before="91"/>
              <w:ind w:left="106" w:right="101"/>
              <w:jc w:val="center"/>
              <w:rPr>
                <w:sz w:val="21"/>
              </w:rPr>
            </w:pPr>
            <w:r>
              <w:rPr>
                <w:sz w:val="21"/>
              </w:rPr>
              <w:t>是否达标排放</w:t>
            </w:r>
          </w:p>
        </w:tc>
        <w:tc>
          <w:tcPr>
            <w:tcW w:w="877" w:type="dxa"/>
          </w:tcPr>
          <w:p w14:paraId="68C2FD52">
            <w:pPr>
              <w:pStyle w:val="14"/>
              <w:spacing w:before="105"/>
              <w:ind w:left="7"/>
              <w:jc w:val="center"/>
              <w:rPr>
                <w:rFonts w:ascii="Times New Roman"/>
                <w:sz w:val="21"/>
              </w:rPr>
            </w:pPr>
            <w:r>
              <w:rPr>
                <w:rFonts w:ascii="Times New Roman"/>
                <w:w w:val="99"/>
                <w:sz w:val="21"/>
              </w:rPr>
              <w:t>/</w:t>
            </w:r>
          </w:p>
        </w:tc>
        <w:tc>
          <w:tcPr>
            <w:tcW w:w="899" w:type="dxa"/>
          </w:tcPr>
          <w:p w14:paraId="05B17F63">
            <w:pPr>
              <w:pStyle w:val="14"/>
              <w:spacing w:before="91"/>
              <w:ind w:left="9"/>
              <w:jc w:val="center"/>
              <w:rPr>
                <w:sz w:val="21"/>
              </w:rPr>
            </w:pPr>
            <w:r>
              <w:rPr>
                <w:w w:val="99"/>
                <w:sz w:val="21"/>
              </w:rPr>
              <w:t>是</w:t>
            </w:r>
          </w:p>
        </w:tc>
        <w:tc>
          <w:tcPr>
            <w:tcW w:w="899" w:type="dxa"/>
          </w:tcPr>
          <w:p w14:paraId="464CBA4E">
            <w:pPr>
              <w:pStyle w:val="14"/>
              <w:spacing w:before="91"/>
              <w:ind w:left="6"/>
              <w:jc w:val="center"/>
              <w:rPr>
                <w:sz w:val="21"/>
              </w:rPr>
            </w:pPr>
            <w:r>
              <w:rPr>
                <w:w w:val="99"/>
                <w:sz w:val="21"/>
              </w:rPr>
              <w:t>是</w:t>
            </w:r>
          </w:p>
        </w:tc>
        <w:tc>
          <w:tcPr>
            <w:tcW w:w="899" w:type="dxa"/>
          </w:tcPr>
          <w:p w14:paraId="58436868">
            <w:pPr>
              <w:pStyle w:val="14"/>
              <w:spacing w:before="91"/>
              <w:ind w:left="8"/>
              <w:jc w:val="center"/>
              <w:rPr>
                <w:sz w:val="21"/>
              </w:rPr>
            </w:pPr>
            <w:r>
              <w:rPr>
                <w:w w:val="99"/>
                <w:sz w:val="21"/>
              </w:rPr>
              <w:t>是</w:t>
            </w:r>
          </w:p>
        </w:tc>
        <w:tc>
          <w:tcPr>
            <w:tcW w:w="701" w:type="dxa"/>
          </w:tcPr>
          <w:p w14:paraId="191E6805">
            <w:pPr>
              <w:pStyle w:val="14"/>
              <w:spacing w:before="91"/>
              <w:ind w:left="6"/>
              <w:jc w:val="center"/>
              <w:rPr>
                <w:sz w:val="21"/>
              </w:rPr>
            </w:pPr>
            <w:r>
              <w:rPr>
                <w:w w:val="99"/>
                <w:sz w:val="21"/>
              </w:rPr>
              <w:t>是</w:t>
            </w:r>
          </w:p>
        </w:tc>
        <w:tc>
          <w:tcPr>
            <w:tcW w:w="821" w:type="dxa"/>
          </w:tcPr>
          <w:p w14:paraId="71BAC5F4">
            <w:pPr>
              <w:pStyle w:val="14"/>
              <w:spacing w:before="91"/>
              <w:ind w:left="6"/>
              <w:jc w:val="center"/>
              <w:rPr>
                <w:sz w:val="21"/>
              </w:rPr>
            </w:pPr>
            <w:r>
              <w:rPr>
                <w:w w:val="99"/>
                <w:sz w:val="21"/>
              </w:rPr>
              <w:t>是</w:t>
            </w:r>
          </w:p>
        </w:tc>
        <w:tc>
          <w:tcPr>
            <w:tcW w:w="795" w:type="dxa"/>
          </w:tcPr>
          <w:p w14:paraId="78FF7786">
            <w:pPr>
              <w:pStyle w:val="14"/>
              <w:spacing w:before="91"/>
              <w:ind w:left="7"/>
              <w:jc w:val="center"/>
              <w:rPr>
                <w:sz w:val="21"/>
              </w:rPr>
            </w:pPr>
            <w:r>
              <w:rPr>
                <w:w w:val="99"/>
                <w:sz w:val="21"/>
              </w:rPr>
              <w:t>是</w:t>
            </w:r>
          </w:p>
        </w:tc>
        <w:tc>
          <w:tcPr>
            <w:tcW w:w="692" w:type="dxa"/>
          </w:tcPr>
          <w:p w14:paraId="2322C214">
            <w:pPr>
              <w:pStyle w:val="14"/>
              <w:spacing w:before="91"/>
              <w:ind w:left="8"/>
              <w:jc w:val="center"/>
              <w:rPr>
                <w:sz w:val="21"/>
              </w:rPr>
            </w:pPr>
            <w:r>
              <w:rPr>
                <w:w w:val="99"/>
                <w:sz w:val="21"/>
              </w:rPr>
              <w:t>是</w:t>
            </w:r>
          </w:p>
        </w:tc>
      </w:tr>
    </w:tbl>
    <w:p w14:paraId="09F6F147">
      <w:pPr>
        <w:pStyle w:val="7"/>
        <w:spacing w:before="3" w:line="364" w:lineRule="auto"/>
        <w:ind w:left="460" w:right="477" w:firstLine="480"/>
        <w:jc w:val="both"/>
      </w:pPr>
      <w:r>
        <w:t>上表数据分析可知，项目屠宰生产废水和生活污水经污水处理站处理后， 各因子均可满足废水排放标准相关要求（取岳阳县污水处理厂进水水质要求和</w:t>
      </w:r>
      <w:r>
        <w:rPr>
          <w:rFonts w:ascii="Times New Roman" w:eastAsia="Times New Roman"/>
        </w:rPr>
        <w:t xml:space="preserve">GB13457-92 </w:t>
      </w:r>
      <w:r>
        <w:t xml:space="preserve">表 </w:t>
      </w:r>
      <w:r>
        <w:rPr>
          <w:rFonts w:ascii="Times New Roman" w:eastAsia="Times New Roman"/>
        </w:rPr>
        <w:t xml:space="preserve">3 </w:t>
      </w:r>
      <w:r>
        <w:t>中畜类屠宰加工三级标准中较严者）。</w:t>
      </w:r>
    </w:p>
    <w:p w14:paraId="18BEC08C">
      <w:pPr>
        <w:pStyle w:val="6"/>
        <w:numPr>
          <w:ilvl w:val="3"/>
          <w:numId w:val="15"/>
        </w:numPr>
        <w:tabs>
          <w:tab w:val="left" w:pos="1651"/>
        </w:tabs>
        <w:spacing w:before="0" w:after="0" w:line="305" w:lineRule="exact"/>
        <w:ind w:left="1650" w:right="0" w:hanging="710"/>
        <w:jc w:val="left"/>
      </w:pPr>
      <w:r>
        <w:t>厂界噪声源强核算</w:t>
      </w:r>
    </w:p>
    <w:p w14:paraId="436E13E7">
      <w:pPr>
        <w:spacing w:after="0" w:line="305" w:lineRule="exact"/>
        <w:jc w:val="left"/>
        <w:sectPr>
          <w:pgSz w:w="11910" w:h="16840"/>
          <w:pgMar w:top="1360" w:right="1320" w:bottom="1400" w:left="1340" w:header="878" w:footer="1204" w:gutter="0"/>
          <w:cols w:space="720" w:num="1"/>
        </w:sectPr>
      </w:pPr>
    </w:p>
    <w:p w14:paraId="0CD0066F">
      <w:pPr>
        <w:pStyle w:val="7"/>
        <w:spacing w:before="68" w:line="364" w:lineRule="auto"/>
        <w:ind w:left="460" w:right="477" w:firstLine="480"/>
        <w:jc w:val="both"/>
      </w:pPr>
      <w:r>
        <w:t>项目营运期噪声污染源主要为待宰间和屠宰间牲畜叫声；污水处理站、屠宰间、冷库等设备运行噪声；运输车辆交通噪声。</w:t>
      </w:r>
    </w:p>
    <w:p w14:paraId="07A31705">
      <w:pPr>
        <w:pStyle w:val="7"/>
        <w:spacing w:line="364" w:lineRule="auto"/>
        <w:ind w:left="460" w:right="477" w:firstLine="480"/>
        <w:jc w:val="both"/>
      </w:pPr>
      <w:r>
        <w:t xml:space="preserve">项目通过从声源上降噪、从传播途径上降噪、从平面布置图上降噪等三种方式控制并减少项目营运期产生的噪声，参照 </w:t>
      </w:r>
      <w:r>
        <w:rPr>
          <w:rFonts w:ascii="Times New Roman" w:hAnsi="Times New Roman" w:eastAsia="Times New Roman"/>
        </w:rPr>
        <w:t>HJ 1285</w:t>
      </w:r>
      <w:r>
        <w:t>—</w:t>
      </w:r>
      <w:r>
        <w:rPr>
          <w:rFonts w:ascii="Times New Roman" w:hAnsi="Times New Roman" w:eastAsia="Times New Roman"/>
        </w:rPr>
        <w:t xml:space="preserve">2023 </w:t>
      </w:r>
      <w:r>
        <w:t xml:space="preserve">中表 </w:t>
      </w:r>
      <w:r>
        <w:rPr>
          <w:rFonts w:ascii="Times New Roman" w:hAnsi="Times New Roman" w:eastAsia="Times New Roman"/>
        </w:rPr>
        <w:t xml:space="preserve">5 </w:t>
      </w:r>
      <w:r>
        <w:t>噪声污染防治可行技术，具体措施为：</w:t>
      </w:r>
    </w:p>
    <w:p w14:paraId="78CCFB83">
      <w:pPr>
        <w:pStyle w:val="7"/>
        <w:spacing w:line="362" w:lineRule="auto"/>
        <w:ind w:left="460" w:right="480" w:firstLine="480"/>
        <w:jc w:val="both"/>
      </w:pPr>
      <w:r>
        <w:t>（</w:t>
      </w:r>
      <w:r>
        <w:rPr>
          <w:rFonts w:ascii="Times New Roman" w:eastAsia="Times New Roman"/>
        </w:rPr>
        <w:t>1</w:t>
      </w:r>
      <w:r>
        <w:t>）减少对暂养间、待宰圈的人为或机械干扰，保持安定平和的气氛，以缓解屠宰前牲畜的紧张情绪。</w:t>
      </w:r>
    </w:p>
    <w:p w14:paraId="2D970395">
      <w:pPr>
        <w:pStyle w:val="7"/>
        <w:spacing w:before="3" w:line="364" w:lineRule="auto"/>
        <w:ind w:left="460" w:right="481" w:firstLine="480"/>
        <w:jc w:val="both"/>
      </w:pPr>
      <w:r>
        <w:t>（</w:t>
      </w:r>
      <w:r>
        <w:rPr>
          <w:rFonts w:ascii="Times New Roman" w:eastAsia="Times New Roman"/>
        </w:rPr>
        <w:t>2</w:t>
      </w:r>
      <w:r>
        <w:t>）合理布设加工车间设施位置，选用低噪声设备，对高频高噪设备集中区域进行厂房隔声、距离衰减等降噪措施。</w:t>
      </w:r>
    </w:p>
    <w:p w14:paraId="2E0CBD8D">
      <w:pPr>
        <w:pStyle w:val="7"/>
        <w:spacing w:line="362" w:lineRule="auto"/>
        <w:ind w:left="460" w:right="477" w:firstLine="480"/>
        <w:jc w:val="both"/>
      </w:pPr>
      <w:r>
        <w:t>（</w:t>
      </w:r>
      <w:r>
        <w:rPr>
          <w:rFonts w:ascii="Times New Roman" w:eastAsia="Times New Roman"/>
        </w:rPr>
        <w:t>3</w:t>
      </w:r>
      <w:r>
        <w:t>）运输车辆进入场区后进行有效疏导，运输车辆采取控制车速、禁止鸣笛等措施，以减少交通噪声对环境的影响。</w:t>
      </w:r>
    </w:p>
    <w:p w14:paraId="397C6B5E">
      <w:pPr>
        <w:pStyle w:val="7"/>
        <w:spacing w:before="4"/>
        <w:ind w:left="940"/>
      </w:pPr>
      <w:r>
        <w:t>（</w:t>
      </w:r>
      <w:r>
        <w:rPr>
          <w:rFonts w:ascii="Times New Roman" w:eastAsia="Times New Roman"/>
        </w:rPr>
        <w:t>4</w:t>
      </w:r>
      <w:r>
        <w:t>）厂区平面布置统筹兼顾、合理布局设备，注重生产区的防噪间距。</w:t>
      </w:r>
    </w:p>
    <w:p w14:paraId="2748B5D2">
      <w:pPr>
        <w:pStyle w:val="7"/>
        <w:spacing w:before="160" w:line="364" w:lineRule="auto"/>
        <w:ind w:left="460" w:right="477" w:firstLine="480"/>
        <w:jc w:val="both"/>
      </w:pPr>
      <w:r>
        <w:t>（</w:t>
      </w:r>
      <w:r>
        <w:rPr>
          <w:rFonts w:ascii="Times New Roman" w:eastAsia="Times New Roman"/>
        </w:rPr>
        <w:t>5</w:t>
      </w:r>
      <w:r>
        <w:t>）项目用地四周设置景观绿化带，厂内空地栽种树木，项目因地制宜选择树种，利用距离衰减和绿化带的隔声，减少项目在生产时对周围噪声环境的影响。</w:t>
      </w:r>
    </w:p>
    <w:p w14:paraId="5110BDB2">
      <w:pPr>
        <w:pStyle w:val="7"/>
        <w:spacing w:line="304" w:lineRule="exact"/>
        <w:ind w:left="940"/>
      </w:pPr>
      <w:r>
        <w:t>本项目主要噪声源强及采用的治理措施情况见下表。</w:t>
      </w:r>
    </w:p>
    <w:p w14:paraId="0F45C3FF">
      <w:pPr>
        <w:spacing w:before="160"/>
        <w:ind w:left="2576" w:right="0" w:firstLine="0"/>
        <w:jc w:val="left"/>
        <w:rPr>
          <w:b/>
          <w:sz w:val="21"/>
        </w:rPr>
      </w:pPr>
      <w:r>
        <w:rPr>
          <w:b/>
          <w:sz w:val="21"/>
        </w:rPr>
        <w:t xml:space="preserve">表 </w:t>
      </w:r>
      <w:r>
        <w:rPr>
          <w:rFonts w:ascii="Times New Roman" w:eastAsia="Times New Roman"/>
          <w:b/>
          <w:sz w:val="21"/>
        </w:rPr>
        <w:t xml:space="preserve">3.7-18 </w:t>
      </w:r>
      <w:r>
        <w:rPr>
          <w:b/>
          <w:sz w:val="21"/>
        </w:rPr>
        <w:t>本项目运营期工程主要噪声源强表</w:t>
      </w:r>
    </w:p>
    <w:tbl>
      <w:tblPr>
        <w:tblStyle w:val="10"/>
        <w:tblW w:w="0" w:type="auto"/>
        <w:tblInd w:w="4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787"/>
        <w:gridCol w:w="441"/>
        <w:gridCol w:w="1508"/>
        <w:gridCol w:w="2390"/>
        <w:gridCol w:w="674"/>
        <w:gridCol w:w="1391"/>
        <w:gridCol w:w="442"/>
      </w:tblGrid>
      <w:tr w14:paraId="0DFC0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tcPr>
          <w:p w14:paraId="4E235240">
            <w:pPr>
              <w:pStyle w:val="14"/>
              <w:spacing w:before="20" w:line="270" w:lineRule="atLeast"/>
              <w:ind w:left="287" w:right="67" w:hanging="212"/>
              <w:rPr>
                <w:b/>
                <w:sz w:val="21"/>
              </w:rPr>
            </w:pPr>
            <w:r>
              <w:rPr>
                <w:b/>
                <w:sz w:val="21"/>
              </w:rPr>
              <w:t>排放单元</w:t>
            </w:r>
          </w:p>
        </w:tc>
        <w:tc>
          <w:tcPr>
            <w:tcW w:w="787" w:type="dxa"/>
          </w:tcPr>
          <w:p w14:paraId="1B5EC981">
            <w:pPr>
              <w:pStyle w:val="14"/>
              <w:spacing w:before="156"/>
              <w:ind w:left="55" w:right="49"/>
              <w:jc w:val="center"/>
              <w:rPr>
                <w:b/>
                <w:sz w:val="21"/>
              </w:rPr>
            </w:pPr>
            <w:r>
              <w:rPr>
                <w:b/>
                <w:sz w:val="21"/>
              </w:rPr>
              <w:t>噪声源</w:t>
            </w:r>
          </w:p>
        </w:tc>
        <w:tc>
          <w:tcPr>
            <w:tcW w:w="441" w:type="dxa"/>
          </w:tcPr>
          <w:p w14:paraId="5D40D013">
            <w:pPr>
              <w:pStyle w:val="14"/>
              <w:spacing w:before="20" w:line="270" w:lineRule="atLeast"/>
              <w:ind w:left="114" w:right="105"/>
              <w:rPr>
                <w:b/>
                <w:sz w:val="21"/>
              </w:rPr>
            </w:pPr>
            <w:r>
              <w:rPr>
                <w:b/>
                <w:sz w:val="21"/>
              </w:rPr>
              <w:t>台数</w:t>
            </w:r>
          </w:p>
        </w:tc>
        <w:tc>
          <w:tcPr>
            <w:tcW w:w="1508" w:type="dxa"/>
          </w:tcPr>
          <w:p w14:paraId="5014B379">
            <w:pPr>
              <w:pStyle w:val="14"/>
              <w:spacing w:before="20" w:line="270" w:lineRule="atLeast"/>
              <w:ind w:left="348" w:right="113" w:hanging="228"/>
              <w:rPr>
                <w:rFonts w:ascii="Times New Roman" w:eastAsia="Times New Roman"/>
                <w:b/>
                <w:sz w:val="21"/>
              </w:rPr>
            </w:pPr>
            <w:r>
              <w:rPr>
                <w:b/>
                <w:w w:val="95"/>
                <w:sz w:val="21"/>
              </w:rPr>
              <w:t>治理前噪声源</w:t>
            </w:r>
            <w:r>
              <w:rPr>
                <w:b/>
                <w:sz w:val="21"/>
              </w:rPr>
              <w:t xml:space="preserve">强 </w:t>
            </w:r>
            <w:r>
              <w:rPr>
                <w:rFonts w:ascii="Times New Roman" w:eastAsia="Times New Roman"/>
                <w:b/>
                <w:sz w:val="21"/>
              </w:rPr>
              <w:t>dB(A)</w:t>
            </w:r>
          </w:p>
        </w:tc>
        <w:tc>
          <w:tcPr>
            <w:tcW w:w="2390" w:type="dxa"/>
          </w:tcPr>
          <w:p w14:paraId="0DA84AE9">
            <w:pPr>
              <w:pStyle w:val="14"/>
              <w:spacing w:before="156"/>
              <w:ind w:left="273" w:right="267"/>
              <w:jc w:val="center"/>
              <w:rPr>
                <w:b/>
                <w:sz w:val="21"/>
              </w:rPr>
            </w:pPr>
            <w:r>
              <w:rPr>
                <w:b/>
                <w:sz w:val="21"/>
              </w:rPr>
              <w:t>治理措施</w:t>
            </w:r>
          </w:p>
        </w:tc>
        <w:tc>
          <w:tcPr>
            <w:tcW w:w="674" w:type="dxa"/>
          </w:tcPr>
          <w:p w14:paraId="70443C1B">
            <w:pPr>
              <w:pStyle w:val="14"/>
              <w:spacing w:before="20" w:line="270" w:lineRule="atLeast"/>
              <w:ind w:left="124" w:right="117"/>
              <w:rPr>
                <w:b/>
                <w:sz w:val="21"/>
              </w:rPr>
            </w:pPr>
            <w:r>
              <w:rPr>
                <w:b/>
                <w:sz w:val="21"/>
              </w:rPr>
              <w:t>降噪效果</w:t>
            </w:r>
          </w:p>
        </w:tc>
        <w:tc>
          <w:tcPr>
            <w:tcW w:w="1391" w:type="dxa"/>
          </w:tcPr>
          <w:p w14:paraId="6EB317F9">
            <w:pPr>
              <w:pStyle w:val="14"/>
              <w:spacing w:before="36"/>
              <w:ind w:left="41" w:right="35"/>
              <w:jc w:val="center"/>
              <w:rPr>
                <w:b/>
                <w:sz w:val="21"/>
              </w:rPr>
            </w:pPr>
            <w:r>
              <w:rPr>
                <w:b/>
                <w:sz w:val="21"/>
              </w:rPr>
              <w:t>治理后声压级</w:t>
            </w:r>
          </w:p>
          <w:p w14:paraId="7BDDD0BC">
            <w:pPr>
              <w:pStyle w:val="14"/>
              <w:spacing w:before="1"/>
              <w:ind w:left="41" w:right="35"/>
              <w:jc w:val="center"/>
              <w:rPr>
                <w:rFonts w:ascii="Times New Roman"/>
                <w:b/>
                <w:sz w:val="21"/>
              </w:rPr>
            </w:pPr>
            <w:r>
              <w:rPr>
                <w:rFonts w:ascii="Times New Roman"/>
                <w:b/>
                <w:sz w:val="21"/>
              </w:rPr>
              <w:t>dB(A)</w:t>
            </w:r>
          </w:p>
        </w:tc>
        <w:tc>
          <w:tcPr>
            <w:tcW w:w="442" w:type="dxa"/>
          </w:tcPr>
          <w:p w14:paraId="4B8F5483">
            <w:pPr>
              <w:pStyle w:val="14"/>
              <w:spacing w:before="20" w:line="270" w:lineRule="atLeast"/>
              <w:ind w:left="113" w:right="107"/>
              <w:rPr>
                <w:b/>
                <w:sz w:val="21"/>
              </w:rPr>
            </w:pPr>
            <w:r>
              <w:rPr>
                <w:b/>
                <w:sz w:val="21"/>
              </w:rPr>
              <w:t>特征</w:t>
            </w:r>
          </w:p>
        </w:tc>
      </w:tr>
      <w:tr w14:paraId="764A0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restart"/>
          </w:tcPr>
          <w:p w14:paraId="4FEDB516">
            <w:pPr>
              <w:pStyle w:val="14"/>
              <w:rPr>
                <w:b/>
                <w:sz w:val="20"/>
              </w:rPr>
            </w:pPr>
          </w:p>
          <w:p w14:paraId="5888864E">
            <w:pPr>
              <w:pStyle w:val="14"/>
              <w:spacing w:before="5"/>
              <w:rPr>
                <w:b/>
                <w:sz w:val="15"/>
              </w:rPr>
            </w:pPr>
          </w:p>
          <w:p w14:paraId="52B57C2E">
            <w:pPr>
              <w:pStyle w:val="14"/>
              <w:ind w:left="78"/>
              <w:rPr>
                <w:sz w:val="21"/>
              </w:rPr>
            </w:pPr>
            <w:r>
              <w:rPr>
                <w:sz w:val="21"/>
              </w:rPr>
              <w:t>暂养区</w:t>
            </w:r>
          </w:p>
        </w:tc>
        <w:tc>
          <w:tcPr>
            <w:tcW w:w="787" w:type="dxa"/>
          </w:tcPr>
          <w:p w14:paraId="328280C3">
            <w:pPr>
              <w:pStyle w:val="14"/>
              <w:spacing w:before="21" w:line="270" w:lineRule="atLeast"/>
              <w:ind w:left="287" w:right="67" w:hanging="209"/>
              <w:rPr>
                <w:sz w:val="21"/>
              </w:rPr>
            </w:pPr>
            <w:r>
              <w:rPr>
                <w:sz w:val="21"/>
              </w:rPr>
              <w:t>猪只叫声</w:t>
            </w:r>
          </w:p>
        </w:tc>
        <w:tc>
          <w:tcPr>
            <w:tcW w:w="441" w:type="dxa"/>
          </w:tcPr>
          <w:p w14:paraId="09EB4705">
            <w:pPr>
              <w:pStyle w:val="14"/>
              <w:spacing w:before="170"/>
              <w:ind w:right="175"/>
              <w:jc w:val="right"/>
              <w:rPr>
                <w:rFonts w:ascii="Times New Roman"/>
                <w:sz w:val="21"/>
              </w:rPr>
            </w:pPr>
            <w:r>
              <w:rPr>
                <w:rFonts w:ascii="Times New Roman"/>
                <w:w w:val="99"/>
                <w:sz w:val="21"/>
              </w:rPr>
              <w:t>-</w:t>
            </w:r>
          </w:p>
        </w:tc>
        <w:tc>
          <w:tcPr>
            <w:tcW w:w="1508" w:type="dxa"/>
          </w:tcPr>
          <w:p w14:paraId="13B899AA">
            <w:pPr>
              <w:pStyle w:val="14"/>
              <w:spacing w:before="170"/>
              <w:ind w:left="465" w:right="457"/>
              <w:jc w:val="center"/>
              <w:rPr>
                <w:rFonts w:ascii="Times New Roman"/>
                <w:sz w:val="21"/>
              </w:rPr>
            </w:pPr>
            <w:r>
              <w:rPr>
                <w:rFonts w:ascii="Times New Roman"/>
                <w:sz w:val="21"/>
              </w:rPr>
              <w:t>70~85</w:t>
            </w:r>
          </w:p>
        </w:tc>
        <w:tc>
          <w:tcPr>
            <w:tcW w:w="2390" w:type="dxa"/>
          </w:tcPr>
          <w:p w14:paraId="1D2E3E61">
            <w:pPr>
              <w:pStyle w:val="14"/>
              <w:spacing w:before="156"/>
              <w:ind w:left="273" w:right="267"/>
              <w:jc w:val="center"/>
              <w:rPr>
                <w:sz w:val="21"/>
              </w:rPr>
            </w:pPr>
            <w:r>
              <w:rPr>
                <w:sz w:val="21"/>
              </w:rPr>
              <w:t>厂房隔声</w:t>
            </w:r>
          </w:p>
        </w:tc>
        <w:tc>
          <w:tcPr>
            <w:tcW w:w="674" w:type="dxa"/>
          </w:tcPr>
          <w:p w14:paraId="78836B72">
            <w:pPr>
              <w:pStyle w:val="14"/>
              <w:spacing w:before="170"/>
              <w:ind w:left="211" w:right="200"/>
              <w:jc w:val="center"/>
              <w:rPr>
                <w:rFonts w:ascii="Times New Roman"/>
                <w:sz w:val="21"/>
              </w:rPr>
            </w:pPr>
            <w:r>
              <w:rPr>
                <w:rFonts w:ascii="Times New Roman"/>
                <w:sz w:val="21"/>
              </w:rPr>
              <w:t>15</w:t>
            </w:r>
          </w:p>
        </w:tc>
        <w:tc>
          <w:tcPr>
            <w:tcW w:w="1391" w:type="dxa"/>
          </w:tcPr>
          <w:p w14:paraId="22F43225">
            <w:pPr>
              <w:pStyle w:val="14"/>
              <w:spacing w:before="170"/>
              <w:ind w:left="41" w:right="31"/>
              <w:jc w:val="center"/>
              <w:rPr>
                <w:rFonts w:ascii="Times New Roman"/>
                <w:sz w:val="21"/>
              </w:rPr>
            </w:pPr>
            <w:r>
              <w:rPr>
                <w:rFonts w:ascii="Times New Roman"/>
                <w:sz w:val="21"/>
              </w:rPr>
              <w:t>70</w:t>
            </w:r>
          </w:p>
        </w:tc>
        <w:tc>
          <w:tcPr>
            <w:tcW w:w="442" w:type="dxa"/>
          </w:tcPr>
          <w:p w14:paraId="12A693DC">
            <w:pPr>
              <w:pStyle w:val="14"/>
              <w:spacing w:before="21" w:line="270" w:lineRule="atLeast"/>
              <w:ind w:left="116" w:right="104"/>
              <w:rPr>
                <w:sz w:val="21"/>
              </w:rPr>
            </w:pPr>
            <w:r>
              <w:rPr>
                <w:sz w:val="21"/>
              </w:rPr>
              <w:t>间断</w:t>
            </w:r>
          </w:p>
        </w:tc>
      </w:tr>
      <w:tr w14:paraId="51B19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87" w:type="dxa"/>
            <w:vMerge w:val="continue"/>
            <w:tcBorders>
              <w:top w:val="nil"/>
            </w:tcBorders>
          </w:tcPr>
          <w:p w14:paraId="5E6FAC17">
            <w:pPr>
              <w:rPr>
                <w:sz w:val="2"/>
                <w:szCs w:val="2"/>
              </w:rPr>
            </w:pPr>
          </w:p>
        </w:tc>
        <w:tc>
          <w:tcPr>
            <w:tcW w:w="787" w:type="dxa"/>
          </w:tcPr>
          <w:p w14:paraId="4DFD72CC">
            <w:pPr>
              <w:pStyle w:val="14"/>
              <w:spacing w:before="18" w:line="270" w:lineRule="atLeast"/>
              <w:ind w:left="287" w:right="67" w:hanging="209"/>
              <w:rPr>
                <w:sz w:val="21"/>
              </w:rPr>
            </w:pPr>
            <w:r>
              <w:rPr>
                <w:sz w:val="21"/>
              </w:rPr>
              <w:t>换气设备</w:t>
            </w:r>
          </w:p>
        </w:tc>
        <w:tc>
          <w:tcPr>
            <w:tcW w:w="441" w:type="dxa"/>
          </w:tcPr>
          <w:p w14:paraId="5E6D70F9">
            <w:pPr>
              <w:pStyle w:val="14"/>
              <w:spacing w:before="170"/>
              <w:ind w:right="156"/>
              <w:jc w:val="right"/>
              <w:rPr>
                <w:rFonts w:ascii="Times New Roman"/>
                <w:sz w:val="21"/>
              </w:rPr>
            </w:pPr>
            <w:r>
              <w:rPr>
                <w:rFonts w:ascii="Times New Roman"/>
                <w:w w:val="99"/>
                <w:sz w:val="21"/>
              </w:rPr>
              <w:t>2</w:t>
            </w:r>
          </w:p>
        </w:tc>
        <w:tc>
          <w:tcPr>
            <w:tcW w:w="1508" w:type="dxa"/>
          </w:tcPr>
          <w:p w14:paraId="5C8DB14B">
            <w:pPr>
              <w:pStyle w:val="14"/>
              <w:spacing w:before="170"/>
              <w:ind w:left="466" w:right="456"/>
              <w:jc w:val="center"/>
              <w:rPr>
                <w:rFonts w:ascii="Times New Roman"/>
                <w:sz w:val="21"/>
              </w:rPr>
            </w:pPr>
            <w:r>
              <w:rPr>
                <w:rFonts w:ascii="Times New Roman"/>
                <w:sz w:val="21"/>
              </w:rPr>
              <w:t>70~80</w:t>
            </w:r>
          </w:p>
        </w:tc>
        <w:tc>
          <w:tcPr>
            <w:tcW w:w="2390" w:type="dxa"/>
          </w:tcPr>
          <w:p w14:paraId="0787DB27">
            <w:pPr>
              <w:pStyle w:val="14"/>
              <w:spacing w:before="18" w:line="270" w:lineRule="atLeast"/>
              <w:ind w:left="985" w:right="134" w:hanging="840"/>
              <w:rPr>
                <w:sz w:val="21"/>
              </w:rPr>
            </w:pPr>
            <w:r>
              <w:rPr>
                <w:w w:val="95"/>
                <w:sz w:val="21"/>
              </w:rPr>
              <w:t>选用低噪声设备、隔声</w:t>
            </w:r>
            <w:r>
              <w:rPr>
                <w:sz w:val="21"/>
              </w:rPr>
              <w:t>机罩</w:t>
            </w:r>
          </w:p>
        </w:tc>
        <w:tc>
          <w:tcPr>
            <w:tcW w:w="674" w:type="dxa"/>
          </w:tcPr>
          <w:p w14:paraId="79741DBF">
            <w:pPr>
              <w:pStyle w:val="14"/>
              <w:spacing w:before="170"/>
              <w:ind w:left="211" w:right="200"/>
              <w:jc w:val="center"/>
              <w:rPr>
                <w:rFonts w:ascii="Times New Roman"/>
                <w:sz w:val="21"/>
              </w:rPr>
            </w:pPr>
            <w:r>
              <w:rPr>
                <w:rFonts w:ascii="Times New Roman"/>
                <w:sz w:val="21"/>
              </w:rPr>
              <w:t>20</w:t>
            </w:r>
          </w:p>
        </w:tc>
        <w:tc>
          <w:tcPr>
            <w:tcW w:w="1391" w:type="dxa"/>
          </w:tcPr>
          <w:p w14:paraId="7AEE5B87">
            <w:pPr>
              <w:pStyle w:val="14"/>
              <w:spacing w:before="170"/>
              <w:ind w:left="41" w:right="31"/>
              <w:jc w:val="center"/>
              <w:rPr>
                <w:rFonts w:ascii="Times New Roman"/>
                <w:sz w:val="21"/>
              </w:rPr>
            </w:pPr>
            <w:r>
              <w:rPr>
                <w:rFonts w:ascii="Times New Roman"/>
                <w:sz w:val="21"/>
              </w:rPr>
              <w:t>60</w:t>
            </w:r>
          </w:p>
        </w:tc>
        <w:tc>
          <w:tcPr>
            <w:tcW w:w="442" w:type="dxa"/>
          </w:tcPr>
          <w:p w14:paraId="768A5BB7">
            <w:pPr>
              <w:pStyle w:val="14"/>
              <w:spacing w:before="18" w:line="270" w:lineRule="atLeast"/>
              <w:ind w:left="116" w:right="104"/>
              <w:rPr>
                <w:sz w:val="21"/>
              </w:rPr>
            </w:pPr>
            <w:r>
              <w:rPr>
                <w:sz w:val="21"/>
              </w:rPr>
              <w:t>连续</w:t>
            </w:r>
          </w:p>
        </w:tc>
      </w:tr>
      <w:tr w14:paraId="5504C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restart"/>
          </w:tcPr>
          <w:p w14:paraId="563FB42D">
            <w:pPr>
              <w:pStyle w:val="14"/>
              <w:rPr>
                <w:b/>
                <w:sz w:val="20"/>
              </w:rPr>
            </w:pPr>
          </w:p>
          <w:p w14:paraId="494E66BF">
            <w:pPr>
              <w:pStyle w:val="14"/>
              <w:rPr>
                <w:b/>
                <w:sz w:val="20"/>
              </w:rPr>
            </w:pPr>
          </w:p>
          <w:p w14:paraId="239CBBBF">
            <w:pPr>
              <w:pStyle w:val="14"/>
              <w:rPr>
                <w:b/>
                <w:sz w:val="20"/>
              </w:rPr>
            </w:pPr>
          </w:p>
          <w:p w14:paraId="7989EE5C">
            <w:pPr>
              <w:pStyle w:val="14"/>
              <w:rPr>
                <w:b/>
                <w:sz w:val="20"/>
              </w:rPr>
            </w:pPr>
          </w:p>
          <w:p w14:paraId="20FD109A">
            <w:pPr>
              <w:pStyle w:val="14"/>
              <w:spacing w:before="6"/>
              <w:rPr>
                <w:b/>
                <w:sz w:val="14"/>
              </w:rPr>
            </w:pPr>
          </w:p>
          <w:p w14:paraId="71F98FE3">
            <w:pPr>
              <w:pStyle w:val="14"/>
              <w:spacing w:before="1" w:line="242" w:lineRule="auto"/>
              <w:ind w:left="287" w:right="67" w:hanging="209"/>
              <w:rPr>
                <w:sz w:val="21"/>
              </w:rPr>
            </w:pPr>
            <w:r>
              <w:rPr>
                <w:sz w:val="21"/>
              </w:rPr>
              <w:t>加工车间</w:t>
            </w:r>
          </w:p>
        </w:tc>
        <w:tc>
          <w:tcPr>
            <w:tcW w:w="787" w:type="dxa"/>
          </w:tcPr>
          <w:p w14:paraId="353EC7D7">
            <w:pPr>
              <w:pStyle w:val="14"/>
              <w:spacing w:before="20" w:line="242" w:lineRule="auto"/>
              <w:ind w:left="287" w:right="67" w:hanging="209"/>
              <w:rPr>
                <w:sz w:val="21"/>
              </w:rPr>
            </w:pPr>
            <w:r>
              <w:rPr>
                <w:sz w:val="21"/>
              </w:rPr>
              <w:t>猪只叫声</w:t>
            </w:r>
          </w:p>
        </w:tc>
        <w:tc>
          <w:tcPr>
            <w:tcW w:w="441" w:type="dxa"/>
          </w:tcPr>
          <w:p w14:paraId="12C533FF">
            <w:pPr>
              <w:pStyle w:val="14"/>
              <w:spacing w:before="171"/>
              <w:ind w:right="175"/>
              <w:jc w:val="right"/>
              <w:rPr>
                <w:rFonts w:ascii="Times New Roman"/>
                <w:sz w:val="21"/>
              </w:rPr>
            </w:pPr>
            <w:r>
              <w:rPr>
                <w:rFonts w:ascii="Times New Roman"/>
                <w:w w:val="99"/>
                <w:sz w:val="21"/>
              </w:rPr>
              <w:t>-</w:t>
            </w:r>
          </w:p>
        </w:tc>
        <w:tc>
          <w:tcPr>
            <w:tcW w:w="1508" w:type="dxa"/>
          </w:tcPr>
          <w:p w14:paraId="5A0C9EB6">
            <w:pPr>
              <w:pStyle w:val="14"/>
              <w:spacing w:before="171"/>
              <w:ind w:left="465" w:right="457"/>
              <w:jc w:val="center"/>
              <w:rPr>
                <w:rFonts w:ascii="Times New Roman"/>
                <w:sz w:val="21"/>
              </w:rPr>
            </w:pPr>
            <w:r>
              <w:rPr>
                <w:rFonts w:ascii="Times New Roman"/>
                <w:sz w:val="21"/>
              </w:rPr>
              <w:t>70~85</w:t>
            </w:r>
          </w:p>
        </w:tc>
        <w:tc>
          <w:tcPr>
            <w:tcW w:w="2390" w:type="dxa"/>
          </w:tcPr>
          <w:p w14:paraId="2CCBE0F2">
            <w:pPr>
              <w:pStyle w:val="14"/>
              <w:spacing w:before="155"/>
              <w:ind w:left="273" w:right="267"/>
              <w:jc w:val="center"/>
              <w:rPr>
                <w:sz w:val="21"/>
              </w:rPr>
            </w:pPr>
            <w:r>
              <w:rPr>
                <w:sz w:val="21"/>
              </w:rPr>
              <w:t>致昏</w:t>
            </w:r>
            <w:r>
              <w:rPr>
                <w:rFonts w:ascii="Times New Roman" w:eastAsia="Times New Roman"/>
                <w:sz w:val="21"/>
              </w:rPr>
              <w:t>+</w:t>
            </w:r>
            <w:r>
              <w:rPr>
                <w:sz w:val="21"/>
              </w:rPr>
              <w:t>密闭厂房隔音</w:t>
            </w:r>
          </w:p>
        </w:tc>
        <w:tc>
          <w:tcPr>
            <w:tcW w:w="674" w:type="dxa"/>
          </w:tcPr>
          <w:p w14:paraId="29693229">
            <w:pPr>
              <w:pStyle w:val="14"/>
              <w:spacing w:before="171"/>
              <w:ind w:left="211" w:right="200"/>
              <w:jc w:val="center"/>
              <w:rPr>
                <w:rFonts w:ascii="Times New Roman"/>
                <w:sz w:val="21"/>
              </w:rPr>
            </w:pPr>
            <w:r>
              <w:rPr>
                <w:rFonts w:ascii="Times New Roman"/>
                <w:sz w:val="21"/>
              </w:rPr>
              <w:t>20</w:t>
            </w:r>
          </w:p>
        </w:tc>
        <w:tc>
          <w:tcPr>
            <w:tcW w:w="1391" w:type="dxa"/>
          </w:tcPr>
          <w:p w14:paraId="1E626D8B">
            <w:pPr>
              <w:pStyle w:val="14"/>
              <w:spacing w:before="171"/>
              <w:ind w:left="41" w:right="31"/>
              <w:jc w:val="center"/>
              <w:rPr>
                <w:rFonts w:ascii="Times New Roman"/>
                <w:sz w:val="21"/>
              </w:rPr>
            </w:pPr>
            <w:r>
              <w:rPr>
                <w:rFonts w:ascii="Times New Roman"/>
                <w:sz w:val="21"/>
              </w:rPr>
              <w:t>65</w:t>
            </w:r>
          </w:p>
        </w:tc>
        <w:tc>
          <w:tcPr>
            <w:tcW w:w="442" w:type="dxa"/>
          </w:tcPr>
          <w:p w14:paraId="46F4D71B">
            <w:pPr>
              <w:pStyle w:val="14"/>
              <w:spacing w:before="20" w:line="242" w:lineRule="auto"/>
              <w:ind w:left="116" w:right="104"/>
              <w:rPr>
                <w:sz w:val="21"/>
              </w:rPr>
            </w:pPr>
            <w:r>
              <w:rPr>
                <w:sz w:val="21"/>
              </w:rPr>
              <w:t>间断</w:t>
            </w:r>
          </w:p>
        </w:tc>
      </w:tr>
      <w:tr w14:paraId="4F24F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continue"/>
            <w:tcBorders>
              <w:top w:val="nil"/>
            </w:tcBorders>
          </w:tcPr>
          <w:p w14:paraId="01F20775">
            <w:pPr>
              <w:rPr>
                <w:sz w:val="2"/>
                <w:szCs w:val="2"/>
              </w:rPr>
            </w:pPr>
          </w:p>
        </w:tc>
        <w:tc>
          <w:tcPr>
            <w:tcW w:w="787" w:type="dxa"/>
          </w:tcPr>
          <w:p w14:paraId="3D7EA576">
            <w:pPr>
              <w:pStyle w:val="14"/>
              <w:spacing w:before="155"/>
              <w:ind w:left="53" w:right="49"/>
              <w:jc w:val="center"/>
              <w:rPr>
                <w:sz w:val="21"/>
              </w:rPr>
            </w:pPr>
            <w:r>
              <w:rPr>
                <w:sz w:val="21"/>
              </w:rPr>
              <w:t>风机</w:t>
            </w:r>
          </w:p>
        </w:tc>
        <w:tc>
          <w:tcPr>
            <w:tcW w:w="441" w:type="dxa"/>
          </w:tcPr>
          <w:p w14:paraId="04B5DA95">
            <w:pPr>
              <w:pStyle w:val="14"/>
              <w:spacing w:before="171"/>
              <w:ind w:right="156"/>
              <w:jc w:val="right"/>
              <w:rPr>
                <w:rFonts w:ascii="Times New Roman"/>
                <w:sz w:val="21"/>
              </w:rPr>
            </w:pPr>
            <w:r>
              <w:rPr>
                <w:rFonts w:ascii="Times New Roman"/>
                <w:w w:val="99"/>
                <w:sz w:val="21"/>
              </w:rPr>
              <w:t>1</w:t>
            </w:r>
          </w:p>
        </w:tc>
        <w:tc>
          <w:tcPr>
            <w:tcW w:w="1508" w:type="dxa"/>
          </w:tcPr>
          <w:p w14:paraId="7E973332">
            <w:pPr>
              <w:pStyle w:val="14"/>
              <w:spacing w:before="171"/>
              <w:ind w:left="465" w:right="457"/>
              <w:jc w:val="center"/>
              <w:rPr>
                <w:rFonts w:ascii="Times New Roman"/>
                <w:sz w:val="21"/>
              </w:rPr>
            </w:pPr>
            <w:r>
              <w:rPr>
                <w:rFonts w:ascii="Times New Roman"/>
                <w:sz w:val="21"/>
              </w:rPr>
              <w:t>70~90</w:t>
            </w:r>
          </w:p>
        </w:tc>
        <w:tc>
          <w:tcPr>
            <w:tcW w:w="2390" w:type="dxa"/>
          </w:tcPr>
          <w:p w14:paraId="2FC23618">
            <w:pPr>
              <w:pStyle w:val="14"/>
              <w:spacing w:before="21" w:line="242" w:lineRule="auto"/>
              <w:ind w:left="985" w:right="134" w:hanging="840"/>
              <w:rPr>
                <w:sz w:val="21"/>
              </w:rPr>
            </w:pPr>
            <w:r>
              <w:rPr>
                <w:w w:val="95"/>
                <w:sz w:val="21"/>
              </w:rPr>
              <w:t>选用低噪声设备、隔声</w:t>
            </w:r>
            <w:r>
              <w:rPr>
                <w:sz w:val="21"/>
              </w:rPr>
              <w:t>机罩</w:t>
            </w:r>
          </w:p>
        </w:tc>
        <w:tc>
          <w:tcPr>
            <w:tcW w:w="674" w:type="dxa"/>
          </w:tcPr>
          <w:p w14:paraId="185E074F">
            <w:pPr>
              <w:pStyle w:val="14"/>
              <w:spacing w:before="171"/>
              <w:ind w:left="211" w:right="200"/>
              <w:jc w:val="center"/>
              <w:rPr>
                <w:rFonts w:ascii="Times New Roman"/>
                <w:sz w:val="21"/>
              </w:rPr>
            </w:pPr>
            <w:r>
              <w:rPr>
                <w:rFonts w:ascii="Times New Roman"/>
                <w:sz w:val="21"/>
              </w:rPr>
              <w:t>20</w:t>
            </w:r>
          </w:p>
        </w:tc>
        <w:tc>
          <w:tcPr>
            <w:tcW w:w="1391" w:type="dxa"/>
          </w:tcPr>
          <w:p w14:paraId="0EE76AC1">
            <w:pPr>
              <w:pStyle w:val="14"/>
              <w:spacing w:before="171"/>
              <w:ind w:left="41" w:right="34"/>
              <w:jc w:val="center"/>
              <w:rPr>
                <w:rFonts w:ascii="Times New Roman"/>
                <w:sz w:val="21"/>
              </w:rPr>
            </w:pPr>
            <w:r>
              <w:rPr>
                <w:rFonts w:ascii="Times New Roman"/>
                <w:sz w:val="21"/>
              </w:rPr>
              <w:t>70</w:t>
            </w:r>
          </w:p>
        </w:tc>
        <w:tc>
          <w:tcPr>
            <w:tcW w:w="442" w:type="dxa"/>
          </w:tcPr>
          <w:p w14:paraId="260B4EE1">
            <w:pPr>
              <w:pStyle w:val="14"/>
              <w:spacing w:before="21" w:line="242" w:lineRule="auto"/>
              <w:ind w:left="116" w:right="104"/>
              <w:rPr>
                <w:sz w:val="21"/>
              </w:rPr>
            </w:pPr>
            <w:r>
              <w:rPr>
                <w:sz w:val="21"/>
              </w:rPr>
              <w:t>连续</w:t>
            </w:r>
          </w:p>
        </w:tc>
      </w:tr>
      <w:tr w14:paraId="750FB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787" w:type="dxa"/>
            <w:vMerge w:val="continue"/>
            <w:tcBorders>
              <w:top w:val="nil"/>
            </w:tcBorders>
          </w:tcPr>
          <w:p w14:paraId="1643BACD">
            <w:pPr>
              <w:rPr>
                <w:sz w:val="2"/>
                <w:szCs w:val="2"/>
              </w:rPr>
            </w:pPr>
          </w:p>
        </w:tc>
        <w:tc>
          <w:tcPr>
            <w:tcW w:w="787" w:type="dxa"/>
          </w:tcPr>
          <w:p w14:paraId="262B4538">
            <w:pPr>
              <w:pStyle w:val="14"/>
              <w:spacing w:before="155"/>
              <w:ind w:left="55" w:right="46"/>
              <w:jc w:val="center"/>
              <w:rPr>
                <w:sz w:val="21"/>
              </w:rPr>
            </w:pPr>
            <w:r>
              <w:rPr>
                <w:sz w:val="21"/>
              </w:rPr>
              <w:t>刨毛机</w:t>
            </w:r>
          </w:p>
        </w:tc>
        <w:tc>
          <w:tcPr>
            <w:tcW w:w="441" w:type="dxa"/>
          </w:tcPr>
          <w:p w14:paraId="78977017">
            <w:pPr>
              <w:pStyle w:val="14"/>
              <w:spacing w:before="169"/>
              <w:ind w:right="156"/>
              <w:jc w:val="right"/>
              <w:rPr>
                <w:rFonts w:ascii="Times New Roman"/>
                <w:sz w:val="21"/>
              </w:rPr>
            </w:pPr>
            <w:r>
              <w:rPr>
                <w:rFonts w:ascii="Times New Roman"/>
                <w:w w:val="99"/>
                <w:sz w:val="21"/>
              </w:rPr>
              <w:t>2</w:t>
            </w:r>
          </w:p>
        </w:tc>
        <w:tc>
          <w:tcPr>
            <w:tcW w:w="1508" w:type="dxa"/>
          </w:tcPr>
          <w:p w14:paraId="4DBA0FBA">
            <w:pPr>
              <w:pStyle w:val="14"/>
              <w:spacing w:before="169"/>
              <w:ind w:left="466" w:right="456"/>
              <w:jc w:val="center"/>
              <w:rPr>
                <w:rFonts w:ascii="Times New Roman"/>
                <w:sz w:val="21"/>
              </w:rPr>
            </w:pPr>
            <w:r>
              <w:rPr>
                <w:rFonts w:ascii="Times New Roman"/>
                <w:sz w:val="21"/>
              </w:rPr>
              <w:t>70~80</w:t>
            </w:r>
          </w:p>
        </w:tc>
        <w:tc>
          <w:tcPr>
            <w:tcW w:w="2390" w:type="dxa"/>
          </w:tcPr>
          <w:p w14:paraId="218B803B">
            <w:pPr>
              <w:pStyle w:val="14"/>
              <w:spacing w:before="20" w:line="270" w:lineRule="atLeast"/>
              <w:ind w:left="460" w:right="134" w:hanging="315"/>
              <w:rPr>
                <w:sz w:val="21"/>
              </w:rPr>
            </w:pPr>
            <w:r>
              <w:rPr>
                <w:w w:val="95"/>
                <w:sz w:val="21"/>
              </w:rPr>
              <w:t>选用低噪声设备、距离</w:t>
            </w:r>
            <w:r>
              <w:rPr>
                <w:sz w:val="21"/>
              </w:rPr>
              <w:t>衰减、厂房隔声</w:t>
            </w:r>
          </w:p>
        </w:tc>
        <w:tc>
          <w:tcPr>
            <w:tcW w:w="674" w:type="dxa"/>
          </w:tcPr>
          <w:p w14:paraId="3C9BCA3F">
            <w:pPr>
              <w:pStyle w:val="14"/>
              <w:spacing w:before="169"/>
              <w:ind w:left="209" w:right="201"/>
              <w:jc w:val="center"/>
              <w:rPr>
                <w:rFonts w:ascii="Times New Roman"/>
                <w:sz w:val="21"/>
              </w:rPr>
            </w:pPr>
            <w:r>
              <w:rPr>
                <w:rFonts w:ascii="Times New Roman"/>
                <w:sz w:val="21"/>
              </w:rPr>
              <w:t>30</w:t>
            </w:r>
          </w:p>
        </w:tc>
        <w:tc>
          <w:tcPr>
            <w:tcW w:w="1391" w:type="dxa"/>
          </w:tcPr>
          <w:p w14:paraId="7840D9B0">
            <w:pPr>
              <w:pStyle w:val="14"/>
              <w:spacing w:before="169"/>
              <w:ind w:left="41" w:right="31"/>
              <w:jc w:val="center"/>
              <w:rPr>
                <w:rFonts w:ascii="Times New Roman"/>
                <w:sz w:val="21"/>
              </w:rPr>
            </w:pPr>
            <w:r>
              <w:rPr>
                <w:rFonts w:ascii="Times New Roman"/>
                <w:sz w:val="21"/>
              </w:rPr>
              <w:t>50</w:t>
            </w:r>
          </w:p>
        </w:tc>
        <w:tc>
          <w:tcPr>
            <w:tcW w:w="442" w:type="dxa"/>
          </w:tcPr>
          <w:p w14:paraId="4CC2669B">
            <w:pPr>
              <w:pStyle w:val="14"/>
              <w:spacing w:before="20" w:line="270" w:lineRule="atLeast"/>
              <w:ind w:left="116" w:right="104"/>
              <w:rPr>
                <w:sz w:val="21"/>
              </w:rPr>
            </w:pPr>
            <w:r>
              <w:rPr>
                <w:sz w:val="21"/>
              </w:rPr>
              <w:t>间断</w:t>
            </w:r>
          </w:p>
        </w:tc>
      </w:tr>
      <w:tr w14:paraId="71EAA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continue"/>
            <w:tcBorders>
              <w:top w:val="nil"/>
            </w:tcBorders>
          </w:tcPr>
          <w:p w14:paraId="5F1AB00C">
            <w:pPr>
              <w:rPr>
                <w:sz w:val="2"/>
                <w:szCs w:val="2"/>
              </w:rPr>
            </w:pPr>
          </w:p>
        </w:tc>
        <w:tc>
          <w:tcPr>
            <w:tcW w:w="787" w:type="dxa"/>
          </w:tcPr>
          <w:p w14:paraId="1846A976">
            <w:pPr>
              <w:pStyle w:val="14"/>
              <w:spacing w:before="156"/>
              <w:ind w:left="55" w:right="46"/>
              <w:jc w:val="center"/>
              <w:rPr>
                <w:sz w:val="21"/>
              </w:rPr>
            </w:pPr>
            <w:r>
              <w:rPr>
                <w:sz w:val="21"/>
              </w:rPr>
              <w:t>洗猪机</w:t>
            </w:r>
          </w:p>
        </w:tc>
        <w:tc>
          <w:tcPr>
            <w:tcW w:w="441" w:type="dxa"/>
          </w:tcPr>
          <w:p w14:paraId="13783B98">
            <w:pPr>
              <w:pStyle w:val="14"/>
              <w:spacing w:before="170"/>
              <w:ind w:right="156"/>
              <w:jc w:val="right"/>
              <w:rPr>
                <w:rFonts w:ascii="Times New Roman"/>
                <w:sz w:val="21"/>
              </w:rPr>
            </w:pPr>
            <w:r>
              <w:rPr>
                <w:rFonts w:ascii="Times New Roman"/>
                <w:w w:val="99"/>
                <w:sz w:val="21"/>
              </w:rPr>
              <w:t>2</w:t>
            </w:r>
          </w:p>
        </w:tc>
        <w:tc>
          <w:tcPr>
            <w:tcW w:w="1508" w:type="dxa"/>
          </w:tcPr>
          <w:p w14:paraId="77BBDE55">
            <w:pPr>
              <w:pStyle w:val="14"/>
              <w:spacing w:before="170"/>
              <w:ind w:left="466" w:right="456"/>
              <w:jc w:val="center"/>
              <w:rPr>
                <w:rFonts w:ascii="Times New Roman"/>
                <w:sz w:val="21"/>
              </w:rPr>
            </w:pPr>
            <w:r>
              <w:rPr>
                <w:rFonts w:ascii="Times New Roman"/>
                <w:sz w:val="21"/>
              </w:rPr>
              <w:t>70~80</w:t>
            </w:r>
          </w:p>
        </w:tc>
        <w:tc>
          <w:tcPr>
            <w:tcW w:w="2390" w:type="dxa"/>
          </w:tcPr>
          <w:p w14:paraId="5DCE6A2A">
            <w:pPr>
              <w:pStyle w:val="14"/>
              <w:spacing w:before="19" w:line="270" w:lineRule="atLeast"/>
              <w:ind w:left="460" w:right="134" w:hanging="315"/>
              <w:rPr>
                <w:sz w:val="21"/>
              </w:rPr>
            </w:pPr>
            <w:r>
              <w:rPr>
                <w:w w:val="95"/>
                <w:sz w:val="21"/>
              </w:rPr>
              <w:t>选用低噪声设备、距离</w:t>
            </w:r>
            <w:r>
              <w:rPr>
                <w:sz w:val="21"/>
              </w:rPr>
              <w:t>衰减、厂房隔声</w:t>
            </w:r>
          </w:p>
        </w:tc>
        <w:tc>
          <w:tcPr>
            <w:tcW w:w="674" w:type="dxa"/>
          </w:tcPr>
          <w:p w14:paraId="51B140AF">
            <w:pPr>
              <w:pStyle w:val="14"/>
              <w:spacing w:before="170"/>
              <w:ind w:left="209" w:right="201"/>
              <w:jc w:val="center"/>
              <w:rPr>
                <w:rFonts w:ascii="Times New Roman"/>
                <w:sz w:val="21"/>
              </w:rPr>
            </w:pPr>
            <w:r>
              <w:rPr>
                <w:rFonts w:ascii="Times New Roman"/>
                <w:sz w:val="21"/>
              </w:rPr>
              <w:t>30</w:t>
            </w:r>
          </w:p>
        </w:tc>
        <w:tc>
          <w:tcPr>
            <w:tcW w:w="1391" w:type="dxa"/>
          </w:tcPr>
          <w:p w14:paraId="401CB943">
            <w:pPr>
              <w:pStyle w:val="14"/>
              <w:spacing w:before="170"/>
              <w:ind w:left="41" w:right="31"/>
              <w:jc w:val="center"/>
              <w:rPr>
                <w:rFonts w:ascii="Times New Roman"/>
                <w:sz w:val="21"/>
              </w:rPr>
            </w:pPr>
            <w:r>
              <w:rPr>
                <w:rFonts w:ascii="Times New Roman"/>
                <w:sz w:val="21"/>
              </w:rPr>
              <w:t>50</w:t>
            </w:r>
          </w:p>
        </w:tc>
        <w:tc>
          <w:tcPr>
            <w:tcW w:w="442" w:type="dxa"/>
          </w:tcPr>
          <w:p w14:paraId="231E44F7">
            <w:pPr>
              <w:pStyle w:val="14"/>
              <w:spacing w:before="19" w:line="270" w:lineRule="atLeast"/>
              <w:ind w:left="116" w:right="104"/>
              <w:rPr>
                <w:sz w:val="21"/>
              </w:rPr>
            </w:pPr>
            <w:r>
              <w:rPr>
                <w:sz w:val="21"/>
              </w:rPr>
              <w:t>间断</w:t>
            </w:r>
          </w:p>
        </w:tc>
      </w:tr>
      <w:tr w14:paraId="4ED62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continue"/>
            <w:tcBorders>
              <w:top w:val="nil"/>
            </w:tcBorders>
          </w:tcPr>
          <w:p w14:paraId="368ACFDE">
            <w:pPr>
              <w:rPr>
                <w:sz w:val="2"/>
                <w:szCs w:val="2"/>
              </w:rPr>
            </w:pPr>
          </w:p>
        </w:tc>
        <w:tc>
          <w:tcPr>
            <w:tcW w:w="787" w:type="dxa"/>
          </w:tcPr>
          <w:p w14:paraId="1C9B639F">
            <w:pPr>
              <w:pStyle w:val="14"/>
              <w:spacing w:before="157"/>
              <w:ind w:left="55" w:right="46"/>
              <w:jc w:val="center"/>
              <w:rPr>
                <w:sz w:val="21"/>
              </w:rPr>
            </w:pPr>
            <w:r>
              <w:rPr>
                <w:sz w:val="21"/>
              </w:rPr>
              <w:t>输送机</w:t>
            </w:r>
          </w:p>
        </w:tc>
        <w:tc>
          <w:tcPr>
            <w:tcW w:w="441" w:type="dxa"/>
          </w:tcPr>
          <w:p w14:paraId="1DDFA9C6">
            <w:pPr>
              <w:pStyle w:val="14"/>
              <w:spacing w:before="171"/>
              <w:ind w:right="156"/>
              <w:jc w:val="right"/>
              <w:rPr>
                <w:rFonts w:ascii="Times New Roman"/>
                <w:sz w:val="21"/>
              </w:rPr>
            </w:pPr>
            <w:r>
              <w:rPr>
                <w:rFonts w:ascii="Times New Roman"/>
                <w:w w:val="99"/>
                <w:sz w:val="21"/>
              </w:rPr>
              <w:t>2</w:t>
            </w:r>
          </w:p>
        </w:tc>
        <w:tc>
          <w:tcPr>
            <w:tcW w:w="1508" w:type="dxa"/>
          </w:tcPr>
          <w:p w14:paraId="17785FFA">
            <w:pPr>
              <w:pStyle w:val="14"/>
              <w:spacing w:before="171"/>
              <w:ind w:left="466" w:right="456"/>
              <w:jc w:val="center"/>
              <w:rPr>
                <w:rFonts w:ascii="Times New Roman"/>
                <w:sz w:val="21"/>
              </w:rPr>
            </w:pPr>
            <w:r>
              <w:rPr>
                <w:rFonts w:ascii="Times New Roman"/>
                <w:sz w:val="21"/>
              </w:rPr>
              <w:t>80~90</w:t>
            </w:r>
          </w:p>
        </w:tc>
        <w:tc>
          <w:tcPr>
            <w:tcW w:w="2390" w:type="dxa"/>
          </w:tcPr>
          <w:p w14:paraId="089A535D">
            <w:pPr>
              <w:pStyle w:val="14"/>
              <w:spacing w:before="19" w:line="270" w:lineRule="atLeast"/>
              <w:ind w:left="460" w:right="134" w:hanging="315"/>
              <w:rPr>
                <w:sz w:val="21"/>
              </w:rPr>
            </w:pPr>
            <w:r>
              <w:rPr>
                <w:w w:val="95"/>
                <w:sz w:val="21"/>
              </w:rPr>
              <w:t>选用低噪声设备、距离</w:t>
            </w:r>
            <w:r>
              <w:rPr>
                <w:sz w:val="21"/>
              </w:rPr>
              <w:t>衰减、厂房隔声</w:t>
            </w:r>
          </w:p>
        </w:tc>
        <w:tc>
          <w:tcPr>
            <w:tcW w:w="674" w:type="dxa"/>
          </w:tcPr>
          <w:p w14:paraId="67EDF0DB">
            <w:pPr>
              <w:pStyle w:val="14"/>
              <w:spacing w:before="171"/>
              <w:ind w:left="209" w:right="201"/>
              <w:jc w:val="center"/>
              <w:rPr>
                <w:rFonts w:ascii="Times New Roman"/>
                <w:sz w:val="21"/>
              </w:rPr>
            </w:pPr>
            <w:r>
              <w:rPr>
                <w:rFonts w:ascii="Times New Roman"/>
                <w:sz w:val="21"/>
              </w:rPr>
              <w:t>30</w:t>
            </w:r>
          </w:p>
        </w:tc>
        <w:tc>
          <w:tcPr>
            <w:tcW w:w="1391" w:type="dxa"/>
          </w:tcPr>
          <w:p w14:paraId="591BA664">
            <w:pPr>
              <w:pStyle w:val="14"/>
              <w:spacing w:before="171"/>
              <w:ind w:left="41" w:right="31"/>
              <w:jc w:val="center"/>
              <w:rPr>
                <w:rFonts w:ascii="Times New Roman"/>
                <w:sz w:val="21"/>
              </w:rPr>
            </w:pPr>
            <w:r>
              <w:rPr>
                <w:rFonts w:ascii="Times New Roman"/>
                <w:sz w:val="21"/>
              </w:rPr>
              <w:t>60</w:t>
            </w:r>
          </w:p>
        </w:tc>
        <w:tc>
          <w:tcPr>
            <w:tcW w:w="442" w:type="dxa"/>
          </w:tcPr>
          <w:p w14:paraId="67A0832E">
            <w:pPr>
              <w:pStyle w:val="14"/>
              <w:spacing w:before="19" w:line="270" w:lineRule="atLeast"/>
              <w:ind w:left="116" w:right="104"/>
              <w:rPr>
                <w:sz w:val="21"/>
              </w:rPr>
            </w:pPr>
            <w:r>
              <w:rPr>
                <w:sz w:val="21"/>
              </w:rPr>
              <w:t>间断</w:t>
            </w:r>
          </w:p>
        </w:tc>
      </w:tr>
      <w:tr w14:paraId="2C484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restart"/>
          </w:tcPr>
          <w:p w14:paraId="5BB0E347">
            <w:pPr>
              <w:pStyle w:val="14"/>
              <w:spacing w:before="44" w:line="242" w:lineRule="auto"/>
              <w:ind w:left="181" w:right="67" w:hanging="104"/>
              <w:rPr>
                <w:sz w:val="21"/>
              </w:rPr>
            </w:pPr>
            <w:r>
              <w:rPr>
                <w:sz w:val="21"/>
              </w:rPr>
              <w:t>污水处理站</w:t>
            </w:r>
          </w:p>
          <w:p w14:paraId="155FD35F">
            <w:pPr>
              <w:pStyle w:val="14"/>
              <w:spacing w:before="1" w:line="242" w:lineRule="auto"/>
              <w:ind w:left="181" w:right="67" w:hanging="104"/>
              <w:rPr>
                <w:sz w:val="21"/>
              </w:rPr>
            </w:pPr>
            <w:r>
              <w:rPr>
                <w:sz w:val="21"/>
              </w:rPr>
              <w:t>（地埋式）</w:t>
            </w:r>
          </w:p>
        </w:tc>
        <w:tc>
          <w:tcPr>
            <w:tcW w:w="787" w:type="dxa"/>
          </w:tcPr>
          <w:p w14:paraId="247870CE">
            <w:pPr>
              <w:pStyle w:val="14"/>
              <w:spacing w:before="155"/>
              <w:ind w:left="53" w:right="49"/>
              <w:jc w:val="center"/>
              <w:rPr>
                <w:sz w:val="21"/>
              </w:rPr>
            </w:pPr>
            <w:r>
              <w:rPr>
                <w:sz w:val="21"/>
              </w:rPr>
              <w:t>泵类</w:t>
            </w:r>
          </w:p>
        </w:tc>
        <w:tc>
          <w:tcPr>
            <w:tcW w:w="441" w:type="dxa"/>
          </w:tcPr>
          <w:p w14:paraId="497C4FC0">
            <w:pPr>
              <w:pStyle w:val="14"/>
              <w:spacing w:before="171"/>
              <w:ind w:right="156"/>
              <w:jc w:val="right"/>
              <w:rPr>
                <w:rFonts w:ascii="Times New Roman"/>
                <w:sz w:val="21"/>
              </w:rPr>
            </w:pPr>
            <w:r>
              <w:rPr>
                <w:rFonts w:ascii="Times New Roman"/>
                <w:w w:val="99"/>
                <w:sz w:val="21"/>
              </w:rPr>
              <w:t>8</w:t>
            </w:r>
          </w:p>
        </w:tc>
        <w:tc>
          <w:tcPr>
            <w:tcW w:w="1508" w:type="dxa"/>
          </w:tcPr>
          <w:p w14:paraId="642B4778">
            <w:pPr>
              <w:pStyle w:val="14"/>
              <w:spacing w:before="171"/>
              <w:ind w:left="466" w:right="456"/>
              <w:jc w:val="center"/>
              <w:rPr>
                <w:rFonts w:ascii="Times New Roman"/>
                <w:sz w:val="21"/>
              </w:rPr>
            </w:pPr>
            <w:r>
              <w:rPr>
                <w:rFonts w:ascii="Times New Roman"/>
                <w:sz w:val="21"/>
              </w:rPr>
              <w:t>65~75</w:t>
            </w:r>
          </w:p>
        </w:tc>
        <w:tc>
          <w:tcPr>
            <w:tcW w:w="2390" w:type="dxa"/>
          </w:tcPr>
          <w:p w14:paraId="011C8836">
            <w:pPr>
              <w:pStyle w:val="14"/>
              <w:spacing w:before="20" w:line="242" w:lineRule="auto"/>
              <w:ind w:left="774" w:right="134" w:hanging="629"/>
              <w:rPr>
                <w:sz w:val="21"/>
              </w:rPr>
            </w:pPr>
            <w:r>
              <w:rPr>
                <w:w w:val="95"/>
                <w:sz w:val="21"/>
              </w:rPr>
              <w:t>选用低噪声设备、地埋</w:t>
            </w:r>
            <w:r>
              <w:rPr>
                <w:sz w:val="21"/>
              </w:rPr>
              <w:t>降噪隔声</w:t>
            </w:r>
          </w:p>
        </w:tc>
        <w:tc>
          <w:tcPr>
            <w:tcW w:w="674" w:type="dxa"/>
          </w:tcPr>
          <w:p w14:paraId="36F34971">
            <w:pPr>
              <w:pStyle w:val="14"/>
              <w:spacing w:before="171"/>
              <w:ind w:left="209" w:right="201"/>
              <w:jc w:val="center"/>
              <w:rPr>
                <w:rFonts w:ascii="Times New Roman"/>
                <w:sz w:val="21"/>
              </w:rPr>
            </w:pPr>
            <w:r>
              <w:rPr>
                <w:rFonts w:ascii="Times New Roman"/>
                <w:sz w:val="21"/>
              </w:rPr>
              <w:t>30</w:t>
            </w:r>
          </w:p>
        </w:tc>
        <w:tc>
          <w:tcPr>
            <w:tcW w:w="1391" w:type="dxa"/>
          </w:tcPr>
          <w:p w14:paraId="73C4EEB7">
            <w:pPr>
              <w:pStyle w:val="14"/>
              <w:spacing w:before="171"/>
              <w:ind w:left="41" w:right="31"/>
              <w:jc w:val="center"/>
              <w:rPr>
                <w:rFonts w:ascii="Times New Roman"/>
                <w:sz w:val="21"/>
              </w:rPr>
            </w:pPr>
            <w:r>
              <w:rPr>
                <w:rFonts w:ascii="Times New Roman"/>
                <w:sz w:val="21"/>
              </w:rPr>
              <w:t>45</w:t>
            </w:r>
          </w:p>
        </w:tc>
        <w:tc>
          <w:tcPr>
            <w:tcW w:w="442" w:type="dxa"/>
          </w:tcPr>
          <w:p w14:paraId="34F70BB7">
            <w:pPr>
              <w:pStyle w:val="14"/>
              <w:spacing w:before="20" w:line="242" w:lineRule="auto"/>
              <w:ind w:left="116" w:right="104"/>
              <w:rPr>
                <w:sz w:val="21"/>
              </w:rPr>
            </w:pPr>
            <w:r>
              <w:rPr>
                <w:sz w:val="21"/>
              </w:rPr>
              <w:t>连续</w:t>
            </w:r>
          </w:p>
        </w:tc>
      </w:tr>
      <w:tr w14:paraId="7E242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87" w:type="dxa"/>
            <w:vMerge w:val="continue"/>
            <w:tcBorders>
              <w:top w:val="nil"/>
            </w:tcBorders>
          </w:tcPr>
          <w:p w14:paraId="373ADE0D">
            <w:pPr>
              <w:rPr>
                <w:sz w:val="2"/>
                <w:szCs w:val="2"/>
              </w:rPr>
            </w:pPr>
          </w:p>
        </w:tc>
        <w:tc>
          <w:tcPr>
            <w:tcW w:w="787" w:type="dxa"/>
          </w:tcPr>
          <w:p w14:paraId="2048E0E2">
            <w:pPr>
              <w:pStyle w:val="14"/>
              <w:spacing w:before="19" w:line="270" w:lineRule="atLeast"/>
              <w:ind w:left="181" w:right="67" w:hanging="104"/>
              <w:rPr>
                <w:sz w:val="21"/>
              </w:rPr>
            </w:pPr>
            <w:r>
              <w:rPr>
                <w:sz w:val="21"/>
              </w:rPr>
              <w:t>固液分离机</w:t>
            </w:r>
          </w:p>
        </w:tc>
        <w:tc>
          <w:tcPr>
            <w:tcW w:w="441" w:type="dxa"/>
          </w:tcPr>
          <w:p w14:paraId="2FC65F6A">
            <w:pPr>
              <w:pStyle w:val="14"/>
              <w:spacing w:before="169"/>
              <w:ind w:right="156"/>
              <w:jc w:val="right"/>
              <w:rPr>
                <w:rFonts w:ascii="Times New Roman"/>
                <w:sz w:val="21"/>
              </w:rPr>
            </w:pPr>
            <w:r>
              <w:rPr>
                <w:rFonts w:ascii="Times New Roman"/>
                <w:w w:val="99"/>
                <w:sz w:val="21"/>
              </w:rPr>
              <w:t>1</w:t>
            </w:r>
          </w:p>
        </w:tc>
        <w:tc>
          <w:tcPr>
            <w:tcW w:w="1508" w:type="dxa"/>
          </w:tcPr>
          <w:p w14:paraId="1E3745B8">
            <w:pPr>
              <w:pStyle w:val="14"/>
              <w:spacing w:before="169"/>
              <w:ind w:left="466" w:right="456"/>
              <w:jc w:val="center"/>
              <w:rPr>
                <w:rFonts w:ascii="Times New Roman"/>
                <w:sz w:val="21"/>
              </w:rPr>
            </w:pPr>
            <w:r>
              <w:rPr>
                <w:rFonts w:ascii="Times New Roman"/>
                <w:sz w:val="21"/>
              </w:rPr>
              <w:t>70~80</w:t>
            </w:r>
          </w:p>
        </w:tc>
        <w:tc>
          <w:tcPr>
            <w:tcW w:w="2390" w:type="dxa"/>
          </w:tcPr>
          <w:p w14:paraId="633A6792">
            <w:pPr>
              <w:pStyle w:val="14"/>
              <w:spacing w:before="19" w:line="270" w:lineRule="atLeast"/>
              <w:ind w:left="774" w:right="134" w:hanging="629"/>
              <w:rPr>
                <w:sz w:val="21"/>
              </w:rPr>
            </w:pPr>
            <w:r>
              <w:rPr>
                <w:w w:val="95"/>
                <w:sz w:val="21"/>
              </w:rPr>
              <w:t>选用低噪声设备、地埋</w:t>
            </w:r>
            <w:r>
              <w:rPr>
                <w:sz w:val="21"/>
              </w:rPr>
              <w:t>降噪隔声</w:t>
            </w:r>
          </w:p>
        </w:tc>
        <w:tc>
          <w:tcPr>
            <w:tcW w:w="674" w:type="dxa"/>
          </w:tcPr>
          <w:p w14:paraId="12DE4854">
            <w:pPr>
              <w:pStyle w:val="14"/>
              <w:spacing w:before="169"/>
              <w:ind w:left="209" w:right="201"/>
              <w:jc w:val="center"/>
              <w:rPr>
                <w:rFonts w:ascii="Times New Roman"/>
                <w:sz w:val="21"/>
              </w:rPr>
            </w:pPr>
            <w:r>
              <w:rPr>
                <w:rFonts w:ascii="Times New Roman"/>
                <w:sz w:val="21"/>
              </w:rPr>
              <w:t>25</w:t>
            </w:r>
          </w:p>
        </w:tc>
        <w:tc>
          <w:tcPr>
            <w:tcW w:w="1391" w:type="dxa"/>
          </w:tcPr>
          <w:p w14:paraId="504B2138">
            <w:pPr>
              <w:pStyle w:val="14"/>
              <w:spacing w:before="169"/>
              <w:ind w:left="41" w:right="31"/>
              <w:jc w:val="center"/>
              <w:rPr>
                <w:rFonts w:ascii="Times New Roman"/>
                <w:sz w:val="21"/>
              </w:rPr>
            </w:pPr>
            <w:r>
              <w:rPr>
                <w:rFonts w:ascii="Times New Roman"/>
                <w:sz w:val="21"/>
              </w:rPr>
              <w:t>55</w:t>
            </w:r>
          </w:p>
        </w:tc>
        <w:tc>
          <w:tcPr>
            <w:tcW w:w="442" w:type="dxa"/>
          </w:tcPr>
          <w:p w14:paraId="22854125">
            <w:pPr>
              <w:pStyle w:val="14"/>
              <w:spacing w:before="19" w:line="270" w:lineRule="atLeast"/>
              <w:ind w:left="116" w:right="104"/>
              <w:rPr>
                <w:sz w:val="21"/>
              </w:rPr>
            </w:pPr>
            <w:r>
              <w:rPr>
                <w:sz w:val="21"/>
              </w:rPr>
              <w:t>连续</w:t>
            </w:r>
          </w:p>
        </w:tc>
      </w:tr>
    </w:tbl>
    <w:p w14:paraId="21BC34FE">
      <w:pPr>
        <w:spacing w:after="0" w:line="270" w:lineRule="atLeast"/>
        <w:rPr>
          <w:sz w:val="21"/>
        </w:rPr>
        <w:sectPr>
          <w:pgSz w:w="11910" w:h="16840"/>
          <w:pgMar w:top="1360" w:right="1320" w:bottom="1400" w:left="1340" w:header="878" w:footer="1204" w:gutter="0"/>
          <w:cols w:space="720" w:num="1"/>
        </w:sectPr>
      </w:pPr>
    </w:p>
    <w:p w14:paraId="0986EFF6">
      <w:pPr>
        <w:pStyle w:val="7"/>
        <w:spacing w:before="3"/>
        <w:rPr>
          <w:b/>
          <w:sz w:val="5"/>
        </w:rPr>
      </w:pPr>
    </w:p>
    <w:tbl>
      <w:tblPr>
        <w:tblStyle w:val="10"/>
        <w:tblW w:w="0" w:type="auto"/>
        <w:tblInd w:w="4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787"/>
        <w:gridCol w:w="441"/>
        <w:gridCol w:w="1508"/>
        <w:gridCol w:w="2390"/>
        <w:gridCol w:w="674"/>
        <w:gridCol w:w="1391"/>
        <w:gridCol w:w="442"/>
      </w:tblGrid>
      <w:tr w14:paraId="06613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vMerge w:val="restart"/>
          </w:tcPr>
          <w:p w14:paraId="38B44864">
            <w:pPr>
              <w:pStyle w:val="14"/>
              <w:rPr>
                <w:rFonts w:ascii="Times New Roman"/>
                <w:sz w:val="22"/>
              </w:rPr>
            </w:pPr>
          </w:p>
        </w:tc>
        <w:tc>
          <w:tcPr>
            <w:tcW w:w="787" w:type="dxa"/>
          </w:tcPr>
          <w:p w14:paraId="01FDDE7A">
            <w:pPr>
              <w:pStyle w:val="14"/>
              <w:spacing w:before="21" w:line="242" w:lineRule="auto"/>
              <w:ind w:left="78" w:right="67"/>
              <w:rPr>
                <w:sz w:val="21"/>
              </w:rPr>
            </w:pPr>
            <w:r>
              <w:rPr>
                <w:sz w:val="21"/>
              </w:rPr>
              <w:t>叠螺式压滤机</w:t>
            </w:r>
          </w:p>
        </w:tc>
        <w:tc>
          <w:tcPr>
            <w:tcW w:w="441" w:type="dxa"/>
          </w:tcPr>
          <w:p w14:paraId="365E5B14">
            <w:pPr>
              <w:pStyle w:val="14"/>
              <w:spacing w:before="172"/>
              <w:ind w:right="156"/>
              <w:jc w:val="right"/>
              <w:rPr>
                <w:rFonts w:ascii="Times New Roman"/>
                <w:sz w:val="21"/>
              </w:rPr>
            </w:pPr>
            <w:r>
              <w:rPr>
                <w:rFonts w:ascii="Times New Roman"/>
                <w:w w:val="99"/>
                <w:sz w:val="21"/>
              </w:rPr>
              <w:t>1</w:t>
            </w:r>
          </w:p>
        </w:tc>
        <w:tc>
          <w:tcPr>
            <w:tcW w:w="1508" w:type="dxa"/>
          </w:tcPr>
          <w:p w14:paraId="57A80946">
            <w:pPr>
              <w:pStyle w:val="14"/>
              <w:spacing w:before="172"/>
              <w:ind w:left="466" w:right="456"/>
              <w:jc w:val="center"/>
              <w:rPr>
                <w:rFonts w:ascii="Times New Roman"/>
                <w:sz w:val="21"/>
              </w:rPr>
            </w:pPr>
            <w:r>
              <w:rPr>
                <w:rFonts w:ascii="Times New Roman"/>
                <w:sz w:val="21"/>
              </w:rPr>
              <w:t>65~75</w:t>
            </w:r>
          </w:p>
        </w:tc>
        <w:tc>
          <w:tcPr>
            <w:tcW w:w="2390" w:type="dxa"/>
          </w:tcPr>
          <w:p w14:paraId="52B08472">
            <w:pPr>
              <w:pStyle w:val="14"/>
              <w:spacing w:before="21" w:line="242" w:lineRule="auto"/>
              <w:ind w:left="460" w:right="134" w:hanging="315"/>
              <w:rPr>
                <w:sz w:val="21"/>
              </w:rPr>
            </w:pPr>
            <w:r>
              <w:rPr>
                <w:w w:val="95"/>
                <w:sz w:val="21"/>
              </w:rPr>
              <w:t>选用低噪声设备、距离</w:t>
            </w:r>
            <w:r>
              <w:rPr>
                <w:sz w:val="21"/>
              </w:rPr>
              <w:t>衰减、厂房隔声</w:t>
            </w:r>
          </w:p>
        </w:tc>
        <w:tc>
          <w:tcPr>
            <w:tcW w:w="674" w:type="dxa"/>
          </w:tcPr>
          <w:p w14:paraId="75E8A53B">
            <w:pPr>
              <w:pStyle w:val="14"/>
              <w:spacing w:before="172"/>
              <w:ind w:left="209" w:right="201"/>
              <w:jc w:val="center"/>
              <w:rPr>
                <w:rFonts w:ascii="Times New Roman"/>
                <w:sz w:val="21"/>
              </w:rPr>
            </w:pPr>
            <w:r>
              <w:rPr>
                <w:rFonts w:ascii="Times New Roman"/>
                <w:sz w:val="21"/>
              </w:rPr>
              <w:t>25</w:t>
            </w:r>
          </w:p>
        </w:tc>
        <w:tc>
          <w:tcPr>
            <w:tcW w:w="1391" w:type="dxa"/>
          </w:tcPr>
          <w:p w14:paraId="01A6EF69">
            <w:pPr>
              <w:pStyle w:val="14"/>
              <w:spacing w:before="172"/>
              <w:ind w:left="41" w:right="31"/>
              <w:jc w:val="center"/>
              <w:rPr>
                <w:rFonts w:ascii="Times New Roman"/>
                <w:sz w:val="21"/>
              </w:rPr>
            </w:pPr>
            <w:r>
              <w:rPr>
                <w:rFonts w:ascii="Times New Roman"/>
                <w:sz w:val="21"/>
              </w:rPr>
              <w:t>50</w:t>
            </w:r>
          </w:p>
        </w:tc>
        <w:tc>
          <w:tcPr>
            <w:tcW w:w="442" w:type="dxa"/>
          </w:tcPr>
          <w:p w14:paraId="1FCFB43B">
            <w:pPr>
              <w:pStyle w:val="14"/>
              <w:spacing w:before="21" w:line="242" w:lineRule="auto"/>
              <w:ind w:left="116" w:right="104"/>
              <w:rPr>
                <w:sz w:val="21"/>
              </w:rPr>
            </w:pPr>
            <w:r>
              <w:rPr>
                <w:sz w:val="21"/>
              </w:rPr>
              <w:t>间断</w:t>
            </w:r>
          </w:p>
        </w:tc>
      </w:tr>
      <w:tr w14:paraId="7D183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787" w:type="dxa"/>
            <w:vMerge w:val="continue"/>
            <w:tcBorders>
              <w:top w:val="nil"/>
            </w:tcBorders>
          </w:tcPr>
          <w:p w14:paraId="422D75A3">
            <w:pPr>
              <w:rPr>
                <w:sz w:val="2"/>
                <w:szCs w:val="2"/>
              </w:rPr>
            </w:pPr>
          </w:p>
        </w:tc>
        <w:tc>
          <w:tcPr>
            <w:tcW w:w="787" w:type="dxa"/>
          </w:tcPr>
          <w:p w14:paraId="28C6461D">
            <w:pPr>
              <w:pStyle w:val="14"/>
              <w:spacing w:before="156"/>
              <w:ind w:left="181"/>
              <w:rPr>
                <w:sz w:val="21"/>
              </w:rPr>
            </w:pPr>
            <w:r>
              <w:rPr>
                <w:sz w:val="21"/>
              </w:rPr>
              <w:t>风机</w:t>
            </w:r>
          </w:p>
        </w:tc>
        <w:tc>
          <w:tcPr>
            <w:tcW w:w="441" w:type="dxa"/>
          </w:tcPr>
          <w:p w14:paraId="573F2500">
            <w:pPr>
              <w:pStyle w:val="14"/>
              <w:spacing w:before="169"/>
              <w:ind w:right="156"/>
              <w:jc w:val="right"/>
              <w:rPr>
                <w:rFonts w:ascii="Times New Roman"/>
                <w:sz w:val="21"/>
              </w:rPr>
            </w:pPr>
            <w:r>
              <w:rPr>
                <w:rFonts w:ascii="Times New Roman"/>
                <w:w w:val="99"/>
                <w:sz w:val="21"/>
              </w:rPr>
              <w:t>1</w:t>
            </w:r>
          </w:p>
        </w:tc>
        <w:tc>
          <w:tcPr>
            <w:tcW w:w="1508" w:type="dxa"/>
          </w:tcPr>
          <w:p w14:paraId="56C2B085">
            <w:pPr>
              <w:pStyle w:val="14"/>
              <w:spacing w:before="169"/>
              <w:ind w:left="465" w:right="457"/>
              <w:jc w:val="center"/>
              <w:rPr>
                <w:rFonts w:ascii="Times New Roman"/>
                <w:sz w:val="21"/>
              </w:rPr>
            </w:pPr>
            <w:r>
              <w:rPr>
                <w:rFonts w:ascii="Times New Roman"/>
                <w:sz w:val="21"/>
              </w:rPr>
              <w:t>70~90</w:t>
            </w:r>
          </w:p>
        </w:tc>
        <w:tc>
          <w:tcPr>
            <w:tcW w:w="2390" w:type="dxa"/>
          </w:tcPr>
          <w:p w14:paraId="3C9EE97B">
            <w:pPr>
              <w:pStyle w:val="14"/>
              <w:spacing w:before="18" w:line="270" w:lineRule="atLeast"/>
              <w:ind w:left="985" w:right="134" w:hanging="840"/>
              <w:rPr>
                <w:sz w:val="21"/>
              </w:rPr>
            </w:pPr>
            <w:r>
              <w:rPr>
                <w:w w:val="95"/>
                <w:sz w:val="21"/>
              </w:rPr>
              <w:t>选用低噪声设备、隔声</w:t>
            </w:r>
            <w:r>
              <w:rPr>
                <w:sz w:val="21"/>
              </w:rPr>
              <w:t>机罩</w:t>
            </w:r>
          </w:p>
        </w:tc>
        <w:tc>
          <w:tcPr>
            <w:tcW w:w="674" w:type="dxa"/>
          </w:tcPr>
          <w:p w14:paraId="26A660EA">
            <w:pPr>
              <w:pStyle w:val="14"/>
              <w:spacing w:before="169"/>
              <w:ind w:left="211" w:right="200"/>
              <w:jc w:val="center"/>
              <w:rPr>
                <w:rFonts w:ascii="Times New Roman"/>
                <w:sz w:val="21"/>
              </w:rPr>
            </w:pPr>
            <w:r>
              <w:rPr>
                <w:rFonts w:ascii="Times New Roman"/>
                <w:sz w:val="21"/>
              </w:rPr>
              <w:t>35</w:t>
            </w:r>
          </w:p>
        </w:tc>
        <w:tc>
          <w:tcPr>
            <w:tcW w:w="1391" w:type="dxa"/>
          </w:tcPr>
          <w:p w14:paraId="5137A6FF">
            <w:pPr>
              <w:pStyle w:val="14"/>
              <w:spacing w:before="169"/>
              <w:ind w:left="41" w:right="31"/>
              <w:jc w:val="center"/>
              <w:rPr>
                <w:rFonts w:ascii="Times New Roman"/>
                <w:sz w:val="21"/>
              </w:rPr>
            </w:pPr>
            <w:r>
              <w:rPr>
                <w:rFonts w:ascii="Times New Roman"/>
                <w:sz w:val="21"/>
              </w:rPr>
              <w:t>60</w:t>
            </w:r>
          </w:p>
        </w:tc>
        <w:tc>
          <w:tcPr>
            <w:tcW w:w="442" w:type="dxa"/>
          </w:tcPr>
          <w:p w14:paraId="40DF76A7">
            <w:pPr>
              <w:pStyle w:val="14"/>
              <w:spacing w:before="18" w:line="270" w:lineRule="atLeast"/>
              <w:ind w:left="116" w:right="104"/>
              <w:rPr>
                <w:sz w:val="21"/>
              </w:rPr>
            </w:pPr>
            <w:r>
              <w:rPr>
                <w:sz w:val="21"/>
              </w:rPr>
              <w:t>连续</w:t>
            </w:r>
          </w:p>
        </w:tc>
      </w:tr>
      <w:tr w14:paraId="1097D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tcPr>
          <w:p w14:paraId="57F7054E">
            <w:pPr>
              <w:pStyle w:val="14"/>
              <w:spacing w:before="157"/>
              <w:ind w:left="181"/>
              <w:rPr>
                <w:sz w:val="21"/>
              </w:rPr>
            </w:pPr>
            <w:r>
              <w:rPr>
                <w:sz w:val="21"/>
              </w:rPr>
              <w:t>冷库</w:t>
            </w:r>
          </w:p>
        </w:tc>
        <w:tc>
          <w:tcPr>
            <w:tcW w:w="787" w:type="dxa"/>
          </w:tcPr>
          <w:p w14:paraId="13A9648F">
            <w:pPr>
              <w:pStyle w:val="14"/>
              <w:spacing w:before="19" w:line="270" w:lineRule="atLeast"/>
              <w:ind w:left="287" w:right="67" w:hanging="209"/>
              <w:rPr>
                <w:sz w:val="21"/>
              </w:rPr>
            </w:pPr>
            <w:r>
              <w:rPr>
                <w:sz w:val="21"/>
              </w:rPr>
              <w:t>制冷机组</w:t>
            </w:r>
          </w:p>
        </w:tc>
        <w:tc>
          <w:tcPr>
            <w:tcW w:w="441" w:type="dxa"/>
          </w:tcPr>
          <w:p w14:paraId="11AA6A80">
            <w:pPr>
              <w:pStyle w:val="14"/>
              <w:spacing w:before="171"/>
              <w:ind w:right="156"/>
              <w:jc w:val="right"/>
              <w:rPr>
                <w:rFonts w:ascii="Times New Roman"/>
                <w:sz w:val="21"/>
              </w:rPr>
            </w:pPr>
            <w:r>
              <w:rPr>
                <w:rFonts w:ascii="Times New Roman"/>
                <w:w w:val="99"/>
                <w:sz w:val="21"/>
              </w:rPr>
              <w:t>7</w:t>
            </w:r>
          </w:p>
        </w:tc>
        <w:tc>
          <w:tcPr>
            <w:tcW w:w="1508" w:type="dxa"/>
          </w:tcPr>
          <w:p w14:paraId="4E33C216">
            <w:pPr>
              <w:pStyle w:val="14"/>
              <w:spacing w:before="171"/>
              <w:ind w:left="466" w:right="456"/>
              <w:jc w:val="center"/>
              <w:rPr>
                <w:rFonts w:ascii="Times New Roman"/>
                <w:sz w:val="21"/>
              </w:rPr>
            </w:pPr>
            <w:r>
              <w:rPr>
                <w:rFonts w:ascii="Times New Roman"/>
                <w:sz w:val="21"/>
              </w:rPr>
              <w:t>75~90</w:t>
            </w:r>
          </w:p>
        </w:tc>
        <w:tc>
          <w:tcPr>
            <w:tcW w:w="2390" w:type="dxa"/>
          </w:tcPr>
          <w:p w14:paraId="17B5A1F3">
            <w:pPr>
              <w:pStyle w:val="14"/>
              <w:spacing w:before="19" w:line="270" w:lineRule="atLeast"/>
              <w:ind w:left="460" w:right="134" w:hanging="315"/>
              <w:rPr>
                <w:sz w:val="21"/>
              </w:rPr>
            </w:pPr>
            <w:r>
              <w:rPr>
                <w:w w:val="95"/>
                <w:sz w:val="21"/>
              </w:rPr>
              <w:t>选用低噪声设备、距离</w:t>
            </w:r>
            <w:r>
              <w:rPr>
                <w:sz w:val="21"/>
              </w:rPr>
              <w:t>衰减、厂房隔声</w:t>
            </w:r>
          </w:p>
        </w:tc>
        <w:tc>
          <w:tcPr>
            <w:tcW w:w="674" w:type="dxa"/>
          </w:tcPr>
          <w:p w14:paraId="414D0781">
            <w:pPr>
              <w:pStyle w:val="14"/>
              <w:spacing w:before="171"/>
              <w:ind w:left="209" w:right="201"/>
              <w:jc w:val="center"/>
              <w:rPr>
                <w:rFonts w:ascii="Times New Roman"/>
                <w:sz w:val="21"/>
              </w:rPr>
            </w:pPr>
            <w:r>
              <w:rPr>
                <w:rFonts w:ascii="Times New Roman"/>
                <w:sz w:val="21"/>
              </w:rPr>
              <w:t>30</w:t>
            </w:r>
          </w:p>
        </w:tc>
        <w:tc>
          <w:tcPr>
            <w:tcW w:w="1391" w:type="dxa"/>
          </w:tcPr>
          <w:p w14:paraId="5A7C6974">
            <w:pPr>
              <w:pStyle w:val="14"/>
              <w:spacing w:before="171"/>
              <w:ind w:left="41" w:right="31"/>
              <w:jc w:val="center"/>
              <w:rPr>
                <w:rFonts w:ascii="Times New Roman"/>
                <w:sz w:val="21"/>
              </w:rPr>
            </w:pPr>
            <w:r>
              <w:rPr>
                <w:rFonts w:ascii="Times New Roman"/>
                <w:sz w:val="21"/>
              </w:rPr>
              <w:t>60</w:t>
            </w:r>
          </w:p>
        </w:tc>
        <w:tc>
          <w:tcPr>
            <w:tcW w:w="442" w:type="dxa"/>
          </w:tcPr>
          <w:p w14:paraId="0EB50B9B">
            <w:pPr>
              <w:pStyle w:val="14"/>
              <w:spacing w:before="19" w:line="270" w:lineRule="atLeast"/>
              <w:ind w:left="116" w:right="104"/>
              <w:rPr>
                <w:sz w:val="21"/>
              </w:rPr>
            </w:pPr>
            <w:r>
              <w:rPr>
                <w:sz w:val="21"/>
              </w:rPr>
              <w:t>连续</w:t>
            </w:r>
          </w:p>
        </w:tc>
      </w:tr>
      <w:tr w14:paraId="30E19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87" w:type="dxa"/>
          </w:tcPr>
          <w:p w14:paraId="55CA45C8">
            <w:pPr>
              <w:pStyle w:val="14"/>
              <w:spacing w:before="19" w:line="270" w:lineRule="atLeast"/>
              <w:ind w:left="287" w:right="67" w:hanging="209"/>
              <w:rPr>
                <w:sz w:val="21"/>
              </w:rPr>
            </w:pPr>
            <w:r>
              <w:rPr>
                <w:sz w:val="21"/>
              </w:rPr>
              <w:t>厂区道路</w:t>
            </w:r>
          </w:p>
        </w:tc>
        <w:tc>
          <w:tcPr>
            <w:tcW w:w="787" w:type="dxa"/>
          </w:tcPr>
          <w:p w14:paraId="57DD7682">
            <w:pPr>
              <w:pStyle w:val="14"/>
              <w:spacing w:before="19" w:line="270" w:lineRule="atLeast"/>
              <w:ind w:left="287" w:right="67" w:hanging="209"/>
              <w:rPr>
                <w:sz w:val="21"/>
              </w:rPr>
            </w:pPr>
            <w:r>
              <w:rPr>
                <w:sz w:val="21"/>
              </w:rPr>
              <w:t>运输车辆</w:t>
            </w:r>
          </w:p>
        </w:tc>
        <w:tc>
          <w:tcPr>
            <w:tcW w:w="441" w:type="dxa"/>
          </w:tcPr>
          <w:p w14:paraId="14607298">
            <w:pPr>
              <w:pStyle w:val="14"/>
              <w:spacing w:before="171"/>
              <w:ind w:right="179"/>
              <w:jc w:val="right"/>
              <w:rPr>
                <w:rFonts w:ascii="Times New Roman"/>
                <w:sz w:val="21"/>
              </w:rPr>
            </w:pPr>
            <w:r>
              <w:rPr>
                <w:rFonts w:ascii="Times New Roman"/>
                <w:w w:val="99"/>
                <w:sz w:val="21"/>
              </w:rPr>
              <w:t>/</w:t>
            </w:r>
          </w:p>
        </w:tc>
        <w:tc>
          <w:tcPr>
            <w:tcW w:w="1508" w:type="dxa"/>
          </w:tcPr>
          <w:p w14:paraId="4B99C484">
            <w:pPr>
              <w:pStyle w:val="14"/>
              <w:spacing w:before="171"/>
              <w:ind w:left="466" w:right="456"/>
              <w:jc w:val="center"/>
              <w:rPr>
                <w:rFonts w:ascii="Times New Roman"/>
                <w:sz w:val="21"/>
              </w:rPr>
            </w:pPr>
            <w:r>
              <w:rPr>
                <w:rFonts w:ascii="Times New Roman"/>
                <w:sz w:val="21"/>
              </w:rPr>
              <w:t>65~75</w:t>
            </w:r>
          </w:p>
        </w:tc>
        <w:tc>
          <w:tcPr>
            <w:tcW w:w="2390" w:type="dxa"/>
          </w:tcPr>
          <w:p w14:paraId="5447CA25">
            <w:pPr>
              <w:pStyle w:val="14"/>
              <w:spacing w:before="157"/>
              <w:ind w:left="668"/>
              <w:rPr>
                <w:sz w:val="21"/>
              </w:rPr>
            </w:pPr>
            <w:r>
              <w:rPr>
                <w:sz w:val="21"/>
              </w:rPr>
              <w:t>控速、禁鸣</w:t>
            </w:r>
          </w:p>
        </w:tc>
        <w:tc>
          <w:tcPr>
            <w:tcW w:w="674" w:type="dxa"/>
          </w:tcPr>
          <w:p w14:paraId="637CADD6">
            <w:pPr>
              <w:pStyle w:val="14"/>
              <w:spacing w:before="171"/>
              <w:ind w:left="211" w:right="200"/>
              <w:jc w:val="center"/>
              <w:rPr>
                <w:rFonts w:ascii="Times New Roman"/>
                <w:sz w:val="21"/>
              </w:rPr>
            </w:pPr>
            <w:r>
              <w:rPr>
                <w:rFonts w:ascii="Times New Roman"/>
                <w:sz w:val="21"/>
              </w:rPr>
              <w:t>15</w:t>
            </w:r>
          </w:p>
        </w:tc>
        <w:tc>
          <w:tcPr>
            <w:tcW w:w="1391" w:type="dxa"/>
          </w:tcPr>
          <w:p w14:paraId="06F4E657">
            <w:pPr>
              <w:pStyle w:val="14"/>
              <w:spacing w:before="171"/>
              <w:ind w:left="41" w:right="31"/>
              <w:jc w:val="center"/>
              <w:rPr>
                <w:rFonts w:ascii="Times New Roman"/>
                <w:sz w:val="21"/>
              </w:rPr>
            </w:pPr>
            <w:r>
              <w:rPr>
                <w:rFonts w:ascii="Times New Roman"/>
                <w:sz w:val="21"/>
              </w:rPr>
              <w:t>60</w:t>
            </w:r>
          </w:p>
        </w:tc>
        <w:tc>
          <w:tcPr>
            <w:tcW w:w="442" w:type="dxa"/>
          </w:tcPr>
          <w:p w14:paraId="6F59FBF8">
            <w:pPr>
              <w:pStyle w:val="14"/>
              <w:spacing w:before="19" w:line="270" w:lineRule="atLeast"/>
              <w:ind w:left="116" w:right="104"/>
              <w:rPr>
                <w:sz w:val="21"/>
              </w:rPr>
            </w:pPr>
            <w:r>
              <w:rPr>
                <w:sz w:val="21"/>
              </w:rPr>
              <w:t>间断</w:t>
            </w:r>
          </w:p>
        </w:tc>
      </w:tr>
    </w:tbl>
    <w:p w14:paraId="7DD588AB">
      <w:pPr>
        <w:pStyle w:val="6"/>
        <w:numPr>
          <w:ilvl w:val="3"/>
          <w:numId w:val="15"/>
        </w:numPr>
        <w:tabs>
          <w:tab w:val="left" w:pos="1651"/>
        </w:tabs>
        <w:spacing w:before="0" w:after="0" w:line="240" w:lineRule="auto"/>
        <w:ind w:left="1650" w:right="0" w:hanging="710"/>
        <w:jc w:val="left"/>
      </w:pPr>
      <w:r>
        <w:t>固体废物源强核算</w:t>
      </w:r>
    </w:p>
    <w:p w14:paraId="4032511B">
      <w:pPr>
        <w:pStyle w:val="7"/>
        <w:spacing w:before="161" w:line="364" w:lineRule="auto"/>
        <w:ind w:left="460" w:right="477" w:firstLine="480"/>
        <w:jc w:val="both"/>
      </w:pPr>
      <w:r>
        <w:t>本项目运营期产生的固体废物主要包括剩余污泥、肠胃内容物（以栅渣浮油沉渣形式回收）、猪毛、边角料、不合格品和病死猪、废包装物、废包装容器（危废）、检验过程废液、维修车间废机油、含油抹布及劳保用品、生活垃圾。</w:t>
      </w:r>
    </w:p>
    <w:p w14:paraId="2B1498D3">
      <w:pPr>
        <w:pStyle w:val="7"/>
        <w:spacing w:line="305" w:lineRule="exact"/>
        <w:ind w:left="940"/>
      </w:pPr>
      <w:r>
        <w:rPr>
          <w:rFonts w:ascii="Times New Roman" w:eastAsia="Times New Roman"/>
        </w:rPr>
        <w:t>1</w:t>
      </w:r>
      <w:r>
        <w:t>）剩余污泥：污泥主要来自生产废水生化处理时产生的脱落菌体，根据</w:t>
      </w:r>
    </w:p>
    <w:p w14:paraId="1DB8FAEF">
      <w:pPr>
        <w:pStyle w:val="7"/>
        <w:spacing w:before="160"/>
        <w:ind w:left="460"/>
      </w:pPr>
      <w:r>
        <w:t>《屠宰与肉类加工废水治理工程技术规范》</w:t>
      </w:r>
      <w:r>
        <w:rPr>
          <w:rFonts w:ascii="Times New Roman" w:eastAsia="Times New Roman"/>
        </w:rPr>
        <w:t>(HJ2004-2010)</w:t>
      </w:r>
      <w:r>
        <w:t>，污泥产生负荷约</w:t>
      </w:r>
    </w:p>
    <w:p w14:paraId="337345EE">
      <w:pPr>
        <w:pStyle w:val="7"/>
        <w:spacing w:before="155" w:line="364" w:lineRule="auto"/>
        <w:ind w:left="460" w:right="436"/>
      </w:pPr>
      <w:r>
        <w:rPr>
          <w:rFonts w:ascii="Times New Roman" w:eastAsia="Times New Roman"/>
          <w:position w:val="2"/>
        </w:rPr>
        <w:t>0.3~0.5kg/kgBOD</w:t>
      </w:r>
      <w:r>
        <w:rPr>
          <w:rFonts w:ascii="Times New Roman" w:eastAsia="Times New Roman"/>
          <w:position w:val="2"/>
          <w:vertAlign w:val="subscript"/>
        </w:rPr>
        <w:t>5</w:t>
      </w:r>
      <w:r>
        <w:rPr>
          <w:position w:val="2"/>
          <w:vertAlign w:val="baseline"/>
        </w:rPr>
        <w:t>（</w:t>
      </w:r>
      <w:r>
        <w:rPr>
          <w:spacing w:val="-10"/>
          <w:position w:val="2"/>
          <w:vertAlign w:val="baseline"/>
        </w:rPr>
        <w:t xml:space="preserve">本项目取为 </w:t>
      </w:r>
      <w:r>
        <w:rPr>
          <w:rFonts w:ascii="Times New Roman" w:eastAsia="Times New Roman"/>
          <w:position w:val="2"/>
          <w:vertAlign w:val="baseline"/>
        </w:rPr>
        <w:t>0.4</w:t>
      </w:r>
      <w:r>
        <w:rPr>
          <w:position w:val="2"/>
          <w:vertAlign w:val="baseline"/>
        </w:rPr>
        <w:t>），</w:t>
      </w:r>
      <w:r>
        <w:rPr>
          <w:spacing w:val="-16"/>
          <w:position w:val="2"/>
          <w:vertAlign w:val="baseline"/>
        </w:rPr>
        <w:t xml:space="preserve">本项目 </w:t>
      </w:r>
      <w:r>
        <w:rPr>
          <w:rFonts w:ascii="Times New Roman" w:eastAsia="Times New Roman"/>
          <w:position w:val="2"/>
          <w:vertAlign w:val="baseline"/>
        </w:rPr>
        <w:t>BOD</w:t>
      </w:r>
      <w:r>
        <w:rPr>
          <w:rFonts w:ascii="Times New Roman" w:eastAsia="Times New Roman"/>
          <w:position w:val="2"/>
          <w:vertAlign w:val="subscript"/>
        </w:rPr>
        <w:t>5</w:t>
      </w:r>
      <w:r>
        <w:rPr>
          <w:rFonts w:ascii="Times New Roman" w:eastAsia="Times New Roman"/>
          <w:position w:val="2"/>
          <w:vertAlign w:val="baseline"/>
        </w:rPr>
        <w:t xml:space="preserve"> </w:t>
      </w:r>
      <w:r>
        <w:rPr>
          <w:spacing w:val="-8"/>
          <w:position w:val="2"/>
          <w:vertAlign w:val="baseline"/>
        </w:rPr>
        <w:t xml:space="preserve">处理削减量约为 </w:t>
      </w:r>
      <w:r>
        <w:rPr>
          <w:rFonts w:ascii="Times New Roman" w:eastAsia="Times New Roman"/>
          <w:position w:val="2"/>
          <w:vertAlign w:val="baseline"/>
        </w:rPr>
        <w:t>216.5t/a</w:t>
      </w:r>
      <w:r>
        <w:rPr>
          <w:position w:val="2"/>
          <w:vertAlign w:val="baseline"/>
        </w:rPr>
        <w:t xml:space="preserve">， </w:t>
      </w:r>
      <w:r>
        <w:rPr>
          <w:spacing w:val="2"/>
          <w:vertAlign w:val="baseline"/>
        </w:rPr>
        <w:t xml:space="preserve">污泥产生量为 </w:t>
      </w:r>
      <w:r>
        <w:rPr>
          <w:rFonts w:ascii="Times New Roman" w:eastAsia="Times New Roman"/>
          <w:spacing w:val="1"/>
          <w:vertAlign w:val="baseline"/>
        </w:rPr>
        <w:t>86.6t/a</w:t>
      </w:r>
      <w:r>
        <w:rPr>
          <w:spacing w:val="5"/>
          <w:vertAlign w:val="baseline"/>
        </w:rPr>
        <w:t xml:space="preserve">，产生的污泥进行脱水干化，脱水后含水率由 </w:t>
      </w:r>
      <w:r>
        <w:rPr>
          <w:rFonts w:ascii="Times New Roman" w:eastAsia="Times New Roman"/>
          <w:spacing w:val="2"/>
          <w:vertAlign w:val="baseline"/>
        </w:rPr>
        <w:t>97%</w:t>
      </w:r>
      <w:r>
        <w:rPr>
          <w:spacing w:val="5"/>
          <w:vertAlign w:val="baseline"/>
        </w:rPr>
        <w:t>降至</w:t>
      </w:r>
    </w:p>
    <w:p w14:paraId="3910A19B">
      <w:pPr>
        <w:pStyle w:val="7"/>
        <w:spacing w:line="305" w:lineRule="exact"/>
        <w:ind w:left="460"/>
      </w:pPr>
      <w:r>
        <w:rPr>
          <w:rFonts w:ascii="Times New Roman" w:eastAsia="Times New Roman"/>
        </w:rPr>
        <w:t>60%</w:t>
      </w:r>
      <w:r>
        <w:t xml:space="preserve">后，总量约为 </w:t>
      </w:r>
      <w:r>
        <w:rPr>
          <w:rFonts w:ascii="Times New Roman" w:eastAsia="Times New Roman"/>
        </w:rPr>
        <w:t xml:space="preserve">6.5t/a </w:t>
      </w:r>
      <w:r>
        <w:t>运至有机肥厂加工制作有机肥，日产日清。</w:t>
      </w:r>
    </w:p>
    <w:p w14:paraId="1A61DA9D">
      <w:pPr>
        <w:pStyle w:val="7"/>
        <w:spacing w:before="161" w:line="364" w:lineRule="auto"/>
        <w:ind w:left="460" w:right="477" w:firstLine="480"/>
        <w:jc w:val="both"/>
      </w:pPr>
      <w:r>
        <w:rPr>
          <w:rFonts w:ascii="Times New Roman" w:eastAsia="Times New Roman"/>
        </w:rPr>
        <w:t>2</w:t>
      </w:r>
      <w:r>
        <w:t xml:space="preserve">）肠胃内容物（以栅渣浮油沉渣形式回收）：本项目运营期生产废水在格栅、除油过程会产生一定的栅渣、浮油、沉渣等，根据项目水平衡可知，此类废物总产生量约为 </w:t>
      </w:r>
      <w:r>
        <w:rPr>
          <w:rFonts w:ascii="Times New Roman" w:eastAsia="Times New Roman"/>
        </w:rPr>
        <w:t>88t/a</w:t>
      </w:r>
      <w:r>
        <w:t>，主要为肠胃内容物，经密封包装收集后，暂置于污泥间，与污泥一起外运有机肥厂，日产日清。</w:t>
      </w:r>
    </w:p>
    <w:p w14:paraId="7AF8EA21">
      <w:pPr>
        <w:pStyle w:val="7"/>
        <w:spacing w:line="362" w:lineRule="auto"/>
        <w:ind w:left="460" w:right="480" w:firstLine="480"/>
      </w:pPr>
      <w:r>
        <w:rPr>
          <w:rFonts w:ascii="Times New Roman" w:eastAsia="Times New Roman"/>
        </w:rPr>
        <w:t>3</w:t>
      </w:r>
      <w:r>
        <w:t xml:space="preserve">）猪毛：根据物料平衡可知，本项目运营期猪毛的产生量为 </w:t>
      </w:r>
      <w:r>
        <w:rPr>
          <w:rFonts w:ascii="Times New Roman" w:eastAsia="Times New Roman"/>
        </w:rPr>
        <w:t>400t/a</w:t>
      </w:r>
      <w:r>
        <w:t>，经收集后暂存在一般固废暂存间，及时交由猪毛回收单位回收。</w:t>
      </w:r>
    </w:p>
    <w:p w14:paraId="6ABE8612">
      <w:pPr>
        <w:pStyle w:val="7"/>
        <w:spacing w:before="2" w:line="362" w:lineRule="auto"/>
        <w:ind w:left="460" w:right="477" w:firstLine="480"/>
      </w:pPr>
      <w:r>
        <w:rPr>
          <w:rFonts w:ascii="Times New Roman" w:eastAsia="Times New Roman"/>
        </w:rPr>
        <w:t>4</w:t>
      </w:r>
      <w:r>
        <w:t xml:space="preserve">）边角料：根据物料平衡可知，本项目运营期边角料产生量为 </w:t>
      </w:r>
      <w:r>
        <w:rPr>
          <w:rFonts w:ascii="Times New Roman" w:eastAsia="Times New Roman"/>
        </w:rPr>
        <w:t>352t/a</w:t>
      </w:r>
      <w:r>
        <w:t>。经密封包装收集暂存在一般固废间，集中外售。</w:t>
      </w:r>
    </w:p>
    <w:p w14:paraId="12F0C344">
      <w:pPr>
        <w:pStyle w:val="7"/>
        <w:spacing w:before="5"/>
        <w:ind w:left="940"/>
      </w:pPr>
      <w:r>
        <w:rPr>
          <w:rFonts w:ascii="Times New Roman" w:eastAsia="Times New Roman"/>
        </w:rPr>
        <w:t xml:space="preserve">5 </w:t>
      </w:r>
      <w:r>
        <w:t>） 不合格品和病死猪： 根据物料平衡可知， 此类废物总产生量约为</w:t>
      </w:r>
    </w:p>
    <w:p w14:paraId="40151D49">
      <w:pPr>
        <w:pStyle w:val="7"/>
        <w:spacing w:before="161" w:line="362" w:lineRule="auto"/>
        <w:ind w:left="460" w:right="480"/>
      </w:pPr>
      <w:r>
        <w:rPr>
          <w:rFonts w:ascii="Times New Roman" w:eastAsia="Times New Roman"/>
        </w:rPr>
        <w:t>440.42t/a</w:t>
      </w:r>
      <w:r>
        <w:t>，无害化暂存间速冻后，外运至岳阳县无害化处理中心进行无害化处理。</w:t>
      </w:r>
    </w:p>
    <w:p w14:paraId="668D05BB">
      <w:pPr>
        <w:pStyle w:val="7"/>
        <w:spacing w:before="5" w:line="362" w:lineRule="auto"/>
        <w:ind w:left="460" w:right="477" w:firstLine="480"/>
      </w:pPr>
      <w:r>
        <w:rPr>
          <w:rFonts w:ascii="Times New Roman" w:eastAsia="Times New Roman"/>
        </w:rPr>
        <w:t>6</w:t>
      </w:r>
      <w:r>
        <w:t xml:space="preserve">）其他一般固体废物：根据建设单位提供的资料，废包装物运营期产生量约为 </w:t>
      </w:r>
      <w:r>
        <w:rPr>
          <w:rFonts w:ascii="Times New Roman" w:eastAsia="Times New Roman"/>
        </w:rPr>
        <w:t>1.5 t/a</w:t>
      </w:r>
      <w:r>
        <w:t>，由附近废品收购站回收后，合理处置。</w:t>
      </w:r>
    </w:p>
    <w:p w14:paraId="247F0FE5">
      <w:pPr>
        <w:pStyle w:val="7"/>
        <w:spacing w:before="5"/>
        <w:ind w:left="940"/>
      </w:pPr>
      <w:r>
        <w:rPr>
          <w:rFonts w:ascii="Times New Roman" w:eastAsia="Times New Roman"/>
        </w:rPr>
        <w:t>7</w:t>
      </w:r>
      <w:r>
        <w:t>）危险废物：根据建设单位提供的资料，本项目运营期机油的更换量约为</w:t>
      </w:r>
    </w:p>
    <w:p w14:paraId="5CDDDCF0">
      <w:pPr>
        <w:pStyle w:val="7"/>
        <w:spacing w:before="158"/>
        <w:ind w:left="460"/>
      </w:pPr>
      <w:r>
        <w:rPr>
          <w:rFonts w:ascii="Times New Roman" w:eastAsia="Times New Roman"/>
        </w:rPr>
        <w:t>500kg/a</w:t>
      </w:r>
      <w:r>
        <w:t xml:space="preserve">，机油空桶等废包装容器的产生量为 </w:t>
      </w:r>
      <w:r>
        <w:rPr>
          <w:rFonts w:ascii="Times New Roman" w:eastAsia="Times New Roman"/>
        </w:rPr>
        <w:t>300kg/a</w:t>
      </w:r>
      <w:r>
        <w:t>；生猪屠宰后需对胴体旋</w:t>
      </w:r>
    </w:p>
    <w:p w14:paraId="4E58FA62">
      <w:pPr>
        <w:spacing w:after="0"/>
        <w:sectPr>
          <w:pgSz w:w="11910" w:h="16840"/>
          <w:pgMar w:top="1360" w:right="1320" w:bottom="1400" w:left="1340" w:header="878" w:footer="1204" w:gutter="0"/>
          <w:cols w:space="720" w:num="1"/>
        </w:sectPr>
      </w:pPr>
    </w:p>
    <w:p w14:paraId="568D1637">
      <w:pPr>
        <w:pStyle w:val="7"/>
        <w:spacing w:before="68" w:line="364" w:lineRule="auto"/>
        <w:ind w:left="460" w:right="477"/>
        <w:jc w:val="both"/>
      </w:pPr>
      <w:r>
        <w:t xml:space="preserve">毛虫取样检疫，该过程会产生少量的实验废液约 </w:t>
      </w:r>
      <w:r>
        <w:rPr>
          <w:rFonts w:ascii="Times New Roman" w:eastAsia="Times New Roman"/>
        </w:rPr>
        <w:t>2t/a</w:t>
      </w:r>
      <w:r>
        <w:rPr>
          <w:spacing w:val="1"/>
        </w:rPr>
        <w:t>；运营期设备检修过程产</w:t>
      </w:r>
      <w:r>
        <w:rPr>
          <w:spacing w:val="-2"/>
        </w:rPr>
        <w:t xml:space="preserve">生的含油抹布及劳保用品为 </w:t>
      </w:r>
      <w:r>
        <w:rPr>
          <w:rFonts w:ascii="Times New Roman" w:eastAsia="Times New Roman"/>
        </w:rPr>
        <w:t>100kg/a</w:t>
      </w:r>
      <w:r>
        <w:t>，以上属于危险废物，经收集后先暂存在危险废物暂存间，再交由有资质的单位定期清运处理</w:t>
      </w:r>
    </w:p>
    <w:p w14:paraId="3049D7D6">
      <w:pPr>
        <w:pStyle w:val="7"/>
        <w:spacing w:line="364" w:lineRule="auto"/>
        <w:ind w:left="460" w:right="477" w:firstLine="480"/>
        <w:jc w:val="both"/>
      </w:pPr>
      <w:r>
        <w:rPr>
          <w:rFonts w:ascii="Times New Roman" w:hAnsi="Times New Roman" w:eastAsia="Times New Roman"/>
        </w:rPr>
        <w:t>8</w:t>
      </w:r>
      <w:r>
        <w:t xml:space="preserve">）生活垃圾：本项目运营期职工人数为 </w:t>
      </w:r>
      <w:r>
        <w:rPr>
          <w:rFonts w:ascii="Times New Roman" w:hAnsi="Times New Roman" w:eastAsia="Times New Roman"/>
        </w:rPr>
        <w:t xml:space="preserve">240 </w:t>
      </w:r>
      <w:r>
        <w:t xml:space="preserve">人，年运行时间为 </w:t>
      </w:r>
      <w:r>
        <w:rPr>
          <w:rFonts w:ascii="Times New Roman" w:hAnsi="Times New Roman" w:eastAsia="Times New Roman"/>
        </w:rPr>
        <w:t>300d</w:t>
      </w:r>
      <w:r>
        <w:t xml:space="preserve">，员工生活垃圾产生量按 </w:t>
      </w:r>
      <w:r>
        <w:rPr>
          <w:rFonts w:ascii="Times New Roman" w:hAnsi="Times New Roman" w:eastAsia="Times New Roman"/>
        </w:rPr>
        <w:t>0.5kg/</w:t>
      </w:r>
      <w:r>
        <w:t>（人</w:t>
      </w:r>
      <w:r>
        <w:rPr>
          <w:rFonts w:ascii="Times New Roman" w:hAnsi="Times New Roman" w:eastAsia="Times New Roman"/>
        </w:rPr>
        <w:t>·d</w:t>
      </w:r>
      <w:r>
        <w:t xml:space="preserve">）计，则本项目生活垃圾产生量约为 </w:t>
      </w:r>
      <w:r>
        <w:rPr>
          <w:rFonts w:ascii="Times New Roman" w:hAnsi="Times New Roman" w:eastAsia="Times New Roman"/>
        </w:rPr>
        <w:t>36t/a</w:t>
      </w:r>
      <w:r>
        <w:t>， 厂区内设置分散垃圾桶，集中收集定点存放，交由环卫部门定期清运处理。</w:t>
      </w:r>
    </w:p>
    <w:p w14:paraId="630C0169">
      <w:pPr>
        <w:spacing w:before="0" w:line="267" w:lineRule="exact"/>
        <w:ind w:left="2788" w:right="0" w:firstLine="0"/>
        <w:jc w:val="left"/>
        <w:rPr>
          <w:b/>
          <w:sz w:val="21"/>
        </w:rPr>
      </w:pPr>
      <w:r>
        <w:rPr>
          <w:b/>
          <w:sz w:val="21"/>
        </w:rPr>
        <w:t xml:space="preserve">表 </w:t>
      </w:r>
      <w:r>
        <w:rPr>
          <w:rFonts w:ascii="Times New Roman" w:eastAsia="Times New Roman"/>
          <w:b/>
          <w:sz w:val="21"/>
        </w:rPr>
        <w:t xml:space="preserve">3.7-19 </w:t>
      </w:r>
      <w:r>
        <w:rPr>
          <w:b/>
          <w:sz w:val="21"/>
        </w:rPr>
        <w:t>本项目运营期固体废物一览表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1430"/>
        <w:gridCol w:w="871"/>
        <w:gridCol w:w="1290"/>
        <w:gridCol w:w="1033"/>
        <w:gridCol w:w="2644"/>
      </w:tblGrid>
      <w:tr w14:paraId="5D5D0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254" w:type="dxa"/>
          </w:tcPr>
          <w:p w14:paraId="293BF954">
            <w:pPr>
              <w:pStyle w:val="14"/>
              <w:spacing w:before="156"/>
              <w:ind w:left="154" w:right="148"/>
              <w:jc w:val="center"/>
              <w:rPr>
                <w:b/>
                <w:sz w:val="21"/>
              </w:rPr>
            </w:pPr>
            <w:r>
              <w:rPr>
                <w:b/>
                <w:sz w:val="21"/>
              </w:rPr>
              <w:t>名称</w:t>
            </w:r>
          </w:p>
        </w:tc>
        <w:tc>
          <w:tcPr>
            <w:tcW w:w="1430" w:type="dxa"/>
          </w:tcPr>
          <w:p w14:paraId="799A9E0D">
            <w:pPr>
              <w:pStyle w:val="14"/>
              <w:spacing w:before="156"/>
              <w:ind w:left="188" w:right="178"/>
              <w:jc w:val="center"/>
              <w:rPr>
                <w:b/>
                <w:sz w:val="21"/>
              </w:rPr>
            </w:pPr>
            <w:r>
              <w:rPr>
                <w:b/>
                <w:sz w:val="21"/>
              </w:rPr>
              <w:t>产生环节</w:t>
            </w:r>
          </w:p>
        </w:tc>
        <w:tc>
          <w:tcPr>
            <w:tcW w:w="871" w:type="dxa"/>
          </w:tcPr>
          <w:p w14:paraId="56EE3D29">
            <w:pPr>
              <w:pStyle w:val="14"/>
              <w:spacing w:before="19"/>
              <w:ind w:left="118"/>
              <w:rPr>
                <w:b/>
                <w:sz w:val="21"/>
              </w:rPr>
            </w:pPr>
            <w:r>
              <w:rPr>
                <w:b/>
                <w:w w:val="95"/>
                <w:sz w:val="21"/>
              </w:rPr>
              <w:t>产生量</w:t>
            </w:r>
          </w:p>
          <w:p w14:paraId="34DC27E6">
            <w:pPr>
              <w:pStyle w:val="14"/>
              <w:spacing w:before="4"/>
              <w:ind w:left="106"/>
              <w:rPr>
                <w:b/>
                <w:sz w:val="21"/>
              </w:rPr>
            </w:pPr>
            <w:r>
              <w:rPr>
                <w:b/>
                <w:sz w:val="21"/>
              </w:rPr>
              <w:t>（</w:t>
            </w:r>
            <w:r>
              <w:rPr>
                <w:rFonts w:ascii="Times New Roman" w:eastAsia="Times New Roman"/>
                <w:b/>
                <w:sz w:val="21"/>
              </w:rPr>
              <w:t>t/a</w:t>
            </w:r>
            <w:r>
              <w:rPr>
                <w:b/>
                <w:sz w:val="21"/>
              </w:rPr>
              <w:t>）</w:t>
            </w:r>
          </w:p>
        </w:tc>
        <w:tc>
          <w:tcPr>
            <w:tcW w:w="1290" w:type="dxa"/>
          </w:tcPr>
          <w:p w14:paraId="681A7774">
            <w:pPr>
              <w:pStyle w:val="14"/>
              <w:spacing w:before="156"/>
              <w:ind w:left="222"/>
              <w:rPr>
                <w:b/>
                <w:sz w:val="21"/>
              </w:rPr>
            </w:pPr>
            <w:r>
              <w:rPr>
                <w:b/>
                <w:sz w:val="21"/>
              </w:rPr>
              <w:t>危废鉴别</w:t>
            </w:r>
          </w:p>
        </w:tc>
        <w:tc>
          <w:tcPr>
            <w:tcW w:w="1033" w:type="dxa"/>
          </w:tcPr>
          <w:p w14:paraId="7A687AC7">
            <w:pPr>
              <w:pStyle w:val="14"/>
              <w:spacing w:before="18" w:line="270" w:lineRule="atLeast"/>
              <w:ind w:left="410" w:right="190" w:hanging="212"/>
              <w:rPr>
                <w:b/>
                <w:sz w:val="21"/>
              </w:rPr>
            </w:pPr>
            <w:r>
              <w:rPr>
                <w:b/>
                <w:sz w:val="21"/>
              </w:rPr>
              <w:t>主要成分</w:t>
            </w:r>
          </w:p>
        </w:tc>
        <w:tc>
          <w:tcPr>
            <w:tcW w:w="2644" w:type="dxa"/>
          </w:tcPr>
          <w:p w14:paraId="015A3F0C">
            <w:pPr>
              <w:pStyle w:val="14"/>
              <w:spacing w:before="156"/>
              <w:ind w:left="122" w:right="115"/>
              <w:jc w:val="center"/>
              <w:rPr>
                <w:b/>
                <w:sz w:val="21"/>
              </w:rPr>
            </w:pPr>
            <w:r>
              <w:rPr>
                <w:b/>
                <w:sz w:val="21"/>
              </w:rPr>
              <w:t>处置方法</w:t>
            </w:r>
          </w:p>
        </w:tc>
      </w:tr>
      <w:tr w14:paraId="77F33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1254" w:type="dxa"/>
          </w:tcPr>
          <w:p w14:paraId="2E4E7B60">
            <w:pPr>
              <w:pStyle w:val="14"/>
              <w:spacing w:before="12"/>
              <w:rPr>
                <w:b/>
                <w:sz w:val="22"/>
              </w:rPr>
            </w:pPr>
          </w:p>
          <w:p w14:paraId="1545C07D">
            <w:pPr>
              <w:pStyle w:val="14"/>
              <w:ind w:left="154" w:right="148"/>
              <w:jc w:val="center"/>
              <w:rPr>
                <w:sz w:val="21"/>
              </w:rPr>
            </w:pPr>
            <w:r>
              <w:rPr>
                <w:sz w:val="21"/>
              </w:rPr>
              <w:t>剩余污泥</w:t>
            </w:r>
          </w:p>
        </w:tc>
        <w:tc>
          <w:tcPr>
            <w:tcW w:w="1430" w:type="dxa"/>
            <w:vMerge w:val="restart"/>
          </w:tcPr>
          <w:p w14:paraId="632327C8">
            <w:pPr>
              <w:pStyle w:val="14"/>
              <w:rPr>
                <w:b/>
                <w:sz w:val="20"/>
              </w:rPr>
            </w:pPr>
          </w:p>
          <w:p w14:paraId="4AD689E5">
            <w:pPr>
              <w:pStyle w:val="14"/>
              <w:rPr>
                <w:b/>
                <w:sz w:val="20"/>
              </w:rPr>
            </w:pPr>
          </w:p>
          <w:p w14:paraId="6CB6A8AD">
            <w:pPr>
              <w:pStyle w:val="14"/>
              <w:spacing w:before="8"/>
              <w:rPr>
                <w:b/>
                <w:sz w:val="16"/>
              </w:rPr>
            </w:pPr>
          </w:p>
          <w:p w14:paraId="0E81D168">
            <w:pPr>
              <w:pStyle w:val="14"/>
              <w:ind w:left="190"/>
              <w:rPr>
                <w:sz w:val="21"/>
              </w:rPr>
            </w:pPr>
            <w:r>
              <w:rPr>
                <w:sz w:val="21"/>
              </w:rPr>
              <w:t>污水处理站</w:t>
            </w:r>
          </w:p>
        </w:tc>
        <w:tc>
          <w:tcPr>
            <w:tcW w:w="871" w:type="dxa"/>
          </w:tcPr>
          <w:p w14:paraId="03C6AB5A">
            <w:pPr>
              <w:pStyle w:val="14"/>
              <w:rPr>
                <w:b/>
                <w:sz w:val="24"/>
              </w:rPr>
            </w:pPr>
          </w:p>
          <w:p w14:paraId="514A3838">
            <w:pPr>
              <w:pStyle w:val="14"/>
              <w:ind w:left="125" w:right="116"/>
              <w:jc w:val="center"/>
              <w:rPr>
                <w:rFonts w:ascii="Times New Roman"/>
                <w:sz w:val="21"/>
              </w:rPr>
            </w:pPr>
            <w:r>
              <w:rPr>
                <w:rFonts w:ascii="Times New Roman"/>
                <w:sz w:val="21"/>
              </w:rPr>
              <w:t>6.5</w:t>
            </w:r>
          </w:p>
        </w:tc>
        <w:tc>
          <w:tcPr>
            <w:tcW w:w="1290" w:type="dxa"/>
          </w:tcPr>
          <w:p w14:paraId="36309C53">
            <w:pPr>
              <w:pStyle w:val="14"/>
              <w:spacing w:before="12"/>
              <w:rPr>
                <w:b/>
                <w:sz w:val="22"/>
              </w:rPr>
            </w:pPr>
          </w:p>
          <w:p w14:paraId="46E6A4B8">
            <w:pPr>
              <w:pStyle w:val="14"/>
              <w:ind w:left="224"/>
              <w:rPr>
                <w:sz w:val="21"/>
              </w:rPr>
            </w:pPr>
            <w:r>
              <w:rPr>
                <w:sz w:val="21"/>
              </w:rPr>
              <w:t>一般固废</w:t>
            </w:r>
          </w:p>
        </w:tc>
        <w:tc>
          <w:tcPr>
            <w:tcW w:w="1033" w:type="dxa"/>
          </w:tcPr>
          <w:p w14:paraId="2BC69940">
            <w:pPr>
              <w:pStyle w:val="14"/>
              <w:spacing w:before="12"/>
              <w:rPr>
                <w:b/>
                <w:sz w:val="22"/>
              </w:rPr>
            </w:pPr>
          </w:p>
          <w:p w14:paraId="3EBDFAB2">
            <w:pPr>
              <w:pStyle w:val="14"/>
              <w:ind w:left="179" w:right="174"/>
              <w:jc w:val="center"/>
              <w:rPr>
                <w:sz w:val="21"/>
              </w:rPr>
            </w:pPr>
            <w:r>
              <w:rPr>
                <w:sz w:val="21"/>
              </w:rPr>
              <w:t>污泥</w:t>
            </w:r>
          </w:p>
        </w:tc>
        <w:tc>
          <w:tcPr>
            <w:tcW w:w="2644" w:type="dxa"/>
          </w:tcPr>
          <w:p w14:paraId="1FAABA62">
            <w:pPr>
              <w:pStyle w:val="14"/>
              <w:spacing w:before="20" w:line="242" w:lineRule="auto"/>
              <w:ind w:left="124" w:right="115"/>
              <w:jc w:val="center"/>
              <w:rPr>
                <w:sz w:val="21"/>
              </w:rPr>
            </w:pPr>
            <w:r>
              <w:rPr>
                <w:sz w:val="21"/>
              </w:rPr>
              <w:t xml:space="preserve">经脱水至 </w:t>
            </w:r>
            <w:r>
              <w:rPr>
                <w:rFonts w:ascii="Times New Roman" w:eastAsia="Times New Roman"/>
                <w:sz w:val="21"/>
              </w:rPr>
              <w:t>60%</w:t>
            </w:r>
            <w:r>
              <w:rPr>
                <w:sz w:val="21"/>
              </w:rPr>
              <w:t>以下暂存在污泥间，交由有机肥料厂回收处置，日产日清</w:t>
            </w:r>
          </w:p>
        </w:tc>
      </w:tr>
      <w:tr w14:paraId="501E5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1254" w:type="dxa"/>
          </w:tcPr>
          <w:p w14:paraId="161E6461">
            <w:pPr>
              <w:pStyle w:val="14"/>
              <w:spacing w:before="156" w:line="244" w:lineRule="auto"/>
              <w:ind w:left="311" w:right="198" w:hanging="106"/>
              <w:rPr>
                <w:sz w:val="21"/>
              </w:rPr>
            </w:pPr>
            <w:r>
              <w:rPr>
                <w:w w:val="95"/>
                <w:sz w:val="21"/>
              </w:rPr>
              <w:t>栅渣浮油</w:t>
            </w:r>
            <w:r>
              <w:rPr>
                <w:sz w:val="21"/>
              </w:rPr>
              <w:t>沉渣等</w:t>
            </w:r>
          </w:p>
        </w:tc>
        <w:tc>
          <w:tcPr>
            <w:tcW w:w="1430" w:type="dxa"/>
            <w:vMerge w:val="continue"/>
            <w:tcBorders>
              <w:top w:val="nil"/>
            </w:tcBorders>
          </w:tcPr>
          <w:p w14:paraId="5B359ABC">
            <w:pPr>
              <w:rPr>
                <w:sz w:val="2"/>
                <w:szCs w:val="2"/>
              </w:rPr>
            </w:pPr>
          </w:p>
        </w:tc>
        <w:tc>
          <w:tcPr>
            <w:tcW w:w="871" w:type="dxa"/>
          </w:tcPr>
          <w:p w14:paraId="248369D2">
            <w:pPr>
              <w:pStyle w:val="14"/>
              <w:spacing w:before="12"/>
              <w:rPr>
                <w:b/>
                <w:sz w:val="23"/>
              </w:rPr>
            </w:pPr>
          </w:p>
          <w:p w14:paraId="561F0355">
            <w:pPr>
              <w:pStyle w:val="14"/>
              <w:ind w:left="125" w:right="116"/>
              <w:jc w:val="center"/>
              <w:rPr>
                <w:rFonts w:ascii="Times New Roman"/>
                <w:sz w:val="21"/>
              </w:rPr>
            </w:pPr>
            <w:r>
              <w:rPr>
                <w:rFonts w:ascii="Times New Roman"/>
                <w:sz w:val="21"/>
              </w:rPr>
              <w:t>88</w:t>
            </w:r>
          </w:p>
        </w:tc>
        <w:tc>
          <w:tcPr>
            <w:tcW w:w="1290" w:type="dxa"/>
          </w:tcPr>
          <w:p w14:paraId="5893690E">
            <w:pPr>
              <w:pStyle w:val="14"/>
              <w:spacing w:before="11"/>
              <w:rPr>
                <w:b/>
                <w:sz w:val="22"/>
              </w:rPr>
            </w:pPr>
          </w:p>
          <w:p w14:paraId="7FF54BB6">
            <w:pPr>
              <w:pStyle w:val="14"/>
              <w:ind w:left="224"/>
              <w:rPr>
                <w:sz w:val="21"/>
              </w:rPr>
            </w:pPr>
            <w:r>
              <w:rPr>
                <w:sz w:val="21"/>
              </w:rPr>
              <w:t>一般固废</w:t>
            </w:r>
          </w:p>
        </w:tc>
        <w:tc>
          <w:tcPr>
            <w:tcW w:w="1033" w:type="dxa"/>
          </w:tcPr>
          <w:p w14:paraId="7F00503E">
            <w:pPr>
              <w:pStyle w:val="14"/>
              <w:spacing w:before="156" w:line="244" w:lineRule="auto"/>
              <w:ind w:left="305" w:right="192" w:hanging="106"/>
              <w:rPr>
                <w:sz w:val="21"/>
              </w:rPr>
            </w:pPr>
            <w:r>
              <w:rPr>
                <w:sz w:val="21"/>
              </w:rPr>
              <w:t>肠胃内容物</w:t>
            </w:r>
          </w:p>
        </w:tc>
        <w:tc>
          <w:tcPr>
            <w:tcW w:w="2644" w:type="dxa"/>
          </w:tcPr>
          <w:p w14:paraId="7821F9DA">
            <w:pPr>
              <w:pStyle w:val="14"/>
              <w:spacing w:before="21" w:line="270" w:lineRule="atLeast"/>
              <w:ind w:left="167" w:right="158" w:hanging="3"/>
              <w:jc w:val="center"/>
              <w:rPr>
                <w:sz w:val="21"/>
              </w:rPr>
            </w:pPr>
            <w:r>
              <w:rPr>
                <w:sz w:val="21"/>
              </w:rPr>
              <w:t xml:space="preserve">经收集后先暂存在污泥 </w:t>
            </w:r>
            <w:r>
              <w:rPr>
                <w:w w:val="95"/>
                <w:sz w:val="21"/>
              </w:rPr>
              <w:t>间，交由有机肥料厂回收</w:t>
            </w:r>
            <w:r>
              <w:rPr>
                <w:sz w:val="21"/>
              </w:rPr>
              <w:t>处置，日产日清</w:t>
            </w:r>
          </w:p>
        </w:tc>
      </w:tr>
      <w:tr w14:paraId="3FB30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1254" w:type="dxa"/>
          </w:tcPr>
          <w:p w14:paraId="149C18C1">
            <w:pPr>
              <w:pStyle w:val="14"/>
              <w:spacing w:before="10"/>
              <w:rPr>
                <w:b/>
                <w:sz w:val="22"/>
              </w:rPr>
            </w:pPr>
          </w:p>
          <w:p w14:paraId="1E6D0FF1">
            <w:pPr>
              <w:pStyle w:val="14"/>
              <w:spacing w:before="1"/>
              <w:ind w:left="156" w:right="148"/>
              <w:jc w:val="center"/>
              <w:rPr>
                <w:sz w:val="21"/>
              </w:rPr>
            </w:pPr>
            <w:r>
              <w:rPr>
                <w:sz w:val="21"/>
              </w:rPr>
              <w:t>边角料</w:t>
            </w:r>
          </w:p>
        </w:tc>
        <w:tc>
          <w:tcPr>
            <w:tcW w:w="1430" w:type="dxa"/>
          </w:tcPr>
          <w:p w14:paraId="620DDC10">
            <w:pPr>
              <w:pStyle w:val="14"/>
              <w:spacing w:before="21" w:line="242" w:lineRule="auto"/>
              <w:ind w:left="190" w:right="178"/>
              <w:jc w:val="center"/>
              <w:rPr>
                <w:sz w:val="21"/>
              </w:rPr>
            </w:pPr>
            <w:r>
              <w:rPr>
                <w:w w:val="95"/>
                <w:sz w:val="21"/>
              </w:rPr>
              <w:t>开膛、去内脏、分割修</w:t>
            </w:r>
            <w:r>
              <w:rPr>
                <w:sz w:val="21"/>
              </w:rPr>
              <w:t>整</w:t>
            </w:r>
          </w:p>
        </w:tc>
        <w:tc>
          <w:tcPr>
            <w:tcW w:w="871" w:type="dxa"/>
          </w:tcPr>
          <w:p w14:paraId="2B9C329D">
            <w:pPr>
              <w:pStyle w:val="14"/>
              <w:spacing w:before="12"/>
              <w:rPr>
                <w:b/>
                <w:sz w:val="23"/>
              </w:rPr>
            </w:pPr>
          </w:p>
          <w:p w14:paraId="7E770FBF">
            <w:pPr>
              <w:pStyle w:val="14"/>
              <w:ind w:left="125" w:right="116"/>
              <w:jc w:val="center"/>
              <w:rPr>
                <w:rFonts w:ascii="Times New Roman"/>
                <w:sz w:val="21"/>
              </w:rPr>
            </w:pPr>
            <w:r>
              <w:rPr>
                <w:rFonts w:ascii="Times New Roman"/>
                <w:sz w:val="21"/>
              </w:rPr>
              <w:t>352</w:t>
            </w:r>
          </w:p>
        </w:tc>
        <w:tc>
          <w:tcPr>
            <w:tcW w:w="1290" w:type="dxa"/>
          </w:tcPr>
          <w:p w14:paraId="4FD31D05">
            <w:pPr>
              <w:pStyle w:val="14"/>
              <w:spacing w:before="10"/>
              <w:rPr>
                <w:b/>
                <w:sz w:val="22"/>
              </w:rPr>
            </w:pPr>
          </w:p>
          <w:p w14:paraId="36D9F033">
            <w:pPr>
              <w:pStyle w:val="14"/>
              <w:spacing w:before="1"/>
              <w:ind w:left="224"/>
              <w:rPr>
                <w:sz w:val="21"/>
              </w:rPr>
            </w:pPr>
            <w:r>
              <w:rPr>
                <w:sz w:val="21"/>
              </w:rPr>
              <w:t>一般固废</w:t>
            </w:r>
          </w:p>
        </w:tc>
        <w:tc>
          <w:tcPr>
            <w:tcW w:w="1033" w:type="dxa"/>
          </w:tcPr>
          <w:p w14:paraId="66272586">
            <w:pPr>
              <w:pStyle w:val="14"/>
              <w:spacing w:before="10"/>
              <w:rPr>
                <w:b/>
                <w:sz w:val="22"/>
              </w:rPr>
            </w:pPr>
          </w:p>
          <w:p w14:paraId="3A0AE1A3">
            <w:pPr>
              <w:pStyle w:val="14"/>
              <w:spacing w:before="1"/>
              <w:ind w:left="179" w:right="174"/>
              <w:jc w:val="center"/>
              <w:rPr>
                <w:sz w:val="21"/>
              </w:rPr>
            </w:pPr>
            <w:r>
              <w:rPr>
                <w:sz w:val="21"/>
              </w:rPr>
              <w:t>边角料</w:t>
            </w:r>
          </w:p>
        </w:tc>
        <w:tc>
          <w:tcPr>
            <w:tcW w:w="2644" w:type="dxa"/>
          </w:tcPr>
          <w:p w14:paraId="4AD05036">
            <w:pPr>
              <w:pStyle w:val="14"/>
              <w:spacing w:before="156" w:line="244" w:lineRule="auto"/>
              <w:ind w:left="901" w:right="155" w:hanging="735"/>
              <w:rPr>
                <w:sz w:val="21"/>
              </w:rPr>
            </w:pPr>
            <w:r>
              <w:rPr>
                <w:w w:val="95"/>
                <w:sz w:val="21"/>
              </w:rPr>
              <w:t xml:space="preserve">收集暂存在一般固废间， </w:t>
            </w:r>
            <w:r>
              <w:rPr>
                <w:sz w:val="21"/>
              </w:rPr>
              <w:t>集中外售</w:t>
            </w:r>
          </w:p>
        </w:tc>
      </w:tr>
      <w:tr w14:paraId="7E732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1254" w:type="dxa"/>
          </w:tcPr>
          <w:p w14:paraId="5079A50A">
            <w:pPr>
              <w:pStyle w:val="14"/>
              <w:spacing w:before="10"/>
              <w:rPr>
                <w:b/>
                <w:sz w:val="22"/>
              </w:rPr>
            </w:pPr>
          </w:p>
          <w:p w14:paraId="66717886">
            <w:pPr>
              <w:pStyle w:val="14"/>
              <w:ind w:left="156" w:right="148"/>
              <w:jc w:val="center"/>
              <w:rPr>
                <w:sz w:val="21"/>
              </w:rPr>
            </w:pPr>
            <w:r>
              <w:rPr>
                <w:sz w:val="21"/>
              </w:rPr>
              <w:t>猪毛</w:t>
            </w:r>
          </w:p>
        </w:tc>
        <w:tc>
          <w:tcPr>
            <w:tcW w:w="1430" w:type="dxa"/>
          </w:tcPr>
          <w:p w14:paraId="23498808">
            <w:pPr>
              <w:pStyle w:val="14"/>
              <w:spacing w:before="10"/>
              <w:rPr>
                <w:b/>
                <w:sz w:val="22"/>
              </w:rPr>
            </w:pPr>
          </w:p>
          <w:p w14:paraId="5D50DE6F">
            <w:pPr>
              <w:pStyle w:val="14"/>
              <w:ind w:left="185" w:right="178"/>
              <w:jc w:val="center"/>
              <w:rPr>
                <w:sz w:val="21"/>
              </w:rPr>
            </w:pPr>
            <w:r>
              <w:rPr>
                <w:sz w:val="21"/>
              </w:rPr>
              <w:t>脱毛</w:t>
            </w:r>
          </w:p>
        </w:tc>
        <w:tc>
          <w:tcPr>
            <w:tcW w:w="871" w:type="dxa"/>
          </w:tcPr>
          <w:p w14:paraId="12B232D9">
            <w:pPr>
              <w:pStyle w:val="14"/>
              <w:spacing w:before="11"/>
              <w:rPr>
                <w:b/>
                <w:sz w:val="23"/>
              </w:rPr>
            </w:pPr>
          </w:p>
          <w:p w14:paraId="24671F93">
            <w:pPr>
              <w:pStyle w:val="14"/>
              <w:ind w:left="125" w:right="116"/>
              <w:jc w:val="center"/>
              <w:rPr>
                <w:rFonts w:ascii="Times New Roman"/>
                <w:sz w:val="21"/>
              </w:rPr>
            </w:pPr>
            <w:r>
              <w:rPr>
                <w:rFonts w:ascii="Times New Roman"/>
                <w:sz w:val="21"/>
              </w:rPr>
              <w:t>400</w:t>
            </w:r>
          </w:p>
        </w:tc>
        <w:tc>
          <w:tcPr>
            <w:tcW w:w="1290" w:type="dxa"/>
          </w:tcPr>
          <w:p w14:paraId="650E530C">
            <w:pPr>
              <w:pStyle w:val="14"/>
              <w:spacing w:before="10"/>
              <w:rPr>
                <w:b/>
                <w:sz w:val="22"/>
              </w:rPr>
            </w:pPr>
          </w:p>
          <w:p w14:paraId="64B22584">
            <w:pPr>
              <w:pStyle w:val="14"/>
              <w:ind w:left="224"/>
              <w:rPr>
                <w:sz w:val="21"/>
              </w:rPr>
            </w:pPr>
            <w:r>
              <w:rPr>
                <w:sz w:val="21"/>
              </w:rPr>
              <w:t>一般固废</w:t>
            </w:r>
          </w:p>
        </w:tc>
        <w:tc>
          <w:tcPr>
            <w:tcW w:w="1033" w:type="dxa"/>
          </w:tcPr>
          <w:p w14:paraId="2B42CE96">
            <w:pPr>
              <w:pStyle w:val="14"/>
              <w:spacing w:before="10"/>
              <w:rPr>
                <w:b/>
                <w:sz w:val="22"/>
              </w:rPr>
            </w:pPr>
          </w:p>
          <w:p w14:paraId="6BB01B93">
            <w:pPr>
              <w:pStyle w:val="14"/>
              <w:ind w:left="179" w:right="174"/>
              <w:jc w:val="center"/>
              <w:rPr>
                <w:sz w:val="21"/>
              </w:rPr>
            </w:pPr>
            <w:r>
              <w:rPr>
                <w:sz w:val="21"/>
              </w:rPr>
              <w:t>猪毛</w:t>
            </w:r>
          </w:p>
        </w:tc>
        <w:tc>
          <w:tcPr>
            <w:tcW w:w="2644" w:type="dxa"/>
          </w:tcPr>
          <w:p w14:paraId="314915EB">
            <w:pPr>
              <w:pStyle w:val="14"/>
              <w:spacing w:before="21" w:line="242" w:lineRule="auto"/>
              <w:ind w:left="167" w:right="155"/>
              <w:jc w:val="center"/>
              <w:rPr>
                <w:sz w:val="21"/>
              </w:rPr>
            </w:pPr>
            <w:r>
              <w:rPr>
                <w:w w:val="95"/>
                <w:sz w:val="21"/>
              </w:rPr>
              <w:t>经收集后暂存在一般固废暂存间，再由猪毛收购单</w:t>
            </w:r>
            <w:r>
              <w:rPr>
                <w:sz w:val="21"/>
              </w:rPr>
              <w:t>位回收</w:t>
            </w:r>
          </w:p>
        </w:tc>
      </w:tr>
      <w:tr w14:paraId="0B2B6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254" w:type="dxa"/>
          </w:tcPr>
          <w:p w14:paraId="42E6B5B9">
            <w:pPr>
              <w:pStyle w:val="14"/>
              <w:spacing w:before="157"/>
              <w:ind w:left="154" w:right="148"/>
              <w:jc w:val="center"/>
              <w:rPr>
                <w:sz w:val="21"/>
              </w:rPr>
            </w:pPr>
            <w:r>
              <w:rPr>
                <w:sz w:val="21"/>
              </w:rPr>
              <w:t>废包装物</w:t>
            </w:r>
          </w:p>
        </w:tc>
        <w:tc>
          <w:tcPr>
            <w:tcW w:w="1430" w:type="dxa"/>
          </w:tcPr>
          <w:p w14:paraId="53BC2837">
            <w:pPr>
              <w:pStyle w:val="14"/>
              <w:spacing w:before="157"/>
              <w:ind w:left="185" w:right="178"/>
              <w:jc w:val="center"/>
              <w:rPr>
                <w:sz w:val="21"/>
              </w:rPr>
            </w:pPr>
            <w:r>
              <w:rPr>
                <w:sz w:val="21"/>
              </w:rPr>
              <w:t>仓库</w:t>
            </w:r>
          </w:p>
        </w:tc>
        <w:tc>
          <w:tcPr>
            <w:tcW w:w="871" w:type="dxa"/>
          </w:tcPr>
          <w:p w14:paraId="0CBCA644">
            <w:pPr>
              <w:pStyle w:val="14"/>
              <w:spacing w:before="171"/>
              <w:ind w:left="125" w:right="116"/>
              <w:jc w:val="center"/>
              <w:rPr>
                <w:rFonts w:ascii="Times New Roman"/>
                <w:sz w:val="21"/>
              </w:rPr>
            </w:pPr>
            <w:r>
              <w:rPr>
                <w:rFonts w:ascii="Times New Roman"/>
                <w:sz w:val="21"/>
              </w:rPr>
              <w:t>1.5</w:t>
            </w:r>
          </w:p>
        </w:tc>
        <w:tc>
          <w:tcPr>
            <w:tcW w:w="1290" w:type="dxa"/>
          </w:tcPr>
          <w:p w14:paraId="5B4A710B">
            <w:pPr>
              <w:pStyle w:val="14"/>
              <w:spacing w:before="157"/>
              <w:ind w:left="224"/>
              <w:rPr>
                <w:sz w:val="21"/>
              </w:rPr>
            </w:pPr>
            <w:r>
              <w:rPr>
                <w:sz w:val="21"/>
              </w:rPr>
              <w:t>一般固废</w:t>
            </w:r>
          </w:p>
        </w:tc>
        <w:tc>
          <w:tcPr>
            <w:tcW w:w="1033" w:type="dxa"/>
          </w:tcPr>
          <w:p w14:paraId="75B1624A">
            <w:pPr>
              <w:pStyle w:val="14"/>
              <w:spacing w:before="157"/>
              <w:ind w:left="179" w:right="174"/>
              <w:jc w:val="center"/>
              <w:rPr>
                <w:sz w:val="21"/>
              </w:rPr>
            </w:pPr>
            <w:r>
              <w:rPr>
                <w:sz w:val="21"/>
              </w:rPr>
              <w:t>塑料</w:t>
            </w:r>
          </w:p>
        </w:tc>
        <w:tc>
          <w:tcPr>
            <w:tcW w:w="2644" w:type="dxa"/>
          </w:tcPr>
          <w:p w14:paraId="760C43ED">
            <w:pPr>
              <w:pStyle w:val="14"/>
              <w:spacing w:before="19" w:line="270" w:lineRule="atLeast"/>
              <w:ind w:left="901" w:right="155" w:hanging="735"/>
              <w:rPr>
                <w:sz w:val="21"/>
              </w:rPr>
            </w:pPr>
            <w:r>
              <w:rPr>
                <w:w w:val="95"/>
                <w:sz w:val="21"/>
              </w:rPr>
              <w:t xml:space="preserve">附近废品收购站回收后， </w:t>
            </w:r>
            <w:r>
              <w:rPr>
                <w:sz w:val="21"/>
              </w:rPr>
              <w:t>合理处置</w:t>
            </w:r>
          </w:p>
        </w:tc>
      </w:tr>
      <w:tr w14:paraId="551A7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254" w:type="dxa"/>
          </w:tcPr>
          <w:p w14:paraId="4908D994">
            <w:pPr>
              <w:pStyle w:val="14"/>
              <w:spacing w:before="19" w:line="270" w:lineRule="atLeast"/>
              <w:ind w:left="206" w:right="195"/>
              <w:rPr>
                <w:sz w:val="21"/>
              </w:rPr>
            </w:pPr>
            <w:r>
              <w:rPr>
                <w:sz w:val="21"/>
              </w:rPr>
              <w:t>不合格品及病死猪</w:t>
            </w:r>
          </w:p>
        </w:tc>
        <w:tc>
          <w:tcPr>
            <w:tcW w:w="1430" w:type="dxa"/>
          </w:tcPr>
          <w:p w14:paraId="6FFAED12">
            <w:pPr>
              <w:pStyle w:val="14"/>
              <w:spacing w:before="155"/>
              <w:ind w:left="183" w:right="178"/>
              <w:jc w:val="center"/>
              <w:rPr>
                <w:sz w:val="21"/>
              </w:rPr>
            </w:pPr>
            <w:r>
              <w:rPr>
                <w:sz w:val="21"/>
              </w:rPr>
              <w:t>检验检疫</w:t>
            </w:r>
          </w:p>
        </w:tc>
        <w:tc>
          <w:tcPr>
            <w:tcW w:w="871" w:type="dxa"/>
          </w:tcPr>
          <w:p w14:paraId="23900C35">
            <w:pPr>
              <w:pStyle w:val="14"/>
              <w:spacing w:before="171"/>
              <w:ind w:left="125" w:right="118"/>
              <w:jc w:val="center"/>
              <w:rPr>
                <w:rFonts w:ascii="Times New Roman"/>
                <w:sz w:val="21"/>
              </w:rPr>
            </w:pPr>
            <w:r>
              <w:rPr>
                <w:rFonts w:ascii="Times New Roman"/>
                <w:sz w:val="21"/>
              </w:rPr>
              <w:t>440.42</w:t>
            </w:r>
          </w:p>
        </w:tc>
        <w:tc>
          <w:tcPr>
            <w:tcW w:w="1290" w:type="dxa"/>
          </w:tcPr>
          <w:p w14:paraId="0B442681">
            <w:pPr>
              <w:pStyle w:val="14"/>
              <w:spacing w:before="155"/>
              <w:ind w:left="224"/>
              <w:rPr>
                <w:sz w:val="21"/>
              </w:rPr>
            </w:pPr>
            <w:r>
              <w:rPr>
                <w:sz w:val="21"/>
              </w:rPr>
              <w:t>危险废物</w:t>
            </w:r>
          </w:p>
        </w:tc>
        <w:tc>
          <w:tcPr>
            <w:tcW w:w="1033" w:type="dxa"/>
          </w:tcPr>
          <w:p w14:paraId="11C54D02">
            <w:pPr>
              <w:pStyle w:val="14"/>
              <w:spacing w:before="19" w:line="270" w:lineRule="atLeast"/>
              <w:ind w:left="305" w:right="192" w:hanging="106"/>
              <w:rPr>
                <w:sz w:val="21"/>
              </w:rPr>
            </w:pPr>
            <w:r>
              <w:rPr>
                <w:sz w:val="21"/>
              </w:rPr>
              <w:t>不合格内脏</w:t>
            </w:r>
          </w:p>
        </w:tc>
        <w:tc>
          <w:tcPr>
            <w:tcW w:w="2644" w:type="dxa"/>
          </w:tcPr>
          <w:p w14:paraId="4D0B8292">
            <w:pPr>
              <w:pStyle w:val="14"/>
              <w:spacing w:before="19" w:line="270" w:lineRule="atLeast"/>
              <w:ind w:left="376" w:right="155" w:hanging="209"/>
              <w:rPr>
                <w:sz w:val="21"/>
              </w:rPr>
            </w:pPr>
            <w:r>
              <w:rPr>
                <w:w w:val="95"/>
                <w:sz w:val="21"/>
              </w:rPr>
              <w:t>经收集后委托无害化处理</w:t>
            </w:r>
            <w:r>
              <w:rPr>
                <w:sz w:val="21"/>
              </w:rPr>
              <w:t>中心进行无害化处理</w:t>
            </w:r>
          </w:p>
        </w:tc>
      </w:tr>
      <w:tr w14:paraId="4E43E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254" w:type="dxa"/>
          </w:tcPr>
          <w:p w14:paraId="5C591563">
            <w:pPr>
              <w:pStyle w:val="14"/>
              <w:spacing w:before="20" w:line="270" w:lineRule="atLeast"/>
              <w:ind w:left="520" w:right="198" w:hanging="315"/>
              <w:rPr>
                <w:sz w:val="21"/>
              </w:rPr>
            </w:pPr>
            <w:r>
              <w:rPr>
                <w:w w:val="95"/>
                <w:sz w:val="21"/>
              </w:rPr>
              <w:t>废包装容</w:t>
            </w:r>
            <w:r>
              <w:rPr>
                <w:sz w:val="21"/>
              </w:rPr>
              <w:t>器</w:t>
            </w:r>
          </w:p>
        </w:tc>
        <w:tc>
          <w:tcPr>
            <w:tcW w:w="1430" w:type="dxa"/>
          </w:tcPr>
          <w:p w14:paraId="6F8EB062">
            <w:pPr>
              <w:pStyle w:val="14"/>
              <w:spacing w:before="155"/>
              <w:ind w:left="183" w:right="178"/>
              <w:jc w:val="center"/>
              <w:rPr>
                <w:sz w:val="21"/>
              </w:rPr>
            </w:pPr>
            <w:r>
              <w:rPr>
                <w:sz w:val="21"/>
              </w:rPr>
              <w:t>制冷机房</w:t>
            </w:r>
          </w:p>
        </w:tc>
        <w:tc>
          <w:tcPr>
            <w:tcW w:w="871" w:type="dxa"/>
          </w:tcPr>
          <w:p w14:paraId="2A73F456">
            <w:pPr>
              <w:pStyle w:val="14"/>
              <w:spacing w:before="169"/>
              <w:ind w:left="125" w:right="116"/>
              <w:jc w:val="center"/>
              <w:rPr>
                <w:rFonts w:ascii="Times New Roman"/>
                <w:sz w:val="21"/>
              </w:rPr>
            </w:pPr>
            <w:r>
              <w:rPr>
                <w:rFonts w:ascii="Times New Roman"/>
                <w:sz w:val="21"/>
              </w:rPr>
              <w:t>0.3</w:t>
            </w:r>
          </w:p>
        </w:tc>
        <w:tc>
          <w:tcPr>
            <w:tcW w:w="1290" w:type="dxa"/>
          </w:tcPr>
          <w:p w14:paraId="5292CE19">
            <w:pPr>
              <w:pStyle w:val="14"/>
              <w:spacing w:before="35"/>
              <w:ind w:left="224"/>
              <w:rPr>
                <w:sz w:val="21"/>
              </w:rPr>
            </w:pPr>
            <w:r>
              <w:rPr>
                <w:sz w:val="21"/>
              </w:rPr>
              <w:t>危险废物</w:t>
            </w:r>
          </w:p>
          <w:p w14:paraId="694DB568">
            <w:pPr>
              <w:pStyle w:val="14"/>
              <w:spacing w:before="2"/>
              <w:ind w:left="155"/>
              <w:rPr>
                <w:rFonts w:ascii="Times New Roman"/>
                <w:sz w:val="21"/>
              </w:rPr>
            </w:pPr>
            <w:r>
              <w:rPr>
                <w:rFonts w:ascii="Times New Roman"/>
                <w:sz w:val="21"/>
              </w:rPr>
              <w:t>900-041-49</w:t>
            </w:r>
          </w:p>
        </w:tc>
        <w:tc>
          <w:tcPr>
            <w:tcW w:w="1033" w:type="dxa"/>
          </w:tcPr>
          <w:p w14:paraId="3AC92D86">
            <w:pPr>
              <w:pStyle w:val="14"/>
              <w:spacing w:before="155"/>
              <w:ind w:left="179" w:right="174"/>
              <w:jc w:val="center"/>
              <w:rPr>
                <w:sz w:val="21"/>
              </w:rPr>
            </w:pPr>
            <w:r>
              <w:rPr>
                <w:sz w:val="21"/>
              </w:rPr>
              <w:t>危化品</w:t>
            </w:r>
          </w:p>
        </w:tc>
        <w:tc>
          <w:tcPr>
            <w:tcW w:w="2644" w:type="dxa"/>
            <w:vMerge w:val="restart"/>
          </w:tcPr>
          <w:p w14:paraId="22B2E743">
            <w:pPr>
              <w:pStyle w:val="14"/>
              <w:rPr>
                <w:b/>
                <w:sz w:val="20"/>
              </w:rPr>
            </w:pPr>
          </w:p>
          <w:p w14:paraId="4FC55602">
            <w:pPr>
              <w:pStyle w:val="14"/>
              <w:rPr>
                <w:b/>
                <w:sz w:val="20"/>
              </w:rPr>
            </w:pPr>
          </w:p>
          <w:p w14:paraId="7B6E7C5D">
            <w:pPr>
              <w:pStyle w:val="14"/>
              <w:spacing w:before="12"/>
              <w:rPr>
                <w:b/>
                <w:sz w:val="29"/>
              </w:rPr>
            </w:pPr>
          </w:p>
          <w:p w14:paraId="5334EA88">
            <w:pPr>
              <w:pStyle w:val="14"/>
              <w:spacing w:line="242" w:lineRule="auto"/>
              <w:ind w:left="167" w:right="155"/>
              <w:jc w:val="center"/>
              <w:rPr>
                <w:sz w:val="21"/>
              </w:rPr>
            </w:pPr>
            <w:r>
              <w:rPr>
                <w:w w:val="95"/>
                <w:sz w:val="21"/>
              </w:rPr>
              <w:t>经收集后先暂存在危险废物暂存间，再交由有资质</w:t>
            </w:r>
            <w:r>
              <w:rPr>
                <w:sz w:val="21"/>
              </w:rPr>
              <w:t>的单位定期清运处理</w:t>
            </w:r>
          </w:p>
        </w:tc>
      </w:tr>
      <w:tr w14:paraId="19B4F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254" w:type="dxa"/>
          </w:tcPr>
          <w:p w14:paraId="37982E08">
            <w:pPr>
              <w:pStyle w:val="14"/>
              <w:spacing w:before="142"/>
              <w:ind w:left="156" w:right="148"/>
              <w:jc w:val="center"/>
              <w:rPr>
                <w:sz w:val="21"/>
              </w:rPr>
            </w:pPr>
            <w:r>
              <w:rPr>
                <w:sz w:val="21"/>
              </w:rPr>
              <w:t>废机油</w:t>
            </w:r>
          </w:p>
        </w:tc>
        <w:tc>
          <w:tcPr>
            <w:tcW w:w="1430" w:type="dxa"/>
          </w:tcPr>
          <w:p w14:paraId="5E9EE0B8">
            <w:pPr>
              <w:pStyle w:val="14"/>
              <w:spacing w:before="142"/>
              <w:ind w:left="183" w:right="178"/>
              <w:jc w:val="center"/>
              <w:rPr>
                <w:sz w:val="21"/>
              </w:rPr>
            </w:pPr>
            <w:r>
              <w:rPr>
                <w:sz w:val="21"/>
              </w:rPr>
              <w:t>设备维修</w:t>
            </w:r>
          </w:p>
        </w:tc>
        <w:tc>
          <w:tcPr>
            <w:tcW w:w="871" w:type="dxa"/>
          </w:tcPr>
          <w:p w14:paraId="2461E70E">
            <w:pPr>
              <w:pStyle w:val="14"/>
              <w:spacing w:before="156"/>
              <w:ind w:left="125" w:right="118"/>
              <w:jc w:val="center"/>
              <w:rPr>
                <w:rFonts w:ascii="Times New Roman"/>
                <w:sz w:val="21"/>
              </w:rPr>
            </w:pPr>
            <w:r>
              <w:rPr>
                <w:rFonts w:ascii="Times New Roman"/>
                <w:sz w:val="21"/>
              </w:rPr>
              <w:t>0.5</w:t>
            </w:r>
          </w:p>
        </w:tc>
        <w:tc>
          <w:tcPr>
            <w:tcW w:w="1290" w:type="dxa"/>
          </w:tcPr>
          <w:p w14:paraId="7D4F76C6">
            <w:pPr>
              <w:pStyle w:val="14"/>
              <w:spacing w:before="22"/>
              <w:ind w:left="224"/>
              <w:rPr>
                <w:sz w:val="21"/>
              </w:rPr>
            </w:pPr>
            <w:r>
              <w:rPr>
                <w:sz w:val="21"/>
              </w:rPr>
              <w:t>危险废物</w:t>
            </w:r>
          </w:p>
          <w:p w14:paraId="3EAC06CB">
            <w:pPr>
              <w:pStyle w:val="14"/>
              <w:spacing w:before="1" w:line="241" w:lineRule="exact"/>
              <w:ind w:left="155"/>
              <w:rPr>
                <w:rFonts w:ascii="Times New Roman"/>
                <w:sz w:val="21"/>
              </w:rPr>
            </w:pPr>
            <w:r>
              <w:rPr>
                <w:rFonts w:ascii="Times New Roman"/>
                <w:sz w:val="21"/>
              </w:rPr>
              <w:t>900-249-08</w:t>
            </w:r>
          </w:p>
        </w:tc>
        <w:tc>
          <w:tcPr>
            <w:tcW w:w="1033" w:type="dxa"/>
          </w:tcPr>
          <w:p w14:paraId="43E1FC58">
            <w:pPr>
              <w:pStyle w:val="14"/>
              <w:spacing w:before="142"/>
              <w:ind w:left="179" w:right="174"/>
              <w:jc w:val="center"/>
              <w:rPr>
                <w:sz w:val="21"/>
              </w:rPr>
            </w:pPr>
            <w:r>
              <w:rPr>
                <w:sz w:val="21"/>
              </w:rPr>
              <w:t>机油</w:t>
            </w:r>
          </w:p>
        </w:tc>
        <w:tc>
          <w:tcPr>
            <w:tcW w:w="2644" w:type="dxa"/>
            <w:vMerge w:val="continue"/>
            <w:tcBorders>
              <w:top w:val="nil"/>
            </w:tcBorders>
          </w:tcPr>
          <w:p w14:paraId="5AADF12F">
            <w:pPr>
              <w:rPr>
                <w:sz w:val="2"/>
                <w:szCs w:val="2"/>
              </w:rPr>
            </w:pPr>
          </w:p>
        </w:tc>
      </w:tr>
      <w:tr w14:paraId="0A80B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254" w:type="dxa"/>
          </w:tcPr>
          <w:p w14:paraId="6EEA32BF">
            <w:pPr>
              <w:pStyle w:val="14"/>
              <w:spacing w:before="156"/>
              <w:ind w:left="154" w:right="148"/>
              <w:jc w:val="center"/>
              <w:rPr>
                <w:sz w:val="21"/>
              </w:rPr>
            </w:pPr>
            <w:r>
              <w:rPr>
                <w:sz w:val="21"/>
              </w:rPr>
              <w:t>实验废液</w:t>
            </w:r>
          </w:p>
        </w:tc>
        <w:tc>
          <w:tcPr>
            <w:tcW w:w="1430" w:type="dxa"/>
          </w:tcPr>
          <w:p w14:paraId="5FFD5262">
            <w:pPr>
              <w:pStyle w:val="14"/>
              <w:spacing w:before="156"/>
              <w:ind w:left="183" w:right="178"/>
              <w:jc w:val="center"/>
              <w:rPr>
                <w:sz w:val="21"/>
              </w:rPr>
            </w:pPr>
            <w:r>
              <w:rPr>
                <w:sz w:val="21"/>
              </w:rPr>
              <w:t>胴体检验</w:t>
            </w:r>
          </w:p>
        </w:tc>
        <w:tc>
          <w:tcPr>
            <w:tcW w:w="871" w:type="dxa"/>
          </w:tcPr>
          <w:p w14:paraId="6F71C523">
            <w:pPr>
              <w:pStyle w:val="14"/>
              <w:spacing w:before="170"/>
              <w:ind w:left="9"/>
              <w:jc w:val="center"/>
              <w:rPr>
                <w:rFonts w:ascii="Times New Roman"/>
                <w:sz w:val="21"/>
              </w:rPr>
            </w:pPr>
            <w:r>
              <w:rPr>
                <w:rFonts w:ascii="Times New Roman"/>
                <w:w w:val="99"/>
                <w:sz w:val="21"/>
              </w:rPr>
              <w:t>2</w:t>
            </w:r>
          </w:p>
        </w:tc>
        <w:tc>
          <w:tcPr>
            <w:tcW w:w="1290" w:type="dxa"/>
          </w:tcPr>
          <w:p w14:paraId="3FE24472">
            <w:pPr>
              <w:pStyle w:val="14"/>
              <w:spacing w:before="36"/>
              <w:ind w:left="224"/>
              <w:rPr>
                <w:sz w:val="21"/>
              </w:rPr>
            </w:pPr>
            <w:r>
              <w:rPr>
                <w:sz w:val="21"/>
              </w:rPr>
              <w:t>危险废物</w:t>
            </w:r>
          </w:p>
          <w:p w14:paraId="3A722D55">
            <w:pPr>
              <w:pStyle w:val="14"/>
              <w:spacing w:before="2"/>
              <w:ind w:left="155"/>
              <w:rPr>
                <w:rFonts w:ascii="Times New Roman"/>
                <w:sz w:val="21"/>
              </w:rPr>
            </w:pPr>
            <w:r>
              <w:rPr>
                <w:rFonts w:ascii="Times New Roman"/>
                <w:sz w:val="21"/>
              </w:rPr>
              <w:t>900-047-49</w:t>
            </w:r>
          </w:p>
        </w:tc>
        <w:tc>
          <w:tcPr>
            <w:tcW w:w="1033" w:type="dxa"/>
          </w:tcPr>
          <w:p w14:paraId="39F9D54C">
            <w:pPr>
              <w:pStyle w:val="14"/>
              <w:spacing w:before="21" w:line="270" w:lineRule="atLeast"/>
              <w:ind w:left="410" w:right="192" w:hanging="212"/>
              <w:rPr>
                <w:sz w:val="21"/>
              </w:rPr>
            </w:pPr>
            <w:r>
              <w:rPr>
                <w:sz w:val="21"/>
              </w:rPr>
              <w:t>各类药剂</w:t>
            </w:r>
          </w:p>
        </w:tc>
        <w:tc>
          <w:tcPr>
            <w:tcW w:w="2644" w:type="dxa"/>
            <w:vMerge w:val="continue"/>
            <w:tcBorders>
              <w:top w:val="nil"/>
            </w:tcBorders>
          </w:tcPr>
          <w:p w14:paraId="3E58E47A">
            <w:pPr>
              <w:rPr>
                <w:sz w:val="2"/>
                <w:szCs w:val="2"/>
              </w:rPr>
            </w:pPr>
          </w:p>
        </w:tc>
      </w:tr>
      <w:tr w14:paraId="50D07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1254" w:type="dxa"/>
          </w:tcPr>
          <w:p w14:paraId="57C68551">
            <w:pPr>
              <w:pStyle w:val="14"/>
              <w:spacing w:before="19" w:line="242" w:lineRule="auto"/>
              <w:ind w:left="206" w:right="198"/>
              <w:jc w:val="center"/>
              <w:rPr>
                <w:sz w:val="21"/>
              </w:rPr>
            </w:pPr>
            <w:r>
              <w:rPr>
                <w:w w:val="95"/>
                <w:sz w:val="21"/>
              </w:rPr>
              <w:t>含油抹布及劳保用</w:t>
            </w:r>
            <w:r>
              <w:rPr>
                <w:sz w:val="21"/>
              </w:rPr>
              <w:t>品</w:t>
            </w:r>
          </w:p>
        </w:tc>
        <w:tc>
          <w:tcPr>
            <w:tcW w:w="1430" w:type="dxa"/>
          </w:tcPr>
          <w:p w14:paraId="24CCAA1B">
            <w:pPr>
              <w:pStyle w:val="14"/>
              <w:spacing w:before="9"/>
              <w:rPr>
                <w:b/>
                <w:sz w:val="22"/>
              </w:rPr>
            </w:pPr>
          </w:p>
          <w:p w14:paraId="34561BA9">
            <w:pPr>
              <w:pStyle w:val="14"/>
              <w:ind w:left="183" w:right="178"/>
              <w:jc w:val="center"/>
              <w:rPr>
                <w:sz w:val="21"/>
              </w:rPr>
            </w:pPr>
            <w:r>
              <w:rPr>
                <w:sz w:val="21"/>
              </w:rPr>
              <w:t>设备维修</w:t>
            </w:r>
          </w:p>
        </w:tc>
        <w:tc>
          <w:tcPr>
            <w:tcW w:w="871" w:type="dxa"/>
          </w:tcPr>
          <w:p w14:paraId="4CCB9CF5">
            <w:pPr>
              <w:pStyle w:val="14"/>
              <w:spacing w:before="10"/>
              <w:rPr>
                <w:b/>
                <w:sz w:val="23"/>
              </w:rPr>
            </w:pPr>
          </w:p>
          <w:p w14:paraId="2FFF8815">
            <w:pPr>
              <w:pStyle w:val="14"/>
              <w:ind w:left="125" w:right="116"/>
              <w:jc w:val="center"/>
              <w:rPr>
                <w:rFonts w:ascii="Times New Roman"/>
                <w:sz w:val="21"/>
              </w:rPr>
            </w:pPr>
            <w:r>
              <w:rPr>
                <w:rFonts w:ascii="Times New Roman"/>
                <w:sz w:val="21"/>
              </w:rPr>
              <w:t>0.1</w:t>
            </w:r>
          </w:p>
        </w:tc>
        <w:tc>
          <w:tcPr>
            <w:tcW w:w="1290" w:type="dxa"/>
          </w:tcPr>
          <w:p w14:paraId="4928B8B2">
            <w:pPr>
              <w:pStyle w:val="14"/>
              <w:spacing w:before="171"/>
              <w:ind w:left="224"/>
              <w:rPr>
                <w:sz w:val="21"/>
              </w:rPr>
            </w:pPr>
            <w:r>
              <w:rPr>
                <w:sz w:val="21"/>
              </w:rPr>
              <w:t>危险废物</w:t>
            </w:r>
          </w:p>
          <w:p w14:paraId="03864DE7">
            <w:pPr>
              <w:pStyle w:val="14"/>
              <w:spacing w:before="1"/>
              <w:ind w:left="155"/>
              <w:rPr>
                <w:rFonts w:ascii="Times New Roman"/>
                <w:sz w:val="21"/>
              </w:rPr>
            </w:pPr>
            <w:r>
              <w:rPr>
                <w:rFonts w:ascii="Times New Roman"/>
                <w:sz w:val="21"/>
              </w:rPr>
              <w:t>900-041-49</w:t>
            </w:r>
          </w:p>
        </w:tc>
        <w:tc>
          <w:tcPr>
            <w:tcW w:w="1033" w:type="dxa"/>
          </w:tcPr>
          <w:p w14:paraId="0FF6FEDE">
            <w:pPr>
              <w:pStyle w:val="14"/>
              <w:spacing w:before="9"/>
              <w:rPr>
                <w:b/>
                <w:sz w:val="22"/>
              </w:rPr>
            </w:pPr>
          </w:p>
          <w:p w14:paraId="7A35736A">
            <w:pPr>
              <w:pStyle w:val="14"/>
              <w:ind w:left="179" w:right="174"/>
              <w:jc w:val="center"/>
              <w:rPr>
                <w:sz w:val="21"/>
              </w:rPr>
            </w:pPr>
            <w:r>
              <w:rPr>
                <w:sz w:val="21"/>
              </w:rPr>
              <w:t>机油</w:t>
            </w:r>
          </w:p>
        </w:tc>
        <w:tc>
          <w:tcPr>
            <w:tcW w:w="2644" w:type="dxa"/>
            <w:vMerge w:val="continue"/>
            <w:tcBorders>
              <w:top w:val="nil"/>
            </w:tcBorders>
          </w:tcPr>
          <w:p w14:paraId="05B7B146">
            <w:pPr>
              <w:rPr>
                <w:sz w:val="2"/>
                <w:szCs w:val="2"/>
              </w:rPr>
            </w:pPr>
          </w:p>
        </w:tc>
      </w:tr>
      <w:tr w14:paraId="50B8C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254" w:type="dxa"/>
          </w:tcPr>
          <w:p w14:paraId="344E9E4C">
            <w:pPr>
              <w:pStyle w:val="14"/>
              <w:spacing w:before="156"/>
              <w:ind w:left="154" w:right="148"/>
              <w:jc w:val="center"/>
              <w:rPr>
                <w:sz w:val="21"/>
              </w:rPr>
            </w:pPr>
            <w:r>
              <w:rPr>
                <w:sz w:val="21"/>
              </w:rPr>
              <w:t>生活垃圾</w:t>
            </w:r>
          </w:p>
        </w:tc>
        <w:tc>
          <w:tcPr>
            <w:tcW w:w="1430" w:type="dxa"/>
          </w:tcPr>
          <w:p w14:paraId="02606BFA">
            <w:pPr>
              <w:pStyle w:val="14"/>
              <w:spacing w:before="20" w:line="270" w:lineRule="atLeast"/>
              <w:ind w:left="399" w:right="178" w:hanging="209"/>
              <w:rPr>
                <w:sz w:val="21"/>
              </w:rPr>
            </w:pPr>
            <w:r>
              <w:rPr>
                <w:sz w:val="21"/>
              </w:rPr>
              <w:t>宿舍食堂及综合楼</w:t>
            </w:r>
          </w:p>
        </w:tc>
        <w:tc>
          <w:tcPr>
            <w:tcW w:w="871" w:type="dxa"/>
          </w:tcPr>
          <w:p w14:paraId="340C121A">
            <w:pPr>
              <w:pStyle w:val="14"/>
              <w:spacing w:before="170"/>
              <w:ind w:left="125" w:right="116"/>
              <w:jc w:val="center"/>
              <w:rPr>
                <w:rFonts w:ascii="Times New Roman"/>
                <w:sz w:val="21"/>
              </w:rPr>
            </w:pPr>
            <w:r>
              <w:rPr>
                <w:rFonts w:ascii="Times New Roman"/>
                <w:sz w:val="21"/>
              </w:rPr>
              <w:t>36</w:t>
            </w:r>
          </w:p>
        </w:tc>
        <w:tc>
          <w:tcPr>
            <w:tcW w:w="1290" w:type="dxa"/>
          </w:tcPr>
          <w:p w14:paraId="7B9F76ED">
            <w:pPr>
              <w:pStyle w:val="14"/>
              <w:spacing w:before="156"/>
              <w:ind w:left="224"/>
              <w:rPr>
                <w:sz w:val="21"/>
              </w:rPr>
            </w:pPr>
            <w:r>
              <w:rPr>
                <w:sz w:val="21"/>
              </w:rPr>
              <w:t>生活垃圾</w:t>
            </w:r>
          </w:p>
        </w:tc>
        <w:tc>
          <w:tcPr>
            <w:tcW w:w="1033" w:type="dxa"/>
          </w:tcPr>
          <w:p w14:paraId="1E80421E">
            <w:pPr>
              <w:pStyle w:val="14"/>
              <w:spacing w:before="20" w:line="270" w:lineRule="atLeast"/>
              <w:ind w:left="410" w:right="192" w:hanging="212"/>
              <w:rPr>
                <w:sz w:val="21"/>
              </w:rPr>
            </w:pPr>
            <w:r>
              <w:rPr>
                <w:sz w:val="21"/>
              </w:rPr>
              <w:t>生活垃圾</w:t>
            </w:r>
          </w:p>
        </w:tc>
        <w:tc>
          <w:tcPr>
            <w:tcW w:w="2644" w:type="dxa"/>
          </w:tcPr>
          <w:p w14:paraId="747DB504">
            <w:pPr>
              <w:pStyle w:val="14"/>
              <w:spacing w:before="20" w:line="270" w:lineRule="atLeast"/>
              <w:ind w:left="690" w:right="155" w:hanging="524"/>
              <w:rPr>
                <w:sz w:val="21"/>
              </w:rPr>
            </w:pPr>
            <w:r>
              <w:rPr>
                <w:w w:val="95"/>
                <w:sz w:val="21"/>
              </w:rPr>
              <w:t>定点存放，交由环卫部门</w:t>
            </w:r>
            <w:r>
              <w:rPr>
                <w:sz w:val="21"/>
              </w:rPr>
              <w:t>定期清运处理</w:t>
            </w:r>
          </w:p>
        </w:tc>
      </w:tr>
    </w:tbl>
    <w:p w14:paraId="0AAE43CD">
      <w:pPr>
        <w:pStyle w:val="6"/>
        <w:spacing w:before="1"/>
        <w:ind w:left="940"/>
      </w:pPr>
      <w:r>
        <w:rPr>
          <w:rFonts w:ascii="Times New Roman" w:eastAsia="Times New Roman"/>
        </w:rPr>
        <w:t xml:space="preserve">3.7.4.5 </w:t>
      </w:r>
      <w:r>
        <w:t>非正常排放情况</w:t>
      </w:r>
    </w:p>
    <w:p w14:paraId="13BB0FF3">
      <w:pPr>
        <w:pStyle w:val="7"/>
        <w:spacing w:before="158" w:line="364" w:lineRule="auto"/>
        <w:ind w:left="460" w:right="477" w:firstLine="480"/>
        <w:jc w:val="both"/>
      </w:pPr>
      <w:r>
        <w:t>非正常排放主要指生产过程中的开停车、停电、检修、污染物控制措施达不到应有效率、工艺设备运转异常等情况下的排放。本项目属于屠宰项目，非正常排放主要考虑污废治理装置故障，导致污染物处理效率低于设计效率的情况下，从而加大各类污染物对周围环境的影响。根据项目特点，项目运营过程</w:t>
      </w:r>
    </w:p>
    <w:p w14:paraId="3C99B8F7">
      <w:pPr>
        <w:spacing w:after="0" w:line="364" w:lineRule="auto"/>
        <w:jc w:val="both"/>
        <w:sectPr>
          <w:pgSz w:w="11910" w:h="16840"/>
          <w:pgMar w:top="1360" w:right="1320" w:bottom="1400" w:left="1340" w:header="878" w:footer="1204" w:gutter="0"/>
          <w:cols w:space="720" w:num="1"/>
        </w:sectPr>
      </w:pPr>
    </w:p>
    <w:p w14:paraId="552E8B06">
      <w:pPr>
        <w:pStyle w:val="7"/>
        <w:spacing w:before="68"/>
        <w:ind w:left="460"/>
      </w:pPr>
      <w:r>
        <w:t>非正常排放主要是：</w:t>
      </w:r>
    </w:p>
    <w:p w14:paraId="46936088">
      <w:pPr>
        <w:pStyle w:val="7"/>
        <w:spacing w:before="160"/>
        <w:ind w:left="940"/>
      </w:pPr>
      <w:r>
        <w:t>（</w:t>
      </w:r>
      <w:r>
        <w:rPr>
          <w:rFonts w:ascii="Times New Roman" w:eastAsia="Times New Roman"/>
        </w:rPr>
        <w:t>1</w:t>
      </w:r>
      <w:r>
        <w:t>）废气处理设施非正常工况</w:t>
      </w:r>
    </w:p>
    <w:p w14:paraId="2E8C86BA">
      <w:pPr>
        <w:pStyle w:val="7"/>
        <w:spacing w:before="159" w:line="364" w:lineRule="auto"/>
        <w:ind w:left="460" w:right="477" w:firstLine="480"/>
        <w:jc w:val="both"/>
      </w:pPr>
      <w:r>
        <w:rPr>
          <w:spacing w:val="-11"/>
        </w:rPr>
        <w:t xml:space="preserve">项目设置 </w:t>
      </w:r>
      <w:r>
        <w:rPr>
          <w:rFonts w:ascii="Times New Roman" w:eastAsia="Times New Roman"/>
        </w:rPr>
        <w:t xml:space="preserve">3 </w:t>
      </w:r>
      <w:r>
        <w:t>套喷淋吸收塔</w:t>
      </w:r>
      <w:r>
        <w:rPr>
          <w:rFonts w:ascii="Times New Roman" w:eastAsia="Times New Roman"/>
        </w:rPr>
        <w:t>+</w:t>
      </w:r>
      <w:r>
        <w:t>生物除臭设施用于处理恶臭气体，项目废气非正</w:t>
      </w:r>
      <w:r>
        <w:rPr>
          <w:spacing w:val="-3"/>
        </w:rPr>
        <w:t xml:space="preserve">常工况下，收集效率 </w:t>
      </w:r>
      <w:r>
        <w:rPr>
          <w:rFonts w:ascii="Times New Roman" w:eastAsia="Times New Roman"/>
        </w:rPr>
        <w:t>95%</w:t>
      </w:r>
      <w:r>
        <w:t>不变，主要考虑废气处理设施生物除臭失效，仅喷淋</w:t>
      </w:r>
      <w:r>
        <w:rPr>
          <w:spacing w:val="-4"/>
        </w:rPr>
        <w:t xml:space="preserve">吸收塔处理效率降到 </w:t>
      </w:r>
      <w:r>
        <w:rPr>
          <w:rFonts w:ascii="Times New Roman" w:eastAsia="Times New Roman"/>
        </w:rPr>
        <w:t>60%</w:t>
      </w:r>
      <w:r>
        <w:rPr>
          <w:spacing w:val="-3"/>
        </w:rPr>
        <w:t xml:space="preserve">，外加备用活性炭吸附效率约 </w:t>
      </w:r>
      <w:r>
        <w:rPr>
          <w:rFonts w:ascii="Times New Roman" w:eastAsia="Times New Roman"/>
        </w:rPr>
        <w:t>40%</w:t>
      </w:r>
      <w:r>
        <w:t>，废气污染物排放量增加。</w:t>
      </w:r>
    </w:p>
    <w:p w14:paraId="45FF8B95">
      <w:pPr>
        <w:pStyle w:val="7"/>
        <w:spacing w:line="364" w:lineRule="auto"/>
        <w:ind w:left="460" w:right="477" w:firstLine="480"/>
        <w:jc w:val="both"/>
      </w:pPr>
      <w:r>
        <w:t xml:space="preserve">三台处理设施同时发生故障可能性较小，以单台发生故障视为非正常工况，故障发生频次为 </w:t>
      </w:r>
      <w:r>
        <w:rPr>
          <w:rFonts w:ascii="Times New Roman" w:eastAsia="Times New Roman"/>
        </w:rPr>
        <w:t xml:space="preserve">1 </w:t>
      </w:r>
      <w:r>
        <w:t>次</w:t>
      </w:r>
      <w:r>
        <w:rPr>
          <w:rFonts w:ascii="Times New Roman" w:eastAsia="Times New Roman"/>
        </w:rPr>
        <w:t>/a</w:t>
      </w:r>
      <w:r>
        <w:t xml:space="preserve">，发现故障至停止排放约持续 </w:t>
      </w:r>
      <w:r>
        <w:rPr>
          <w:rFonts w:ascii="Times New Roman" w:eastAsia="Times New Roman"/>
        </w:rPr>
        <w:t>1h</w:t>
      </w:r>
      <w:r>
        <w:t>。</w:t>
      </w:r>
    </w:p>
    <w:p w14:paraId="71FC1D4F">
      <w:pPr>
        <w:spacing w:before="0"/>
        <w:ind w:left="2922" w:right="0" w:firstLine="0"/>
        <w:jc w:val="left"/>
        <w:rPr>
          <w:b/>
          <w:sz w:val="21"/>
        </w:rPr>
      </w:pPr>
      <w:r>
        <w:rPr>
          <w:b/>
          <w:sz w:val="21"/>
        </w:rPr>
        <w:t xml:space="preserve">表 </w:t>
      </w:r>
      <w:r>
        <w:rPr>
          <w:rFonts w:ascii="Times New Roman" w:eastAsia="Times New Roman"/>
          <w:b/>
          <w:sz w:val="21"/>
        </w:rPr>
        <w:t xml:space="preserve">3.7-20 </w:t>
      </w:r>
      <w:r>
        <w:rPr>
          <w:b/>
          <w:sz w:val="21"/>
        </w:rPr>
        <w:t>废气非正常排放情况一览表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1"/>
        <w:gridCol w:w="1660"/>
        <w:gridCol w:w="685"/>
        <w:gridCol w:w="1369"/>
        <w:gridCol w:w="1428"/>
        <w:gridCol w:w="885"/>
        <w:gridCol w:w="741"/>
        <w:gridCol w:w="663"/>
      </w:tblGrid>
      <w:tr w14:paraId="14209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1091" w:type="dxa"/>
          </w:tcPr>
          <w:p w14:paraId="2BE338DA">
            <w:pPr>
              <w:pStyle w:val="14"/>
              <w:spacing w:before="11"/>
              <w:rPr>
                <w:b/>
                <w:sz w:val="22"/>
              </w:rPr>
            </w:pPr>
          </w:p>
          <w:p w14:paraId="3378E7BB">
            <w:pPr>
              <w:pStyle w:val="14"/>
              <w:ind w:left="227"/>
              <w:rPr>
                <w:b/>
                <w:sz w:val="21"/>
              </w:rPr>
            </w:pPr>
            <w:r>
              <w:rPr>
                <w:b/>
                <w:sz w:val="21"/>
              </w:rPr>
              <w:t>污染源</w:t>
            </w:r>
          </w:p>
        </w:tc>
        <w:tc>
          <w:tcPr>
            <w:tcW w:w="1660" w:type="dxa"/>
          </w:tcPr>
          <w:p w14:paraId="399296D3">
            <w:pPr>
              <w:pStyle w:val="14"/>
              <w:spacing w:before="156" w:line="244" w:lineRule="auto"/>
              <w:ind w:left="723" w:right="187" w:hanging="526"/>
              <w:rPr>
                <w:b/>
                <w:sz w:val="21"/>
              </w:rPr>
            </w:pPr>
            <w:r>
              <w:rPr>
                <w:b/>
                <w:w w:val="95"/>
                <w:sz w:val="21"/>
              </w:rPr>
              <w:t>非正常排放原</w:t>
            </w:r>
            <w:r>
              <w:rPr>
                <w:b/>
                <w:sz w:val="21"/>
              </w:rPr>
              <w:t>因</w:t>
            </w:r>
          </w:p>
        </w:tc>
        <w:tc>
          <w:tcPr>
            <w:tcW w:w="685" w:type="dxa"/>
          </w:tcPr>
          <w:p w14:paraId="7CAFB8DA">
            <w:pPr>
              <w:pStyle w:val="14"/>
              <w:spacing w:before="156" w:line="244" w:lineRule="auto"/>
              <w:ind w:left="236" w:right="121" w:hanging="106"/>
              <w:rPr>
                <w:b/>
                <w:sz w:val="21"/>
              </w:rPr>
            </w:pPr>
            <w:r>
              <w:rPr>
                <w:b/>
                <w:sz w:val="21"/>
              </w:rPr>
              <w:t>污染物</w:t>
            </w:r>
          </w:p>
        </w:tc>
        <w:tc>
          <w:tcPr>
            <w:tcW w:w="1369" w:type="dxa"/>
          </w:tcPr>
          <w:p w14:paraId="30401943">
            <w:pPr>
              <w:pStyle w:val="14"/>
              <w:spacing w:before="156" w:line="244" w:lineRule="auto"/>
              <w:ind w:left="156" w:right="81"/>
              <w:rPr>
                <w:rFonts w:ascii="Times New Roman" w:eastAsia="Times New Roman"/>
                <w:b/>
                <w:sz w:val="13"/>
              </w:rPr>
            </w:pPr>
            <w:r>
              <w:rPr>
                <w:b/>
                <w:sz w:val="21"/>
              </w:rPr>
              <w:t xml:space="preserve">非正常排放浓度 </w:t>
            </w:r>
            <w:r>
              <w:rPr>
                <w:rFonts w:ascii="Times New Roman" w:eastAsia="Times New Roman"/>
                <w:b/>
                <w:sz w:val="21"/>
              </w:rPr>
              <w:t>mg/m</w:t>
            </w:r>
            <w:r>
              <w:rPr>
                <w:rFonts w:ascii="Times New Roman" w:eastAsia="Times New Roman"/>
                <w:b/>
                <w:position w:val="7"/>
                <w:sz w:val="13"/>
              </w:rPr>
              <w:t>3</w:t>
            </w:r>
          </w:p>
        </w:tc>
        <w:tc>
          <w:tcPr>
            <w:tcW w:w="1428" w:type="dxa"/>
          </w:tcPr>
          <w:p w14:paraId="3E8B0841">
            <w:pPr>
              <w:pStyle w:val="14"/>
              <w:spacing w:before="156" w:line="244" w:lineRule="auto"/>
              <w:ind w:left="277" w:right="177" w:hanging="92"/>
              <w:rPr>
                <w:rFonts w:ascii="Times New Roman" w:eastAsia="Times New Roman"/>
                <w:b/>
                <w:sz w:val="21"/>
              </w:rPr>
            </w:pPr>
            <w:r>
              <w:rPr>
                <w:b/>
                <w:w w:val="95"/>
                <w:sz w:val="21"/>
              </w:rPr>
              <w:t>非正常排放</w:t>
            </w:r>
            <w:r>
              <w:rPr>
                <w:b/>
                <w:sz w:val="21"/>
              </w:rPr>
              <w:t xml:space="preserve">速率 </w:t>
            </w:r>
            <w:r>
              <w:rPr>
                <w:rFonts w:ascii="Times New Roman" w:eastAsia="Times New Roman"/>
                <w:b/>
                <w:sz w:val="21"/>
              </w:rPr>
              <w:t>kg/h</w:t>
            </w:r>
          </w:p>
        </w:tc>
        <w:tc>
          <w:tcPr>
            <w:tcW w:w="885" w:type="dxa"/>
          </w:tcPr>
          <w:p w14:paraId="779E9B04">
            <w:pPr>
              <w:pStyle w:val="14"/>
              <w:spacing w:before="36" w:line="242" w:lineRule="auto"/>
              <w:ind w:left="126" w:right="114"/>
              <w:jc w:val="center"/>
              <w:rPr>
                <w:b/>
                <w:sz w:val="21"/>
              </w:rPr>
            </w:pPr>
            <w:r>
              <w:rPr>
                <w:b/>
                <w:w w:val="95"/>
                <w:sz w:val="21"/>
              </w:rPr>
              <w:t>单次持续时间</w:t>
            </w:r>
          </w:p>
          <w:p w14:paraId="216CC9A8">
            <w:pPr>
              <w:pStyle w:val="14"/>
              <w:spacing w:line="240" w:lineRule="exact"/>
              <w:ind w:left="122" w:right="114"/>
              <w:jc w:val="center"/>
              <w:rPr>
                <w:rFonts w:ascii="Times New Roman"/>
                <w:b/>
                <w:sz w:val="21"/>
              </w:rPr>
            </w:pPr>
            <w:r>
              <w:rPr>
                <w:rFonts w:ascii="Times New Roman"/>
                <w:b/>
                <w:sz w:val="21"/>
              </w:rPr>
              <w:t>/h</w:t>
            </w:r>
          </w:p>
        </w:tc>
        <w:tc>
          <w:tcPr>
            <w:tcW w:w="741" w:type="dxa"/>
          </w:tcPr>
          <w:p w14:paraId="6AB66817">
            <w:pPr>
              <w:pStyle w:val="14"/>
              <w:spacing w:before="21" w:line="270" w:lineRule="atLeast"/>
              <w:ind w:left="158" w:right="150"/>
              <w:jc w:val="both"/>
              <w:rPr>
                <w:b/>
                <w:sz w:val="21"/>
              </w:rPr>
            </w:pPr>
            <w:r>
              <w:rPr>
                <w:b/>
                <w:sz w:val="21"/>
              </w:rPr>
              <w:t>年发生频次</w:t>
            </w:r>
          </w:p>
        </w:tc>
        <w:tc>
          <w:tcPr>
            <w:tcW w:w="663" w:type="dxa"/>
          </w:tcPr>
          <w:p w14:paraId="2FAC4CFC">
            <w:pPr>
              <w:pStyle w:val="14"/>
              <w:spacing w:before="156" w:line="244" w:lineRule="auto"/>
              <w:ind w:left="120" w:right="110"/>
              <w:rPr>
                <w:b/>
                <w:sz w:val="21"/>
              </w:rPr>
            </w:pPr>
            <w:r>
              <w:rPr>
                <w:b/>
                <w:sz w:val="21"/>
              </w:rPr>
              <w:t>应对措施</w:t>
            </w:r>
          </w:p>
        </w:tc>
      </w:tr>
      <w:tr w14:paraId="776B4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091" w:type="dxa"/>
            <w:vMerge w:val="restart"/>
          </w:tcPr>
          <w:p w14:paraId="414CCECF">
            <w:pPr>
              <w:pStyle w:val="14"/>
              <w:spacing w:before="31"/>
              <w:ind w:left="230"/>
              <w:rPr>
                <w:sz w:val="21"/>
              </w:rPr>
            </w:pPr>
            <w:r>
              <w:rPr>
                <w:w w:val="95"/>
                <w:sz w:val="21"/>
              </w:rPr>
              <w:t>排气筒</w:t>
            </w:r>
          </w:p>
          <w:p w14:paraId="0E867E81">
            <w:pPr>
              <w:pStyle w:val="14"/>
              <w:spacing w:before="2"/>
              <w:ind w:left="234"/>
              <w:rPr>
                <w:rFonts w:ascii="Times New Roman"/>
                <w:sz w:val="21"/>
              </w:rPr>
            </w:pPr>
            <w:r>
              <w:rPr>
                <w:rFonts w:ascii="Times New Roman"/>
                <w:sz w:val="21"/>
              </w:rPr>
              <w:t>DA001</w:t>
            </w:r>
          </w:p>
        </w:tc>
        <w:tc>
          <w:tcPr>
            <w:tcW w:w="1660" w:type="dxa"/>
            <w:vMerge w:val="restart"/>
          </w:tcPr>
          <w:p w14:paraId="7ADCB013">
            <w:pPr>
              <w:pStyle w:val="14"/>
              <w:rPr>
                <w:b/>
                <w:sz w:val="22"/>
              </w:rPr>
            </w:pPr>
          </w:p>
          <w:p w14:paraId="1884CC3B">
            <w:pPr>
              <w:pStyle w:val="14"/>
              <w:spacing w:before="179" w:line="242" w:lineRule="auto"/>
              <w:ind w:left="199" w:right="190" w:firstLine="2"/>
              <w:jc w:val="center"/>
              <w:rPr>
                <w:rFonts w:ascii="Times New Roman" w:eastAsia="Times New Roman"/>
                <w:sz w:val="21"/>
              </w:rPr>
            </w:pPr>
            <w:r>
              <w:rPr>
                <w:sz w:val="21"/>
              </w:rPr>
              <w:t xml:space="preserve">生物除臭失 </w:t>
            </w:r>
            <w:r>
              <w:rPr>
                <w:w w:val="95"/>
                <w:sz w:val="21"/>
              </w:rPr>
              <w:t>效，处理能力</w:t>
            </w:r>
            <w:r>
              <w:rPr>
                <w:spacing w:val="-18"/>
                <w:sz w:val="21"/>
              </w:rPr>
              <w:t xml:space="preserve">降至 </w:t>
            </w:r>
            <w:r>
              <w:rPr>
                <w:rFonts w:ascii="Times New Roman" w:eastAsia="Times New Roman"/>
                <w:sz w:val="21"/>
              </w:rPr>
              <w:t>76%</w:t>
            </w:r>
          </w:p>
        </w:tc>
        <w:tc>
          <w:tcPr>
            <w:tcW w:w="685" w:type="dxa"/>
          </w:tcPr>
          <w:p w14:paraId="55F13E68">
            <w:pPr>
              <w:pStyle w:val="14"/>
              <w:spacing w:before="18" w:line="244" w:lineRule="exact"/>
              <w:ind w:left="137" w:right="126"/>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369" w:type="dxa"/>
          </w:tcPr>
          <w:p w14:paraId="0B2218B7">
            <w:pPr>
              <w:pStyle w:val="14"/>
              <w:spacing w:before="21" w:line="241" w:lineRule="exact"/>
              <w:ind w:left="373" w:right="364"/>
              <w:jc w:val="center"/>
              <w:rPr>
                <w:rFonts w:ascii="Times New Roman"/>
                <w:sz w:val="21"/>
              </w:rPr>
            </w:pPr>
            <w:r>
              <w:rPr>
                <w:rFonts w:ascii="Times New Roman"/>
                <w:sz w:val="21"/>
              </w:rPr>
              <w:t>4.91</w:t>
            </w:r>
          </w:p>
        </w:tc>
        <w:tc>
          <w:tcPr>
            <w:tcW w:w="1428" w:type="dxa"/>
          </w:tcPr>
          <w:p w14:paraId="69C99408">
            <w:pPr>
              <w:pStyle w:val="14"/>
              <w:spacing w:before="21" w:line="241" w:lineRule="exact"/>
              <w:ind w:left="163" w:right="155"/>
              <w:jc w:val="center"/>
              <w:rPr>
                <w:rFonts w:ascii="Times New Roman"/>
                <w:sz w:val="21"/>
              </w:rPr>
            </w:pPr>
            <w:r>
              <w:rPr>
                <w:rFonts w:ascii="Times New Roman"/>
                <w:sz w:val="21"/>
              </w:rPr>
              <w:t>0.059</w:t>
            </w:r>
          </w:p>
        </w:tc>
        <w:tc>
          <w:tcPr>
            <w:tcW w:w="885" w:type="dxa"/>
            <w:vMerge w:val="restart"/>
          </w:tcPr>
          <w:p w14:paraId="75295738">
            <w:pPr>
              <w:pStyle w:val="14"/>
              <w:spacing w:before="165"/>
              <w:ind w:left="11"/>
              <w:jc w:val="center"/>
              <w:rPr>
                <w:rFonts w:ascii="Times New Roman"/>
                <w:sz w:val="21"/>
              </w:rPr>
            </w:pPr>
            <w:r>
              <w:rPr>
                <w:rFonts w:ascii="Times New Roman"/>
                <w:w w:val="99"/>
                <w:sz w:val="21"/>
              </w:rPr>
              <w:t>1</w:t>
            </w:r>
          </w:p>
        </w:tc>
        <w:tc>
          <w:tcPr>
            <w:tcW w:w="741" w:type="dxa"/>
            <w:vMerge w:val="restart"/>
          </w:tcPr>
          <w:p w14:paraId="7D109FF0">
            <w:pPr>
              <w:pStyle w:val="14"/>
              <w:spacing w:before="165"/>
              <w:ind w:left="7"/>
              <w:jc w:val="center"/>
              <w:rPr>
                <w:rFonts w:ascii="Times New Roman"/>
                <w:sz w:val="21"/>
              </w:rPr>
            </w:pPr>
            <w:r>
              <w:rPr>
                <w:rFonts w:ascii="Times New Roman"/>
                <w:w w:val="99"/>
                <w:sz w:val="21"/>
              </w:rPr>
              <w:t>1</w:t>
            </w:r>
          </w:p>
        </w:tc>
        <w:tc>
          <w:tcPr>
            <w:tcW w:w="663" w:type="dxa"/>
            <w:vMerge w:val="restart"/>
          </w:tcPr>
          <w:p w14:paraId="7462C122">
            <w:pPr>
              <w:pStyle w:val="14"/>
              <w:rPr>
                <w:b/>
                <w:sz w:val="20"/>
              </w:rPr>
            </w:pPr>
          </w:p>
          <w:p w14:paraId="569EF3F8">
            <w:pPr>
              <w:pStyle w:val="14"/>
              <w:spacing w:before="8"/>
              <w:rPr>
                <w:b/>
                <w:sz w:val="26"/>
              </w:rPr>
            </w:pPr>
          </w:p>
          <w:p w14:paraId="5D595D52">
            <w:pPr>
              <w:pStyle w:val="14"/>
              <w:spacing w:line="242" w:lineRule="auto"/>
              <w:ind w:left="120" w:right="112"/>
              <w:rPr>
                <w:sz w:val="21"/>
              </w:rPr>
            </w:pPr>
            <w:r>
              <w:rPr>
                <w:w w:val="95"/>
                <w:sz w:val="21"/>
              </w:rPr>
              <w:t>及时检修</w:t>
            </w:r>
          </w:p>
        </w:tc>
      </w:tr>
      <w:tr w14:paraId="2E84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91" w:type="dxa"/>
            <w:vMerge w:val="continue"/>
            <w:tcBorders>
              <w:top w:val="nil"/>
            </w:tcBorders>
          </w:tcPr>
          <w:p w14:paraId="311BDDF7">
            <w:pPr>
              <w:rPr>
                <w:sz w:val="2"/>
                <w:szCs w:val="2"/>
              </w:rPr>
            </w:pPr>
          </w:p>
        </w:tc>
        <w:tc>
          <w:tcPr>
            <w:tcW w:w="1660" w:type="dxa"/>
            <w:vMerge w:val="continue"/>
            <w:tcBorders>
              <w:top w:val="nil"/>
            </w:tcBorders>
          </w:tcPr>
          <w:p w14:paraId="49D26C22">
            <w:pPr>
              <w:rPr>
                <w:sz w:val="2"/>
                <w:szCs w:val="2"/>
              </w:rPr>
            </w:pPr>
          </w:p>
        </w:tc>
        <w:tc>
          <w:tcPr>
            <w:tcW w:w="685" w:type="dxa"/>
          </w:tcPr>
          <w:p w14:paraId="75DE9C88">
            <w:pPr>
              <w:pStyle w:val="14"/>
              <w:spacing w:before="16" w:line="245" w:lineRule="exact"/>
              <w:ind w:left="134" w:right="126"/>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369" w:type="dxa"/>
          </w:tcPr>
          <w:p w14:paraId="41382BE6">
            <w:pPr>
              <w:pStyle w:val="14"/>
              <w:spacing w:before="19"/>
              <w:ind w:left="373" w:right="364"/>
              <w:jc w:val="center"/>
              <w:rPr>
                <w:rFonts w:ascii="Times New Roman"/>
                <w:sz w:val="21"/>
              </w:rPr>
            </w:pPr>
            <w:r>
              <w:rPr>
                <w:rFonts w:ascii="Times New Roman"/>
                <w:sz w:val="21"/>
              </w:rPr>
              <w:t>0.43</w:t>
            </w:r>
          </w:p>
        </w:tc>
        <w:tc>
          <w:tcPr>
            <w:tcW w:w="1428" w:type="dxa"/>
          </w:tcPr>
          <w:p w14:paraId="228BD599">
            <w:pPr>
              <w:pStyle w:val="14"/>
              <w:spacing w:before="19"/>
              <w:ind w:left="163" w:right="155"/>
              <w:jc w:val="center"/>
              <w:rPr>
                <w:rFonts w:ascii="Times New Roman"/>
                <w:sz w:val="21"/>
              </w:rPr>
            </w:pPr>
            <w:r>
              <w:rPr>
                <w:rFonts w:ascii="Times New Roman"/>
                <w:sz w:val="21"/>
              </w:rPr>
              <w:t>0.0052</w:t>
            </w:r>
          </w:p>
        </w:tc>
        <w:tc>
          <w:tcPr>
            <w:tcW w:w="885" w:type="dxa"/>
            <w:vMerge w:val="continue"/>
            <w:tcBorders>
              <w:top w:val="nil"/>
            </w:tcBorders>
          </w:tcPr>
          <w:p w14:paraId="32DDBDA6">
            <w:pPr>
              <w:rPr>
                <w:sz w:val="2"/>
                <w:szCs w:val="2"/>
              </w:rPr>
            </w:pPr>
          </w:p>
        </w:tc>
        <w:tc>
          <w:tcPr>
            <w:tcW w:w="741" w:type="dxa"/>
            <w:vMerge w:val="continue"/>
            <w:tcBorders>
              <w:top w:val="nil"/>
            </w:tcBorders>
          </w:tcPr>
          <w:p w14:paraId="1FC96468">
            <w:pPr>
              <w:rPr>
                <w:sz w:val="2"/>
                <w:szCs w:val="2"/>
              </w:rPr>
            </w:pPr>
          </w:p>
        </w:tc>
        <w:tc>
          <w:tcPr>
            <w:tcW w:w="663" w:type="dxa"/>
            <w:vMerge w:val="continue"/>
            <w:tcBorders>
              <w:top w:val="nil"/>
            </w:tcBorders>
          </w:tcPr>
          <w:p w14:paraId="377252CB">
            <w:pPr>
              <w:rPr>
                <w:sz w:val="2"/>
                <w:szCs w:val="2"/>
              </w:rPr>
            </w:pPr>
          </w:p>
        </w:tc>
      </w:tr>
      <w:tr w14:paraId="2E5FF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091" w:type="dxa"/>
            <w:vMerge w:val="restart"/>
          </w:tcPr>
          <w:p w14:paraId="467FB0FC">
            <w:pPr>
              <w:pStyle w:val="14"/>
              <w:spacing w:before="29"/>
              <w:ind w:left="230"/>
              <w:rPr>
                <w:sz w:val="21"/>
              </w:rPr>
            </w:pPr>
            <w:r>
              <w:rPr>
                <w:w w:val="95"/>
                <w:sz w:val="21"/>
              </w:rPr>
              <w:t>排气筒</w:t>
            </w:r>
          </w:p>
          <w:p w14:paraId="5AAEDA82">
            <w:pPr>
              <w:pStyle w:val="14"/>
              <w:spacing w:before="4"/>
              <w:ind w:left="234"/>
              <w:rPr>
                <w:rFonts w:ascii="Times New Roman"/>
                <w:sz w:val="21"/>
              </w:rPr>
            </w:pPr>
            <w:r>
              <w:rPr>
                <w:rFonts w:ascii="Times New Roman"/>
                <w:sz w:val="21"/>
              </w:rPr>
              <w:t>DA002</w:t>
            </w:r>
          </w:p>
        </w:tc>
        <w:tc>
          <w:tcPr>
            <w:tcW w:w="1660" w:type="dxa"/>
            <w:vMerge w:val="continue"/>
            <w:tcBorders>
              <w:top w:val="nil"/>
            </w:tcBorders>
          </w:tcPr>
          <w:p w14:paraId="04BC9646">
            <w:pPr>
              <w:rPr>
                <w:sz w:val="2"/>
                <w:szCs w:val="2"/>
              </w:rPr>
            </w:pPr>
          </w:p>
        </w:tc>
        <w:tc>
          <w:tcPr>
            <w:tcW w:w="685" w:type="dxa"/>
          </w:tcPr>
          <w:p w14:paraId="7E6B09F7">
            <w:pPr>
              <w:pStyle w:val="14"/>
              <w:spacing w:before="18" w:line="244" w:lineRule="exact"/>
              <w:ind w:left="137" w:right="126"/>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369" w:type="dxa"/>
          </w:tcPr>
          <w:p w14:paraId="3BA541BD">
            <w:pPr>
              <w:pStyle w:val="14"/>
              <w:spacing w:before="19"/>
              <w:ind w:left="373" w:right="364"/>
              <w:jc w:val="center"/>
              <w:rPr>
                <w:rFonts w:ascii="Times New Roman"/>
                <w:sz w:val="21"/>
              </w:rPr>
            </w:pPr>
            <w:r>
              <w:rPr>
                <w:rFonts w:ascii="Times New Roman"/>
                <w:sz w:val="21"/>
              </w:rPr>
              <w:t>1.68</w:t>
            </w:r>
          </w:p>
        </w:tc>
        <w:tc>
          <w:tcPr>
            <w:tcW w:w="1428" w:type="dxa"/>
          </w:tcPr>
          <w:p w14:paraId="4E2BD2A2">
            <w:pPr>
              <w:pStyle w:val="14"/>
              <w:spacing w:before="19"/>
              <w:ind w:left="163" w:right="155"/>
              <w:jc w:val="center"/>
              <w:rPr>
                <w:rFonts w:ascii="Times New Roman"/>
                <w:sz w:val="21"/>
              </w:rPr>
            </w:pPr>
            <w:r>
              <w:rPr>
                <w:rFonts w:ascii="Times New Roman"/>
                <w:sz w:val="21"/>
              </w:rPr>
              <w:t>0.021</w:t>
            </w:r>
          </w:p>
        </w:tc>
        <w:tc>
          <w:tcPr>
            <w:tcW w:w="885" w:type="dxa"/>
            <w:vMerge w:val="restart"/>
          </w:tcPr>
          <w:p w14:paraId="60D3160D">
            <w:pPr>
              <w:pStyle w:val="14"/>
              <w:spacing w:before="165"/>
              <w:ind w:left="11"/>
              <w:jc w:val="center"/>
              <w:rPr>
                <w:rFonts w:ascii="Times New Roman"/>
                <w:sz w:val="21"/>
              </w:rPr>
            </w:pPr>
            <w:r>
              <w:rPr>
                <w:rFonts w:ascii="Times New Roman"/>
                <w:w w:val="99"/>
                <w:sz w:val="21"/>
              </w:rPr>
              <w:t>1</w:t>
            </w:r>
          </w:p>
        </w:tc>
        <w:tc>
          <w:tcPr>
            <w:tcW w:w="741" w:type="dxa"/>
            <w:vMerge w:val="restart"/>
          </w:tcPr>
          <w:p w14:paraId="423AAFE1">
            <w:pPr>
              <w:pStyle w:val="14"/>
              <w:spacing w:before="165"/>
              <w:ind w:left="7"/>
              <w:jc w:val="center"/>
              <w:rPr>
                <w:rFonts w:ascii="Times New Roman"/>
                <w:sz w:val="21"/>
              </w:rPr>
            </w:pPr>
            <w:r>
              <w:rPr>
                <w:rFonts w:ascii="Times New Roman"/>
                <w:w w:val="99"/>
                <w:sz w:val="21"/>
              </w:rPr>
              <w:t>1</w:t>
            </w:r>
          </w:p>
        </w:tc>
        <w:tc>
          <w:tcPr>
            <w:tcW w:w="663" w:type="dxa"/>
            <w:vMerge w:val="continue"/>
            <w:tcBorders>
              <w:top w:val="nil"/>
            </w:tcBorders>
          </w:tcPr>
          <w:p w14:paraId="15E6B0C9">
            <w:pPr>
              <w:rPr>
                <w:sz w:val="2"/>
                <w:szCs w:val="2"/>
              </w:rPr>
            </w:pPr>
          </w:p>
        </w:tc>
      </w:tr>
      <w:tr w14:paraId="76E14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091" w:type="dxa"/>
            <w:vMerge w:val="continue"/>
            <w:tcBorders>
              <w:top w:val="nil"/>
            </w:tcBorders>
          </w:tcPr>
          <w:p w14:paraId="09D923E0">
            <w:pPr>
              <w:rPr>
                <w:sz w:val="2"/>
                <w:szCs w:val="2"/>
              </w:rPr>
            </w:pPr>
          </w:p>
        </w:tc>
        <w:tc>
          <w:tcPr>
            <w:tcW w:w="1660" w:type="dxa"/>
            <w:vMerge w:val="continue"/>
            <w:tcBorders>
              <w:top w:val="nil"/>
            </w:tcBorders>
          </w:tcPr>
          <w:p w14:paraId="3D1C0071">
            <w:pPr>
              <w:rPr>
                <w:sz w:val="2"/>
                <w:szCs w:val="2"/>
              </w:rPr>
            </w:pPr>
          </w:p>
        </w:tc>
        <w:tc>
          <w:tcPr>
            <w:tcW w:w="685" w:type="dxa"/>
          </w:tcPr>
          <w:p w14:paraId="61D00122">
            <w:pPr>
              <w:pStyle w:val="14"/>
              <w:spacing w:before="16" w:line="244" w:lineRule="exact"/>
              <w:ind w:left="134" w:right="126"/>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369" w:type="dxa"/>
          </w:tcPr>
          <w:p w14:paraId="1020B1D0">
            <w:pPr>
              <w:pStyle w:val="14"/>
              <w:spacing w:before="19" w:line="241" w:lineRule="exact"/>
              <w:ind w:left="373" w:right="364"/>
              <w:jc w:val="center"/>
              <w:rPr>
                <w:rFonts w:ascii="Times New Roman"/>
                <w:sz w:val="21"/>
              </w:rPr>
            </w:pPr>
            <w:r>
              <w:rPr>
                <w:rFonts w:ascii="Times New Roman"/>
                <w:sz w:val="21"/>
              </w:rPr>
              <w:t>0.056</w:t>
            </w:r>
          </w:p>
        </w:tc>
        <w:tc>
          <w:tcPr>
            <w:tcW w:w="1428" w:type="dxa"/>
          </w:tcPr>
          <w:p w14:paraId="5A5A2244">
            <w:pPr>
              <w:pStyle w:val="14"/>
              <w:spacing w:before="19" w:line="241" w:lineRule="exact"/>
              <w:ind w:left="163" w:right="155"/>
              <w:jc w:val="center"/>
              <w:rPr>
                <w:rFonts w:ascii="Times New Roman"/>
                <w:sz w:val="21"/>
              </w:rPr>
            </w:pPr>
            <w:r>
              <w:rPr>
                <w:rFonts w:ascii="Times New Roman"/>
                <w:sz w:val="21"/>
              </w:rPr>
              <w:t>0.0007</w:t>
            </w:r>
          </w:p>
        </w:tc>
        <w:tc>
          <w:tcPr>
            <w:tcW w:w="885" w:type="dxa"/>
            <w:vMerge w:val="continue"/>
            <w:tcBorders>
              <w:top w:val="nil"/>
            </w:tcBorders>
          </w:tcPr>
          <w:p w14:paraId="0B04BDDE">
            <w:pPr>
              <w:rPr>
                <w:sz w:val="2"/>
                <w:szCs w:val="2"/>
              </w:rPr>
            </w:pPr>
          </w:p>
        </w:tc>
        <w:tc>
          <w:tcPr>
            <w:tcW w:w="741" w:type="dxa"/>
            <w:vMerge w:val="continue"/>
            <w:tcBorders>
              <w:top w:val="nil"/>
            </w:tcBorders>
          </w:tcPr>
          <w:p w14:paraId="07C02F69">
            <w:pPr>
              <w:rPr>
                <w:sz w:val="2"/>
                <w:szCs w:val="2"/>
              </w:rPr>
            </w:pPr>
          </w:p>
        </w:tc>
        <w:tc>
          <w:tcPr>
            <w:tcW w:w="663" w:type="dxa"/>
            <w:vMerge w:val="continue"/>
            <w:tcBorders>
              <w:top w:val="nil"/>
            </w:tcBorders>
          </w:tcPr>
          <w:p w14:paraId="0531A46E">
            <w:pPr>
              <w:rPr>
                <w:sz w:val="2"/>
                <w:szCs w:val="2"/>
              </w:rPr>
            </w:pPr>
          </w:p>
        </w:tc>
      </w:tr>
      <w:tr w14:paraId="16133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091" w:type="dxa"/>
            <w:vMerge w:val="restart"/>
          </w:tcPr>
          <w:p w14:paraId="1FBC7D12">
            <w:pPr>
              <w:pStyle w:val="14"/>
              <w:spacing w:before="29"/>
              <w:ind w:left="230"/>
              <w:rPr>
                <w:sz w:val="21"/>
              </w:rPr>
            </w:pPr>
            <w:r>
              <w:rPr>
                <w:w w:val="95"/>
                <w:sz w:val="21"/>
              </w:rPr>
              <w:t>排气筒</w:t>
            </w:r>
          </w:p>
          <w:p w14:paraId="1F6D5313">
            <w:pPr>
              <w:pStyle w:val="14"/>
              <w:spacing w:before="2"/>
              <w:ind w:left="234"/>
              <w:rPr>
                <w:rFonts w:ascii="Times New Roman"/>
                <w:sz w:val="21"/>
              </w:rPr>
            </w:pPr>
            <w:r>
              <w:rPr>
                <w:rFonts w:ascii="Times New Roman"/>
                <w:sz w:val="21"/>
              </w:rPr>
              <w:t>DA003</w:t>
            </w:r>
          </w:p>
        </w:tc>
        <w:tc>
          <w:tcPr>
            <w:tcW w:w="1660" w:type="dxa"/>
            <w:vMerge w:val="continue"/>
            <w:tcBorders>
              <w:top w:val="nil"/>
            </w:tcBorders>
          </w:tcPr>
          <w:p w14:paraId="7B7DC10E">
            <w:pPr>
              <w:rPr>
                <w:sz w:val="2"/>
                <w:szCs w:val="2"/>
              </w:rPr>
            </w:pPr>
          </w:p>
        </w:tc>
        <w:tc>
          <w:tcPr>
            <w:tcW w:w="685" w:type="dxa"/>
          </w:tcPr>
          <w:p w14:paraId="510A6549">
            <w:pPr>
              <w:pStyle w:val="14"/>
              <w:spacing w:before="16" w:line="246" w:lineRule="exact"/>
              <w:ind w:left="137" w:right="126"/>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369" w:type="dxa"/>
          </w:tcPr>
          <w:p w14:paraId="18619D58">
            <w:pPr>
              <w:pStyle w:val="14"/>
              <w:spacing w:before="19"/>
              <w:ind w:left="373" w:right="364"/>
              <w:jc w:val="center"/>
              <w:rPr>
                <w:rFonts w:ascii="Times New Roman"/>
                <w:sz w:val="21"/>
              </w:rPr>
            </w:pPr>
            <w:r>
              <w:rPr>
                <w:rFonts w:ascii="Times New Roman"/>
                <w:sz w:val="21"/>
              </w:rPr>
              <w:t>0.46</w:t>
            </w:r>
          </w:p>
        </w:tc>
        <w:tc>
          <w:tcPr>
            <w:tcW w:w="1428" w:type="dxa"/>
          </w:tcPr>
          <w:p w14:paraId="5848465F">
            <w:pPr>
              <w:pStyle w:val="14"/>
              <w:spacing w:before="19"/>
              <w:ind w:left="163" w:right="155"/>
              <w:jc w:val="center"/>
              <w:rPr>
                <w:rFonts w:ascii="Times New Roman"/>
                <w:sz w:val="21"/>
              </w:rPr>
            </w:pPr>
            <w:r>
              <w:rPr>
                <w:rFonts w:ascii="Times New Roman"/>
                <w:sz w:val="21"/>
              </w:rPr>
              <w:t>0.0039</w:t>
            </w:r>
          </w:p>
        </w:tc>
        <w:tc>
          <w:tcPr>
            <w:tcW w:w="885" w:type="dxa"/>
            <w:vMerge w:val="restart"/>
          </w:tcPr>
          <w:p w14:paraId="7ED5B557">
            <w:pPr>
              <w:pStyle w:val="14"/>
              <w:spacing w:before="165"/>
              <w:ind w:left="11"/>
              <w:jc w:val="center"/>
              <w:rPr>
                <w:rFonts w:ascii="Times New Roman"/>
                <w:sz w:val="21"/>
              </w:rPr>
            </w:pPr>
            <w:r>
              <w:rPr>
                <w:rFonts w:ascii="Times New Roman"/>
                <w:w w:val="99"/>
                <w:sz w:val="21"/>
              </w:rPr>
              <w:t>1</w:t>
            </w:r>
          </w:p>
        </w:tc>
        <w:tc>
          <w:tcPr>
            <w:tcW w:w="741" w:type="dxa"/>
            <w:vMerge w:val="restart"/>
          </w:tcPr>
          <w:p w14:paraId="204156C4">
            <w:pPr>
              <w:pStyle w:val="14"/>
              <w:spacing w:before="165"/>
              <w:ind w:left="7"/>
              <w:jc w:val="center"/>
              <w:rPr>
                <w:rFonts w:ascii="Times New Roman"/>
                <w:sz w:val="21"/>
              </w:rPr>
            </w:pPr>
            <w:r>
              <w:rPr>
                <w:rFonts w:ascii="Times New Roman"/>
                <w:w w:val="99"/>
                <w:sz w:val="21"/>
              </w:rPr>
              <w:t>1</w:t>
            </w:r>
          </w:p>
        </w:tc>
        <w:tc>
          <w:tcPr>
            <w:tcW w:w="663" w:type="dxa"/>
            <w:vMerge w:val="continue"/>
            <w:tcBorders>
              <w:top w:val="nil"/>
            </w:tcBorders>
          </w:tcPr>
          <w:p w14:paraId="16375294">
            <w:pPr>
              <w:rPr>
                <w:sz w:val="2"/>
                <w:szCs w:val="2"/>
              </w:rPr>
            </w:pPr>
          </w:p>
        </w:tc>
      </w:tr>
      <w:tr w14:paraId="180CC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091" w:type="dxa"/>
            <w:vMerge w:val="continue"/>
            <w:tcBorders>
              <w:top w:val="nil"/>
            </w:tcBorders>
          </w:tcPr>
          <w:p w14:paraId="5025CA96">
            <w:pPr>
              <w:rPr>
                <w:sz w:val="2"/>
                <w:szCs w:val="2"/>
              </w:rPr>
            </w:pPr>
          </w:p>
        </w:tc>
        <w:tc>
          <w:tcPr>
            <w:tcW w:w="1660" w:type="dxa"/>
            <w:vMerge w:val="continue"/>
            <w:tcBorders>
              <w:top w:val="nil"/>
            </w:tcBorders>
          </w:tcPr>
          <w:p w14:paraId="623D241A">
            <w:pPr>
              <w:rPr>
                <w:sz w:val="2"/>
                <w:szCs w:val="2"/>
              </w:rPr>
            </w:pPr>
          </w:p>
        </w:tc>
        <w:tc>
          <w:tcPr>
            <w:tcW w:w="685" w:type="dxa"/>
          </w:tcPr>
          <w:p w14:paraId="64429633">
            <w:pPr>
              <w:pStyle w:val="14"/>
              <w:spacing w:before="16" w:line="244" w:lineRule="exact"/>
              <w:ind w:left="134" w:right="126"/>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369" w:type="dxa"/>
          </w:tcPr>
          <w:p w14:paraId="5F5CCBC8">
            <w:pPr>
              <w:pStyle w:val="14"/>
              <w:spacing w:before="20" w:line="241" w:lineRule="exact"/>
              <w:ind w:left="373" w:right="367"/>
              <w:jc w:val="center"/>
              <w:rPr>
                <w:rFonts w:ascii="Times New Roman"/>
                <w:sz w:val="21"/>
              </w:rPr>
            </w:pPr>
            <w:r>
              <w:rPr>
                <w:rFonts w:ascii="Times New Roman"/>
                <w:sz w:val="21"/>
              </w:rPr>
              <w:t>0.0013</w:t>
            </w:r>
          </w:p>
        </w:tc>
        <w:tc>
          <w:tcPr>
            <w:tcW w:w="1428" w:type="dxa"/>
          </w:tcPr>
          <w:p w14:paraId="3BF9FA4E">
            <w:pPr>
              <w:pStyle w:val="14"/>
              <w:spacing w:before="20" w:line="241" w:lineRule="exact"/>
              <w:ind w:left="163" w:right="151"/>
              <w:jc w:val="center"/>
              <w:rPr>
                <w:rFonts w:ascii="Times New Roman"/>
                <w:sz w:val="21"/>
              </w:rPr>
            </w:pPr>
            <w:r>
              <w:rPr>
                <w:rFonts w:ascii="Times New Roman"/>
                <w:sz w:val="21"/>
              </w:rPr>
              <w:t>0.000011</w:t>
            </w:r>
          </w:p>
        </w:tc>
        <w:tc>
          <w:tcPr>
            <w:tcW w:w="885" w:type="dxa"/>
            <w:vMerge w:val="continue"/>
            <w:tcBorders>
              <w:top w:val="nil"/>
            </w:tcBorders>
          </w:tcPr>
          <w:p w14:paraId="103911C4">
            <w:pPr>
              <w:rPr>
                <w:sz w:val="2"/>
                <w:szCs w:val="2"/>
              </w:rPr>
            </w:pPr>
          </w:p>
        </w:tc>
        <w:tc>
          <w:tcPr>
            <w:tcW w:w="741" w:type="dxa"/>
            <w:vMerge w:val="continue"/>
            <w:tcBorders>
              <w:top w:val="nil"/>
            </w:tcBorders>
          </w:tcPr>
          <w:p w14:paraId="33119D4B">
            <w:pPr>
              <w:rPr>
                <w:sz w:val="2"/>
                <w:szCs w:val="2"/>
              </w:rPr>
            </w:pPr>
          </w:p>
        </w:tc>
        <w:tc>
          <w:tcPr>
            <w:tcW w:w="663" w:type="dxa"/>
            <w:vMerge w:val="continue"/>
            <w:tcBorders>
              <w:top w:val="nil"/>
            </w:tcBorders>
          </w:tcPr>
          <w:p w14:paraId="1405EA65">
            <w:pPr>
              <w:rPr>
                <w:sz w:val="2"/>
                <w:szCs w:val="2"/>
              </w:rPr>
            </w:pPr>
          </w:p>
        </w:tc>
      </w:tr>
    </w:tbl>
    <w:p w14:paraId="68B46DFC">
      <w:pPr>
        <w:pStyle w:val="7"/>
        <w:ind w:left="940"/>
      </w:pPr>
      <w:r>
        <w:t>（</w:t>
      </w:r>
      <w:r>
        <w:rPr>
          <w:rFonts w:ascii="Times New Roman" w:eastAsia="Times New Roman"/>
        </w:rPr>
        <w:t>2</w:t>
      </w:r>
      <w:r>
        <w:t>）非正常工况排水</w:t>
      </w:r>
    </w:p>
    <w:p w14:paraId="20911789">
      <w:pPr>
        <w:pStyle w:val="7"/>
        <w:spacing w:before="161" w:line="364" w:lineRule="auto"/>
        <w:ind w:left="460" w:right="477" w:firstLine="480"/>
        <w:jc w:val="both"/>
      </w:pPr>
      <w:r>
        <w:t>非正常工况排水主要为项目生产过程污水处理系统发生故障或者处理效率达不到设计指标要求时引起的。项目污水处理系统出现事故的主要原因是输送设备发生故障或者停电引起的事故，对于污水处理系统设置时，一般考虑了备用；对于停电引起的事故，废水先排入事故应急池，待污水处理设施运行正常后分批返回处理达到排放标准再排放。</w:t>
      </w:r>
    </w:p>
    <w:p w14:paraId="237935A1">
      <w:pPr>
        <w:pStyle w:val="7"/>
        <w:spacing w:line="364" w:lineRule="auto"/>
        <w:ind w:left="460" w:right="477" w:firstLine="480"/>
        <w:jc w:val="both"/>
      </w:pPr>
      <w:r>
        <w:t xml:space="preserve">本项目非正常状态为厂区污水处理站发生故障时不能及时处理产生的废水，为了降低对岳阳县污水处理厂的影响，当发现污水处理站故障时，企业需立即停止相关生产活动，将废水全部收集至厂区应急池内。项目进入污水处理站处理的水量为 </w:t>
      </w:r>
      <w:r>
        <w:rPr>
          <w:rFonts w:ascii="Times New Roman" w:eastAsia="Times New Roman"/>
        </w:rPr>
        <w:t>656m</w:t>
      </w:r>
      <w:r>
        <w:rPr>
          <w:rFonts w:ascii="Times New Roman" w:eastAsia="Times New Roman"/>
          <w:position w:val="8"/>
          <w:sz w:val="15"/>
        </w:rPr>
        <w:t>3</w:t>
      </w:r>
      <w:r>
        <w:rPr>
          <w:rFonts w:ascii="Times New Roman" w:eastAsia="Times New Roman"/>
        </w:rPr>
        <w:t>/d</w:t>
      </w:r>
      <w:r>
        <w:t xml:space="preserve">，项目应急池设计池容为 </w:t>
      </w:r>
      <w:r>
        <w:rPr>
          <w:rFonts w:ascii="Times New Roman" w:eastAsia="Times New Roman"/>
        </w:rPr>
        <w:t>1500m</w:t>
      </w:r>
      <w:r>
        <w:rPr>
          <w:rFonts w:ascii="Times New Roman" w:eastAsia="Times New Roman"/>
          <w:position w:val="8"/>
          <w:sz w:val="15"/>
        </w:rPr>
        <w:t>3</w:t>
      </w:r>
      <w:r>
        <w:t xml:space="preserve">，项目应急池可以暂存约 </w:t>
      </w:r>
      <w:r>
        <w:rPr>
          <w:rFonts w:ascii="Times New Roman" w:eastAsia="Times New Roman"/>
        </w:rPr>
        <w:t xml:space="preserve">2d </w:t>
      </w:r>
      <w:r>
        <w:t>以上。</w:t>
      </w:r>
    </w:p>
    <w:p w14:paraId="211A91B0">
      <w:pPr>
        <w:pStyle w:val="7"/>
        <w:spacing w:line="364" w:lineRule="auto"/>
        <w:ind w:left="460" w:right="477" w:firstLine="480"/>
        <w:jc w:val="both"/>
      </w:pPr>
      <w:r>
        <w:t>本项目属于间接排放，高养分有机废水事故情况下环境影响基本可控。项目在设计中考虑了非正常工况下厂区污水的处理和暂存，在落实好项目设计的环保措施的情况下，可以做到非正常工况废水不外排，不会对岳阳县污水处理厂和周边水环境造成冲击影响。</w:t>
      </w:r>
    </w:p>
    <w:p w14:paraId="5AFD75E1">
      <w:pPr>
        <w:spacing w:after="0" w:line="364" w:lineRule="auto"/>
        <w:jc w:val="both"/>
        <w:sectPr>
          <w:pgSz w:w="11910" w:h="16840"/>
          <w:pgMar w:top="1360" w:right="1320" w:bottom="1400" w:left="1340" w:header="878" w:footer="1204" w:gutter="0"/>
          <w:cols w:space="720" w:num="1"/>
        </w:sectPr>
      </w:pPr>
    </w:p>
    <w:p w14:paraId="550B662E">
      <w:pPr>
        <w:pStyle w:val="7"/>
        <w:spacing w:before="10"/>
        <w:rPr>
          <w:sz w:val="9"/>
        </w:rPr>
      </w:pPr>
    </w:p>
    <w:p w14:paraId="63579586">
      <w:pPr>
        <w:pStyle w:val="2"/>
        <w:ind w:left="3052" w:firstLine="0"/>
      </w:pPr>
      <w:bookmarkStart w:id="120" w:name="4环境现状调查与评价"/>
      <w:bookmarkEnd w:id="120"/>
      <w:bookmarkStart w:id="121" w:name="_bookmark22"/>
      <w:bookmarkEnd w:id="121"/>
      <w:r>
        <w:rPr>
          <w:rFonts w:ascii="Times New Roman" w:eastAsia="Times New Roman"/>
        </w:rPr>
        <w:t xml:space="preserve">4 </w:t>
      </w:r>
      <w:r>
        <w:t>环境现状调查与评价</w:t>
      </w:r>
    </w:p>
    <w:p w14:paraId="1608F4E4">
      <w:pPr>
        <w:pStyle w:val="7"/>
        <w:rPr>
          <w:b/>
          <w:sz w:val="26"/>
        </w:rPr>
      </w:pPr>
    </w:p>
    <w:p w14:paraId="40995EA1">
      <w:pPr>
        <w:pStyle w:val="3"/>
        <w:numPr>
          <w:ilvl w:val="1"/>
          <w:numId w:val="16"/>
        </w:numPr>
        <w:tabs>
          <w:tab w:val="left" w:pos="868"/>
        </w:tabs>
        <w:spacing w:before="0" w:after="0" w:line="240" w:lineRule="auto"/>
        <w:ind w:left="868" w:right="0" w:hanging="408"/>
        <w:jc w:val="left"/>
      </w:pPr>
      <w:bookmarkStart w:id="122" w:name="_bookmark23"/>
      <w:bookmarkEnd w:id="122"/>
      <w:bookmarkStart w:id="123" w:name="_bookmark23"/>
      <w:bookmarkEnd w:id="123"/>
      <w:bookmarkStart w:id="124" w:name="4.1自然环境现状调查与评价"/>
      <w:bookmarkEnd w:id="124"/>
      <w:r>
        <w:t>自然环境现状调查与评价</w:t>
      </w:r>
    </w:p>
    <w:p w14:paraId="05D6E0D5">
      <w:pPr>
        <w:pStyle w:val="6"/>
        <w:numPr>
          <w:ilvl w:val="2"/>
          <w:numId w:val="16"/>
        </w:numPr>
        <w:tabs>
          <w:tab w:val="left" w:pos="991"/>
        </w:tabs>
        <w:spacing w:before="186" w:after="0" w:line="240" w:lineRule="auto"/>
        <w:ind w:left="990" w:right="0" w:hanging="530"/>
        <w:jc w:val="left"/>
      </w:pPr>
      <w:bookmarkStart w:id="125" w:name="4.1.1地理位置"/>
      <w:bookmarkEnd w:id="125"/>
      <w:bookmarkStart w:id="126" w:name="4.1.1地理位置"/>
      <w:bookmarkEnd w:id="126"/>
      <w:r>
        <w:t>地理位置</w:t>
      </w:r>
    </w:p>
    <w:p w14:paraId="07C82124">
      <w:pPr>
        <w:pStyle w:val="7"/>
        <w:spacing w:before="158" w:line="364" w:lineRule="auto"/>
        <w:ind w:left="460" w:right="477" w:firstLine="480"/>
        <w:jc w:val="both"/>
        <w:rPr>
          <w:rFonts w:ascii="Times New Roman" w:eastAsia="Times New Roman"/>
        </w:rPr>
      </w:pPr>
      <w:r>
        <w:t xml:space="preserve">岳阳县，隶属于湖南省岳阳市。位于湖南省东北部，东接通城县，东南连平江县，南抵汨罗市，西南与沅江市、南县交界，西与华容县、君山区毗邻， 北与临湘市、云溪区、岳阳楼区、君山区接壤，总面积 </w:t>
      </w:r>
      <w:r>
        <w:rPr>
          <w:rFonts w:ascii="Times New Roman" w:eastAsia="Times New Roman"/>
        </w:rPr>
        <w:t xml:space="preserve">2809 </w:t>
      </w:r>
      <w:r>
        <w:t>平方公里。</w:t>
      </w:r>
      <w:r>
        <w:rPr>
          <w:rFonts w:ascii="Times New Roman" w:eastAsia="Times New Roman"/>
        </w:rPr>
        <w:t>2023</w:t>
      </w:r>
    </w:p>
    <w:p w14:paraId="11A227E2">
      <w:pPr>
        <w:pStyle w:val="7"/>
        <w:spacing w:line="362" w:lineRule="auto"/>
        <w:ind w:left="460" w:right="477"/>
      </w:pPr>
      <w:r>
        <w:rPr>
          <w:spacing w:val="-2"/>
        </w:rPr>
        <w:t xml:space="preserve">年，岳阳县户籍总人口 </w:t>
      </w:r>
      <w:r>
        <w:rPr>
          <w:rFonts w:ascii="Times New Roman" w:eastAsia="Times New Roman"/>
        </w:rPr>
        <w:t xml:space="preserve">70.96 </w:t>
      </w:r>
      <w:r>
        <w:rPr>
          <w:spacing w:val="-3"/>
        </w:rPr>
        <w:t xml:space="preserve">万人，常住人口 </w:t>
      </w:r>
      <w:r>
        <w:rPr>
          <w:rFonts w:ascii="Times New Roman" w:eastAsia="Times New Roman"/>
        </w:rPr>
        <w:t xml:space="preserve">55.14 </w:t>
      </w:r>
      <w:r>
        <w:rPr>
          <w:spacing w:val="-6"/>
        </w:rPr>
        <w:t xml:space="preserve">万人。截至 </w:t>
      </w:r>
      <w:r>
        <w:rPr>
          <w:rFonts w:ascii="Times New Roman" w:eastAsia="Times New Roman"/>
        </w:rPr>
        <w:t xml:space="preserve">2024 </w:t>
      </w:r>
      <w:r>
        <w:rPr>
          <w:spacing w:val="-26"/>
        </w:rPr>
        <w:t xml:space="preserve">年 </w:t>
      </w:r>
      <w:r>
        <w:rPr>
          <w:rFonts w:ascii="Times New Roman" w:eastAsia="Times New Roman"/>
        </w:rPr>
        <w:t xml:space="preserve">3 </w:t>
      </w:r>
      <w:r>
        <w:rPr>
          <w:spacing w:val="2"/>
        </w:rPr>
        <w:t xml:space="preserve">月， </w:t>
      </w:r>
      <w:r>
        <w:rPr>
          <w:spacing w:val="-10"/>
        </w:rPr>
        <w:t xml:space="preserve">岳阳县辖 </w:t>
      </w:r>
      <w:r>
        <w:rPr>
          <w:rFonts w:ascii="Times New Roman" w:eastAsia="Times New Roman"/>
        </w:rPr>
        <w:t xml:space="preserve">2 </w:t>
      </w:r>
      <w:r>
        <w:t>个街道、</w:t>
      </w:r>
      <w:r>
        <w:rPr>
          <w:rFonts w:ascii="Times New Roman" w:eastAsia="Times New Roman"/>
        </w:rPr>
        <w:t xml:space="preserve">11 </w:t>
      </w:r>
      <w:r>
        <w:t>个镇、</w:t>
      </w:r>
      <w:r>
        <w:rPr>
          <w:rFonts w:ascii="Times New Roman" w:eastAsia="Times New Roman"/>
        </w:rPr>
        <w:t xml:space="preserve">2 </w:t>
      </w:r>
      <w:r>
        <w:t>个乡。</w:t>
      </w:r>
    </w:p>
    <w:p w14:paraId="08A0038A">
      <w:pPr>
        <w:pStyle w:val="7"/>
        <w:spacing w:before="4" w:line="364" w:lineRule="auto"/>
        <w:ind w:left="460" w:right="477" w:firstLine="480"/>
        <w:jc w:val="both"/>
      </w:pPr>
      <w:r>
        <w:t>拟建项目位于湖南省岳阳市岳阳县荣家湾镇城东村</w:t>
      </w:r>
      <w:r>
        <w:rPr>
          <w:rFonts w:ascii="Times New Roman" w:hAnsi="Times New Roman" w:eastAsia="Times New Roman"/>
        </w:rPr>
        <w:t>—</w:t>
      </w:r>
      <w:r>
        <w:t>岳阳县畜禽良种繁殖场南侧，中心地理坐标为东经：</w:t>
      </w:r>
      <w:r>
        <w:rPr>
          <w:rFonts w:ascii="Times New Roman" w:hAnsi="Times New Roman" w:eastAsia="Times New Roman"/>
        </w:rPr>
        <w:t>113°6′42.82207″</w:t>
      </w:r>
      <w:r>
        <w:t>，北纬：</w:t>
      </w:r>
      <w:r>
        <w:rPr>
          <w:rFonts w:ascii="Times New Roman" w:hAnsi="Times New Roman" w:eastAsia="Times New Roman"/>
        </w:rPr>
        <w:t>29°7′23.95743″</w:t>
      </w:r>
      <w:r>
        <w:t xml:space="preserve">，详见项目地理位置图（附图 </w:t>
      </w:r>
      <w:r>
        <w:rPr>
          <w:rFonts w:ascii="Times New Roman" w:hAnsi="Times New Roman" w:eastAsia="Times New Roman"/>
        </w:rPr>
        <w:t>1</w:t>
      </w:r>
      <w:r>
        <w:t>）。</w:t>
      </w:r>
    </w:p>
    <w:p w14:paraId="3D745C4D">
      <w:pPr>
        <w:pStyle w:val="6"/>
        <w:numPr>
          <w:ilvl w:val="2"/>
          <w:numId w:val="16"/>
        </w:numPr>
        <w:tabs>
          <w:tab w:val="left" w:pos="991"/>
        </w:tabs>
        <w:spacing w:before="0" w:after="0" w:line="304" w:lineRule="exact"/>
        <w:ind w:left="990" w:right="0" w:hanging="530"/>
        <w:jc w:val="left"/>
      </w:pPr>
      <w:bookmarkStart w:id="127" w:name="4.1.2地形、地貌与地质"/>
      <w:bookmarkEnd w:id="127"/>
      <w:bookmarkStart w:id="128" w:name="4.1.2地形、地貌与地质"/>
      <w:bookmarkEnd w:id="128"/>
      <w:r>
        <w:t>地形、地貌与地质</w:t>
      </w:r>
    </w:p>
    <w:p w14:paraId="3DCC2607">
      <w:pPr>
        <w:pStyle w:val="7"/>
        <w:spacing w:before="160" w:line="364" w:lineRule="auto"/>
        <w:ind w:left="460" w:right="477" w:firstLine="480"/>
        <w:jc w:val="both"/>
      </w:pPr>
      <w:r>
        <w:t xml:space="preserve">岳阳县境地貌自东北幕阜山余脉向西南东洞庭湖呈降阶梯状倾斜。山地、丘陵、岗地、平原、水面比例大致可分为 </w:t>
      </w:r>
      <w:r>
        <w:rPr>
          <w:rFonts w:ascii="Times New Roman" w:eastAsia="Times New Roman"/>
        </w:rPr>
        <w:t>12:11:24:3:40</w:t>
      </w:r>
      <w:r>
        <w:t>。山地主要分布在毛田镇、月田镇、张谷英镇、云山乡、相思乡、饶村乡及公田镇的一部分地方。主要山脉有相思山、大云山。丘陵主要分布于盆地周边或山间山麓旁侧。岗地主要分布于东洞庭湖东岸的麻塘镇、城关镇、黄沙街及新墙河两岸。平原主要分布在筻口、新墙、公田、鹿角、城关等乡镇。岳阳县处新华夏系巨型第二沉降的次一级隆起带。元古代震旦系前雪峰运动形成江南古褶皱带，古生代为海水淹没；中生代初期湖南造山运动，海水全部退出，中生代末期燕山运动，江南古褶皱带中段发生断裂，县境东、北部隆起，接受剥蚀，中、南、西部下陷为洼地，形成洞庭湖，使雪峰山脉与幕阜山脉因湖区断陷而相隔离，形成新华夏体系。新生代喜马拉雅运动，县境中、南断陷盆地相继上升，西部继续下陷， 发育为第四系松散堆积物。</w:t>
      </w:r>
    </w:p>
    <w:p w14:paraId="13199D82">
      <w:pPr>
        <w:pStyle w:val="6"/>
        <w:numPr>
          <w:ilvl w:val="2"/>
          <w:numId w:val="16"/>
        </w:numPr>
        <w:tabs>
          <w:tab w:val="left" w:pos="991"/>
        </w:tabs>
        <w:spacing w:before="0" w:after="0" w:line="300" w:lineRule="exact"/>
        <w:ind w:left="990" w:right="0" w:hanging="530"/>
        <w:jc w:val="left"/>
      </w:pPr>
      <w:bookmarkStart w:id="129" w:name="4.1.3气候、气象"/>
      <w:bookmarkEnd w:id="129"/>
      <w:bookmarkStart w:id="130" w:name="4.1.3气候、气象"/>
      <w:bookmarkEnd w:id="130"/>
      <w:r>
        <w:t>气候、气象</w:t>
      </w:r>
    </w:p>
    <w:p w14:paraId="76A54C33">
      <w:pPr>
        <w:pStyle w:val="7"/>
        <w:spacing w:before="161" w:line="362" w:lineRule="auto"/>
        <w:ind w:left="460" w:right="477" w:firstLine="480"/>
        <w:jc w:val="both"/>
      </w:pPr>
      <w:r>
        <w:rPr>
          <w:spacing w:val="0"/>
        </w:rPr>
        <w:t>岳阳县属亚热带季风湿润性气候，具有雨量充沛、气候温和、日照充足、</w:t>
      </w:r>
      <w:r>
        <w:rPr>
          <w:spacing w:val="-1"/>
        </w:rPr>
        <w:t xml:space="preserve">四季分明、暑热期长、严寒期短的特点。岳阳县气象站位于荣家湾，于 </w:t>
      </w:r>
      <w:r>
        <w:rPr>
          <w:rFonts w:ascii="Times New Roman" w:eastAsia="Times New Roman"/>
        </w:rPr>
        <w:t xml:space="preserve">1986 </w:t>
      </w:r>
      <w:r>
        <w:t>年</w:t>
      </w:r>
    </w:p>
    <w:p w14:paraId="1094B85B">
      <w:pPr>
        <w:pStyle w:val="7"/>
        <w:spacing w:before="5"/>
        <w:ind w:left="460"/>
      </w:pPr>
      <w:r>
        <w:t xml:space="preserve">设立，次年 </w:t>
      </w:r>
      <w:r>
        <w:rPr>
          <w:rFonts w:ascii="Times New Roman" w:eastAsia="Times New Roman"/>
        </w:rPr>
        <w:t xml:space="preserve">1 </w:t>
      </w:r>
      <w:r>
        <w:t xml:space="preserve">月 </w:t>
      </w:r>
      <w:r>
        <w:rPr>
          <w:rFonts w:ascii="Times New Roman" w:eastAsia="Times New Roman"/>
        </w:rPr>
        <w:t xml:space="preserve">1 </w:t>
      </w:r>
      <w:r>
        <w:t>日开始观测至今。根据其至今的年实测资料统计，多年平均</w:t>
      </w:r>
    </w:p>
    <w:p w14:paraId="378EB93B">
      <w:pPr>
        <w:pStyle w:val="7"/>
        <w:spacing w:before="158"/>
        <w:ind w:left="460"/>
      </w:pPr>
      <w:r>
        <w:t xml:space="preserve">日照时间在 </w:t>
      </w:r>
      <w:r>
        <w:rPr>
          <w:rFonts w:ascii="Times New Roman" w:hAnsi="Times New Roman" w:eastAsia="Times New Roman"/>
        </w:rPr>
        <w:t xml:space="preserve">1813.8 </w:t>
      </w:r>
      <w:r>
        <w:t xml:space="preserve">小时，多年平均无霜期 </w:t>
      </w:r>
      <w:r>
        <w:rPr>
          <w:rFonts w:ascii="Times New Roman" w:hAnsi="Times New Roman" w:eastAsia="Times New Roman"/>
        </w:rPr>
        <w:t xml:space="preserve">277 </w:t>
      </w:r>
      <w:r>
        <w:t xml:space="preserve">天，多年均气温 </w:t>
      </w:r>
      <w:r>
        <w:rPr>
          <w:rFonts w:ascii="Times New Roman" w:hAnsi="Times New Roman" w:eastAsia="Times New Roman"/>
        </w:rPr>
        <w:t>16.8</w:t>
      </w:r>
      <w:r>
        <w:t>℃，最高气</w:t>
      </w:r>
    </w:p>
    <w:p w14:paraId="7F6B0D6D">
      <w:pPr>
        <w:spacing w:after="0"/>
        <w:sectPr>
          <w:pgSz w:w="11910" w:h="16840"/>
          <w:pgMar w:top="1360" w:right="1320" w:bottom="1400" w:left="1340" w:header="878" w:footer="1204" w:gutter="0"/>
          <w:cols w:space="720" w:num="1"/>
        </w:sectPr>
      </w:pPr>
    </w:p>
    <w:p w14:paraId="2D20C1C4">
      <w:pPr>
        <w:pStyle w:val="7"/>
        <w:spacing w:before="68"/>
        <w:ind w:left="460"/>
      </w:pPr>
      <w:r>
        <w:t xml:space="preserve">温 </w:t>
      </w:r>
      <w:r>
        <w:rPr>
          <w:rFonts w:ascii="Times New Roman" w:hAnsi="Times New Roman" w:eastAsia="Times New Roman"/>
        </w:rPr>
        <w:t>40.3</w:t>
      </w:r>
      <w:r>
        <w:t>℃，最低气温</w:t>
      </w:r>
      <w:r>
        <w:rPr>
          <w:rFonts w:ascii="Times New Roman" w:hAnsi="Times New Roman" w:eastAsia="Times New Roman"/>
        </w:rPr>
        <w:t>-11.8</w:t>
      </w:r>
      <w:r>
        <w:t>℃。</w:t>
      </w:r>
    </w:p>
    <w:p w14:paraId="437AB264">
      <w:pPr>
        <w:pStyle w:val="7"/>
        <w:spacing w:before="160" w:line="364" w:lineRule="auto"/>
        <w:ind w:left="460" w:right="477" w:firstLine="480"/>
        <w:jc w:val="both"/>
      </w:pPr>
      <w:r>
        <w:t xml:space="preserve">根据实测降雨资料统计，多年平均年降水量为 </w:t>
      </w:r>
      <w:r>
        <w:rPr>
          <w:rFonts w:ascii="Times New Roman" w:eastAsia="Times New Roman"/>
        </w:rPr>
        <w:t>1316.26mm</w:t>
      </w:r>
      <w:r>
        <w:t>，最大一日降水</w:t>
      </w:r>
      <w:r>
        <w:rPr>
          <w:spacing w:val="-19"/>
        </w:rPr>
        <w:t xml:space="preserve">量为 </w:t>
      </w:r>
      <w:r>
        <w:rPr>
          <w:rFonts w:ascii="Times New Roman" w:eastAsia="Times New Roman"/>
        </w:rPr>
        <w:t>208.00mm</w:t>
      </w:r>
      <w:r>
        <w:t>（</w:t>
      </w:r>
      <w:r>
        <w:rPr>
          <w:rFonts w:ascii="Times New Roman" w:eastAsia="Times New Roman"/>
        </w:rPr>
        <w:t>1983</w:t>
      </w:r>
      <w:r>
        <w:rPr>
          <w:rFonts w:ascii="Times New Roman" w:eastAsia="Times New Roman"/>
          <w:spacing w:val="-8"/>
        </w:rPr>
        <w:t xml:space="preserve"> </w:t>
      </w:r>
      <w:r>
        <w:rPr>
          <w:spacing w:val="-29"/>
        </w:rPr>
        <w:t xml:space="preserve">年 </w:t>
      </w:r>
      <w:r>
        <w:rPr>
          <w:rFonts w:ascii="Times New Roman" w:eastAsia="Times New Roman"/>
        </w:rPr>
        <w:t>7</w:t>
      </w:r>
      <w:r>
        <w:rPr>
          <w:rFonts w:ascii="Times New Roman" w:eastAsia="Times New Roman"/>
          <w:spacing w:val="-8"/>
        </w:rPr>
        <w:t xml:space="preserve"> </w:t>
      </w:r>
      <w:r>
        <w:rPr>
          <w:spacing w:val="-28"/>
        </w:rPr>
        <w:t xml:space="preserve">月 </w:t>
      </w:r>
      <w:r>
        <w:rPr>
          <w:rFonts w:ascii="Times New Roman" w:eastAsia="Times New Roman"/>
        </w:rPr>
        <w:t>8</w:t>
      </w:r>
      <w:r>
        <w:rPr>
          <w:rFonts w:ascii="Times New Roman" w:eastAsia="Times New Roman"/>
          <w:spacing w:val="-8"/>
        </w:rPr>
        <w:t xml:space="preserve"> </w:t>
      </w:r>
      <w:r>
        <w:t>日）。</w:t>
      </w:r>
      <w:r>
        <w:rPr>
          <w:rFonts w:ascii="Times New Roman" w:eastAsia="Times New Roman"/>
        </w:rPr>
        <w:t>1967</w:t>
      </w:r>
      <w:r>
        <w:rPr>
          <w:rFonts w:ascii="Times New Roman" w:eastAsia="Times New Roman"/>
          <w:spacing w:val="-8"/>
        </w:rPr>
        <w:t xml:space="preserve"> </w:t>
      </w:r>
      <w:r>
        <w:rPr>
          <w:spacing w:val="-8"/>
        </w:rPr>
        <w:t xml:space="preserve">年实测降水量 </w:t>
      </w:r>
      <w:r>
        <w:rPr>
          <w:rFonts w:ascii="Times New Roman" w:eastAsia="Times New Roman"/>
        </w:rPr>
        <w:t>1530.6mm</w:t>
      </w:r>
      <w:r>
        <w:t>，为历年最大值，</w:t>
      </w:r>
      <w:r>
        <w:rPr>
          <w:rFonts w:ascii="Times New Roman" w:eastAsia="Times New Roman"/>
        </w:rPr>
        <w:t>1968</w:t>
      </w:r>
      <w:r>
        <w:rPr>
          <w:rFonts w:ascii="Times New Roman" w:eastAsia="Times New Roman"/>
          <w:spacing w:val="8"/>
        </w:rPr>
        <w:t xml:space="preserve"> </w:t>
      </w:r>
      <w:r>
        <w:rPr>
          <w:spacing w:val="-7"/>
        </w:rPr>
        <w:t xml:space="preserve">年实测降水 </w:t>
      </w:r>
      <w:r>
        <w:rPr>
          <w:rFonts w:ascii="Times New Roman" w:eastAsia="Times New Roman"/>
        </w:rPr>
        <w:t>787.4mm</w:t>
      </w:r>
      <w:r>
        <w:t>，为历年最小值。本流域形成暴雨的主要天气</w:t>
      </w:r>
      <w:r>
        <w:rPr>
          <w:spacing w:val="1"/>
        </w:rPr>
        <w:t xml:space="preserve">系统是梅雨峰系和山地地形雨，暴雨在 </w:t>
      </w:r>
      <w:r>
        <w:rPr>
          <w:rFonts w:ascii="Times New Roman" w:eastAsia="Times New Roman"/>
          <w:spacing w:val="3"/>
        </w:rPr>
        <w:t>4</w:t>
      </w:r>
      <w:r>
        <w:rPr>
          <w:spacing w:val="3"/>
        </w:rPr>
        <w:t>～</w:t>
      </w:r>
      <w:r>
        <w:rPr>
          <w:rFonts w:ascii="Times New Roman" w:eastAsia="Times New Roman"/>
          <w:spacing w:val="3"/>
        </w:rPr>
        <w:t>8</w:t>
      </w:r>
      <w:r>
        <w:rPr>
          <w:rFonts w:ascii="Times New Roman" w:eastAsia="Times New Roman"/>
          <w:spacing w:val="8"/>
        </w:rPr>
        <w:t xml:space="preserve"> </w:t>
      </w:r>
      <w:r>
        <w:rPr>
          <w:spacing w:val="5"/>
        </w:rPr>
        <w:t>月都可能发生，大暴雨多集中在</w:t>
      </w:r>
    </w:p>
    <w:p w14:paraId="74A1C99A">
      <w:pPr>
        <w:pStyle w:val="7"/>
        <w:spacing w:line="364" w:lineRule="auto"/>
        <w:ind w:left="460" w:right="477"/>
        <w:jc w:val="both"/>
      </w:pPr>
      <w:r>
        <w:rPr>
          <w:rFonts w:ascii="Times New Roman" w:eastAsia="Times New Roman"/>
        </w:rPr>
        <w:t>6</w:t>
      </w:r>
      <w:r>
        <w:t>～</w:t>
      </w:r>
      <w:r>
        <w:rPr>
          <w:rFonts w:ascii="Times New Roman" w:eastAsia="Times New Roman"/>
        </w:rPr>
        <w:t xml:space="preserve">8 </w:t>
      </w:r>
      <w:r>
        <w:t xml:space="preserve">月，暴雨持续时间一般为 </w:t>
      </w:r>
      <w:r>
        <w:rPr>
          <w:rFonts w:ascii="Times New Roman" w:eastAsia="Times New Roman"/>
        </w:rPr>
        <w:t>1</w:t>
      </w:r>
      <w:r>
        <w:t>～</w:t>
      </w:r>
      <w:r>
        <w:rPr>
          <w:rFonts w:ascii="Times New Roman" w:eastAsia="Times New Roman"/>
        </w:rPr>
        <w:t xml:space="preserve">3 </w:t>
      </w:r>
      <w:r>
        <w:t xml:space="preserve">天。雨量分布受地形影相随高程降低而呈递减趋势。多年平均年蒸发量为 </w:t>
      </w:r>
      <w:r>
        <w:rPr>
          <w:rFonts w:ascii="Times New Roman" w:eastAsia="Times New Roman"/>
        </w:rPr>
        <w:t>1247.1mm</w:t>
      </w:r>
      <w:r>
        <w:t>。蒸发与气温关系密切，</w:t>
      </w:r>
      <w:r>
        <w:rPr>
          <w:rFonts w:ascii="Times New Roman" w:eastAsia="Times New Roman"/>
        </w:rPr>
        <w:t>6</w:t>
      </w:r>
      <w:r>
        <w:t>～</w:t>
      </w:r>
      <w:r>
        <w:rPr>
          <w:rFonts w:ascii="Times New Roman" w:eastAsia="Times New Roman"/>
        </w:rPr>
        <w:t xml:space="preserve">8 </w:t>
      </w:r>
      <w:r>
        <w:t xml:space="preserve">月气温高，蒸发量大，多年平均月蒸发量最大在 </w:t>
      </w:r>
      <w:r>
        <w:rPr>
          <w:rFonts w:ascii="Times New Roman" w:eastAsia="Times New Roman"/>
        </w:rPr>
        <w:t xml:space="preserve">7 </w:t>
      </w:r>
      <w:r>
        <w:t xml:space="preserve">月份，达 </w:t>
      </w:r>
      <w:r>
        <w:rPr>
          <w:rFonts w:ascii="Times New Roman" w:eastAsia="Times New Roman"/>
        </w:rPr>
        <w:t>214.8mm</w:t>
      </w:r>
      <w:r>
        <w:t>。年主导风向</w:t>
      </w:r>
    </w:p>
    <w:p w14:paraId="75FB8F0B">
      <w:pPr>
        <w:pStyle w:val="7"/>
        <w:spacing w:line="307" w:lineRule="exact"/>
        <w:ind w:left="460"/>
        <w:jc w:val="both"/>
      </w:pPr>
      <w:r>
        <w:rPr>
          <w:rFonts w:ascii="Times New Roman" w:eastAsia="Times New Roman"/>
        </w:rPr>
        <w:t>NNE</w:t>
      </w:r>
      <w:r>
        <w:t xml:space="preserve">，平均风速 </w:t>
      </w:r>
      <w:r>
        <w:rPr>
          <w:rFonts w:ascii="Times New Roman" w:eastAsia="Times New Roman"/>
        </w:rPr>
        <w:t>2.9m/s</w:t>
      </w:r>
      <w:r>
        <w:t>，最大风力为九级。</w:t>
      </w:r>
    </w:p>
    <w:p w14:paraId="34AFC635">
      <w:pPr>
        <w:pStyle w:val="6"/>
        <w:spacing w:before="156"/>
        <w:ind w:left="460"/>
        <w:jc w:val="both"/>
      </w:pPr>
      <w:bookmarkStart w:id="131" w:name="4.1.3水文地质"/>
      <w:bookmarkEnd w:id="131"/>
      <w:r>
        <w:rPr>
          <w:rFonts w:ascii="Times New Roman" w:eastAsia="Times New Roman"/>
        </w:rPr>
        <w:t xml:space="preserve">4.1.3 </w:t>
      </w:r>
      <w:r>
        <w:t>水文地质</w:t>
      </w:r>
    </w:p>
    <w:p w14:paraId="35151E79">
      <w:pPr>
        <w:pStyle w:val="7"/>
        <w:spacing w:before="158"/>
        <w:ind w:left="940"/>
      </w:pPr>
      <w:r>
        <w:t>（</w:t>
      </w:r>
      <w:r>
        <w:rPr>
          <w:rFonts w:ascii="Times New Roman" w:eastAsia="Times New Roman"/>
        </w:rPr>
        <w:t>1</w:t>
      </w:r>
      <w:r>
        <w:t>）地表水</w:t>
      </w:r>
    </w:p>
    <w:p w14:paraId="037D1B12">
      <w:pPr>
        <w:pStyle w:val="7"/>
        <w:spacing w:before="161"/>
        <w:ind w:left="940"/>
      </w:pPr>
      <w:r>
        <w:t xml:space="preserve">岳阳县水网密布。全县水域面积 </w:t>
      </w:r>
      <w:r>
        <w:rPr>
          <w:rFonts w:ascii="Times New Roman" w:eastAsia="Times New Roman"/>
        </w:rPr>
        <w:t xml:space="preserve">1190 </w:t>
      </w:r>
      <w:r>
        <w:t>平方公里， 占全县总面积的</w:t>
      </w:r>
    </w:p>
    <w:p w14:paraId="4975619E">
      <w:pPr>
        <w:pStyle w:val="7"/>
        <w:spacing w:before="160" w:line="362" w:lineRule="auto"/>
        <w:ind w:left="460" w:right="477"/>
        <w:jc w:val="both"/>
      </w:pPr>
      <w:r>
        <w:rPr>
          <w:rFonts w:ascii="Times New Roman" w:eastAsia="Times New Roman"/>
        </w:rPr>
        <w:t>40.60%</w:t>
      </w:r>
      <w:r>
        <w:t>，主要为县辖东洞庭湖水面。境内主要河流有直泄东洞庭湖的新墙河、费家河、坪桥河和直入南洞庭湖的罗水河。</w:t>
      </w:r>
    </w:p>
    <w:p w14:paraId="00C58D02">
      <w:pPr>
        <w:pStyle w:val="7"/>
        <w:spacing w:before="5"/>
        <w:ind w:left="940"/>
      </w:pPr>
      <w:r>
        <w:t xml:space="preserve">新墙河为洞庭湖一级支流，新墙河流域位于北纬 </w:t>
      </w:r>
      <w:r>
        <w:rPr>
          <w:rFonts w:ascii="Times New Roman" w:hAnsi="Times New Roman" w:eastAsia="Times New Roman"/>
        </w:rPr>
        <w:t>29°00′</w:t>
      </w:r>
      <w:r>
        <w:t>～</w:t>
      </w:r>
      <w:r>
        <w:rPr>
          <w:rFonts w:ascii="Times New Roman" w:hAnsi="Times New Roman" w:eastAsia="Times New Roman"/>
        </w:rPr>
        <w:t>29°30′</w:t>
      </w:r>
      <w:r>
        <w:t>、东经</w:t>
      </w:r>
    </w:p>
    <w:p w14:paraId="7DBC8151">
      <w:pPr>
        <w:pStyle w:val="7"/>
        <w:spacing w:before="158" w:line="364" w:lineRule="auto"/>
        <w:ind w:left="460" w:right="477"/>
        <w:jc w:val="both"/>
      </w:pPr>
      <w:r>
        <w:rPr>
          <w:rFonts w:ascii="Times New Roman" w:hAnsi="Times New Roman" w:eastAsia="Times New Roman"/>
        </w:rPr>
        <w:t>113°00′</w:t>
      </w:r>
      <w:r>
        <w:t>～</w:t>
      </w:r>
      <w:r>
        <w:rPr>
          <w:rFonts w:ascii="Times New Roman" w:hAnsi="Times New Roman" w:eastAsia="Times New Roman"/>
        </w:rPr>
        <w:t>113°40′</w:t>
      </w:r>
      <w:r>
        <w:t xml:space="preserve">之间。总流域面积 </w:t>
      </w:r>
      <w:r>
        <w:rPr>
          <w:rFonts w:ascii="Times New Roman" w:hAnsi="Times New Roman" w:eastAsia="Times New Roman"/>
        </w:rPr>
        <w:t>2365.64 km</w:t>
      </w:r>
      <w:r>
        <w:rPr>
          <w:rFonts w:ascii="Times New Roman" w:hAnsi="Times New Roman" w:eastAsia="Times New Roman"/>
          <w:position w:val="8"/>
          <w:sz w:val="15"/>
        </w:rPr>
        <w:t>2</w:t>
      </w:r>
      <w:r>
        <w:t xml:space="preserve">，其中流经县境 </w:t>
      </w:r>
      <w:r>
        <w:rPr>
          <w:rFonts w:ascii="Times New Roman" w:hAnsi="Times New Roman" w:eastAsia="Times New Roman"/>
        </w:rPr>
        <w:t>1597.64 km</w:t>
      </w:r>
      <w:r>
        <w:rPr>
          <w:rFonts w:ascii="Times New Roman" w:hAnsi="Times New Roman" w:eastAsia="Times New Roman"/>
          <w:position w:val="8"/>
          <w:sz w:val="15"/>
        </w:rPr>
        <w:t>2</w:t>
      </w:r>
      <w:r>
        <w:t xml:space="preserve">， 新墙河县境内干流全长 </w:t>
      </w:r>
      <w:r>
        <w:rPr>
          <w:rFonts w:ascii="Times New Roman" w:hAnsi="Times New Roman" w:eastAsia="Times New Roman"/>
        </w:rPr>
        <w:t xml:space="preserve">115.40m </w:t>
      </w:r>
      <w:r>
        <w:t xml:space="preserve">， 纳入支流 </w:t>
      </w:r>
      <w:r>
        <w:rPr>
          <w:rFonts w:ascii="Times New Roman" w:hAnsi="Times New Roman" w:eastAsia="Times New Roman"/>
        </w:rPr>
        <w:t xml:space="preserve">47 </w:t>
      </w:r>
      <w:r>
        <w:t xml:space="preserve">条， 天然落差 </w:t>
      </w:r>
      <w:r>
        <w:rPr>
          <w:rFonts w:ascii="Times New Roman" w:hAnsi="Times New Roman" w:eastAsia="Times New Roman"/>
        </w:rPr>
        <w:t xml:space="preserve">400m </w:t>
      </w:r>
      <w:r>
        <w:t>， 坡降</w:t>
      </w:r>
    </w:p>
    <w:p w14:paraId="4F70B309">
      <w:pPr>
        <w:pStyle w:val="7"/>
        <w:spacing w:line="364" w:lineRule="auto"/>
        <w:ind w:left="460" w:right="477"/>
        <w:jc w:val="both"/>
      </w:pPr>
      <w:r>
        <w:rPr>
          <w:rFonts w:ascii="Times New Roman" w:hAnsi="Times New Roman" w:eastAsia="Times New Roman"/>
        </w:rPr>
        <w:t>7.18</w:t>
      </w:r>
      <w:r>
        <w:t xml:space="preserve">‰，多年平均流量约 </w:t>
      </w:r>
      <w:r>
        <w:rPr>
          <w:rFonts w:ascii="Times New Roman" w:hAnsi="Times New Roman" w:eastAsia="Times New Roman"/>
        </w:rPr>
        <w:t>58m</w:t>
      </w:r>
      <w:r>
        <w:rPr>
          <w:rFonts w:ascii="Times New Roman" w:hAnsi="Times New Roman" w:eastAsia="Times New Roman"/>
          <w:position w:val="8"/>
          <w:sz w:val="15"/>
        </w:rPr>
        <w:t>3</w:t>
      </w:r>
      <w:r>
        <w:rPr>
          <w:rFonts w:ascii="Times New Roman" w:hAnsi="Times New Roman" w:eastAsia="Times New Roman"/>
        </w:rPr>
        <w:t>/s</w:t>
      </w:r>
      <w:r>
        <w:t xml:space="preserve">，最枯流量仅 </w:t>
      </w:r>
      <w:r>
        <w:rPr>
          <w:rFonts w:ascii="Times New Roman" w:hAnsi="Times New Roman" w:eastAsia="Times New Roman"/>
        </w:rPr>
        <w:t>6.0m</w:t>
      </w:r>
      <w:r>
        <w:rPr>
          <w:rFonts w:ascii="Times New Roman" w:hAnsi="Times New Roman" w:eastAsia="Times New Roman"/>
          <w:position w:val="8"/>
          <w:sz w:val="15"/>
        </w:rPr>
        <w:t>3</w:t>
      </w:r>
      <w:r>
        <w:rPr>
          <w:rFonts w:ascii="Times New Roman" w:hAnsi="Times New Roman" w:eastAsia="Times New Roman"/>
        </w:rPr>
        <w:t>/s</w:t>
      </w:r>
      <w:r>
        <w:t>。沙港、游港为新墙河两大支流，其中沙港河发源于平江县团山宝贝岭，主要流经板江、月田、铁山口、公田、杨林街，于筻口镇的三港咀汇合游港后流入新墙河主流，流域面积</w:t>
      </w:r>
    </w:p>
    <w:p w14:paraId="15CF0C9D">
      <w:pPr>
        <w:pStyle w:val="7"/>
        <w:spacing w:line="364" w:lineRule="auto"/>
        <w:ind w:left="460" w:right="477"/>
        <w:jc w:val="both"/>
      </w:pPr>
      <w:r>
        <w:rPr>
          <w:rFonts w:ascii="Times New Roman" w:hAnsi="Times New Roman" w:eastAsia="Times New Roman"/>
        </w:rPr>
        <w:t xml:space="preserve">974.69 </w:t>
      </w:r>
      <w:r>
        <w:rPr>
          <w:rFonts w:ascii="Times New Roman" w:hAnsi="Times New Roman" w:eastAsia="Times New Roman"/>
          <w:spacing w:val="1"/>
        </w:rPr>
        <w:t>km</w:t>
      </w:r>
      <w:r>
        <w:rPr>
          <w:rFonts w:ascii="Times New Roman" w:hAnsi="Times New Roman" w:eastAsia="Times New Roman"/>
          <w:spacing w:val="1"/>
          <w:position w:val="8"/>
          <w:sz w:val="15"/>
        </w:rPr>
        <w:t>2</w:t>
      </w:r>
      <w:r>
        <w:rPr>
          <w:spacing w:val="-11"/>
        </w:rPr>
        <w:t xml:space="preserve">，全长 </w:t>
      </w:r>
      <w:r>
        <w:rPr>
          <w:rFonts w:ascii="Times New Roman" w:hAnsi="Times New Roman" w:eastAsia="Times New Roman"/>
        </w:rPr>
        <w:t>79.60km</w:t>
      </w:r>
      <w:r>
        <w:rPr>
          <w:spacing w:val="-4"/>
        </w:rPr>
        <w:t xml:space="preserve">，县境内流域面积 </w:t>
      </w:r>
      <w:r>
        <w:rPr>
          <w:rFonts w:ascii="Times New Roman" w:hAnsi="Times New Roman" w:eastAsia="Times New Roman"/>
        </w:rPr>
        <w:t xml:space="preserve">904.64 </w:t>
      </w:r>
      <w:r>
        <w:rPr>
          <w:rFonts w:ascii="Times New Roman" w:hAnsi="Times New Roman" w:eastAsia="Times New Roman"/>
          <w:spacing w:val="1"/>
        </w:rPr>
        <w:t>km</w:t>
      </w:r>
      <w:r>
        <w:rPr>
          <w:rFonts w:ascii="Times New Roman" w:hAnsi="Times New Roman" w:eastAsia="Times New Roman"/>
          <w:spacing w:val="1"/>
          <w:position w:val="8"/>
          <w:sz w:val="15"/>
        </w:rPr>
        <w:t>2</w:t>
      </w:r>
      <w:r>
        <w:rPr>
          <w:spacing w:val="-15"/>
        </w:rPr>
        <w:t xml:space="preserve">，长 </w:t>
      </w:r>
      <w:r>
        <w:rPr>
          <w:rFonts w:ascii="Times New Roman" w:hAnsi="Times New Roman" w:eastAsia="Times New Roman"/>
        </w:rPr>
        <w:t>69.60km</w:t>
      </w:r>
      <w:r>
        <w:rPr>
          <w:spacing w:val="0"/>
        </w:rPr>
        <w:t>，平均流</w:t>
      </w:r>
      <w:r>
        <w:rPr>
          <w:spacing w:val="-28"/>
        </w:rPr>
        <w:t xml:space="preserve">量 </w:t>
      </w:r>
      <w:r>
        <w:rPr>
          <w:rFonts w:ascii="Times New Roman" w:hAnsi="Times New Roman" w:eastAsia="Times New Roman"/>
        </w:rPr>
        <w:t>52.60 m</w:t>
      </w:r>
      <w:r>
        <w:rPr>
          <w:rFonts w:ascii="Times New Roman" w:hAnsi="Times New Roman" w:eastAsia="Times New Roman"/>
          <w:position w:val="8"/>
          <w:sz w:val="15"/>
        </w:rPr>
        <w:t>3</w:t>
      </w:r>
      <w:r>
        <w:rPr>
          <w:rFonts w:ascii="Times New Roman" w:hAnsi="Times New Roman" w:eastAsia="Times New Roman"/>
        </w:rPr>
        <w:t>/s</w:t>
      </w:r>
      <w:r>
        <w:rPr>
          <w:spacing w:val="-9"/>
        </w:rPr>
        <w:t xml:space="preserve">，平均坡降 </w:t>
      </w:r>
      <w:r>
        <w:rPr>
          <w:rFonts w:ascii="Times New Roman" w:hAnsi="Times New Roman" w:eastAsia="Times New Roman"/>
        </w:rPr>
        <w:t>1.25</w:t>
      </w:r>
      <w:r>
        <w:t>‰。游港河发源于临湘市龙窖山，由西塘入岳阳县</w:t>
      </w:r>
      <w:r>
        <w:rPr>
          <w:spacing w:val="-3"/>
        </w:rPr>
        <w:t xml:space="preserve">境，经筻口至三港嘴汇入新墙河主流，流域面积 </w:t>
      </w:r>
      <w:r>
        <w:rPr>
          <w:rFonts w:ascii="Times New Roman" w:hAnsi="Times New Roman" w:eastAsia="Times New Roman"/>
        </w:rPr>
        <w:t>973 km</w:t>
      </w:r>
      <w:r>
        <w:rPr>
          <w:rFonts w:ascii="Times New Roman" w:hAnsi="Times New Roman" w:eastAsia="Times New Roman"/>
          <w:position w:val="8"/>
          <w:sz w:val="15"/>
        </w:rPr>
        <w:t>2</w:t>
      </w:r>
      <w:r>
        <w:rPr>
          <w:spacing w:val="-12"/>
        </w:rPr>
        <w:t xml:space="preserve">，全长 </w:t>
      </w:r>
      <w:r>
        <w:rPr>
          <w:rFonts w:ascii="Times New Roman" w:hAnsi="Times New Roman" w:eastAsia="Times New Roman"/>
        </w:rPr>
        <w:t>85.20km</w:t>
      </w:r>
      <w:r>
        <w:t>，县境</w:t>
      </w:r>
      <w:r>
        <w:rPr>
          <w:spacing w:val="-1"/>
        </w:rPr>
        <w:t xml:space="preserve">内流域面积 </w:t>
      </w:r>
      <w:r>
        <w:rPr>
          <w:rFonts w:ascii="Times New Roman" w:hAnsi="Times New Roman" w:eastAsia="Times New Roman"/>
        </w:rPr>
        <w:t xml:space="preserve">275 </w:t>
      </w:r>
      <w:r>
        <w:rPr>
          <w:rFonts w:ascii="Times New Roman" w:hAnsi="Times New Roman" w:eastAsia="Times New Roman"/>
          <w:spacing w:val="5"/>
        </w:rPr>
        <w:t>km</w:t>
      </w:r>
      <w:r>
        <w:rPr>
          <w:rFonts w:ascii="Times New Roman" w:hAnsi="Times New Roman" w:eastAsia="Times New Roman"/>
          <w:spacing w:val="5"/>
          <w:position w:val="8"/>
          <w:sz w:val="15"/>
        </w:rPr>
        <w:t>2</w:t>
      </w:r>
      <w:r>
        <w:rPr>
          <w:spacing w:val="-12"/>
        </w:rPr>
        <w:t xml:space="preserve">，长 </w:t>
      </w:r>
      <w:r>
        <w:rPr>
          <w:rFonts w:ascii="Times New Roman" w:hAnsi="Times New Roman" w:eastAsia="Times New Roman"/>
          <w:spacing w:val="3"/>
        </w:rPr>
        <w:t>19km</w:t>
      </w:r>
      <w:r>
        <w:rPr>
          <w:spacing w:val="-2"/>
        </w:rPr>
        <w:t xml:space="preserve">，平均流量 </w:t>
      </w:r>
      <w:r>
        <w:rPr>
          <w:rFonts w:ascii="Times New Roman" w:hAnsi="Times New Roman" w:eastAsia="Times New Roman"/>
        </w:rPr>
        <w:t xml:space="preserve">18.49 </w:t>
      </w:r>
      <w:r>
        <w:rPr>
          <w:rFonts w:ascii="Times New Roman" w:hAnsi="Times New Roman" w:eastAsia="Times New Roman"/>
          <w:spacing w:val="3"/>
        </w:rPr>
        <w:t>m</w:t>
      </w:r>
      <w:r>
        <w:rPr>
          <w:rFonts w:ascii="Times New Roman" w:hAnsi="Times New Roman" w:eastAsia="Times New Roman"/>
          <w:spacing w:val="3"/>
          <w:position w:val="8"/>
          <w:sz w:val="15"/>
        </w:rPr>
        <w:t>3</w:t>
      </w:r>
      <w:r>
        <w:rPr>
          <w:rFonts w:ascii="Times New Roman" w:hAnsi="Times New Roman" w:eastAsia="Times New Roman"/>
          <w:spacing w:val="3"/>
        </w:rPr>
        <w:t>/s</w:t>
      </w:r>
      <w:r>
        <w:rPr>
          <w:spacing w:val="-2"/>
        </w:rPr>
        <w:t xml:space="preserve">，天然落差 </w:t>
      </w:r>
      <w:r>
        <w:rPr>
          <w:rFonts w:ascii="Times New Roman" w:hAnsi="Times New Roman" w:eastAsia="Times New Roman"/>
          <w:spacing w:val="5"/>
        </w:rPr>
        <w:t>715m</w:t>
      </w:r>
      <w:r>
        <w:rPr>
          <w:spacing w:val="5"/>
        </w:rPr>
        <w:t>，坡降</w:t>
      </w:r>
    </w:p>
    <w:p w14:paraId="437F7805">
      <w:pPr>
        <w:pStyle w:val="7"/>
        <w:spacing w:line="362" w:lineRule="auto"/>
        <w:ind w:left="460" w:right="480"/>
        <w:jc w:val="both"/>
      </w:pPr>
      <w:r>
        <w:rPr>
          <w:rFonts w:ascii="Times New Roman" w:hAnsi="Times New Roman" w:eastAsia="Times New Roman"/>
        </w:rPr>
        <w:t>1.50</w:t>
      </w:r>
      <w:r>
        <w:t xml:space="preserve">‰。沙港、游港河自三港嘴汇流后经新墙、荣家湾从破岚口入东洞庭湖， 三港嘴至破岚口区间长 </w:t>
      </w:r>
      <w:r>
        <w:rPr>
          <w:rFonts w:ascii="Times New Roman" w:hAnsi="Times New Roman" w:eastAsia="Times New Roman"/>
        </w:rPr>
        <w:t>26.80km</w:t>
      </w:r>
      <w:r>
        <w:t xml:space="preserve">，区间流域面积 </w:t>
      </w:r>
      <w:r>
        <w:rPr>
          <w:rFonts w:ascii="Times New Roman" w:hAnsi="Times New Roman" w:eastAsia="Times New Roman"/>
        </w:rPr>
        <w:t>418 km</w:t>
      </w:r>
      <w:r>
        <w:rPr>
          <w:rFonts w:ascii="Times New Roman" w:hAnsi="Times New Roman" w:eastAsia="Times New Roman"/>
          <w:position w:val="8"/>
          <w:sz w:val="15"/>
        </w:rPr>
        <w:t>2</w:t>
      </w:r>
      <w:r>
        <w:t xml:space="preserve">，平均坡降 </w:t>
      </w:r>
      <w:r>
        <w:rPr>
          <w:rFonts w:ascii="Times New Roman" w:hAnsi="Times New Roman" w:eastAsia="Times New Roman"/>
        </w:rPr>
        <w:t>0.75</w:t>
      </w:r>
      <w:r>
        <w:t>‰。</w:t>
      </w:r>
    </w:p>
    <w:p w14:paraId="0E209AE5">
      <w:pPr>
        <w:pStyle w:val="7"/>
        <w:spacing w:before="1"/>
        <w:ind w:left="940"/>
      </w:pPr>
      <w:r>
        <w:rPr>
          <w:rFonts w:ascii="Times New Roman" w:eastAsia="Times New Roman"/>
        </w:rPr>
        <w:t>2</w:t>
      </w:r>
      <w:r>
        <w:t>）地下水状况</w:t>
      </w:r>
    </w:p>
    <w:p w14:paraId="4A5F674B">
      <w:pPr>
        <w:pStyle w:val="7"/>
        <w:spacing w:before="158" w:line="364" w:lineRule="auto"/>
        <w:ind w:left="460" w:right="477" w:firstLine="480"/>
        <w:jc w:val="both"/>
      </w:pPr>
      <w:r>
        <w:t xml:space="preserve">岳阳县境地下水主要类型有松散岩类孔隙水、碎屑岩类裂隙孔隙水、基岩裂隙水三大类型。储水构造主要有断裂充水带和向斜储水构造。地下水埋深度自东向西由深变浅，均为弱酸性极软淡水，矿化度小于 </w:t>
      </w:r>
      <w:r>
        <w:rPr>
          <w:rFonts w:ascii="Times New Roman" w:eastAsia="Times New Roman"/>
        </w:rPr>
        <w:t>0.40g/l</w:t>
      </w:r>
      <w:r>
        <w:t>，多为重碳酸钠</w:t>
      </w:r>
    </w:p>
    <w:p w14:paraId="744E26CB">
      <w:pPr>
        <w:spacing w:after="0" w:line="364" w:lineRule="auto"/>
        <w:jc w:val="both"/>
        <w:sectPr>
          <w:pgSz w:w="11910" w:h="16840"/>
          <w:pgMar w:top="1360" w:right="1320" w:bottom="1400" w:left="1340" w:header="878" w:footer="1204" w:gutter="0"/>
          <w:cols w:space="720" w:num="1"/>
        </w:sectPr>
      </w:pPr>
    </w:p>
    <w:p w14:paraId="4B11DF19">
      <w:pPr>
        <w:pStyle w:val="7"/>
        <w:spacing w:before="68" w:line="364" w:lineRule="auto"/>
        <w:ind w:left="460" w:right="477"/>
        <w:jc w:val="both"/>
      </w:pPr>
      <w:r>
        <w:t>氯化钙型水，重碳酸钙、重碳酸钙镁型水。评价区地下水主要类型为松散岩类孔隙水和碎屑岩类裂隙孔隙水。县境地下水主要靠大气降水补给，但西部湖区及湖滨平原还受外围地下水径流的侧向补给和河湖、稻田的渗漏补给。</w:t>
      </w:r>
    </w:p>
    <w:p w14:paraId="074EE746">
      <w:pPr>
        <w:pStyle w:val="7"/>
        <w:spacing w:line="364" w:lineRule="auto"/>
        <w:ind w:left="460" w:right="477" w:firstLine="480"/>
        <w:jc w:val="both"/>
      </w:pPr>
      <w:r>
        <w:rPr>
          <w:spacing w:val="0"/>
        </w:rPr>
        <w:t>松散岩类孔隙水产在第四系河流流相及河湖相堆积物中，水量之穷乏或丰</w:t>
      </w:r>
      <w:r>
        <w:t xml:space="preserve">富因地而异，分布于县境西部的东洞庭湖区和中部自北向南的麻塘—荣家湾— </w:t>
      </w:r>
      <w:r>
        <w:rPr>
          <w:spacing w:val="-2"/>
        </w:rPr>
        <w:t xml:space="preserve">黄沙街一线两侧、新墙河水系沿河两岸，面积 </w:t>
      </w:r>
      <w:r>
        <w:rPr>
          <w:rFonts w:ascii="Times New Roman" w:hAnsi="Times New Roman" w:eastAsia="Times New Roman"/>
        </w:rPr>
        <w:t>1296.60km</w:t>
      </w:r>
      <w:r>
        <w:rPr>
          <w:rFonts w:ascii="Times New Roman" w:hAnsi="Times New Roman" w:eastAsia="Times New Roman"/>
          <w:position w:val="8"/>
          <w:sz w:val="15"/>
        </w:rPr>
        <w:t>2</w:t>
      </w:r>
      <w:r>
        <w:t>，可分为双层结构孔隙和单层结构孔隙。单层结构孔隙分布于新墙河水系沿岸、河谷地区，储水量</w:t>
      </w:r>
      <w:r>
        <w:rPr>
          <w:spacing w:val="-8"/>
        </w:rPr>
        <w:t xml:space="preserve">丰富，水埋深 </w:t>
      </w:r>
      <w:r>
        <w:rPr>
          <w:rFonts w:ascii="Times New Roman" w:hAnsi="Times New Roman" w:eastAsia="Times New Roman"/>
        </w:rPr>
        <w:t>0</w:t>
      </w:r>
      <w:r>
        <w:t>～</w:t>
      </w:r>
      <w:r>
        <w:rPr>
          <w:rFonts w:ascii="Times New Roman" w:hAnsi="Times New Roman" w:eastAsia="Times New Roman"/>
        </w:rPr>
        <w:t>5m</w:t>
      </w:r>
      <w:r>
        <w:rPr>
          <w:spacing w:val="-7"/>
        </w:rPr>
        <w:t xml:space="preserve">，顶板埋深小于 </w:t>
      </w:r>
      <w:r>
        <w:rPr>
          <w:rFonts w:ascii="Times New Roman" w:hAnsi="Times New Roman" w:eastAsia="Times New Roman"/>
        </w:rPr>
        <w:t>3m</w:t>
      </w:r>
      <w:r>
        <w:t>；双层结构孔隙主要分布在东洞庭湖及湖滨区，荣家湾—黄沙街储水量浅水贫乏，深水中等；鹿角—大明储水量浅部</w:t>
      </w:r>
      <w:r>
        <w:rPr>
          <w:spacing w:val="8"/>
        </w:rPr>
        <w:t xml:space="preserve">中等，深部丰富；东洞庭湖及湖滨—新墙河三角洲储水量丰富，水埋深 </w:t>
      </w:r>
      <w:r>
        <w:rPr>
          <w:rFonts w:ascii="Times New Roman" w:hAnsi="Times New Roman" w:eastAsia="Times New Roman"/>
          <w:spacing w:val="5"/>
        </w:rPr>
        <w:t>0</w:t>
      </w:r>
      <w:r>
        <w:rPr>
          <w:spacing w:val="5"/>
        </w:rPr>
        <w:t>～</w:t>
      </w:r>
    </w:p>
    <w:p w14:paraId="31F248BA">
      <w:pPr>
        <w:pStyle w:val="7"/>
        <w:spacing w:line="302" w:lineRule="exact"/>
        <w:ind w:left="460"/>
      </w:pPr>
      <w:r>
        <w:rPr>
          <w:rFonts w:ascii="Times New Roman" w:eastAsia="Times New Roman"/>
        </w:rPr>
        <w:t>5m</w:t>
      </w:r>
      <w:r>
        <w:t xml:space="preserve">，顶板埋深 </w:t>
      </w:r>
      <w:r>
        <w:rPr>
          <w:rFonts w:ascii="Times New Roman" w:eastAsia="Times New Roman"/>
        </w:rPr>
        <w:t>10</w:t>
      </w:r>
      <w:r>
        <w:t>～</w:t>
      </w:r>
      <w:r>
        <w:rPr>
          <w:rFonts w:ascii="Times New Roman" w:eastAsia="Times New Roman"/>
        </w:rPr>
        <w:t>36 m</w:t>
      </w:r>
      <w:r>
        <w:t>。</w:t>
      </w:r>
    </w:p>
    <w:p w14:paraId="643CC769">
      <w:pPr>
        <w:pStyle w:val="7"/>
        <w:spacing w:before="160" w:line="364" w:lineRule="auto"/>
        <w:ind w:left="460" w:right="477" w:firstLine="480"/>
        <w:jc w:val="both"/>
      </w:pPr>
      <w:r>
        <w:t xml:space="preserve">碎屑岩类裂隙孔隙水存在于白垩系、第三系的分布区，分布在县境中部， 面积 </w:t>
      </w:r>
      <w:r>
        <w:rPr>
          <w:rFonts w:ascii="Times New Roman" w:eastAsia="Times New Roman"/>
        </w:rPr>
        <w:t>399.60 km</w:t>
      </w:r>
      <w:r>
        <w:rPr>
          <w:rFonts w:ascii="Times New Roman" w:eastAsia="Times New Roman"/>
          <w:position w:val="8"/>
          <w:sz w:val="15"/>
        </w:rPr>
        <w:t>2</w:t>
      </w:r>
      <w:r>
        <w:t xml:space="preserve">，储水量贫乏，水埋深 </w:t>
      </w:r>
      <w:r>
        <w:rPr>
          <w:rFonts w:ascii="Times New Roman" w:eastAsia="Times New Roman"/>
        </w:rPr>
        <w:t>0</w:t>
      </w:r>
      <w:r>
        <w:t>～</w:t>
      </w:r>
      <w:r>
        <w:rPr>
          <w:rFonts w:ascii="Times New Roman" w:eastAsia="Times New Roman"/>
        </w:rPr>
        <w:t>7m</w:t>
      </w:r>
      <w:r>
        <w:t xml:space="preserve">，顶板埋深小于 </w:t>
      </w:r>
      <w:r>
        <w:rPr>
          <w:rFonts w:ascii="Times New Roman" w:eastAsia="Times New Roman"/>
        </w:rPr>
        <w:t>3m</w:t>
      </w:r>
      <w:r>
        <w:t>。</w:t>
      </w:r>
    </w:p>
    <w:p w14:paraId="754CCDA9">
      <w:pPr>
        <w:pStyle w:val="6"/>
        <w:spacing w:line="306" w:lineRule="exact"/>
        <w:ind w:left="460"/>
      </w:pPr>
      <w:bookmarkStart w:id="132" w:name="4.1.4生态环境"/>
      <w:bookmarkEnd w:id="132"/>
      <w:r>
        <w:rPr>
          <w:rFonts w:ascii="Times New Roman" w:eastAsia="Times New Roman"/>
        </w:rPr>
        <w:t xml:space="preserve">4.1.4 </w:t>
      </w:r>
      <w:r>
        <w:t>生态环境</w:t>
      </w:r>
    </w:p>
    <w:p w14:paraId="48DFBE6E">
      <w:pPr>
        <w:pStyle w:val="7"/>
        <w:spacing w:before="160" w:line="364" w:lineRule="auto"/>
        <w:ind w:left="460" w:right="477" w:firstLine="480"/>
        <w:jc w:val="both"/>
      </w:pPr>
      <w:r>
        <w:t xml:space="preserve">岳阳县属于中亚热带常绿叶阔叶林带，是中亚、北亚及温带的过渡型植被，境内记录到的木本类植物 </w:t>
      </w:r>
      <w:r>
        <w:rPr>
          <w:rFonts w:ascii="Times New Roman" w:eastAsia="Times New Roman"/>
        </w:rPr>
        <w:t xml:space="preserve">829 </w:t>
      </w:r>
      <w:r>
        <w:t xml:space="preserve">种，其中乡土树种 </w:t>
      </w:r>
      <w:r>
        <w:rPr>
          <w:rFonts w:ascii="Times New Roman" w:eastAsia="Times New Roman"/>
        </w:rPr>
        <w:t xml:space="preserve">655 </w:t>
      </w:r>
      <w:r>
        <w:t>种，用材树种主要有杉、松、樟、枫、檫、楠、桐、柏等，果木树种主要有桃、李、梨、桔等。竹类有楠竹、凤凰竹等十余种，水生植物有芦苇、莲藕、茭白、席草等百余种。主要农作物有水稻、棉花、油菜、芝麻、花生、薯类、蚕豆、黄豆、绿豆、湘莲等。由于人类活动的干扰，植被分布的地域差异较大。</w:t>
      </w:r>
    </w:p>
    <w:p w14:paraId="445D8D05">
      <w:pPr>
        <w:pStyle w:val="7"/>
        <w:spacing w:line="364" w:lineRule="auto"/>
        <w:ind w:left="460" w:right="477" w:firstLine="480"/>
        <w:jc w:val="both"/>
      </w:pPr>
      <w:r>
        <w:t xml:space="preserve">岳阳县境内有鱼类 </w:t>
      </w:r>
      <w:r>
        <w:rPr>
          <w:rFonts w:ascii="Times New Roman" w:eastAsia="Times New Roman"/>
        </w:rPr>
        <w:t xml:space="preserve">23 </w:t>
      </w:r>
      <w:r>
        <w:t>科、</w:t>
      </w:r>
      <w:r>
        <w:rPr>
          <w:rFonts w:ascii="Times New Roman" w:eastAsia="Times New Roman"/>
        </w:rPr>
        <w:t xml:space="preserve">114 </w:t>
      </w:r>
      <w:r>
        <w:t xml:space="preserve">种；鸟类 </w:t>
      </w:r>
      <w:r>
        <w:rPr>
          <w:rFonts w:ascii="Times New Roman" w:eastAsia="Times New Roman"/>
        </w:rPr>
        <w:t xml:space="preserve">51 </w:t>
      </w:r>
      <w:r>
        <w:t>科、</w:t>
      </w:r>
      <w:r>
        <w:rPr>
          <w:rFonts w:ascii="Times New Roman" w:eastAsia="Times New Roman"/>
        </w:rPr>
        <w:t xml:space="preserve">266 </w:t>
      </w:r>
      <w:r>
        <w:t xml:space="preserve">种；虫类 </w:t>
      </w:r>
      <w:r>
        <w:rPr>
          <w:rFonts w:ascii="Times New Roman" w:eastAsia="Times New Roman"/>
        </w:rPr>
        <w:t xml:space="preserve">78 </w:t>
      </w:r>
      <w:r>
        <w:t>科、</w:t>
      </w:r>
      <w:r>
        <w:rPr>
          <w:rFonts w:ascii="Times New Roman" w:eastAsia="Times New Roman"/>
        </w:rPr>
        <w:t xml:space="preserve">195 </w:t>
      </w:r>
      <w:r>
        <w:t>种。属国家一级保护动物的有云豹、华南虎、白鳍豚等；属国家二级保护动物的有穿山甲、江豚、水獭、河鹿等；属国家三级保护动物的有貉、狐、刺猬、黄鼬、青鼬、狗獾、豪猪、竹鼠等。主要经济鱼类有青、草、鲢、鳙、鲤、鲫、鳇、鳊、鲶乌鳢等；主要鸟类有白鹤、山斑鸠、秋沙鸭等；主要家畜有猪、牛、羊、兔、猫、狗等；主要家禽有鸡、鸭、鹅、蜜峰等。</w:t>
      </w:r>
    </w:p>
    <w:p w14:paraId="10CBD9AB">
      <w:pPr>
        <w:pStyle w:val="7"/>
        <w:spacing w:line="364" w:lineRule="auto"/>
        <w:ind w:left="460" w:right="477" w:firstLine="480"/>
        <w:jc w:val="both"/>
      </w:pPr>
      <w:r>
        <w:t xml:space="preserve">岳阳县矿产资源丰富。境内已发现矿种 </w:t>
      </w:r>
      <w:r>
        <w:rPr>
          <w:rFonts w:ascii="Times New Roman" w:eastAsia="Times New Roman"/>
        </w:rPr>
        <w:t xml:space="preserve">30 </w:t>
      </w:r>
      <w:r>
        <w:t>余种，主要是石煤、钒、独居石、高岭土、长石、瓷、硅砂、铁、温泉和矿泉水等。矿床（点）</w:t>
      </w:r>
      <w:r>
        <w:rPr>
          <w:rFonts w:ascii="Times New Roman" w:eastAsia="Times New Roman"/>
        </w:rPr>
        <w:t xml:space="preserve">114 </w:t>
      </w:r>
      <w:r>
        <w:t xml:space="preserve">处，小型规模以上的矿产地 </w:t>
      </w:r>
      <w:r>
        <w:rPr>
          <w:rFonts w:ascii="Times New Roman" w:eastAsia="Times New Roman"/>
        </w:rPr>
        <w:t xml:space="preserve">18 </w:t>
      </w:r>
      <w:r>
        <w:t>处。</w:t>
      </w:r>
    </w:p>
    <w:p w14:paraId="14AFB46F">
      <w:pPr>
        <w:spacing w:after="0" w:line="364" w:lineRule="auto"/>
        <w:jc w:val="both"/>
        <w:sectPr>
          <w:pgSz w:w="11910" w:h="16840"/>
          <w:pgMar w:top="1360" w:right="1320" w:bottom="1400" w:left="1340" w:header="878" w:footer="1204" w:gutter="0"/>
          <w:cols w:space="720" w:num="1"/>
        </w:sectPr>
      </w:pPr>
    </w:p>
    <w:p w14:paraId="52E6E538">
      <w:pPr>
        <w:pStyle w:val="3"/>
        <w:numPr>
          <w:ilvl w:val="1"/>
          <w:numId w:val="17"/>
        </w:numPr>
        <w:tabs>
          <w:tab w:val="left" w:pos="868"/>
        </w:tabs>
        <w:spacing w:before="69" w:after="0" w:line="240" w:lineRule="auto"/>
        <w:ind w:left="868" w:right="0" w:hanging="408"/>
        <w:jc w:val="left"/>
      </w:pPr>
      <w:bookmarkStart w:id="133" w:name="_bookmark24"/>
      <w:bookmarkEnd w:id="133"/>
      <w:bookmarkStart w:id="134" w:name="4.2区域环境质量现状监测与评价"/>
      <w:bookmarkEnd w:id="134"/>
      <w:bookmarkStart w:id="135" w:name="_bookmark24"/>
      <w:bookmarkEnd w:id="135"/>
      <w:r>
        <w:t>区域环境质量现状监测与评价</w:t>
      </w:r>
    </w:p>
    <w:p w14:paraId="048520BD">
      <w:pPr>
        <w:pStyle w:val="6"/>
        <w:numPr>
          <w:ilvl w:val="2"/>
          <w:numId w:val="17"/>
        </w:numPr>
        <w:tabs>
          <w:tab w:val="left" w:pos="991"/>
        </w:tabs>
        <w:spacing w:before="185" w:after="0" w:line="240" w:lineRule="auto"/>
        <w:ind w:left="990" w:right="0" w:hanging="530"/>
        <w:jc w:val="left"/>
      </w:pPr>
      <w:bookmarkStart w:id="136" w:name="4.2.1环境空气现状调查与评价"/>
      <w:bookmarkEnd w:id="136"/>
      <w:bookmarkStart w:id="137" w:name="4.2.1环境空气现状调查与评价"/>
      <w:bookmarkEnd w:id="137"/>
      <w:r>
        <w:t>环境空气现状调查与评价</w:t>
      </w:r>
    </w:p>
    <w:p w14:paraId="1EB31DA3">
      <w:pPr>
        <w:pStyle w:val="6"/>
        <w:numPr>
          <w:ilvl w:val="3"/>
          <w:numId w:val="17"/>
        </w:numPr>
        <w:tabs>
          <w:tab w:val="left" w:pos="1171"/>
        </w:tabs>
        <w:spacing w:before="160" w:after="0" w:line="240" w:lineRule="auto"/>
        <w:ind w:left="1170" w:right="0" w:hanging="710"/>
        <w:jc w:val="left"/>
      </w:pPr>
      <w:bookmarkStart w:id="138" w:name="4.2.1.1空气质量达标区判定"/>
      <w:bookmarkEnd w:id="138"/>
      <w:bookmarkStart w:id="139" w:name="4.2.1.1空气质量达标区判定"/>
      <w:bookmarkEnd w:id="139"/>
      <w:r>
        <w:t>空气质量达标区判定</w:t>
      </w:r>
    </w:p>
    <w:p w14:paraId="3F48D875">
      <w:pPr>
        <w:pStyle w:val="7"/>
        <w:spacing w:before="159" w:line="364" w:lineRule="auto"/>
        <w:ind w:left="460" w:right="477" w:firstLine="480"/>
        <w:jc w:val="both"/>
      </w:pPr>
      <w:r>
        <w:rPr>
          <w:spacing w:val="-3"/>
        </w:rPr>
        <w:t>根据《环境影响评价技术导则 大气环境》</w:t>
      </w:r>
      <w:r>
        <w:t>（</w:t>
      </w:r>
      <w:r>
        <w:rPr>
          <w:rFonts w:ascii="Times New Roman" w:hAnsi="Times New Roman" w:eastAsia="Times New Roman"/>
        </w:rPr>
        <w:t>HJ2.2-2018</w:t>
      </w:r>
      <w:r>
        <w:t>），“</w:t>
      </w:r>
      <w:r>
        <w:rPr>
          <w:rFonts w:ascii="Times New Roman" w:hAnsi="Times New Roman" w:eastAsia="Times New Roman"/>
        </w:rPr>
        <w:t xml:space="preserve">5.5 </w:t>
      </w:r>
      <w:r>
        <w:t>评价基准年筛选依据评价所需环境空气质量现状、气象资料等数据的可获得性、数据质</w:t>
      </w:r>
      <w:r>
        <w:rPr>
          <w:spacing w:val="5"/>
        </w:rPr>
        <w:t xml:space="preserve">量、代表性等因素，选择近 </w:t>
      </w:r>
      <w:r>
        <w:rPr>
          <w:rFonts w:ascii="Times New Roman" w:hAnsi="Times New Roman" w:eastAsia="Times New Roman"/>
        </w:rPr>
        <w:t xml:space="preserve">3 </w:t>
      </w:r>
      <w:r>
        <w:rPr>
          <w:spacing w:val="2"/>
        </w:rPr>
        <w:t xml:space="preserve">年中数据相对完整的 </w:t>
      </w:r>
      <w:r>
        <w:rPr>
          <w:rFonts w:ascii="Times New Roman" w:hAnsi="Times New Roman" w:eastAsia="Times New Roman"/>
        </w:rPr>
        <w:t xml:space="preserve">1 </w:t>
      </w:r>
      <w:r>
        <w:rPr>
          <w:spacing w:val="8"/>
        </w:rPr>
        <w:t>个日历年作为评价基准年”。“</w:t>
      </w:r>
      <w:r>
        <w:rPr>
          <w:rFonts w:ascii="Times New Roman" w:hAnsi="Times New Roman" w:eastAsia="Times New Roman"/>
          <w:spacing w:val="8"/>
        </w:rPr>
        <w:t>6.2</w:t>
      </w:r>
      <w:r>
        <w:rPr>
          <w:rFonts w:ascii="Times New Roman" w:hAnsi="Times New Roman" w:eastAsia="Times New Roman"/>
          <w:spacing w:val="7"/>
        </w:rPr>
        <w:t xml:space="preserve"> </w:t>
      </w:r>
      <w:r>
        <w:t>数据来源，采用评价范围内国家或地方环境空气质量监测网中评价</w:t>
      </w:r>
      <w:r>
        <w:rPr>
          <w:spacing w:val="-6"/>
        </w:rPr>
        <w:t xml:space="preserve">基准年连续 </w:t>
      </w:r>
      <w:r>
        <w:rPr>
          <w:rFonts w:ascii="Times New Roman" w:hAnsi="Times New Roman" w:eastAsia="Times New Roman"/>
        </w:rPr>
        <w:t xml:space="preserve">1 </w:t>
      </w:r>
      <w:r>
        <w:rPr>
          <w:spacing w:val="1"/>
        </w:rPr>
        <w:t>年的监测数据，或采用生态环境主管部门公开发布的环境空气质量现状数据”。</w:t>
      </w:r>
    </w:p>
    <w:p w14:paraId="18814DB8">
      <w:pPr>
        <w:pStyle w:val="7"/>
        <w:spacing w:line="364" w:lineRule="auto"/>
        <w:ind w:left="460" w:right="477" w:firstLine="480"/>
        <w:jc w:val="both"/>
      </w:pPr>
      <w:r>
        <w:t xml:space="preserve">本项目区域达标判定所用数据引用岳阳市生态环境局岳阳县分局站点全年空气质量监测数据，岳阳县 </w:t>
      </w:r>
      <w:r>
        <w:rPr>
          <w:rFonts w:ascii="Times New Roman" w:eastAsia="Times New Roman"/>
        </w:rPr>
        <w:t xml:space="preserve">2023 </w:t>
      </w:r>
      <w:r>
        <w:t>年空气质量现状评价见下表。</w:t>
      </w:r>
    </w:p>
    <w:p w14:paraId="6ED76872">
      <w:pPr>
        <w:tabs>
          <w:tab w:val="left" w:pos="3222"/>
        </w:tabs>
        <w:spacing w:before="0"/>
        <w:ind w:left="2329" w:right="0" w:firstLine="0"/>
        <w:jc w:val="left"/>
        <w:rPr>
          <w:rFonts w:ascii="Times New Roman" w:hAnsi="Times New Roman" w:eastAsia="Times New Roman"/>
          <w:b/>
          <w:sz w:val="13"/>
        </w:rPr>
      </w:pPr>
      <w:r>
        <w:rPr>
          <w:b/>
          <w:sz w:val="21"/>
        </w:rPr>
        <w:t>表</w:t>
      </w:r>
      <w:r>
        <w:rPr>
          <w:b/>
          <w:spacing w:val="-53"/>
          <w:sz w:val="21"/>
        </w:rPr>
        <w:t xml:space="preserve"> </w:t>
      </w:r>
      <w:r>
        <w:rPr>
          <w:rFonts w:ascii="Times New Roman" w:hAnsi="Times New Roman" w:eastAsia="Times New Roman"/>
          <w:b/>
          <w:sz w:val="21"/>
        </w:rPr>
        <w:t>0-</w:t>
      </w:r>
      <w:r>
        <w:rPr>
          <w:rFonts w:ascii="Times New Roman" w:hAnsi="Times New Roman" w:eastAsia="Times New Roman"/>
          <w:b/>
          <w:spacing w:val="-18"/>
          <w:sz w:val="21"/>
        </w:rPr>
        <w:t xml:space="preserve"> </w:t>
      </w:r>
      <w:r>
        <w:rPr>
          <w:rFonts w:ascii="Times New Roman" w:hAnsi="Times New Roman" w:eastAsia="Times New Roman"/>
          <w:b/>
          <w:sz w:val="21"/>
        </w:rPr>
        <w:t>1</w:t>
      </w:r>
      <w:r>
        <w:rPr>
          <w:rFonts w:ascii="Times New Roman" w:hAnsi="Times New Roman" w:eastAsia="Times New Roman"/>
          <w:b/>
          <w:sz w:val="21"/>
        </w:rPr>
        <w:tab/>
      </w:r>
      <w:r>
        <w:rPr>
          <w:b/>
          <w:sz w:val="21"/>
        </w:rPr>
        <w:t>区域空气质量现状评价表</w:t>
      </w:r>
      <w:r>
        <w:rPr>
          <w:b/>
          <w:spacing w:val="0"/>
          <w:sz w:val="21"/>
        </w:rPr>
        <w:t xml:space="preserve"> </w:t>
      </w:r>
      <w:r>
        <w:rPr>
          <w:b/>
          <w:sz w:val="21"/>
        </w:rPr>
        <w:t>单位：μ</w:t>
      </w:r>
      <w:r>
        <w:rPr>
          <w:rFonts w:ascii="Times New Roman" w:hAnsi="Times New Roman" w:eastAsia="Times New Roman"/>
          <w:b/>
          <w:sz w:val="21"/>
        </w:rPr>
        <w:t>g/m</w:t>
      </w:r>
      <w:r>
        <w:rPr>
          <w:rFonts w:ascii="Times New Roman" w:hAnsi="Times New Roman" w:eastAsia="Times New Roman"/>
          <w:b/>
          <w:position w:val="7"/>
          <w:sz w:val="13"/>
        </w:rPr>
        <w:t>3</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3222"/>
        <w:gridCol w:w="1048"/>
        <w:gridCol w:w="1048"/>
        <w:gridCol w:w="1106"/>
        <w:gridCol w:w="1046"/>
      </w:tblGrid>
      <w:tr w14:paraId="5A617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052" w:type="dxa"/>
          </w:tcPr>
          <w:p w14:paraId="70D3ACAE">
            <w:pPr>
              <w:pStyle w:val="14"/>
              <w:ind w:left="187" w:right="181"/>
              <w:jc w:val="center"/>
              <w:rPr>
                <w:b/>
                <w:sz w:val="21"/>
              </w:rPr>
            </w:pPr>
            <w:r>
              <w:rPr>
                <w:b/>
                <w:sz w:val="21"/>
              </w:rPr>
              <w:t>评价因</w:t>
            </w:r>
          </w:p>
          <w:p w14:paraId="4AB7222C">
            <w:pPr>
              <w:pStyle w:val="14"/>
              <w:spacing w:before="2" w:line="253" w:lineRule="exact"/>
              <w:ind w:left="6"/>
              <w:jc w:val="center"/>
              <w:rPr>
                <w:b/>
                <w:sz w:val="21"/>
              </w:rPr>
            </w:pPr>
            <w:r>
              <w:rPr>
                <w:b/>
                <w:w w:val="99"/>
                <w:sz w:val="21"/>
              </w:rPr>
              <w:t>子</w:t>
            </w:r>
          </w:p>
        </w:tc>
        <w:tc>
          <w:tcPr>
            <w:tcW w:w="3222" w:type="dxa"/>
          </w:tcPr>
          <w:p w14:paraId="6409302D">
            <w:pPr>
              <w:pStyle w:val="14"/>
              <w:spacing w:before="134"/>
              <w:ind w:left="119" w:right="110"/>
              <w:jc w:val="center"/>
              <w:rPr>
                <w:b/>
                <w:sz w:val="21"/>
              </w:rPr>
            </w:pPr>
            <w:r>
              <w:rPr>
                <w:b/>
                <w:sz w:val="21"/>
              </w:rPr>
              <w:t>评均时段</w:t>
            </w:r>
          </w:p>
        </w:tc>
        <w:tc>
          <w:tcPr>
            <w:tcW w:w="1048" w:type="dxa"/>
          </w:tcPr>
          <w:p w14:paraId="641EB315">
            <w:pPr>
              <w:pStyle w:val="14"/>
              <w:ind w:left="184" w:right="178"/>
              <w:jc w:val="center"/>
              <w:rPr>
                <w:b/>
                <w:sz w:val="21"/>
              </w:rPr>
            </w:pPr>
            <w:r>
              <w:rPr>
                <w:b/>
                <w:sz w:val="21"/>
              </w:rPr>
              <w:t>现状浓</w:t>
            </w:r>
          </w:p>
          <w:p w14:paraId="269A90D7">
            <w:pPr>
              <w:pStyle w:val="14"/>
              <w:spacing w:before="2" w:line="253" w:lineRule="exact"/>
              <w:ind w:left="6"/>
              <w:jc w:val="center"/>
              <w:rPr>
                <w:b/>
                <w:sz w:val="21"/>
              </w:rPr>
            </w:pPr>
            <w:r>
              <w:rPr>
                <w:b/>
                <w:w w:val="99"/>
                <w:sz w:val="21"/>
              </w:rPr>
              <w:t>度</w:t>
            </w:r>
          </w:p>
        </w:tc>
        <w:tc>
          <w:tcPr>
            <w:tcW w:w="1048" w:type="dxa"/>
          </w:tcPr>
          <w:p w14:paraId="56838531">
            <w:pPr>
              <w:pStyle w:val="14"/>
              <w:ind w:left="185" w:right="177"/>
              <w:jc w:val="center"/>
              <w:rPr>
                <w:b/>
                <w:sz w:val="21"/>
              </w:rPr>
            </w:pPr>
            <w:r>
              <w:rPr>
                <w:b/>
                <w:sz w:val="21"/>
              </w:rPr>
              <w:t>标准浓</w:t>
            </w:r>
          </w:p>
          <w:p w14:paraId="678F5BC4">
            <w:pPr>
              <w:pStyle w:val="14"/>
              <w:spacing w:before="2" w:line="253" w:lineRule="exact"/>
              <w:ind w:left="8"/>
              <w:jc w:val="center"/>
              <w:rPr>
                <w:b/>
                <w:sz w:val="21"/>
              </w:rPr>
            </w:pPr>
            <w:r>
              <w:rPr>
                <w:b/>
                <w:w w:val="99"/>
                <w:sz w:val="21"/>
              </w:rPr>
              <w:t>度</w:t>
            </w:r>
          </w:p>
        </w:tc>
        <w:tc>
          <w:tcPr>
            <w:tcW w:w="1106" w:type="dxa"/>
          </w:tcPr>
          <w:p w14:paraId="24A50EF6">
            <w:pPr>
              <w:pStyle w:val="14"/>
              <w:ind w:left="216" w:right="207"/>
              <w:jc w:val="center"/>
              <w:rPr>
                <w:b/>
                <w:sz w:val="21"/>
              </w:rPr>
            </w:pPr>
            <w:r>
              <w:rPr>
                <w:b/>
                <w:sz w:val="21"/>
              </w:rPr>
              <w:t>占标率</w:t>
            </w:r>
          </w:p>
          <w:p w14:paraId="2181DF97">
            <w:pPr>
              <w:pStyle w:val="14"/>
              <w:spacing w:before="2" w:line="253" w:lineRule="exact"/>
              <w:ind w:left="211" w:right="207"/>
              <w:jc w:val="center"/>
              <w:rPr>
                <w:b/>
                <w:sz w:val="21"/>
              </w:rPr>
            </w:pPr>
            <w:r>
              <w:rPr>
                <w:rFonts w:ascii="Times New Roman" w:eastAsia="Times New Roman"/>
                <w:b/>
                <w:sz w:val="21"/>
              </w:rPr>
              <w:t>/</w:t>
            </w:r>
            <w:r>
              <w:rPr>
                <w:b/>
                <w:sz w:val="21"/>
              </w:rPr>
              <w:t>％</w:t>
            </w:r>
          </w:p>
        </w:tc>
        <w:tc>
          <w:tcPr>
            <w:tcW w:w="1046" w:type="dxa"/>
          </w:tcPr>
          <w:p w14:paraId="3D4F6BEF">
            <w:pPr>
              <w:pStyle w:val="14"/>
              <w:ind w:left="185" w:right="178"/>
              <w:jc w:val="center"/>
              <w:rPr>
                <w:b/>
                <w:sz w:val="21"/>
              </w:rPr>
            </w:pPr>
            <w:r>
              <w:rPr>
                <w:b/>
                <w:sz w:val="21"/>
              </w:rPr>
              <w:t>达标情</w:t>
            </w:r>
          </w:p>
          <w:p w14:paraId="4CDD7258">
            <w:pPr>
              <w:pStyle w:val="14"/>
              <w:spacing w:before="2" w:line="253" w:lineRule="exact"/>
              <w:ind w:left="7"/>
              <w:jc w:val="center"/>
              <w:rPr>
                <w:b/>
                <w:sz w:val="21"/>
              </w:rPr>
            </w:pPr>
            <w:r>
              <w:rPr>
                <w:b/>
                <w:w w:val="99"/>
                <w:sz w:val="21"/>
              </w:rPr>
              <w:t>况</w:t>
            </w:r>
          </w:p>
        </w:tc>
      </w:tr>
      <w:tr w14:paraId="3BD7F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52" w:type="dxa"/>
          </w:tcPr>
          <w:p w14:paraId="0E9472EF">
            <w:pPr>
              <w:pStyle w:val="14"/>
              <w:spacing w:before="102"/>
              <w:ind w:left="187" w:right="177"/>
              <w:jc w:val="center"/>
              <w:rPr>
                <w:rFonts w:ascii="Times New Roman"/>
                <w:sz w:val="21"/>
              </w:rPr>
            </w:pPr>
            <w:r>
              <w:rPr>
                <w:rFonts w:ascii="Times New Roman"/>
                <w:position w:val="2"/>
                <w:sz w:val="21"/>
              </w:rPr>
              <w:t>SO</w:t>
            </w:r>
            <w:r>
              <w:rPr>
                <w:rFonts w:ascii="Times New Roman"/>
                <w:position w:val="2"/>
                <w:sz w:val="21"/>
                <w:vertAlign w:val="subscript"/>
              </w:rPr>
              <w:t>2</w:t>
            </w:r>
          </w:p>
        </w:tc>
        <w:tc>
          <w:tcPr>
            <w:tcW w:w="3222" w:type="dxa"/>
          </w:tcPr>
          <w:p w14:paraId="3BFF9362">
            <w:pPr>
              <w:pStyle w:val="14"/>
              <w:spacing w:before="91"/>
              <w:ind w:left="119" w:right="110"/>
              <w:jc w:val="center"/>
              <w:rPr>
                <w:sz w:val="21"/>
              </w:rPr>
            </w:pPr>
            <w:r>
              <w:rPr>
                <w:sz w:val="21"/>
              </w:rPr>
              <w:t>年平均浓度</w:t>
            </w:r>
          </w:p>
        </w:tc>
        <w:tc>
          <w:tcPr>
            <w:tcW w:w="1048" w:type="dxa"/>
          </w:tcPr>
          <w:p w14:paraId="3D3819DE">
            <w:pPr>
              <w:pStyle w:val="14"/>
              <w:spacing w:before="105"/>
              <w:ind w:left="7"/>
              <w:jc w:val="center"/>
              <w:rPr>
                <w:rFonts w:ascii="Times New Roman"/>
                <w:sz w:val="21"/>
              </w:rPr>
            </w:pPr>
            <w:r>
              <w:rPr>
                <w:rFonts w:ascii="Times New Roman"/>
                <w:w w:val="99"/>
                <w:sz w:val="21"/>
              </w:rPr>
              <w:t>6</w:t>
            </w:r>
          </w:p>
        </w:tc>
        <w:tc>
          <w:tcPr>
            <w:tcW w:w="1048" w:type="dxa"/>
          </w:tcPr>
          <w:p w14:paraId="725ABDB2">
            <w:pPr>
              <w:pStyle w:val="14"/>
              <w:spacing w:before="105"/>
              <w:ind w:left="418"/>
              <w:rPr>
                <w:rFonts w:ascii="Times New Roman"/>
                <w:sz w:val="21"/>
              </w:rPr>
            </w:pPr>
            <w:r>
              <w:rPr>
                <w:rFonts w:ascii="Times New Roman"/>
                <w:sz w:val="21"/>
              </w:rPr>
              <w:t>60</w:t>
            </w:r>
          </w:p>
        </w:tc>
        <w:tc>
          <w:tcPr>
            <w:tcW w:w="1106" w:type="dxa"/>
          </w:tcPr>
          <w:p w14:paraId="090E9E15">
            <w:pPr>
              <w:pStyle w:val="14"/>
              <w:spacing w:before="105"/>
              <w:ind w:left="216" w:right="206"/>
              <w:jc w:val="center"/>
              <w:rPr>
                <w:rFonts w:ascii="Times New Roman"/>
                <w:sz w:val="21"/>
              </w:rPr>
            </w:pPr>
            <w:r>
              <w:rPr>
                <w:rFonts w:ascii="Times New Roman"/>
                <w:sz w:val="21"/>
              </w:rPr>
              <w:t>10</w:t>
            </w:r>
          </w:p>
        </w:tc>
        <w:tc>
          <w:tcPr>
            <w:tcW w:w="1046" w:type="dxa"/>
          </w:tcPr>
          <w:p w14:paraId="56B6893B">
            <w:pPr>
              <w:pStyle w:val="14"/>
              <w:spacing w:before="91"/>
              <w:ind w:left="183" w:right="178"/>
              <w:jc w:val="center"/>
              <w:rPr>
                <w:sz w:val="21"/>
              </w:rPr>
            </w:pPr>
            <w:r>
              <w:rPr>
                <w:sz w:val="21"/>
              </w:rPr>
              <w:t>达标</w:t>
            </w:r>
          </w:p>
        </w:tc>
      </w:tr>
      <w:tr w14:paraId="04708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52" w:type="dxa"/>
          </w:tcPr>
          <w:p w14:paraId="7EBA0744">
            <w:pPr>
              <w:pStyle w:val="14"/>
              <w:spacing w:before="104"/>
              <w:ind w:left="187" w:right="177"/>
              <w:jc w:val="center"/>
              <w:rPr>
                <w:rFonts w:ascii="Times New Roman"/>
                <w:sz w:val="21"/>
              </w:rPr>
            </w:pPr>
            <w:r>
              <w:rPr>
                <w:rFonts w:ascii="Times New Roman"/>
                <w:position w:val="2"/>
                <w:sz w:val="21"/>
              </w:rPr>
              <w:t>NO</w:t>
            </w:r>
            <w:r>
              <w:rPr>
                <w:rFonts w:ascii="Times New Roman"/>
                <w:position w:val="2"/>
                <w:sz w:val="21"/>
                <w:vertAlign w:val="subscript"/>
              </w:rPr>
              <w:t>2</w:t>
            </w:r>
          </w:p>
        </w:tc>
        <w:tc>
          <w:tcPr>
            <w:tcW w:w="3222" w:type="dxa"/>
          </w:tcPr>
          <w:p w14:paraId="6CB62CCF">
            <w:pPr>
              <w:pStyle w:val="14"/>
              <w:spacing w:before="90"/>
              <w:ind w:left="119" w:right="110"/>
              <w:jc w:val="center"/>
              <w:rPr>
                <w:sz w:val="21"/>
              </w:rPr>
            </w:pPr>
            <w:r>
              <w:rPr>
                <w:sz w:val="21"/>
              </w:rPr>
              <w:t>年平均浓度</w:t>
            </w:r>
          </w:p>
        </w:tc>
        <w:tc>
          <w:tcPr>
            <w:tcW w:w="1048" w:type="dxa"/>
          </w:tcPr>
          <w:p w14:paraId="15F15059">
            <w:pPr>
              <w:pStyle w:val="14"/>
              <w:spacing w:before="107"/>
              <w:ind w:left="185" w:right="178"/>
              <w:jc w:val="center"/>
              <w:rPr>
                <w:rFonts w:ascii="Times New Roman"/>
                <w:sz w:val="21"/>
              </w:rPr>
            </w:pPr>
            <w:r>
              <w:rPr>
                <w:rFonts w:ascii="Times New Roman"/>
                <w:sz w:val="21"/>
              </w:rPr>
              <w:t>18</w:t>
            </w:r>
          </w:p>
        </w:tc>
        <w:tc>
          <w:tcPr>
            <w:tcW w:w="1048" w:type="dxa"/>
          </w:tcPr>
          <w:p w14:paraId="0F53DC6F">
            <w:pPr>
              <w:pStyle w:val="14"/>
              <w:spacing w:before="107"/>
              <w:ind w:left="418"/>
              <w:rPr>
                <w:rFonts w:ascii="Times New Roman"/>
                <w:sz w:val="21"/>
              </w:rPr>
            </w:pPr>
            <w:r>
              <w:rPr>
                <w:rFonts w:ascii="Times New Roman"/>
                <w:sz w:val="21"/>
              </w:rPr>
              <w:t>40</w:t>
            </w:r>
          </w:p>
        </w:tc>
        <w:tc>
          <w:tcPr>
            <w:tcW w:w="1106" w:type="dxa"/>
          </w:tcPr>
          <w:p w14:paraId="3E9F2C2A">
            <w:pPr>
              <w:pStyle w:val="14"/>
              <w:spacing w:before="107"/>
              <w:ind w:left="216" w:right="206"/>
              <w:jc w:val="center"/>
              <w:rPr>
                <w:rFonts w:ascii="Times New Roman"/>
                <w:sz w:val="21"/>
              </w:rPr>
            </w:pPr>
            <w:r>
              <w:rPr>
                <w:rFonts w:ascii="Times New Roman"/>
                <w:sz w:val="21"/>
              </w:rPr>
              <w:t>45</w:t>
            </w:r>
          </w:p>
        </w:tc>
        <w:tc>
          <w:tcPr>
            <w:tcW w:w="1046" w:type="dxa"/>
          </w:tcPr>
          <w:p w14:paraId="6C4254C8">
            <w:pPr>
              <w:pStyle w:val="14"/>
              <w:spacing w:before="90"/>
              <w:ind w:left="183" w:right="178"/>
              <w:jc w:val="center"/>
              <w:rPr>
                <w:sz w:val="21"/>
              </w:rPr>
            </w:pPr>
            <w:r>
              <w:rPr>
                <w:sz w:val="21"/>
              </w:rPr>
              <w:t>达标</w:t>
            </w:r>
          </w:p>
        </w:tc>
      </w:tr>
      <w:tr w14:paraId="43095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52" w:type="dxa"/>
          </w:tcPr>
          <w:p w14:paraId="19674203">
            <w:pPr>
              <w:pStyle w:val="14"/>
              <w:spacing w:before="106"/>
              <w:ind w:left="187" w:right="181"/>
              <w:jc w:val="center"/>
              <w:rPr>
                <w:rFonts w:ascii="Times New Roman"/>
                <w:sz w:val="21"/>
              </w:rPr>
            </w:pPr>
            <w:r>
              <w:rPr>
                <w:rFonts w:ascii="Times New Roman"/>
                <w:sz w:val="21"/>
              </w:rPr>
              <w:t>CO</w:t>
            </w:r>
          </w:p>
        </w:tc>
        <w:tc>
          <w:tcPr>
            <w:tcW w:w="3222" w:type="dxa"/>
          </w:tcPr>
          <w:p w14:paraId="4372D6A7">
            <w:pPr>
              <w:pStyle w:val="14"/>
              <w:spacing w:before="90"/>
              <w:ind w:left="119" w:right="110"/>
              <w:jc w:val="center"/>
              <w:rPr>
                <w:sz w:val="21"/>
              </w:rPr>
            </w:pPr>
            <w:r>
              <w:rPr>
                <w:rFonts w:ascii="Times New Roman" w:eastAsia="Times New Roman"/>
                <w:sz w:val="21"/>
              </w:rPr>
              <w:t xml:space="preserve">95 </w:t>
            </w:r>
            <w:r>
              <w:rPr>
                <w:sz w:val="21"/>
              </w:rPr>
              <w:t>百分位日平均</w:t>
            </w:r>
          </w:p>
        </w:tc>
        <w:tc>
          <w:tcPr>
            <w:tcW w:w="1048" w:type="dxa"/>
          </w:tcPr>
          <w:p w14:paraId="7CF5CFD3">
            <w:pPr>
              <w:pStyle w:val="14"/>
              <w:spacing w:before="106"/>
              <w:ind w:left="185" w:right="175"/>
              <w:jc w:val="center"/>
              <w:rPr>
                <w:rFonts w:ascii="Times New Roman"/>
                <w:sz w:val="21"/>
              </w:rPr>
            </w:pPr>
            <w:r>
              <w:rPr>
                <w:rFonts w:ascii="Times New Roman"/>
                <w:sz w:val="21"/>
              </w:rPr>
              <w:t>1000</w:t>
            </w:r>
          </w:p>
        </w:tc>
        <w:tc>
          <w:tcPr>
            <w:tcW w:w="1048" w:type="dxa"/>
          </w:tcPr>
          <w:p w14:paraId="487DC9AD">
            <w:pPr>
              <w:pStyle w:val="14"/>
              <w:spacing w:before="106"/>
              <w:ind w:left="312"/>
              <w:rPr>
                <w:rFonts w:ascii="Times New Roman"/>
                <w:sz w:val="21"/>
              </w:rPr>
            </w:pPr>
            <w:r>
              <w:rPr>
                <w:rFonts w:ascii="Times New Roman"/>
                <w:sz w:val="21"/>
              </w:rPr>
              <w:t>4000</w:t>
            </w:r>
          </w:p>
        </w:tc>
        <w:tc>
          <w:tcPr>
            <w:tcW w:w="1106" w:type="dxa"/>
          </w:tcPr>
          <w:p w14:paraId="796D62F1">
            <w:pPr>
              <w:pStyle w:val="14"/>
              <w:spacing w:before="106"/>
              <w:ind w:left="216" w:right="206"/>
              <w:jc w:val="center"/>
              <w:rPr>
                <w:rFonts w:ascii="Times New Roman"/>
                <w:sz w:val="21"/>
              </w:rPr>
            </w:pPr>
            <w:r>
              <w:rPr>
                <w:rFonts w:ascii="Times New Roman"/>
                <w:sz w:val="21"/>
              </w:rPr>
              <w:t>25</w:t>
            </w:r>
          </w:p>
        </w:tc>
        <w:tc>
          <w:tcPr>
            <w:tcW w:w="1046" w:type="dxa"/>
          </w:tcPr>
          <w:p w14:paraId="685BDB60">
            <w:pPr>
              <w:pStyle w:val="14"/>
              <w:spacing w:before="90"/>
              <w:ind w:left="183" w:right="178"/>
              <w:jc w:val="center"/>
              <w:rPr>
                <w:sz w:val="21"/>
              </w:rPr>
            </w:pPr>
            <w:r>
              <w:rPr>
                <w:sz w:val="21"/>
              </w:rPr>
              <w:t>达标</w:t>
            </w:r>
          </w:p>
        </w:tc>
      </w:tr>
      <w:tr w14:paraId="41675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52" w:type="dxa"/>
          </w:tcPr>
          <w:p w14:paraId="73AB36FB">
            <w:pPr>
              <w:pStyle w:val="14"/>
              <w:spacing w:before="137"/>
              <w:ind w:left="187" w:right="179"/>
              <w:jc w:val="center"/>
              <w:rPr>
                <w:sz w:val="21"/>
              </w:rPr>
            </w:pPr>
            <w:r>
              <w:rPr>
                <w:sz w:val="21"/>
              </w:rPr>
              <w:t>臭氧</w:t>
            </w:r>
          </w:p>
        </w:tc>
        <w:tc>
          <w:tcPr>
            <w:tcW w:w="3222" w:type="dxa"/>
          </w:tcPr>
          <w:p w14:paraId="143DBB3B">
            <w:pPr>
              <w:pStyle w:val="14"/>
              <w:ind w:left="119" w:right="113"/>
              <w:jc w:val="center"/>
              <w:rPr>
                <w:sz w:val="21"/>
              </w:rPr>
            </w:pPr>
            <w:r>
              <w:rPr>
                <w:rFonts w:ascii="Times New Roman" w:eastAsia="Times New Roman"/>
                <w:sz w:val="21"/>
              </w:rPr>
              <w:t xml:space="preserve">90 </w:t>
            </w:r>
            <w:r>
              <w:rPr>
                <w:sz w:val="21"/>
              </w:rPr>
              <w:t xml:space="preserve">百分位数最大 </w:t>
            </w:r>
            <w:r>
              <w:rPr>
                <w:rFonts w:ascii="Times New Roman" w:eastAsia="Times New Roman"/>
                <w:sz w:val="21"/>
              </w:rPr>
              <w:t xml:space="preserve">8h </w:t>
            </w:r>
            <w:r>
              <w:rPr>
                <w:sz w:val="21"/>
              </w:rPr>
              <w:t>平均质量浓</w:t>
            </w:r>
          </w:p>
          <w:p w14:paraId="3996C6E2">
            <w:pPr>
              <w:pStyle w:val="14"/>
              <w:spacing w:before="5" w:line="251" w:lineRule="exact"/>
              <w:ind w:left="9"/>
              <w:jc w:val="center"/>
              <w:rPr>
                <w:sz w:val="21"/>
              </w:rPr>
            </w:pPr>
            <w:r>
              <w:rPr>
                <w:w w:val="99"/>
                <w:sz w:val="21"/>
              </w:rPr>
              <w:t>度</w:t>
            </w:r>
          </w:p>
        </w:tc>
        <w:tc>
          <w:tcPr>
            <w:tcW w:w="1048" w:type="dxa"/>
          </w:tcPr>
          <w:p w14:paraId="0F714DF9">
            <w:pPr>
              <w:pStyle w:val="14"/>
              <w:spacing w:before="151"/>
              <w:ind w:left="185" w:right="178"/>
              <w:jc w:val="center"/>
              <w:rPr>
                <w:rFonts w:ascii="Times New Roman"/>
                <w:sz w:val="21"/>
              </w:rPr>
            </w:pPr>
            <w:r>
              <w:rPr>
                <w:rFonts w:ascii="Times New Roman"/>
                <w:sz w:val="21"/>
              </w:rPr>
              <w:t>156</w:t>
            </w:r>
          </w:p>
        </w:tc>
        <w:tc>
          <w:tcPr>
            <w:tcW w:w="1048" w:type="dxa"/>
          </w:tcPr>
          <w:p w14:paraId="16AB5AE7">
            <w:pPr>
              <w:pStyle w:val="14"/>
              <w:spacing w:before="151"/>
              <w:ind w:left="365"/>
              <w:rPr>
                <w:rFonts w:ascii="Times New Roman"/>
                <w:sz w:val="21"/>
              </w:rPr>
            </w:pPr>
            <w:r>
              <w:rPr>
                <w:rFonts w:ascii="Times New Roman"/>
                <w:sz w:val="21"/>
              </w:rPr>
              <w:t>160</w:t>
            </w:r>
          </w:p>
        </w:tc>
        <w:tc>
          <w:tcPr>
            <w:tcW w:w="1106" w:type="dxa"/>
          </w:tcPr>
          <w:p w14:paraId="7F0EC687">
            <w:pPr>
              <w:pStyle w:val="14"/>
              <w:spacing w:before="151"/>
              <w:ind w:left="216" w:right="206"/>
              <w:jc w:val="center"/>
              <w:rPr>
                <w:rFonts w:ascii="Times New Roman"/>
                <w:sz w:val="21"/>
              </w:rPr>
            </w:pPr>
            <w:r>
              <w:rPr>
                <w:rFonts w:ascii="Times New Roman"/>
                <w:sz w:val="21"/>
              </w:rPr>
              <w:t>97.5</w:t>
            </w:r>
          </w:p>
        </w:tc>
        <w:tc>
          <w:tcPr>
            <w:tcW w:w="1046" w:type="dxa"/>
          </w:tcPr>
          <w:p w14:paraId="6C006A14">
            <w:pPr>
              <w:pStyle w:val="14"/>
              <w:spacing w:before="137"/>
              <w:ind w:left="183" w:right="178"/>
              <w:jc w:val="center"/>
              <w:rPr>
                <w:sz w:val="21"/>
              </w:rPr>
            </w:pPr>
            <w:r>
              <w:rPr>
                <w:sz w:val="21"/>
              </w:rPr>
              <w:t>达标</w:t>
            </w:r>
          </w:p>
        </w:tc>
      </w:tr>
      <w:tr w14:paraId="33930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52" w:type="dxa"/>
          </w:tcPr>
          <w:p w14:paraId="21F689B0">
            <w:pPr>
              <w:pStyle w:val="14"/>
              <w:spacing w:before="104"/>
              <w:ind w:left="187" w:right="180"/>
              <w:jc w:val="center"/>
              <w:rPr>
                <w:rFonts w:ascii="Times New Roman"/>
                <w:sz w:val="13"/>
              </w:rPr>
            </w:pPr>
            <w:r>
              <w:rPr>
                <w:rFonts w:ascii="Times New Roman"/>
                <w:w w:val="105"/>
                <w:position w:val="2"/>
                <w:sz w:val="21"/>
              </w:rPr>
              <w:t>PM</w:t>
            </w:r>
            <w:r>
              <w:rPr>
                <w:rFonts w:ascii="Times New Roman"/>
                <w:w w:val="105"/>
                <w:sz w:val="13"/>
              </w:rPr>
              <w:t>2.5</w:t>
            </w:r>
          </w:p>
        </w:tc>
        <w:tc>
          <w:tcPr>
            <w:tcW w:w="3222" w:type="dxa"/>
          </w:tcPr>
          <w:p w14:paraId="38C3C6E1">
            <w:pPr>
              <w:pStyle w:val="14"/>
              <w:spacing w:before="91"/>
              <w:ind w:left="119" w:right="110"/>
              <w:jc w:val="center"/>
              <w:rPr>
                <w:sz w:val="21"/>
              </w:rPr>
            </w:pPr>
            <w:r>
              <w:rPr>
                <w:sz w:val="21"/>
              </w:rPr>
              <w:t>年平均浓度</w:t>
            </w:r>
          </w:p>
        </w:tc>
        <w:tc>
          <w:tcPr>
            <w:tcW w:w="1048" w:type="dxa"/>
          </w:tcPr>
          <w:p w14:paraId="2C9C03C4">
            <w:pPr>
              <w:pStyle w:val="14"/>
              <w:spacing w:before="105"/>
              <w:ind w:left="185" w:right="178"/>
              <w:jc w:val="center"/>
              <w:rPr>
                <w:rFonts w:ascii="Times New Roman"/>
                <w:sz w:val="21"/>
              </w:rPr>
            </w:pPr>
            <w:r>
              <w:rPr>
                <w:rFonts w:ascii="Times New Roman"/>
                <w:sz w:val="21"/>
              </w:rPr>
              <w:t>34</w:t>
            </w:r>
          </w:p>
        </w:tc>
        <w:tc>
          <w:tcPr>
            <w:tcW w:w="1048" w:type="dxa"/>
          </w:tcPr>
          <w:p w14:paraId="6B0A521F">
            <w:pPr>
              <w:pStyle w:val="14"/>
              <w:spacing w:before="105"/>
              <w:ind w:left="418"/>
              <w:rPr>
                <w:rFonts w:ascii="Times New Roman"/>
                <w:sz w:val="21"/>
              </w:rPr>
            </w:pPr>
            <w:r>
              <w:rPr>
                <w:rFonts w:ascii="Times New Roman"/>
                <w:sz w:val="21"/>
              </w:rPr>
              <w:t>35</w:t>
            </w:r>
          </w:p>
        </w:tc>
        <w:tc>
          <w:tcPr>
            <w:tcW w:w="1106" w:type="dxa"/>
          </w:tcPr>
          <w:p w14:paraId="4045F743">
            <w:pPr>
              <w:pStyle w:val="14"/>
              <w:spacing w:before="105"/>
              <w:ind w:left="215" w:right="207"/>
              <w:jc w:val="center"/>
              <w:rPr>
                <w:rFonts w:ascii="Times New Roman"/>
                <w:sz w:val="21"/>
              </w:rPr>
            </w:pPr>
            <w:r>
              <w:rPr>
                <w:rFonts w:ascii="Times New Roman"/>
                <w:sz w:val="21"/>
              </w:rPr>
              <w:t>97.14</w:t>
            </w:r>
          </w:p>
        </w:tc>
        <w:tc>
          <w:tcPr>
            <w:tcW w:w="1046" w:type="dxa"/>
          </w:tcPr>
          <w:p w14:paraId="0C54D59C">
            <w:pPr>
              <w:pStyle w:val="14"/>
              <w:spacing w:before="91"/>
              <w:ind w:left="183" w:right="178"/>
              <w:jc w:val="center"/>
              <w:rPr>
                <w:sz w:val="21"/>
              </w:rPr>
            </w:pPr>
            <w:r>
              <w:rPr>
                <w:sz w:val="21"/>
              </w:rPr>
              <w:t>达标</w:t>
            </w:r>
          </w:p>
        </w:tc>
      </w:tr>
      <w:tr w14:paraId="4B2C1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052" w:type="dxa"/>
          </w:tcPr>
          <w:p w14:paraId="27572375">
            <w:pPr>
              <w:pStyle w:val="14"/>
              <w:spacing w:before="103"/>
              <w:ind w:left="187" w:right="177"/>
              <w:jc w:val="center"/>
              <w:rPr>
                <w:rFonts w:ascii="Times New Roman"/>
                <w:sz w:val="21"/>
              </w:rPr>
            </w:pPr>
            <w:r>
              <w:rPr>
                <w:rFonts w:ascii="Times New Roman"/>
                <w:position w:val="2"/>
                <w:sz w:val="21"/>
              </w:rPr>
              <w:t>PM</w:t>
            </w:r>
            <w:r>
              <w:rPr>
                <w:rFonts w:ascii="Times New Roman"/>
                <w:position w:val="2"/>
                <w:sz w:val="21"/>
                <w:vertAlign w:val="subscript"/>
              </w:rPr>
              <w:t>10</w:t>
            </w:r>
          </w:p>
        </w:tc>
        <w:tc>
          <w:tcPr>
            <w:tcW w:w="3222" w:type="dxa"/>
          </w:tcPr>
          <w:p w14:paraId="69566977">
            <w:pPr>
              <w:pStyle w:val="14"/>
              <w:spacing w:before="90"/>
              <w:ind w:left="119" w:right="110"/>
              <w:jc w:val="center"/>
              <w:rPr>
                <w:sz w:val="21"/>
              </w:rPr>
            </w:pPr>
            <w:r>
              <w:rPr>
                <w:sz w:val="21"/>
              </w:rPr>
              <w:t>年平均浓度</w:t>
            </w:r>
          </w:p>
        </w:tc>
        <w:tc>
          <w:tcPr>
            <w:tcW w:w="1048" w:type="dxa"/>
          </w:tcPr>
          <w:p w14:paraId="7948D6CE">
            <w:pPr>
              <w:pStyle w:val="14"/>
              <w:spacing w:before="106"/>
              <w:ind w:left="185" w:right="178"/>
              <w:jc w:val="center"/>
              <w:rPr>
                <w:rFonts w:ascii="Times New Roman"/>
                <w:sz w:val="21"/>
              </w:rPr>
            </w:pPr>
            <w:r>
              <w:rPr>
                <w:rFonts w:ascii="Times New Roman"/>
                <w:sz w:val="21"/>
              </w:rPr>
              <w:t>47</w:t>
            </w:r>
          </w:p>
        </w:tc>
        <w:tc>
          <w:tcPr>
            <w:tcW w:w="1048" w:type="dxa"/>
          </w:tcPr>
          <w:p w14:paraId="3E6E883C">
            <w:pPr>
              <w:pStyle w:val="14"/>
              <w:spacing w:before="106"/>
              <w:ind w:left="418"/>
              <w:rPr>
                <w:rFonts w:ascii="Times New Roman"/>
                <w:sz w:val="21"/>
              </w:rPr>
            </w:pPr>
            <w:r>
              <w:rPr>
                <w:rFonts w:ascii="Times New Roman"/>
                <w:sz w:val="21"/>
              </w:rPr>
              <w:t>70</w:t>
            </w:r>
          </w:p>
        </w:tc>
        <w:tc>
          <w:tcPr>
            <w:tcW w:w="1106" w:type="dxa"/>
          </w:tcPr>
          <w:p w14:paraId="310896CB">
            <w:pPr>
              <w:pStyle w:val="14"/>
              <w:spacing w:before="106"/>
              <w:ind w:left="215" w:right="207"/>
              <w:jc w:val="center"/>
              <w:rPr>
                <w:rFonts w:ascii="Times New Roman"/>
                <w:sz w:val="21"/>
              </w:rPr>
            </w:pPr>
            <w:r>
              <w:rPr>
                <w:rFonts w:ascii="Times New Roman"/>
                <w:sz w:val="21"/>
              </w:rPr>
              <w:t>67.14</w:t>
            </w:r>
          </w:p>
        </w:tc>
        <w:tc>
          <w:tcPr>
            <w:tcW w:w="1046" w:type="dxa"/>
          </w:tcPr>
          <w:p w14:paraId="61DF924C">
            <w:pPr>
              <w:pStyle w:val="14"/>
              <w:spacing w:before="90"/>
              <w:ind w:left="183" w:right="178"/>
              <w:jc w:val="center"/>
              <w:rPr>
                <w:sz w:val="21"/>
              </w:rPr>
            </w:pPr>
            <w:r>
              <w:rPr>
                <w:sz w:val="21"/>
              </w:rPr>
              <w:t>达标</w:t>
            </w:r>
          </w:p>
        </w:tc>
      </w:tr>
    </w:tbl>
    <w:p w14:paraId="7DBCD4FC">
      <w:pPr>
        <w:pStyle w:val="7"/>
        <w:spacing w:line="364" w:lineRule="auto"/>
        <w:ind w:left="460" w:right="477" w:firstLine="480"/>
        <w:jc w:val="both"/>
      </w:pPr>
      <w:r>
        <w:rPr>
          <w:position w:val="2"/>
        </w:rPr>
        <w:t>根据上表数据显示，</w:t>
      </w:r>
      <w:r>
        <w:rPr>
          <w:rFonts w:ascii="Times New Roman" w:eastAsia="Times New Roman"/>
          <w:position w:val="2"/>
          <w:shd w:val="clear" w:color="auto" w:fill="FFFF00"/>
        </w:rPr>
        <w:t xml:space="preserve">2023 </w:t>
      </w:r>
      <w:r>
        <w:rPr>
          <w:position w:val="2"/>
          <w:shd w:val="clear" w:color="auto" w:fill="FFFF00"/>
        </w:rPr>
        <w:t>年</w:t>
      </w:r>
      <w:r>
        <w:rPr>
          <w:position w:val="2"/>
        </w:rPr>
        <w:t xml:space="preserve">岳阳县 </w:t>
      </w:r>
      <w:r>
        <w:rPr>
          <w:rFonts w:ascii="Times New Roman" w:eastAsia="Times New Roman"/>
          <w:position w:val="2"/>
        </w:rPr>
        <w:t>PM</w:t>
      </w:r>
      <w:r>
        <w:rPr>
          <w:rFonts w:ascii="Times New Roman" w:eastAsia="Times New Roman"/>
          <w:position w:val="2"/>
          <w:vertAlign w:val="subscript"/>
        </w:rPr>
        <w:t>2.5</w:t>
      </w:r>
      <w:r>
        <w:rPr>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CO</w:t>
      </w:r>
      <w:r>
        <w:rPr>
          <w:position w:val="2"/>
          <w:vertAlign w:val="baseline"/>
        </w:rPr>
        <w:t>、</w:t>
      </w:r>
      <w:r>
        <w:rPr>
          <w:rFonts w:ascii="Times New Roman" w:eastAsia="Times New Roman"/>
          <w:position w:val="2"/>
          <w:vertAlign w:val="baseline"/>
        </w:rPr>
        <w:t>O</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均</w:t>
      </w:r>
      <w:r>
        <w:rPr>
          <w:vertAlign w:val="baseline"/>
        </w:rPr>
        <w:t>符合《环境空气质量标准》（</w:t>
      </w:r>
      <w:r>
        <w:rPr>
          <w:rFonts w:ascii="Times New Roman" w:eastAsia="Times New Roman"/>
          <w:vertAlign w:val="baseline"/>
        </w:rPr>
        <w:t>GB3095-2012</w:t>
      </w:r>
      <w:r>
        <w:rPr>
          <w:vertAlign w:val="baseline"/>
        </w:rPr>
        <w:t>）中二级标准，本项目所在区域环境空气质量达标，为空气质量达标区。</w:t>
      </w:r>
    </w:p>
    <w:p w14:paraId="01032DC3">
      <w:pPr>
        <w:pStyle w:val="6"/>
        <w:numPr>
          <w:ilvl w:val="3"/>
          <w:numId w:val="17"/>
        </w:numPr>
        <w:tabs>
          <w:tab w:val="left" w:pos="1171"/>
        </w:tabs>
        <w:spacing w:before="0" w:after="0" w:line="303" w:lineRule="exact"/>
        <w:ind w:left="1170" w:right="0" w:hanging="710"/>
        <w:jc w:val="left"/>
      </w:pPr>
      <w:bookmarkStart w:id="140" w:name="4.2.1.2特征污染物现状监测"/>
      <w:bookmarkEnd w:id="140"/>
      <w:bookmarkStart w:id="141" w:name="4.2.1.2特征污染物现状监测"/>
      <w:bookmarkEnd w:id="141"/>
      <w:r>
        <w:rPr>
          <w:w w:val="95"/>
        </w:rPr>
        <w:t>特征污染物现状监测</w:t>
      </w:r>
    </w:p>
    <w:p w14:paraId="05B5D100">
      <w:pPr>
        <w:pStyle w:val="7"/>
        <w:spacing w:before="160" w:line="364" w:lineRule="auto"/>
        <w:ind w:left="460" w:right="477" w:firstLine="480"/>
        <w:jc w:val="both"/>
      </w:pPr>
      <w:r>
        <w:t xml:space="preserve">本项目主要废气排放为恶臭废气，主要特征污染物为氨和硫化氢。本次环评引用《岳阳湘佳牧业有限公司桃源肉鸡养殖场（年出栏 </w:t>
      </w:r>
      <w:r>
        <w:rPr>
          <w:rFonts w:ascii="Times New Roman" w:eastAsia="Times New Roman"/>
        </w:rPr>
        <w:t xml:space="preserve">100 </w:t>
      </w:r>
      <w:r>
        <w:t>万羽）建设项目环境影响报告书》中的环境质量现状监测数据。</w:t>
      </w:r>
    </w:p>
    <w:p w14:paraId="0142C147">
      <w:pPr>
        <w:pStyle w:val="7"/>
        <w:spacing w:line="307" w:lineRule="exact"/>
        <w:ind w:left="940"/>
      </w:pPr>
      <w:r>
        <w:t>（</w:t>
      </w:r>
      <w:r>
        <w:rPr>
          <w:rFonts w:ascii="Times New Roman" w:eastAsia="Times New Roman"/>
        </w:rPr>
        <w:t>1</w:t>
      </w:r>
      <w:r>
        <w:t>）监测布点及监测项目</w:t>
      </w:r>
    </w:p>
    <w:p w14:paraId="04BF9C4D">
      <w:pPr>
        <w:pStyle w:val="7"/>
        <w:spacing w:before="158"/>
        <w:ind w:left="940"/>
      </w:pPr>
      <w:r>
        <w:t>环境空气质量现状监测布点结合区域环境功能和主导风向等因素，共设置</w:t>
      </w:r>
    </w:p>
    <w:p w14:paraId="57AA1553">
      <w:pPr>
        <w:pStyle w:val="7"/>
        <w:spacing w:before="161"/>
        <w:ind w:left="460"/>
      </w:pPr>
      <w:r>
        <w:rPr>
          <w:rFonts w:ascii="Times New Roman" w:eastAsia="Times New Roman"/>
        </w:rPr>
        <w:t xml:space="preserve">2 </w:t>
      </w:r>
      <w:r>
        <w:t>个大气监测点。</w:t>
      </w:r>
    </w:p>
    <w:p w14:paraId="16ED6FF2">
      <w:pPr>
        <w:pStyle w:val="7"/>
        <w:spacing w:before="155"/>
        <w:ind w:left="940"/>
      </w:pPr>
      <w:r>
        <w:rPr>
          <w:position w:val="2"/>
        </w:rPr>
        <w:t>环境空气监测项目为：</w:t>
      </w:r>
      <w:r>
        <w:rPr>
          <w:rFonts w:ascii="Times New Roman" w:eastAsia="Times New Roman"/>
          <w:position w:val="2"/>
        </w:rPr>
        <w:t>TSP</w:t>
      </w:r>
      <w:r>
        <w:rPr>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position w:val="2"/>
          <w:vertAlign w:val="baseline"/>
        </w:rPr>
        <w:t>、臭气浓度，并同步测定风速、风</w:t>
      </w:r>
    </w:p>
    <w:p w14:paraId="36EC2B55">
      <w:pPr>
        <w:spacing w:after="0"/>
        <w:sectPr>
          <w:pgSz w:w="11910" w:h="16840"/>
          <w:pgMar w:top="1360" w:right="1320" w:bottom="1400" w:left="1340" w:header="878" w:footer="1204" w:gutter="0"/>
          <w:cols w:space="720" w:num="1"/>
        </w:sectPr>
      </w:pPr>
    </w:p>
    <w:p w14:paraId="650C2FDD">
      <w:pPr>
        <w:pStyle w:val="7"/>
        <w:spacing w:before="68"/>
        <w:ind w:left="460"/>
      </w:pPr>
      <w:r>
        <w:t>向、气压和气温等气象参数。</w:t>
      </w:r>
    </w:p>
    <w:p w14:paraId="55E79D0B">
      <w:pPr>
        <w:pStyle w:val="7"/>
        <w:spacing w:before="10"/>
        <w:rPr>
          <w:sz w:val="21"/>
        </w:rPr>
      </w:pPr>
    </w:p>
    <w:p w14:paraId="53E0D909">
      <w:pPr>
        <w:spacing w:before="0" w:after="3"/>
        <w:ind w:left="267" w:right="286" w:firstLine="0"/>
        <w:jc w:val="center"/>
        <w:rPr>
          <w:b/>
          <w:sz w:val="21"/>
        </w:rPr>
      </w:pPr>
      <w:r>
        <w:rPr>
          <w:b/>
          <w:sz w:val="21"/>
        </w:rPr>
        <w:t xml:space="preserve">表 </w:t>
      </w:r>
      <w:r>
        <w:rPr>
          <w:rFonts w:ascii="Times New Roman" w:eastAsia="Times New Roman"/>
          <w:b/>
          <w:sz w:val="21"/>
        </w:rPr>
        <w:t xml:space="preserve">4.2-2 </w:t>
      </w:r>
      <w:r>
        <w:rPr>
          <w:b/>
          <w:sz w:val="21"/>
        </w:rPr>
        <w:t>环境空气监测点位表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1791"/>
        <w:gridCol w:w="2100"/>
        <w:gridCol w:w="1805"/>
        <w:gridCol w:w="1532"/>
      </w:tblGrid>
      <w:tr w14:paraId="1BDF2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94" w:type="dxa"/>
          </w:tcPr>
          <w:p w14:paraId="32D68B19">
            <w:pPr>
              <w:pStyle w:val="14"/>
              <w:spacing w:before="1" w:line="270" w:lineRule="atLeast"/>
              <w:ind w:left="539" w:right="110" w:hanging="420"/>
              <w:rPr>
                <w:b/>
                <w:sz w:val="21"/>
              </w:rPr>
            </w:pPr>
            <w:r>
              <w:rPr>
                <w:b/>
                <w:w w:val="95"/>
                <w:sz w:val="21"/>
              </w:rPr>
              <w:t>监测点位名</w:t>
            </w:r>
            <w:r>
              <w:rPr>
                <w:b/>
                <w:sz w:val="21"/>
              </w:rPr>
              <w:t>称</w:t>
            </w:r>
          </w:p>
        </w:tc>
        <w:tc>
          <w:tcPr>
            <w:tcW w:w="1791" w:type="dxa"/>
          </w:tcPr>
          <w:p w14:paraId="4EFA59C2">
            <w:pPr>
              <w:pStyle w:val="14"/>
              <w:spacing w:before="136"/>
              <w:ind w:left="662" w:right="657"/>
              <w:jc w:val="center"/>
              <w:rPr>
                <w:b/>
                <w:sz w:val="21"/>
              </w:rPr>
            </w:pPr>
            <w:r>
              <w:rPr>
                <w:b/>
                <w:sz w:val="21"/>
              </w:rPr>
              <w:t>坐标</w:t>
            </w:r>
          </w:p>
        </w:tc>
        <w:tc>
          <w:tcPr>
            <w:tcW w:w="2100" w:type="dxa"/>
          </w:tcPr>
          <w:p w14:paraId="6FABEAE8">
            <w:pPr>
              <w:pStyle w:val="14"/>
              <w:spacing w:before="136"/>
              <w:ind w:left="627"/>
              <w:rPr>
                <w:b/>
                <w:sz w:val="21"/>
              </w:rPr>
            </w:pPr>
            <w:r>
              <w:rPr>
                <w:b/>
                <w:sz w:val="21"/>
              </w:rPr>
              <w:t>监测因子</w:t>
            </w:r>
          </w:p>
        </w:tc>
        <w:tc>
          <w:tcPr>
            <w:tcW w:w="1805" w:type="dxa"/>
          </w:tcPr>
          <w:p w14:paraId="76AE9C5F">
            <w:pPr>
              <w:pStyle w:val="14"/>
              <w:spacing w:before="136"/>
              <w:ind w:left="269"/>
              <w:rPr>
                <w:b/>
                <w:sz w:val="21"/>
              </w:rPr>
            </w:pPr>
            <w:r>
              <w:rPr>
                <w:b/>
                <w:sz w:val="21"/>
              </w:rPr>
              <w:t>相对项目方位</w:t>
            </w:r>
          </w:p>
        </w:tc>
        <w:tc>
          <w:tcPr>
            <w:tcW w:w="1532" w:type="dxa"/>
          </w:tcPr>
          <w:p w14:paraId="5AFC0D58">
            <w:pPr>
              <w:pStyle w:val="14"/>
              <w:spacing w:before="16"/>
              <w:ind w:left="111" w:right="105"/>
              <w:jc w:val="center"/>
              <w:rPr>
                <w:b/>
                <w:sz w:val="21"/>
              </w:rPr>
            </w:pPr>
            <w:r>
              <w:rPr>
                <w:b/>
                <w:sz w:val="21"/>
              </w:rPr>
              <w:t>相对项目距离</w:t>
            </w:r>
          </w:p>
          <w:p w14:paraId="41DCE95E">
            <w:pPr>
              <w:pStyle w:val="14"/>
              <w:spacing w:before="2" w:line="238" w:lineRule="exact"/>
              <w:ind w:left="111" w:right="104"/>
              <w:jc w:val="center"/>
              <w:rPr>
                <w:rFonts w:ascii="Times New Roman"/>
                <w:b/>
                <w:sz w:val="21"/>
              </w:rPr>
            </w:pPr>
            <w:r>
              <w:rPr>
                <w:rFonts w:ascii="Times New Roman"/>
                <w:b/>
                <w:sz w:val="21"/>
              </w:rPr>
              <w:t>/m</w:t>
            </w:r>
          </w:p>
        </w:tc>
      </w:tr>
      <w:tr w14:paraId="5D9F4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94" w:type="dxa"/>
          </w:tcPr>
          <w:p w14:paraId="55D20574">
            <w:pPr>
              <w:pStyle w:val="14"/>
              <w:spacing w:before="150"/>
              <w:ind w:right="529"/>
              <w:jc w:val="right"/>
              <w:rPr>
                <w:rFonts w:ascii="Times New Roman"/>
                <w:sz w:val="21"/>
              </w:rPr>
            </w:pPr>
            <w:r>
              <w:rPr>
                <w:rFonts w:ascii="Times New Roman"/>
                <w:sz w:val="21"/>
              </w:rPr>
              <w:t>1#</w:t>
            </w:r>
          </w:p>
        </w:tc>
        <w:tc>
          <w:tcPr>
            <w:tcW w:w="1791" w:type="dxa"/>
          </w:tcPr>
          <w:p w14:paraId="78C3F1DC">
            <w:pPr>
              <w:pStyle w:val="14"/>
              <w:spacing w:before="1"/>
              <w:ind w:left="229"/>
              <w:rPr>
                <w:rFonts w:ascii="Times New Roman" w:eastAsia="Times New Roman"/>
                <w:sz w:val="21"/>
              </w:rPr>
            </w:pPr>
            <w:r>
              <w:rPr>
                <w:rFonts w:ascii="Times New Roman" w:eastAsia="Times New Roman"/>
                <w:sz w:val="21"/>
              </w:rPr>
              <w:t>E</w:t>
            </w:r>
            <w:r>
              <w:rPr>
                <w:sz w:val="21"/>
              </w:rPr>
              <w:t>：</w:t>
            </w:r>
            <w:r>
              <w:rPr>
                <w:rFonts w:ascii="Times New Roman" w:eastAsia="Times New Roman"/>
                <w:sz w:val="21"/>
              </w:rPr>
              <w:t>113.178652</w:t>
            </w:r>
          </w:p>
          <w:p w14:paraId="3AE97CC5">
            <w:pPr>
              <w:pStyle w:val="14"/>
              <w:spacing w:before="2" w:line="252" w:lineRule="exact"/>
              <w:ind w:left="268"/>
              <w:rPr>
                <w:rFonts w:ascii="Times New Roman" w:eastAsia="Times New Roman"/>
                <w:sz w:val="21"/>
              </w:rPr>
            </w:pPr>
            <w:r>
              <w:rPr>
                <w:rFonts w:ascii="Times New Roman" w:eastAsia="Times New Roman"/>
                <w:sz w:val="21"/>
              </w:rPr>
              <w:t>N</w:t>
            </w:r>
            <w:r>
              <w:rPr>
                <w:sz w:val="21"/>
              </w:rPr>
              <w:t>：</w:t>
            </w:r>
            <w:r>
              <w:rPr>
                <w:rFonts w:ascii="Times New Roman" w:eastAsia="Times New Roman"/>
                <w:sz w:val="21"/>
              </w:rPr>
              <w:t>29.094973</w:t>
            </w:r>
          </w:p>
        </w:tc>
        <w:tc>
          <w:tcPr>
            <w:tcW w:w="2100" w:type="dxa"/>
            <w:vMerge w:val="restart"/>
          </w:tcPr>
          <w:p w14:paraId="27068AB6">
            <w:pPr>
              <w:pStyle w:val="14"/>
              <w:spacing w:before="5"/>
              <w:rPr>
                <w:b/>
                <w:sz w:val="21"/>
              </w:rPr>
            </w:pPr>
          </w:p>
          <w:p w14:paraId="7380AD66">
            <w:pPr>
              <w:pStyle w:val="14"/>
              <w:spacing w:line="275" w:lineRule="exact"/>
              <w:ind w:left="178" w:right="171"/>
              <w:jc w:val="center"/>
              <w:rPr>
                <w:sz w:val="21"/>
              </w:rPr>
            </w:pPr>
            <w:r>
              <w:rPr>
                <w:rFonts w:ascii="Times New Roman" w:eastAsia="Times New Roman"/>
                <w:position w:val="2"/>
                <w:sz w:val="21"/>
              </w:rPr>
              <w:t>TSP</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vertAlign w:val="baseline"/>
              </w:rPr>
              <w:t>S</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position w:val="2"/>
                <w:sz w:val="21"/>
                <w:vertAlign w:val="baseline"/>
              </w:rPr>
              <w:t>、</w:t>
            </w:r>
          </w:p>
          <w:p w14:paraId="478A0938">
            <w:pPr>
              <w:pStyle w:val="14"/>
              <w:spacing w:line="269" w:lineRule="exact"/>
              <w:ind w:left="178" w:right="171"/>
              <w:jc w:val="center"/>
              <w:rPr>
                <w:sz w:val="21"/>
              </w:rPr>
            </w:pPr>
            <w:r>
              <w:rPr>
                <w:sz w:val="21"/>
              </w:rPr>
              <w:t>臭气浓度</w:t>
            </w:r>
          </w:p>
        </w:tc>
        <w:tc>
          <w:tcPr>
            <w:tcW w:w="1805" w:type="dxa"/>
            <w:vMerge w:val="restart"/>
          </w:tcPr>
          <w:p w14:paraId="045F2541">
            <w:pPr>
              <w:pStyle w:val="14"/>
              <w:rPr>
                <w:b/>
                <w:sz w:val="20"/>
              </w:rPr>
            </w:pPr>
          </w:p>
          <w:p w14:paraId="231A8F4D">
            <w:pPr>
              <w:pStyle w:val="14"/>
              <w:spacing w:before="155"/>
              <w:ind w:left="586"/>
              <w:rPr>
                <w:sz w:val="21"/>
              </w:rPr>
            </w:pPr>
            <w:r>
              <w:rPr>
                <w:sz w:val="21"/>
              </w:rPr>
              <w:t>东南侧</w:t>
            </w:r>
          </w:p>
        </w:tc>
        <w:tc>
          <w:tcPr>
            <w:tcW w:w="1532" w:type="dxa"/>
            <w:vMerge w:val="restart"/>
          </w:tcPr>
          <w:p w14:paraId="37668BF5">
            <w:pPr>
              <w:pStyle w:val="14"/>
              <w:rPr>
                <w:b/>
                <w:sz w:val="22"/>
              </w:rPr>
            </w:pPr>
          </w:p>
          <w:p w14:paraId="578E1DF3">
            <w:pPr>
              <w:pStyle w:val="14"/>
              <w:spacing w:before="144"/>
              <w:ind w:left="500"/>
              <w:rPr>
                <w:rFonts w:ascii="Times New Roman"/>
                <w:sz w:val="21"/>
              </w:rPr>
            </w:pPr>
            <w:r>
              <w:rPr>
                <w:rFonts w:ascii="Times New Roman"/>
                <w:sz w:val="21"/>
              </w:rPr>
              <w:t>6.9km</w:t>
            </w:r>
          </w:p>
        </w:tc>
      </w:tr>
      <w:tr w14:paraId="518C4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294" w:type="dxa"/>
          </w:tcPr>
          <w:p w14:paraId="6122AD9B">
            <w:pPr>
              <w:pStyle w:val="14"/>
              <w:spacing w:before="149"/>
              <w:ind w:right="529"/>
              <w:jc w:val="right"/>
              <w:rPr>
                <w:rFonts w:ascii="Times New Roman"/>
                <w:sz w:val="21"/>
              </w:rPr>
            </w:pPr>
            <w:r>
              <w:rPr>
                <w:rFonts w:ascii="Times New Roman"/>
                <w:sz w:val="21"/>
              </w:rPr>
              <w:t>2#</w:t>
            </w:r>
          </w:p>
        </w:tc>
        <w:tc>
          <w:tcPr>
            <w:tcW w:w="1791" w:type="dxa"/>
          </w:tcPr>
          <w:p w14:paraId="675EF60C">
            <w:pPr>
              <w:pStyle w:val="14"/>
              <w:spacing w:before="1"/>
              <w:ind w:left="229"/>
              <w:rPr>
                <w:rFonts w:ascii="Times New Roman" w:eastAsia="Times New Roman"/>
                <w:sz w:val="21"/>
              </w:rPr>
            </w:pPr>
            <w:r>
              <w:rPr>
                <w:rFonts w:ascii="Times New Roman" w:eastAsia="Times New Roman"/>
                <w:sz w:val="21"/>
              </w:rPr>
              <w:t>E</w:t>
            </w:r>
            <w:r>
              <w:rPr>
                <w:sz w:val="21"/>
              </w:rPr>
              <w:t>：</w:t>
            </w:r>
            <w:r>
              <w:rPr>
                <w:rFonts w:ascii="Times New Roman" w:eastAsia="Times New Roman"/>
                <w:sz w:val="21"/>
              </w:rPr>
              <w:t>113.174639</w:t>
            </w:r>
          </w:p>
          <w:p w14:paraId="41D273CE">
            <w:pPr>
              <w:pStyle w:val="14"/>
              <w:spacing w:before="2" w:line="252" w:lineRule="exact"/>
              <w:ind w:left="268"/>
              <w:rPr>
                <w:rFonts w:ascii="Times New Roman" w:eastAsia="Times New Roman"/>
                <w:sz w:val="21"/>
              </w:rPr>
            </w:pPr>
            <w:r>
              <w:rPr>
                <w:rFonts w:ascii="Times New Roman" w:eastAsia="Times New Roman"/>
                <w:sz w:val="21"/>
              </w:rPr>
              <w:t>N</w:t>
            </w:r>
            <w:r>
              <w:rPr>
                <w:sz w:val="21"/>
              </w:rPr>
              <w:t>：</w:t>
            </w:r>
            <w:r>
              <w:rPr>
                <w:rFonts w:ascii="Times New Roman" w:eastAsia="Times New Roman"/>
                <w:sz w:val="21"/>
              </w:rPr>
              <w:t>29.090038</w:t>
            </w:r>
          </w:p>
        </w:tc>
        <w:tc>
          <w:tcPr>
            <w:tcW w:w="2100" w:type="dxa"/>
            <w:vMerge w:val="continue"/>
            <w:tcBorders>
              <w:top w:val="nil"/>
            </w:tcBorders>
          </w:tcPr>
          <w:p w14:paraId="7F46DD39">
            <w:pPr>
              <w:rPr>
                <w:sz w:val="2"/>
                <w:szCs w:val="2"/>
              </w:rPr>
            </w:pPr>
          </w:p>
        </w:tc>
        <w:tc>
          <w:tcPr>
            <w:tcW w:w="1805" w:type="dxa"/>
            <w:vMerge w:val="continue"/>
            <w:tcBorders>
              <w:top w:val="nil"/>
            </w:tcBorders>
          </w:tcPr>
          <w:p w14:paraId="7A6067EB">
            <w:pPr>
              <w:rPr>
                <w:sz w:val="2"/>
                <w:szCs w:val="2"/>
              </w:rPr>
            </w:pPr>
          </w:p>
        </w:tc>
        <w:tc>
          <w:tcPr>
            <w:tcW w:w="1532" w:type="dxa"/>
            <w:vMerge w:val="continue"/>
            <w:tcBorders>
              <w:top w:val="nil"/>
            </w:tcBorders>
          </w:tcPr>
          <w:p w14:paraId="525719FB">
            <w:pPr>
              <w:rPr>
                <w:sz w:val="2"/>
                <w:szCs w:val="2"/>
              </w:rPr>
            </w:pPr>
          </w:p>
        </w:tc>
      </w:tr>
    </w:tbl>
    <w:p w14:paraId="062110C6">
      <w:pPr>
        <w:pStyle w:val="7"/>
        <w:spacing w:before="2"/>
        <w:ind w:left="940"/>
      </w:pPr>
      <w:r>
        <w:t>（</w:t>
      </w:r>
      <w:r>
        <w:rPr>
          <w:rFonts w:ascii="Times New Roman" w:eastAsia="Times New Roman"/>
        </w:rPr>
        <w:t>2</w:t>
      </w:r>
      <w:r>
        <w:t>）监测时间和频率</w:t>
      </w:r>
    </w:p>
    <w:p w14:paraId="14CA3289">
      <w:pPr>
        <w:pStyle w:val="7"/>
        <w:spacing w:before="159"/>
        <w:ind w:left="940"/>
        <w:rPr>
          <w:rFonts w:ascii="Times New Roman" w:eastAsia="Times New Roman"/>
        </w:rPr>
      </w:pPr>
      <w:r>
        <w:t>监测点环境空气质量由湖南衡润科技有限公司进行监测，</w:t>
      </w:r>
      <w:r>
        <w:rPr>
          <w:rFonts w:ascii="Times New Roman" w:eastAsia="Times New Roman"/>
        </w:rPr>
        <w:t xml:space="preserve">2023 </w:t>
      </w:r>
      <w:r>
        <w:t xml:space="preserve">年 </w:t>
      </w:r>
      <w:r>
        <w:rPr>
          <w:rFonts w:ascii="Times New Roman" w:eastAsia="Times New Roman"/>
        </w:rPr>
        <w:t xml:space="preserve">7 </w:t>
      </w:r>
      <w:r>
        <w:t xml:space="preserve">月 </w:t>
      </w:r>
      <w:r>
        <w:rPr>
          <w:rFonts w:ascii="Times New Roman" w:eastAsia="Times New Roman"/>
        </w:rPr>
        <w:t>11</w:t>
      </w:r>
    </w:p>
    <w:p w14:paraId="46615AB0">
      <w:pPr>
        <w:pStyle w:val="7"/>
        <w:spacing w:before="160"/>
        <w:ind w:left="265" w:right="286"/>
        <w:jc w:val="center"/>
        <w:rPr>
          <w:rFonts w:ascii="Times New Roman" w:eastAsia="Times New Roman"/>
        </w:rPr>
      </w:pPr>
      <w:r>
        <w:t>日～</w:t>
      </w:r>
      <w:r>
        <w:rPr>
          <w:rFonts w:ascii="Times New Roman" w:eastAsia="Times New Roman"/>
        </w:rPr>
        <w:t xml:space="preserve">7 </w:t>
      </w:r>
      <w:r>
        <w:t xml:space="preserve">月 </w:t>
      </w:r>
      <w:r>
        <w:rPr>
          <w:rFonts w:ascii="Times New Roman" w:eastAsia="Times New Roman"/>
        </w:rPr>
        <w:t xml:space="preserve">13 </w:t>
      </w:r>
      <w:r>
        <w:t>日，</w:t>
      </w:r>
      <w:r>
        <w:rPr>
          <w:rFonts w:ascii="Times New Roman" w:eastAsia="Times New Roman"/>
        </w:rPr>
        <w:t xml:space="preserve">7 </w:t>
      </w:r>
      <w:r>
        <w:t xml:space="preserve">月 </w:t>
      </w:r>
      <w:r>
        <w:rPr>
          <w:rFonts w:ascii="Times New Roman" w:eastAsia="Times New Roman"/>
        </w:rPr>
        <w:t xml:space="preserve">14 </w:t>
      </w:r>
      <w:r>
        <w:t>日为雨天未进行监测，</w:t>
      </w:r>
      <w:r>
        <w:rPr>
          <w:rFonts w:ascii="Times New Roman" w:eastAsia="Times New Roman"/>
        </w:rPr>
        <w:t xml:space="preserve">7 </w:t>
      </w:r>
      <w:r>
        <w:t xml:space="preserve">月 </w:t>
      </w:r>
      <w:r>
        <w:rPr>
          <w:rFonts w:ascii="Times New Roman" w:eastAsia="Times New Roman"/>
        </w:rPr>
        <w:t xml:space="preserve">15 </w:t>
      </w:r>
      <w:r>
        <w:t>日～</w:t>
      </w:r>
      <w:r>
        <w:rPr>
          <w:rFonts w:ascii="Times New Roman" w:eastAsia="Times New Roman"/>
        </w:rPr>
        <w:t xml:space="preserve">7 </w:t>
      </w:r>
      <w:r>
        <w:t xml:space="preserve">月 </w:t>
      </w:r>
      <w:r>
        <w:rPr>
          <w:rFonts w:ascii="Times New Roman" w:eastAsia="Times New Roman"/>
        </w:rPr>
        <w:t xml:space="preserve">18 </w:t>
      </w:r>
      <w:r>
        <w:t xml:space="preserve">日，共监测 </w:t>
      </w:r>
      <w:r>
        <w:rPr>
          <w:rFonts w:ascii="Times New Roman" w:eastAsia="Times New Roman"/>
        </w:rPr>
        <w:t>7</w:t>
      </w:r>
    </w:p>
    <w:p w14:paraId="66EB491B">
      <w:pPr>
        <w:pStyle w:val="7"/>
        <w:spacing w:before="158"/>
        <w:ind w:left="460"/>
      </w:pPr>
      <w:r>
        <w:t>天。</w:t>
      </w:r>
    </w:p>
    <w:p w14:paraId="0A2748A2">
      <w:pPr>
        <w:pStyle w:val="7"/>
        <w:spacing w:before="10"/>
        <w:rPr>
          <w:sz w:val="21"/>
        </w:rPr>
      </w:pPr>
    </w:p>
    <w:p w14:paraId="25CC6ABA">
      <w:pPr>
        <w:spacing w:before="0" w:after="3"/>
        <w:ind w:left="267" w:right="286" w:firstLine="0"/>
        <w:jc w:val="center"/>
        <w:rPr>
          <w:b/>
          <w:sz w:val="21"/>
        </w:rPr>
      </w:pPr>
      <w:r>
        <w:rPr>
          <w:b/>
          <w:sz w:val="21"/>
        </w:rPr>
        <w:t xml:space="preserve">表 </w:t>
      </w:r>
      <w:r>
        <w:rPr>
          <w:rFonts w:ascii="Times New Roman" w:eastAsia="Times New Roman"/>
          <w:b/>
          <w:sz w:val="21"/>
        </w:rPr>
        <w:t xml:space="preserve">4.2-3 </w:t>
      </w:r>
      <w:r>
        <w:rPr>
          <w:b/>
          <w:sz w:val="21"/>
        </w:rPr>
        <w:t>监测时间和频率一览表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0"/>
        <w:gridCol w:w="2307"/>
        <w:gridCol w:w="2269"/>
        <w:gridCol w:w="3086"/>
      </w:tblGrid>
      <w:tr w14:paraId="156C6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60" w:type="dxa"/>
          </w:tcPr>
          <w:p w14:paraId="14C94D73">
            <w:pPr>
              <w:pStyle w:val="14"/>
              <w:spacing w:before="64"/>
              <w:ind w:left="197" w:right="191"/>
              <w:jc w:val="center"/>
              <w:rPr>
                <w:b/>
                <w:sz w:val="21"/>
              </w:rPr>
            </w:pPr>
            <w:r>
              <w:rPr>
                <w:b/>
                <w:sz w:val="21"/>
              </w:rPr>
              <w:t>序号</w:t>
            </w:r>
          </w:p>
        </w:tc>
        <w:tc>
          <w:tcPr>
            <w:tcW w:w="2307" w:type="dxa"/>
          </w:tcPr>
          <w:p w14:paraId="09AFB07B">
            <w:pPr>
              <w:pStyle w:val="14"/>
              <w:spacing w:before="64"/>
              <w:ind w:left="672" w:right="665"/>
              <w:jc w:val="center"/>
              <w:rPr>
                <w:b/>
                <w:sz w:val="21"/>
              </w:rPr>
            </w:pPr>
            <w:r>
              <w:rPr>
                <w:b/>
                <w:sz w:val="21"/>
              </w:rPr>
              <w:t>监测因子</w:t>
            </w:r>
          </w:p>
        </w:tc>
        <w:tc>
          <w:tcPr>
            <w:tcW w:w="2269" w:type="dxa"/>
          </w:tcPr>
          <w:p w14:paraId="243A5953">
            <w:pPr>
              <w:pStyle w:val="14"/>
              <w:spacing w:before="64"/>
              <w:ind w:left="692" w:right="682"/>
              <w:jc w:val="center"/>
              <w:rPr>
                <w:b/>
                <w:sz w:val="21"/>
              </w:rPr>
            </w:pPr>
            <w:r>
              <w:rPr>
                <w:b/>
                <w:sz w:val="21"/>
              </w:rPr>
              <w:t>取值时间</w:t>
            </w:r>
          </w:p>
        </w:tc>
        <w:tc>
          <w:tcPr>
            <w:tcW w:w="3086" w:type="dxa"/>
          </w:tcPr>
          <w:p w14:paraId="6BA3DBB7">
            <w:pPr>
              <w:pStyle w:val="14"/>
              <w:spacing w:before="64"/>
              <w:ind w:left="652" w:right="645"/>
              <w:jc w:val="center"/>
              <w:rPr>
                <w:b/>
                <w:sz w:val="21"/>
              </w:rPr>
            </w:pPr>
            <w:r>
              <w:rPr>
                <w:b/>
                <w:sz w:val="21"/>
              </w:rPr>
              <w:t>监测频次</w:t>
            </w:r>
          </w:p>
        </w:tc>
      </w:tr>
      <w:tr w14:paraId="40172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860" w:type="dxa"/>
          </w:tcPr>
          <w:p w14:paraId="129D7E55">
            <w:pPr>
              <w:pStyle w:val="14"/>
              <w:spacing w:before="76"/>
              <w:ind w:left="7"/>
              <w:jc w:val="center"/>
              <w:rPr>
                <w:rFonts w:ascii="Times New Roman"/>
                <w:sz w:val="21"/>
              </w:rPr>
            </w:pPr>
            <w:r>
              <w:rPr>
                <w:rFonts w:ascii="Times New Roman"/>
                <w:w w:val="99"/>
                <w:sz w:val="21"/>
              </w:rPr>
              <w:t>1</w:t>
            </w:r>
          </w:p>
        </w:tc>
        <w:tc>
          <w:tcPr>
            <w:tcW w:w="2307" w:type="dxa"/>
          </w:tcPr>
          <w:p w14:paraId="47CE1672">
            <w:pPr>
              <w:pStyle w:val="14"/>
              <w:spacing w:before="76"/>
              <w:ind w:left="671" w:right="666"/>
              <w:jc w:val="center"/>
              <w:rPr>
                <w:rFonts w:ascii="Times New Roman"/>
                <w:sz w:val="21"/>
              </w:rPr>
            </w:pPr>
            <w:r>
              <w:rPr>
                <w:rFonts w:ascii="Times New Roman"/>
                <w:sz w:val="21"/>
              </w:rPr>
              <w:t>TSP</w:t>
            </w:r>
          </w:p>
        </w:tc>
        <w:tc>
          <w:tcPr>
            <w:tcW w:w="2269" w:type="dxa"/>
          </w:tcPr>
          <w:p w14:paraId="212BFEBC">
            <w:pPr>
              <w:pStyle w:val="14"/>
              <w:spacing w:before="63"/>
              <w:ind w:left="687" w:right="682"/>
              <w:jc w:val="center"/>
              <w:rPr>
                <w:sz w:val="21"/>
              </w:rPr>
            </w:pPr>
            <w:r>
              <w:rPr>
                <w:rFonts w:ascii="Times New Roman" w:eastAsia="Times New Roman"/>
                <w:sz w:val="21"/>
              </w:rPr>
              <w:t xml:space="preserve">24h </w:t>
            </w:r>
            <w:r>
              <w:rPr>
                <w:sz w:val="21"/>
              </w:rPr>
              <w:t>平均</w:t>
            </w:r>
          </w:p>
        </w:tc>
        <w:tc>
          <w:tcPr>
            <w:tcW w:w="3086" w:type="dxa"/>
          </w:tcPr>
          <w:p w14:paraId="0872402D">
            <w:pPr>
              <w:pStyle w:val="14"/>
              <w:spacing w:before="63"/>
              <w:ind w:left="652" w:right="645"/>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 xml:space="preserve">天，检测 </w:t>
            </w:r>
            <w:r>
              <w:rPr>
                <w:rFonts w:ascii="Times New Roman" w:eastAsia="Times New Roman"/>
                <w:sz w:val="21"/>
              </w:rPr>
              <w:t xml:space="preserve">7 </w:t>
            </w:r>
            <w:r>
              <w:rPr>
                <w:sz w:val="21"/>
              </w:rPr>
              <w:t>天</w:t>
            </w:r>
          </w:p>
        </w:tc>
      </w:tr>
      <w:tr w14:paraId="27D5E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60" w:type="dxa"/>
          </w:tcPr>
          <w:p w14:paraId="272EC69B">
            <w:pPr>
              <w:pStyle w:val="14"/>
              <w:spacing w:before="77"/>
              <w:ind w:left="7"/>
              <w:jc w:val="center"/>
              <w:rPr>
                <w:rFonts w:ascii="Times New Roman"/>
                <w:sz w:val="21"/>
              </w:rPr>
            </w:pPr>
            <w:r>
              <w:rPr>
                <w:rFonts w:ascii="Times New Roman"/>
                <w:w w:val="99"/>
                <w:sz w:val="21"/>
              </w:rPr>
              <w:t>2</w:t>
            </w:r>
          </w:p>
        </w:tc>
        <w:tc>
          <w:tcPr>
            <w:tcW w:w="2307" w:type="dxa"/>
          </w:tcPr>
          <w:p w14:paraId="5405C0C4">
            <w:pPr>
              <w:pStyle w:val="14"/>
              <w:spacing w:before="60"/>
              <w:ind w:left="672" w:right="666"/>
              <w:jc w:val="center"/>
              <w:rPr>
                <w:rFonts w:ascii="Times New Roman" w:eastAsia="Times New Roman"/>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vertAlign w:val="baseline"/>
              </w:rPr>
              <w:t>S</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p>
        </w:tc>
        <w:tc>
          <w:tcPr>
            <w:tcW w:w="2269" w:type="dxa"/>
          </w:tcPr>
          <w:p w14:paraId="5DC8241A">
            <w:pPr>
              <w:pStyle w:val="14"/>
              <w:spacing w:before="77"/>
              <w:ind w:left="690" w:right="682"/>
              <w:jc w:val="center"/>
              <w:rPr>
                <w:rFonts w:ascii="Times New Roman" w:hAnsi="Times New Roman"/>
                <w:sz w:val="21"/>
              </w:rPr>
            </w:pPr>
            <w:r>
              <w:rPr>
                <w:rFonts w:ascii="Times New Roman" w:hAnsi="Times New Roman"/>
                <w:sz w:val="21"/>
              </w:rPr>
              <w:t>——</w:t>
            </w:r>
          </w:p>
        </w:tc>
        <w:tc>
          <w:tcPr>
            <w:tcW w:w="3086" w:type="dxa"/>
          </w:tcPr>
          <w:p w14:paraId="58C165E5">
            <w:pPr>
              <w:pStyle w:val="14"/>
              <w:spacing w:before="64"/>
              <w:ind w:left="652" w:right="645"/>
              <w:jc w:val="center"/>
              <w:rPr>
                <w:sz w:val="21"/>
              </w:rPr>
            </w:pPr>
            <w:r>
              <w:rPr>
                <w:rFonts w:ascii="Times New Roman" w:eastAsia="Times New Roman"/>
                <w:sz w:val="21"/>
              </w:rPr>
              <w:t xml:space="preserve">4 </w:t>
            </w:r>
            <w:r>
              <w:rPr>
                <w:sz w:val="21"/>
              </w:rPr>
              <w:t>次</w:t>
            </w:r>
            <w:r>
              <w:rPr>
                <w:rFonts w:ascii="Times New Roman" w:eastAsia="Times New Roman"/>
                <w:sz w:val="21"/>
              </w:rPr>
              <w:t>/</w:t>
            </w:r>
            <w:r>
              <w:rPr>
                <w:sz w:val="21"/>
              </w:rPr>
              <w:t xml:space="preserve">天，检测 </w:t>
            </w:r>
            <w:r>
              <w:rPr>
                <w:rFonts w:ascii="Times New Roman" w:eastAsia="Times New Roman"/>
                <w:sz w:val="21"/>
              </w:rPr>
              <w:t xml:space="preserve">7 </w:t>
            </w:r>
            <w:r>
              <w:rPr>
                <w:sz w:val="21"/>
              </w:rPr>
              <w:t>天</w:t>
            </w:r>
          </w:p>
        </w:tc>
      </w:tr>
      <w:tr w14:paraId="7188B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60" w:type="dxa"/>
          </w:tcPr>
          <w:p w14:paraId="25CDCD78">
            <w:pPr>
              <w:pStyle w:val="14"/>
              <w:spacing w:before="76"/>
              <w:ind w:left="7"/>
              <w:jc w:val="center"/>
              <w:rPr>
                <w:rFonts w:ascii="Times New Roman"/>
                <w:sz w:val="21"/>
              </w:rPr>
            </w:pPr>
            <w:r>
              <w:rPr>
                <w:rFonts w:ascii="Times New Roman"/>
                <w:w w:val="99"/>
                <w:sz w:val="21"/>
              </w:rPr>
              <w:t>3</w:t>
            </w:r>
          </w:p>
        </w:tc>
        <w:tc>
          <w:tcPr>
            <w:tcW w:w="2307" w:type="dxa"/>
          </w:tcPr>
          <w:p w14:paraId="4BB89D07">
            <w:pPr>
              <w:pStyle w:val="14"/>
              <w:spacing w:before="62"/>
              <w:ind w:left="672" w:right="665"/>
              <w:jc w:val="center"/>
              <w:rPr>
                <w:sz w:val="21"/>
              </w:rPr>
            </w:pPr>
            <w:r>
              <w:rPr>
                <w:sz w:val="21"/>
              </w:rPr>
              <w:t>臭气浓度</w:t>
            </w:r>
          </w:p>
        </w:tc>
        <w:tc>
          <w:tcPr>
            <w:tcW w:w="2269" w:type="dxa"/>
          </w:tcPr>
          <w:p w14:paraId="56CAEED6">
            <w:pPr>
              <w:pStyle w:val="14"/>
              <w:spacing w:before="76"/>
              <w:ind w:left="690" w:right="682"/>
              <w:jc w:val="center"/>
              <w:rPr>
                <w:rFonts w:ascii="Times New Roman" w:hAnsi="Times New Roman"/>
                <w:sz w:val="21"/>
              </w:rPr>
            </w:pPr>
            <w:r>
              <w:rPr>
                <w:rFonts w:ascii="Times New Roman" w:hAnsi="Times New Roman"/>
                <w:sz w:val="21"/>
              </w:rPr>
              <w:t>——</w:t>
            </w:r>
          </w:p>
        </w:tc>
        <w:tc>
          <w:tcPr>
            <w:tcW w:w="3086" w:type="dxa"/>
          </w:tcPr>
          <w:p w14:paraId="3FC7E736">
            <w:pPr>
              <w:pStyle w:val="14"/>
              <w:spacing w:before="62"/>
              <w:ind w:left="652" w:right="645"/>
              <w:jc w:val="center"/>
              <w:rPr>
                <w:sz w:val="21"/>
              </w:rPr>
            </w:pPr>
            <w:r>
              <w:rPr>
                <w:rFonts w:ascii="Times New Roman" w:eastAsia="Times New Roman"/>
                <w:sz w:val="21"/>
              </w:rPr>
              <w:t xml:space="preserve">4 </w:t>
            </w:r>
            <w:r>
              <w:rPr>
                <w:sz w:val="21"/>
              </w:rPr>
              <w:t>次</w:t>
            </w:r>
            <w:r>
              <w:rPr>
                <w:rFonts w:ascii="Times New Roman" w:eastAsia="Times New Roman"/>
                <w:sz w:val="21"/>
              </w:rPr>
              <w:t>/</w:t>
            </w:r>
            <w:r>
              <w:rPr>
                <w:sz w:val="21"/>
              </w:rPr>
              <w:t xml:space="preserve">天，检测 </w:t>
            </w:r>
            <w:r>
              <w:rPr>
                <w:rFonts w:ascii="Times New Roman" w:eastAsia="Times New Roman"/>
                <w:sz w:val="21"/>
              </w:rPr>
              <w:t xml:space="preserve">7 </w:t>
            </w:r>
            <w:r>
              <w:rPr>
                <w:sz w:val="21"/>
              </w:rPr>
              <w:t>天</w:t>
            </w:r>
          </w:p>
        </w:tc>
      </w:tr>
    </w:tbl>
    <w:p w14:paraId="4B028775">
      <w:pPr>
        <w:spacing w:before="1"/>
        <w:ind w:left="460" w:right="0" w:firstLine="0"/>
        <w:jc w:val="left"/>
        <w:rPr>
          <w:sz w:val="21"/>
        </w:rPr>
      </w:pPr>
      <w:r>
        <w:rPr>
          <w:sz w:val="21"/>
        </w:rPr>
        <w:t>注：采样时同步观测并记录当时的风向、风速、气温、气压等气象参数。</w:t>
      </w:r>
    </w:p>
    <w:p w14:paraId="3DEC133F">
      <w:pPr>
        <w:pStyle w:val="7"/>
        <w:spacing w:before="140"/>
        <w:ind w:left="940"/>
      </w:pPr>
      <w:r>
        <w:t>（</w:t>
      </w:r>
      <w:r>
        <w:rPr>
          <w:rFonts w:ascii="Times New Roman" w:eastAsia="Times New Roman"/>
        </w:rPr>
        <w:t>3</w:t>
      </w:r>
      <w:r>
        <w:t>）评价标准</w:t>
      </w:r>
    </w:p>
    <w:p w14:paraId="7C011A9A">
      <w:pPr>
        <w:pStyle w:val="7"/>
        <w:spacing w:before="161" w:line="360" w:lineRule="auto"/>
        <w:ind w:left="460" w:right="399" w:firstLine="480"/>
        <w:rPr>
          <w:rFonts w:ascii="Times New Roman" w:eastAsia="Times New Roman"/>
        </w:rPr>
      </w:pPr>
      <w:r>
        <w:rPr>
          <w:rFonts w:ascii="Times New Roman" w:eastAsia="Times New Roman"/>
        </w:rPr>
        <w:t xml:space="preserve">TSP </w:t>
      </w:r>
      <w:r>
        <w:t>评价标准采用《环境空气质量标准》（</w:t>
      </w:r>
      <w:r>
        <w:rPr>
          <w:rFonts w:ascii="Times New Roman" w:eastAsia="Times New Roman"/>
        </w:rPr>
        <w:t>GB3095-2012</w:t>
      </w:r>
      <w:r>
        <w:t xml:space="preserve">）及修改单表 </w:t>
      </w:r>
      <w:r>
        <w:rPr>
          <w:rFonts w:ascii="Times New Roman" w:eastAsia="Times New Roman"/>
        </w:rPr>
        <w:t xml:space="preserve">2 </w:t>
      </w:r>
      <w:r>
        <w:t>标</w:t>
      </w:r>
      <w:r>
        <w:rPr>
          <w:position w:val="2"/>
        </w:rPr>
        <w:t>准；</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评价标准采用《环境影响评价技术导则大气环境》（</w:t>
      </w:r>
      <w:r>
        <w:rPr>
          <w:rFonts w:ascii="Times New Roman" w:eastAsia="Times New Roman"/>
          <w:position w:val="2"/>
          <w:vertAlign w:val="baseline"/>
        </w:rPr>
        <w:t>HJ2.2-</w:t>
      </w:r>
    </w:p>
    <w:p w14:paraId="61C07C01">
      <w:pPr>
        <w:pStyle w:val="7"/>
        <w:spacing w:before="6"/>
        <w:ind w:left="460"/>
      </w:pPr>
      <w:r>
        <w:rPr>
          <w:rFonts w:ascii="Times New Roman" w:eastAsia="Times New Roman"/>
        </w:rPr>
        <w:t>2018</w:t>
      </w:r>
      <w:r>
        <w:t xml:space="preserve">）表 </w:t>
      </w:r>
      <w:r>
        <w:rPr>
          <w:rFonts w:ascii="Times New Roman" w:eastAsia="Times New Roman"/>
        </w:rPr>
        <w:t>D.1</w:t>
      </w:r>
      <w:r>
        <w:t>，臭气浓度无参照标准，不进行评价。</w:t>
      </w:r>
    </w:p>
    <w:p w14:paraId="4050800D">
      <w:pPr>
        <w:pStyle w:val="7"/>
        <w:spacing w:before="158"/>
        <w:ind w:left="940"/>
      </w:pPr>
      <w:r>
        <w:t>（</w:t>
      </w:r>
      <w:r>
        <w:rPr>
          <w:rFonts w:ascii="Times New Roman" w:eastAsia="Times New Roman"/>
        </w:rPr>
        <w:t>4</w:t>
      </w:r>
      <w:r>
        <w:t>）监测结果分析</w:t>
      </w:r>
    </w:p>
    <w:p w14:paraId="34763B32">
      <w:pPr>
        <w:pStyle w:val="7"/>
        <w:spacing w:before="158"/>
        <w:ind w:left="940"/>
      </w:pP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 xml:space="preserve">TSP </w:t>
      </w:r>
      <w:r>
        <w:rPr>
          <w:position w:val="2"/>
          <w:vertAlign w:val="baseline"/>
        </w:rPr>
        <w:t xml:space="preserve">和臭气浓度的监测结果分别见表 </w:t>
      </w:r>
      <w:r>
        <w:rPr>
          <w:rFonts w:ascii="Times New Roman" w:eastAsia="Times New Roman"/>
          <w:position w:val="2"/>
          <w:vertAlign w:val="baseline"/>
        </w:rPr>
        <w:t>4.2-4</w:t>
      </w:r>
      <w:r>
        <w:rPr>
          <w:position w:val="2"/>
          <w:vertAlign w:val="baseline"/>
        </w:rPr>
        <w:t>。</w:t>
      </w:r>
    </w:p>
    <w:p w14:paraId="59280882">
      <w:pPr>
        <w:spacing w:before="122"/>
        <w:ind w:left="267" w:right="286" w:firstLine="0"/>
        <w:jc w:val="center"/>
        <w:rPr>
          <w:b/>
          <w:sz w:val="21"/>
        </w:rPr>
      </w:pPr>
      <w:r>
        <w:rPr>
          <w:b/>
          <w:sz w:val="21"/>
        </w:rPr>
        <w:t xml:space="preserve">表 </w:t>
      </w:r>
      <w:r>
        <w:rPr>
          <w:rFonts w:ascii="Times New Roman" w:eastAsia="Times New Roman"/>
          <w:b/>
          <w:sz w:val="21"/>
        </w:rPr>
        <w:t xml:space="preserve">4.2-4  </w:t>
      </w:r>
      <w:r>
        <w:rPr>
          <w:b/>
          <w:sz w:val="21"/>
        </w:rPr>
        <w:t>监测浓度统计结果</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1060"/>
        <w:gridCol w:w="729"/>
        <w:gridCol w:w="731"/>
        <w:gridCol w:w="731"/>
        <w:gridCol w:w="733"/>
        <w:gridCol w:w="733"/>
        <w:gridCol w:w="733"/>
        <w:gridCol w:w="736"/>
        <w:gridCol w:w="638"/>
        <w:gridCol w:w="1060"/>
      </w:tblGrid>
      <w:tr w14:paraId="4A942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vMerge w:val="restart"/>
          </w:tcPr>
          <w:p w14:paraId="774A0522">
            <w:pPr>
              <w:pStyle w:val="14"/>
              <w:spacing w:before="8"/>
              <w:rPr>
                <w:b/>
                <w:sz w:val="28"/>
              </w:rPr>
            </w:pPr>
          </w:p>
          <w:p w14:paraId="6A9E258E">
            <w:pPr>
              <w:pStyle w:val="14"/>
              <w:ind w:left="107"/>
              <w:rPr>
                <w:b/>
                <w:sz w:val="21"/>
              </w:rPr>
            </w:pPr>
            <w:r>
              <w:rPr>
                <w:b/>
                <w:sz w:val="21"/>
              </w:rPr>
              <w:t>点位</w:t>
            </w:r>
          </w:p>
        </w:tc>
        <w:tc>
          <w:tcPr>
            <w:tcW w:w="1060" w:type="dxa"/>
            <w:vMerge w:val="restart"/>
          </w:tcPr>
          <w:p w14:paraId="47C0B245">
            <w:pPr>
              <w:pStyle w:val="14"/>
              <w:spacing w:before="8"/>
              <w:rPr>
                <w:b/>
                <w:sz w:val="28"/>
              </w:rPr>
            </w:pPr>
          </w:p>
          <w:p w14:paraId="34C3A7B9">
            <w:pPr>
              <w:pStyle w:val="14"/>
              <w:ind w:left="108"/>
              <w:rPr>
                <w:b/>
                <w:sz w:val="21"/>
              </w:rPr>
            </w:pPr>
            <w:r>
              <w:rPr>
                <w:b/>
                <w:sz w:val="21"/>
              </w:rPr>
              <w:t>检测项目</w:t>
            </w:r>
          </w:p>
        </w:tc>
        <w:tc>
          <w:tcPr>
            <w:tcW w:w="5126" w:type="dxa"/>
            <w:gridSpan w:val="7"/>
          </w:tcPr>
          <w:p w14:paraId="7D0A9931">
            <w:pPr>
              <w:pStyle w:val="14"/>
              <w:spacing w:before="91"/>
              <w:ind w:left="2121" w:right="2111"/>
              <w:jc w:val="center"/>
              <w:rPr>
                <w:b/>
                <w:sz w:val="21"/>
              </w:rPr>
            </w:pPr>
            <w:r>
              <w:rPr>
                <w:b/>
                <w:sz w:val="21"/>
              </w:rPr>
              <w:t>检测结果</w:t>
            </w:r>
          </w:p>
        </w:tc>
        <w:tc>
          <w:tcPr>
            <w:tcW w:w="638" w:type="dxa"/>
            <w:vMerge w:val="restart"/>
          </w:tcPr>
          <w:p w14:paraId="5AE16487">
            <w:pPr>
              <w:pStyle w:val="14"/>
              <w:spacing w:before="8"/>
              <w:rPr>
                <w:b/>
                <w:sz w:val="28"/>
              </w:rPr>
            </w:pPr>
          </w:p>
          <w:p w14:paraId="7AADEA9F">
            <w:pPr>
              <w:pStyle w:val="14"/>
              <w:ind w:left="106"/>
              <w:rPr>
                <w:b/>
                <w:sz w:val="21"/>
              </w:rPr>
            </w:pPr>
            <w:r>
              <w:rPr>
                <w:b/>
                <w:sz w:val="21"/>
              </w:rPr>
              <w:t>限值</w:t>
            </w:r>
          </w:p>
        </w:tc>
        <w:tc>
          <w:tcPr>
            <w:tcW w:w="1060" w:type="dxa"/>
            <w:vMerge w:val="restart"/>
          </w:tcPr>
          <w:p w14:paraId="109BB29B">
            <w:pPr>
              <w:pStyle w:val="14"/>
              <w:spacing w:before="8"/>
              <w:rPr>
                <w:b/>
                <w:sz w:val="28"/>
              </w:rPr>
            </w:pPr>
          </w:p>
          <w:p w14:paraId="65205C8D">
            <w:pPr>
              <w:pStyle w:val="14"/>
              <w:ind w:left="107"/>
              <w:rPr>
                <w:b/>
                <w:sz w:val="21"/>
              </w:rPr>
            </w:pPr>
            <w:r>
              <w:rPr>
                <w:b/>
                <w:sz w:val="21"/>
              </w:rPr>
              <w:t>是否达标</w:t>
            </w:r>
          </w:p>
        </w:tc>
      </w:tr>
      <w:tr w14:paraId="400AB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38" w:type="dxa"/>
            <w:vMerge w:val="continue"/>
            <w:tcBorders>
              <w:top w:val="nil"/>
            </w:tcBorders>
          </w:tcPr>
          <w:p w14:paraId="0910ED8E">
            <w:pPr>
              <w:rPr>
                <w:sz w:val="2"/>
                <w:szCs w:val="2"/>
              </w:rPr>
            </w:pPr>
          </w:p>
        </w:tc>
        <w:tc>
          <w:tcPr>
            <w:tcW w:w="1060" w:type="dxa"/>
            <w:vMerge w:val="continue"/>
            <w:tcBorders>
              <w:top w:val="nil"/>
            </w:tcBorders>
          </w:tcPr>
          <w:p w14:paraId="34EF85B6">
            <w:pPr>
              <w:rPr>
                <w:sz w:val="2"/>
                <w:szCs w:val="2"/>
              </w:rPr>
            </w:pPr>
          </w:p>
        </w:tc>
        <w:tc>
          <w:tcPr>
            <w:tcW w:w="729" w:type="dxa"/>
          </w:tcPr>
          <w:p w14:paraId="37F30089">
            <w:pPr>
              <w:pStyle w:val="14"/>
              <w:spacing w:line="268" w:lineRule="exact"/>
              <w:ind w:left="185"/>
              <w:rPr>
                <w:sz w:val="21"/>
              </w:rPr>
            </w:pPr>
            <w:r>
              <w:rPr>
                <w:rFonts w:ascii="Times New Roman" w:eastAsia="Times New Roman"/>
                <w:sz w:val="21"/>
              </w:rPr>
              <w:t xml:space="preserve">7 </w:t>
            </w:r>
            <w:r>
              <w:rPr>
                <w:sz w:val="21"/>
              </w:rPr>
              <w:t>月</w:t>
            </w:r>
          </w:p>
          <w:p w14:paraId="6550B54D">
            <w:pPr>
              <w:pStyle w:val="14"/>
              <w:spacing w:before="4" w:line="251" w:lineRule="exact"/>
              <w:ind w:left="137"/>
              <w:rPr>
                <w:sz w:val="21"/>
              </w:rPr>
            </w:pPr>
            <w:r>
              <w:rPr>
                <w:rFonts w:ascii="Times New Roman" w:eastAsia="Times New Roman"/>
                <w:sz w:val="21"/>
              </w:rPr>
              <w:t xml:space="preserve">11 </w:t>
            </w:r>
            <w:r>
              <w:rPr>
                <w:sz w:val="21"/>
              </w:rPr>
              <w:t>日</w:t>
            </w:r>
          </w:p>
        </w:tc>
        <w:tc>
          <w:tcPr>
            <w:tcW w:w="731" w:type="dxa"/>
          </w:tcPr>
          <w:p w14:paraId="366C5644">
            <w:pPr>
              <w:pStyle w:val="14"/>
              <w:spacing w:line="268" w:lineRule="exact"/>
              <w:ind w:left="186"/>
              <w:rPr>
                <w:sz w:val="21"/>
              </w:rPr>
            </w:pPr>
            <w:r>
              <w:rPr>
                <w:rFonts w:ascii="Times New Roman" w:eastAsia="Times New Roman"/>
                <w:sz w:val="21"/>
              </w:rPr>
              <w:t xml:space="preserve">7 </w:t>
            </w:r>
            <w:r>
              <w:rPr>
                <w:sz w:val="21"/>
              </w:rPr>
              <w:t>月</w:t>
            </w:r>
          </w:p>
          <w:p w14:paraId="7B10F895">
            <w:pPr>
              <w:pStyle w:val="14"/>
              <w:spacing w:before="4" w:line="251" w:lineRule="exact"/>
              <w:ind w:left="133"/>
              <w:rPr>
                <w:sz w:val="21"/>
              </w:rPr>
            </w:pPr>
            <w:r>
              <w:rPr>
                <w:rFonts w:ascii="Times New Roman" w:eastAsia="Times New Roman"/>
                <w:sz w:val="21"/>
              </w:rPr>
              <w:t xml:space="preserve">12 </w:t>
            </w:r>
            <w:r>
              <w:rPr>
                <w:sz w:val="21"/>
              </w:rPr>
              <w:t>日</w:t>
            </w:r>
          </w:p>
        </w:tc>
        <w:tc>
          <w:tcPr>
            <w:tcW w:w="731" w:type="dxa"/>
          </w:tcPr>
          <w:p w14:paraId="3AF9DB62">
            <w:pPr>
              <w:pStyle w:val="14"/>
              <w:spacing w:line="268" w:lineRule="exact"/>
              <w:ind w:left="187"/>
              <w:rPr>
                <w:sz w:val="21"/>
              </w:rPr>
            </w:pPr>
            <w:r>
              <w:rPr>
                <w:rFonts w:ascii="Times New Roman" w:eastAsia="Times New Roman"/>
                <w:sz w:val="21"/>
              </w:rPr>
              <w:t xml:space="preserve">7 </w:t>
            </w:r>
            <w:r>
              <w:rPr>
                <w:sz w:val="21"/>
              </w:rPr>
              <w:t>月</w:t>
            </w:r>
          </w:p>
          <w:p w14:paraId="6C8954B9">
            <w:pPr>
              <w:pStyle w:val="14"/>
              <w:spacing w:before="4" w:line="251" w:lineRule="exact"/>
              <w:ind w:left="134"/>
              <w:rPr>
                <w:sz w:val="21"/>
              </w:rPr>
            </w:pPr>
            <w:r>
              <w:rPr>
                <w:rFonts w:ascii="Times New Roman" w:eastAsia="Times New Roman"/>
                <w:sz w:val="21"/>
              </w:rPr>
              <w:t xml:space="preserve">13 </w:t>
            </w:r>
            <w:r>
              <w:rPr>
                <w:sz w:val="21"/>
              </w:rPr>
              <w:t>日</w:t>
            </w:r>
          </w:p>
        </w:tc>
        <w:tc>
          <w:tcPr>
            <w:tcW w:w="733" w:type="dxa"/>
          </w:tcPr>
          <w:p w14:paraId="710EB79C">
            <w:pPr>
              <w:pStyle w:val="14"/>
              <w:spacing w:line="268" w:lineRule="exact"/>
              <w:ind w:left="188"/>
              <w:rPr>
                <w:sz w:val="21"/>
              </w:rPr>
            </w:pPr>
            <w:r>
              <w:rPr>
                <w:rFonts w:ascii="Times New Roman" w:eastAsia="Times New Roman"/>
                <w:sz w:val="21"/>
              </w:rPr>
              <w:t xml:space="preserve">7 </w:t>
            </w:r>
            <w:r>
              <w:rPr>
                <w:sz w:val="21"/>
              </w:rPr>
              <w:t>月</w:t>
            </w:r>
          </w:p>
          <w:p w14:paraId="3EC89300">
            <w:pPr>
              <w:pStyle w:val="14"/>
              <w:spacing w:before="4" w:line="251" w:lineRule="exact"/>
              <w:ind w:left="135"/>
              <w:rPr>
                <w:sz w:val="21"/>
              </w:rPr>
            </w:pPr>
            <w:r>
              <w:rPr>
                <w:rFonts w:ascii="Times New Roman" w:eastAsia="Times New Roman"/>
                <w:sz w:val="21"/>
              </w:rPr>
              <w:t xml:space="preserve">15 </w:t>
            </w:r>
            <w:r>
              <w:rPr>
                <w:sz w:val="21"/>
              </w:rPr>
              <w:t>日</w:t>
            </w:r>
          </w:p>
        </w:tc>
        <w:tc>
          <w:tcPr>
            <w:tcW w:w="733" w:type="dxa"/>
          </w:tcPr>
          <w:p w14:paraId="32E1AB39">
            <w:pPr>
              <w:pStyle w:val="14"/>
              <w:spacing w:line="268" w:lineRule="exact"/>
              <w:ind w:left="187"/>
              <w:rPr>
                <w:sz w:val="21"/>
              </w:rPr>
            </w:pPr>
            <w:r>
              <w:rPr>
                <w:rFonts w:ascii="Times New Roman" w:eastAsia="Times New Roman"/>
                <w:sz w:val="21"/>
              </w:rPr>
              <w:t xml:space="preserve">7 </w:t>
            </w:r>
            <w:r>
              <w:rPr>
                <w:sz w:val="21"/>
              </w:rPr>
              <w:t>月</w:t>
            </w:r>
          </w:p>
          <w:p w14:paraId="2DB8AC12">
            <w:pPr>
              <w:pStyle w:val="14"/>
              <w:spacing w:before="4" w:line="251" w:lineRule="exact"/>
              <w:ind w:left="134"/>
              <w:rPr>
                <w:sz w:val="21"/>
              </w:rPr>
            </w:pPr>
            <w:r>
              <w:rPr>
                <w:rFonts w:ascii="Times New Roman" w:eastAsia="Times New Roman"/>
                <w:sz w:val="21"/>
              </w:rPr>
              <w:t xml:space="preserve">16 </w:t>
            </w:r>
            <w:r>
              <w:rPr>
                <w:sz w:val="21"/>
              </w:rPr>
              <w:t>日</w:t>
            </w:r>
          </w:p>
        </w:tc>
        <w:tc>
          <w:tcPr>
            <w:tcW w:w="733" w:type="dxa"/>
          </w:tcPr>
          <w:p w14:paraId="2FE7079B">
            <w:pPr>
              <w:pStyle w:val="14"/>
              <w:spacing w:line="268" w:lineRule="exact"/>
              <w:ind w:left="188"/>
              <w:rPr>
                <w:sz w:val="21"/>
              </w:rPr>
            </w:pPr>
            <w:r>
              <w:rPr>
                <w:rFonts w:ascii="Times New Roman" w:eastAsia="Times New Roman"/>
                <w:sz w:val="21"/>
              </w:rPr>
              <w:t xml:space="preserve">7 </w:t>
            </w:r>
            <w:r>
              <w:rPr>
                <w:sz w:val="21"/>
              </w:rPr>
              <w:t>月</w:t>
            </w:r>
          </w:p>
          <w:p w14:paraId="789BC9B1">
            <w:pPr>
              <w:pStyle w:val="14"/>
              <w:spacing w:before="4" w:line="251" w:lineRule="exact"/>
              <w:ind w:left="133"/>
              <w:rPr>
                <w:sz w:val="21"/>
              </w:rPr>
            </w:pPr>
            <w:r>
              <w:rPr>
                <w:rFonts w:ascii="Times New Roman" w:eastAsia="Times New Roman"/>
                <w:sz w:val="21"/>
              </w:rPr>
              <w:t xml:space="preserve">17 </w:t>
            </w:r>
            <w:r>
              <w:rPr>
                <w:sz w:val="21"/>
              </w:rPr>
              <w:t>日</w:t>
            </w:r>
          </w:p>
        </w:tc>
        <w:tc>
          <w:tcPr>
            <w:tcW w:w="736" w:type="dxa"/>
          </w:tcPr>
          <w:p w14:paraId="03C656A1">
            <w:pPr>
              <w:pStyle w:val="14"/>
              <w:spacing w:line="268" w:lineRule="exact"/>
              <w:ind w:left="187"/>
              <w:rPr>
                <w:sz w:val="21"/>
              </w:rPr>
            </w:pPr>
            <w:r>
              <w:rPr>
                <w:rFonts w:ascii="Times New Roman" w:eastAsia="Times New Roman"/>
                <w:sz w:val="21"/>
              </w:rPr>
              <w:t xml:space="preserve">7 </w:t>
            </w:r>
            <w:r>
              <w:rPr>
                <w:sz w:val="21"/>
              </w:rPr>
              <w:t>月</w:t>
            </w:r>
          </w:p>
          <w:p w14:paraId="5CE34CB3">
            <w:pPr>
              <w:pStyle w:val="14"/>
              <w:spacing w:before="4" w:line="251" w:lineRule="exact"/>
              <w:ind w:left="137"/>
              <w:rPr>
                <w:sz w:val="21"/>
              </w:rPr>
            </w:pPr>
            <w:r>
              <w:rPr>
                <w:rFonts w:ascii="Times New Roman" w:eastAsia="Times New Roman"/>
                <w:sz w:val="21"/>
              </w:rPr>
              <w:t xml:space="preserve">17 </w:t>
            </w:r>
            <w:r>
              <w:rPr>
                <w:sz w:val="21"/>
              </w:rPr>
              <w:t>日</w:t>
            </w:r>
          </w:p>
        </w:tc>
        <w:tc>
          <w:tcPr>
            <w:tcW w:w="638" w:type="dxa"/>
            <w:vMerge w:val="continue"/>
            <w:tcBorders>
              <w:top w:val="nil"/>
            </w:tcBorders>
          </w:tcPr>
          <w:p w14:paraId="25FDEE0C">
            <w:pPr>
              <w:rPr>
                <w:sz w:val="2"/>
                <w:szCs w:val="2"/>
              </w:rPr>
            </w:pPr>
          </w:p>
        </w:tc>
        <w:tc>
          <w:tcPr>
            <w:tcW w:w="1060" w:type="dxa"/>
            <w:vMerge w:val="continue"/>
            <w:tcBorders>
              <w:top w:val="nil"/>
            </w:tcBorders>
          </w:tcPr>
          <w:p w14:paraId="3AD5A833">
            <w:pPr>
              <w:rPr>
                <w:sz w:val="2"/>
                <w:szCs w:val="2"/>
              </w:rPr>
            </w:pPr>
          </w:p>
        </w:tc>
      </w:tr>
      <w:tr w14:paraId="49CC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vMerge w:val="restart"/>
          </w:tcPr>
          <w:p w14:paraId="7FC6F358">
            <w:pPr>
              <w:pStyle w:val="14"/>
              <w:rPr>
                <w:b/>
                <w:sz w:val="22"/>
              </w:rPr>
            </w:pPr>
          </w:p>
          <w:p w14:paraId="0F875CFE">
            <w:pPr>
              <w:pStyle w:val="14"/>
              <w:rPr>
                <w:b/>
                <w:sz w:val="22"/>
              </w:rPr>
            </w:pPr>
          </w:p>
          <w:p w14:paraId="331D4092">
            <w:pPr>
              <w:pStyle w:val="14"/>
              <w:spacing w:before="8"/>
              <w:rPr>
                <w:b/>
                <w:sz w:val="18"/>
              </w:rPr>
            </w:pPr>
          </w:p>
          <w:p w14:paraId="1EF218DE">
            <w:pPr>
              <w:pStyle w:val="14"/>
              <w:ind w:left="213"/>
              <w:rPr>
                <w:rFonts w:ascii="Times New Roman"/>
                <w:sz w:val="21"/>
              </w:rPr>
            </w:pPr>
            <w:r>
              <w:rPr>
                <w:rFonts w:ascii="Times New Roman"/>
                <w:sz w:val="21"/>
              </w:rPr>
              <w:t>1#</w:t>
            </w:r>
          </w:p>
        </w:tc>
        <w:tc>
          <w:tcPr>
            <w:tcW w:w="1060" w:type="dxa"/>
          </w:tcPr>
          <w:p w14:paraId="34A4BD41">
            <w:pPr>
              <w:pStyle w:val="14"/>
              <w:spacing w:before="90"/>
              <w:ind w:left="87" w:right="81"/>
              <w:jc w:val="center"/>
              <w:rPr>
                <w:sz w:val="21"/>
              </w:rPr>
            </w:pPr>
            <w:r>
              <w:rPr>
                <w:sz w:val="21"/>
              </w:rPr>
              <w:t>硫化氢</w:t>
            </w:r>
          </w:p>
        </w:tc>
        <w:tc>
          <w:tcPr>
            <w:tcW w:w="729" w:type="dxa"/>
          </w:tcPr>
          <w:p w14:paraId="2FD7968D">
            <w:pPr>
              <w:pStyle w:val="14"/>
              <w:spacing w:before="107"/>
              <w:ind w:left="6"/>
              <w:jc w:val="center"/>
              <w:rPr>
                <w:rFonts w:ascii="Times New Roman"/>
                <w:sz w:val="21"/>
              </w:rPr>
            </w:pPr>
            <w:r>
              <w:rPr>
                <w:rFonts w:ascii="Times New Roman"/>
                <w:w w:val="99"/>
                <w:sz w:val="21"/>
              </w:rPr>
              <w:t>4</w:t>
            </w:r>
          </w:p>
        </w:tc>
        <w:tc>
          <w:tcPr>
            <w:tcW w:w="731" w:type="dxa"/>
          </w:tcPr>
          <w:p w14:paraId="4902840B">
            <w:pPr>
              <w:pStyle w:val="14"/>
              <w:spacing w:before="107"/>
              <w:ind w:left="10"/>
              <w:jc w:val="center"/>
              <w:rPr>
                <w:rFonts w:ascii="Times New Roman"/>
                <w:sz w:val="21"/>
              </w:rPr>
            </w:pPr>
            <w:r>
              <w:rPr>
                <w:rFonts w:ascii="Times New Roman"/>
                <w:w w:val="99"/>
                <w:sz w:val="21"/>
              </w:rPr>
              <w:t>4</w:t>
            </w:r>
          </w:p>
        </w:tc>
        <w:tc>
          <w:tcPr>
            <w:tcW w:w="731" w:type="dxa"/>
          </w:tcPr>
          <w:p w14:paraId="1117361D">
            <w:pPr>
              <w:pStyle w:val="14"/>
              <w:spacing w:before="107"/>
              <w:ind w:left="7"/>
              <w:jc w:val="center"/>
              <w:rPr>
                <w:rFonts w:ascii="Times New Roman"/>
                <w:sz w:val="21"/>
              </w:rPr>
            </w:pPr>
            <w:r>
              <w:rPr>
                <w:rFonts w:ascii="Times New Roman"/>
                <w:w w:val="99"/>
                <w:sz w:val="21"/>
              </w:rPr>
              <w:t>3</w:t>
            </w:r>
          </w:p>
        </w:tc>
        <w:tc>
          <w:tcPr>
            <w:tcW w:w="733" w:type="dxa"/>
          </w:tcPr>
          <w:p w14:paraId="0358E951">
            <w:pPr>
              <w:pStyle w:val="14"/>
              <w:spacing w:before="107"/>
              <w:ind w:left="7"/>
              <w:jc w:val="center"/>
              <w:rPr>
                <w:rFonts w:ascii="Times New Roman"/>
                <w:sz w:val="21"/>
              </w:rPr>
            </w:pPr>
            <w:r>
              <w:rPr>
                <w:rFonts w:ascii="Times New Roman"/>
                <w:w w:val="99"/>
                <w:sz w:val="21"/>
              </w:rPr>
              <w:t>4</w:t>
            </w:r>
          </w:p>
        </w:tc>
        <w:tc>
          <w:tcPr>
            <w:tcW w:w="733" w:type="dxa"/>
          </w:tcPr>
          <w:p w14:paraId="3D7F3C34">
            <w:pPr>
              <w:pStyle w:val="14"/>
              <w:spacing w:before="107"/>
              <w:ind w:left="10"/>
              <w:jc w:val="center"/>
              <w:rPr>
                <w:rFonts w:ascii="Times New Roman"/>
                <w:sz w:val="21"/>
              </w:rPr>
            </w:pPr>
            <w:r>
              <w:rPr>
                <w:rFonts w:ascii="Times New Roman"/>
                <w:w w:val="99"/>
                <w:sz w:val="21"/>
              </w:rPr>
              <w:t>2</w:t>
            </w:r>
          </w:p>
        </w:tc>
        <w:tc>
          <w:tcPr>
            <w:tcW w:w="733" w:type="dxa"/>
          </w:tcPr>
          <w:p w14:paraId="571A9EA1">
            <w:pPr>
              <w:pStyle w:val="14"/>
              <w:spacing w:before="107"/>
              <w:ind w:left="8"/>
              <w:jc w:val="center"/>
              <w:rPr>
                <w:rFonts w:ascii="Times New Roman"/>
                <w:sz w:val="21"/>
              </w:rPr>
            </w:pPr>
            <w:r>
              <w:rPr>
                <w:rFonts w:ascii="Times New Roman"/>
                <w:w w:val="99"/>
                <w:sz w:val="21"/>
              </w:rPr>
              <w:t>3</w:t>
            </w:r>
          </w:p>
        </w:tc>
        <w:tc>
          <w:tcPr>
            <w:tcW w:w="736" w:type="dxa"/>
          </w:tcPr>
          <w:p w14:paraId="3F2B0117">
            <w:pPr>
              <w:pStyle w:val="14"/>
              <w:spacing w:before="107"/>
              <w:ind w:left="8"/>
              <w:jc w:val="center"/>
              <w:rPr>
                <w:rFonts w:ascii="Times New Roman"/>
                <w:sz w:val="21"/>
              </w:rPr>
            </w:pPr>
            <w:r>
              <w:rPr>
                <w:rFonts w:ascii="Times New Roman"/>
                <w:w w:val="99"/>
                <w:sz w:val="21"/>
              </w:rPr>
              <w:t>3</w:t>
            </w:r>
          </w:p>
        </w:tc>
        <w:tc>
          <w:tcPr>
            <w:tcW w:w="638" w:type="dxa"/>
          </w:tcPr>
          <w:p w14:paraId="31D232A7">
            <w:pPr>
              <w:pStyle w:val="14"/>
              <w:spacing w:before="107"/>
              <w:ind w:left="86" w:right="79"/>
              <w:jc w:val="center"/>
              <w:rPr>
                <w:rFonts w:ascii="Times New Roman"/>
                <w:sz w:val="21"/>
              </w:rPr>
            </w:pPr>
            <w:r>
              <w:rPr>
                <w:rFonts w:ascii="Times New Roman"/>
                <w:sz w:val="21"/>
              </w:rPr>
              <w:t>10</w:t>
            </w:r>
          </w:p>
        </w:tc>
        <w:tc>
          <w:tcPr>
            <w:tcW w:w="1060" w:type="dxa"/>
          </w:tcPr>
          <w:p w14:paraId="74F55BED">
            <w:pPr>
              <w:pStyle w:val="14"/>
              <w:spacing w:before="90"/>
              <w:ind w:left="7"/>
              <w:jc w:val="center"/>
              <w:rPr>
                <w:sz w:val="21"/>
              </w:rPr>
            </w:pPr>
            <w:r>
              <w:rPr>
                <w:w w:val="99"/>
                <w:sz w:val="21"/>
              </w:rPr>
              <w:t>是</w:t>
            </w:r>
          </w:p>
        </w:tc>
      </w:tr>
      <w:tr w14:paraId="5A1B7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vMerge w:val="continue"/>
            <w:tcBorders>
              <w:top w:val="nil"/>
            </w:tcBorders>
          </w:tcPr>
          <w:p w14:paraId="2F4AB1CF">
            <w:pPr>
              <w:rPr>
                <w:sz w:val="2"/>
                <w:szCs w:val="2"/>
              </w:rPr>
            </w:pPr>
          </w:p>
        </w:tc>
        <w:tc>
          <w:tcPr>
            <w:tcW w:w="1060" w:type="dxa"/>
          </w:tcPr>
          <w:p w14:paraId="7EB1F562">
            <w:pPr>
              <w:pStyle w:val="14"/>
              <w:spacing w:before="90"/>
              <w:ind w:left="8"/>
              <w:jc w:val="center"/>
              <w:rPr>
                <w:sz w:val="21"/>
              </w:rPr>
            </w:pPr>
            <w:r>
              <w:rPr>
                <w:w w:val="99"/>
                <w:sz w:val="21"/>
              </w:rPr>
              <w:t>氨</w:t>
            </w:r>
          </w:p>
        </w:tc>
        <w:tc>
          <w:tcPr>
            <w:tcW w:w="729" w:type="dxa"/>
          </w:tcPr>
          <w:p w14:paraId="4665F1B8">
            <w:pPr>
              <w:pStyle w:val="14"/>
              <w:spacing w:before="106"/>
              <w:ind w:left="237" w:right="231"/>
              <w:jc w:val="center"/>
              <w:rPr>
                <w:rFonts w:ascii="Times New Roman"/>
                <w:sz w:val="21"/>
              </w:rPr>
            </w:pPr>
            <w:r>
              <w:rPr>
                <w:rFonts w:ascii="Times New Roman"/>
                <w:sz w:val="21"/>
              </w:rPr>
              <w:t>42</w:t>
            </w:r>
          </w:p>
        </w:tc>
        <w:tc>
          <w:tcPr>
            <w:tcW w:w="731" w:type="dxa"/>
          </w:tcPr>
          <w:p w14:paraId="274219F7">
            <w:pPr>
              <w:pStyle w:val="14"/>
              <w:spacing w:before="106"/>
              <w:ind w:left="105" w:right="95"/>
              <w:jc w:val="center"/>
              <w:rPr>
                <w:rFonts w:ascii="Times New Roman"/>
                <w:sz w:val="21"/>
              </w:rPr>
            </w:pPr>
            <w:r>
              <w:rPr>
                <w:rFonts w:ascii="Times New Roman"/>
                <w:sz w:val="21"/>
              </w:rPr>
              <w:t>35</w:t>
            </w:r>
          </w:p>
        </w:tc>
        <w:tc>
          <w:tcPr>
            <w:tcW w:w="731" w:type="dxa"/>
          </w:tcPr>
          <w:p w14:paraId="465DDAF4">
            <w:pPr>
              <w:pStyle w:val="14"/>
              <w:spacing w:before="106"/>
              <w:ind w:left="259"/>
              <w:rPr>
                <w:rFonts w:ascii="Times New Roman"/>
                <w:sz w:val="21"/>
              </w:rPr>
            </w:pPr>
            <w:r>
              <w:rPr>
                <w:rFonts w:ascii="Times New Roman"/>
                <w:sz w:val="21"/>
              </w:rPr>
              <w:t>40</w:t>
            </w:r>
          </w:p>
        </w:tc>
        <w:tc>
          <w:tcPr>
            <w:tcW w:w="733" w:type="dxa"/>
          </w:tcPr>
          <w:p w14:paraId="42BA468A">
            <w:pPr>
              <w:pStyle w:val="14"/>
              <w:spacing w:before="106"/>
              <w:ind w:right="250"/>
              <w:jc w:val="right"/>
              <w:rPr>
                <w:rFonts w:ascii="Times New Roman"/>
                <w:sz w:val="21"/>
              </w:rPr>
            </w:pPr>
            <w:r>
              <w:rPr>
                <w:rFonts w:ascii="Times New Roman"/>
                <w:sz w:val="21"/>
              </w:rPr>
              <w:t>42</w:t>
            </w:r>
          </w:p>
        </w:tc>
        <w:tc>
          <w:tcPr>
            <w:tcW w:w="733" w:type="dxa"/>
          </w:tcPr>
          <w:p w14:paraId="3EF1E106">
            <w:pPr>
              <w:pStyle w:val="14"/>
              <w:spacing w:before="106"/>
              <w:ind w:left="135" w:right="125"/>
              <w:jc w:val="center"/>
              <w:rPr>
                <w:rFonts w:ascii="Times New Roman"/>
                <w:sz w:val="21"/>
              </w:rPr>
            </w:pPr>
            <w:r>
              <w:rPr>
                <w:rFonts w:ascii="Times New Roman"/>
                <w:sz w:val="21"/>
              </w:rPr>
              <w:t>42</w:t>
            </w:r>
          </w:p>
        </w:tc>
        <w:tc>
          <w:tcPr>
            <w:tcW w:w="733" w:type="dxa"/>
          </w:tcPr>
          <w:p w14:paraId="25DE4998">
            <w:pPr>
              <w:pStyle w:val="14"/>
              <w:spacing w:before="106"/>
              <w:ind w:left="135" w:right="127"/>
              <w:jc w:val="center"/>
              <w:rPr>
                <w:rFonts w:ascii="Times New Roman"/>
                <w:sz w:val="21"/>
              </w:rPr>
            </w:pPr>
            <w:r>
              <w:rPr>
                <w:rFonts w:ascii="Times New Roman"/>
                <w:sz w:val="21"/>
              </w:rPr>
              <w:t>45</w:t>
            </w:r>
          </w:p>
        </w:tc>
        <w:tc>
          <w:tcPr>
            <w:tcW w:w="736" w:type="dxa"/>
          </w:tcPr>
          <w:p w14:paraId="4244AA39">
            <w:pPr>
              <w:pStyle w:val="14"/>
              <w:spacing w:before="106"/>
              <w:ind w:left="137" w:right="129"/>
              <w:jc w:val="center"/>
              <w:rPr>
                <w:rFonts w:ascii="Times New Roman"/>
                <w:sz w:val="21"/>
              </w:rPr>
            </w:pPr>
            <w:r>
              <w:rPr>
                <w:rFonts w:ascii="Times New Roman"/>
                <w:sz w:val="21"/>
              </w:rPr>
              <w:t>35</w:t>
            </w:r>
          </w:p>
        </w:tc>
        <w:tc>
          <w:tcPr>
            <w:tcW w:w="638" w:type="dxa"/>
          </w:tcPr>
          <w:p w14:paraId="6DAC4D4F">
            <w:pPr>
              <w:pStyle w:val="14"/>
              <w:spacing w:before="106"/>
              <w:ind w:left="86" w:right="79"/>
              <w:jc w:val="center"/>
              <w:rPr>
                <w:rFonts w:ascii="Times New Roman"/>
                <w:sz w:val="21"/>
              </w:rPr>
            </w:pPr>
            <w:r>
              <w:rPr>
                <w:rFonts w:ascii="Times New Roman"/>
                <w:sz w:val="21"/>
              </w:rPr>
              <w:t>200</w:t>
            </w:r>
          </w:p>
        </w:tc>
        <w:tc>
          <w:tcPr>
            <w:tcW w:w="1060" w:type="dxa"/>
          </w:tcPr>
          <w:p w14:paraId="32806268">
            <w:pPr>
              <w:pStyle w:val="14"/>
              <w:spacing w:before="90"/>
              <w:ind w:left="7"/>
              <w:jc w:val="center"/>
              <w:rPr>
                <w:sz w:val="21"/>
              </w:rPr>
            </w:pPr>
            <w:r>
              <w:rPr>
                <w:w w:val="99"/>
                <w:sz w:val="21"/>
              </w:rPr>
              <w:t>是</w:t>
            </w:r>
          </w:p>
        </w:tc>
      </w:tr>
      <w:tr w14:paraId="4B7A7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vMerge w:val="continue"/>
            <w:tcBorders>
              <w:top w:val="nil"/>
            </w:tcBorders>
          </w:tcPr>
          <w:p w14:paraId="5CCD0588">
            <w:pPr>
              <w:rPr>
                <w:sz w:val="2"/>
                <w:szCs w:val="2"/>
              </w:rPr>
            </w:pPr>
          </w:p>
        </w:tc>
        <w:tc>
          <w:tcPr>
            <w:tcW w:w="1060" w:type="dxa"/>
          </w:tcPr>
          <w:p w14:paraId="771A1EAC">
            <w:pPr>
              <w:pStyle w:val="14"/>
              <w:spacing w:before="91"/>
              <w:ind w:left="89" w:right="81"/>
              <w:jc w:val="center"/>
              <w:rPr>
                <w:sz w:val="21"/>
              </w:rPr>
            </w:pPr>
            <w:r>
              <w:rPr>
                <w:sz w:val="21"/>
              </w:rPr>
              <w:t>臭气浓度</w:t>
            </w:r>
          </w:p>
        </w:tc>
        <w:tc>
          <w:tcPr>
            <w:tcW w:w="729" w:type="dxa"/>
          </w:tcPr>
          <w:p w14:paraId="71A188AE">
            <w:pPr>
              <w:pStyle w:val="14"/>
              <w:spacing w:before="91"/>
              <w:ind w:left="154"/>
              <w:rPr>
                <w:rFonts w:ascii="Times New Roman" w:eastAsia="Times New Roman"/>
                <w:sz w:val="21"/>
              </w:rPr>
            </w:pPr>
            <w:r>
              <w:rPr>
                <w:sz w:val="21"/>
              </w:rPr>
              <w:t>＜</w:t>
            </w:r>
            <w:r>
              <w:rPr>
                <w:rFonts w:ascii="Times New Roman" w:eastAsia="Times New Roman"/>
                <w:sz w:val="21"/>
              </w:rPr>
              <w:t>10</w:t>
            </w:r>
          </w:p>
        </w:tc>
        <w:tc>
          <w:tcPr>
            <w:tcW w:w="731" w:type="dxa"/>
          </w:tcPr>
          <w:p w14:paraId="7A8538C4">
            <w:pPr>
              <w:pStyle w:val="14"/>
              <w:spacing w:before="91"/>
              <w:ind w:right="144"/>
              <w:jc w:val="right"/>
              <w:rPr>
                <w:rFonts w:ascii="Times New Roman" w:eastAsia="Times New Roman"/>
                <w:sz w:val="21"/>
              </w:rPr>
            </w:pPr>
            <w:r>
              <w:rPr>
                <w:w w:val="95"/>
                <w:sz w:val="21"/>
              </w:rPr>
              <w:t>＜</w:t>
            </w:r>
            <w:r>
              <w:rPr>
                <w:rFonts w:ascii="Times New Roman" w:eastAsia="Times New Roman"/>
                <w:w w:val="95"/>
                <w:sz w:val="21"/>
              </w:rPr>
              <w:t>10</w:t>
            </w:r>
          </w:p>
        </w:tc>
        <w:tc>
          <w:tcPr>
            <w:tcW w:w="731" w:type="dxa"/>
          </w:tcPr>
          <w:p w14:paraId="19784FA3">
            <w:pPr>
              <w:pStyle w:val="14"/>
              <w:spacing w:before="91"/>
              <w:ind w:left="153"/>
              <w:rPr>
                <w:rFonts w:ascii="Times New Roman" w:eastAsia="Times New Roman"/>
                <w:sz w:val="21"/>
              </w:rPr>
            </w:pPr>
            <w:r>
              <w:rPr>
                <w:sz w:val="21"/>
              </w:rPr>
              <w:t>＜</w:t>
            </w:r>
            <w:r>
              <w:rPr>
                <w:rFonts w:ascii="Times New Roman" w:eastAsia="Times New Roman"/>
                <w:sz w:val="21"/>
              </w:rPr>
              <w:t>10</w:t>
            </w:r>
          </w:p>
        </w:tc>
        <w:tc>
          <w:tcPr>
            <w:tcW w:w="733" w:type="dxa"/>
          </w:tcPr>
          <w:p w14:paraId="2DDF3FC2">
            <w:pPr>
              <w:pStyle w:val="14"/>
              <w:spacing w:before="91"/>
              <w:ind w:right="144"/>
              <w:jc w:val="right"/>
              <w:rPr>
                <w:rFonts w:ascii="Times New Roman" w:eastAsia="Times New Roman"/>
                <w:sz w:val="21"/>
              </w:rPr>
            </w:pPr>
            <w:r>
              <w:rPr>
                <w:sz w:val="21"/>
              </w:rPr>
              <w:t>＜</w:t>
            </w:r>
            <w:r>
              <w:rPr>
                <w:rFonts w:ascii="Times New Roman" w:eastAsia="Times New Roman"/>
                <w:sz w:val="21"/>
              </w:rPr>
              <w:t>10</w:t>
            </w:r>
          </w:p>
        </w:tc>
        <w:tc>
          <w:tcPr>
            <w:tcW w:w="733" w:type="dxa"/>
          </w:tcPr>
          <w:p w14:paraId="16FEE357">
            <w:pPr>
              <w:pStyle w:val="14"/>
              <w:spacing w:before="91"/>
              <w:ind w:left="135" w:right="127"/>
              <w:jc w:val="center"/>
              <w:rPr>
                <w:rFonts w:ascii="Times New Roman" w:eastAsia="Times New Roman"/>
                <w:sz w:val="21"/>
              </w:rPr>
            </w:pPr>
            <w:r>
              <w:rPr>
                <w:sz w:val="21"/>
              </w:rPr>
              <w:t>＜</w:t>
            </w:r>
            <w:r>
              <w:rPr>
                <w:rFonts w:ascii="Times New Roman" w:eastAsia="Times New Roman"/>
                <w:sz w:val="21"/>
              </w:rPr>
              <w:t>10</w:t>
            </w:r>
          </w:p>
        </w:tc>
        <w:tc>
          <w:tcPr>
            <w:tcW w:w="733" w:type="dxa"/>
          </w:tcPr>
          <w:p w14:paraId="5DC45951">
            <w:pPr>
              <w:pStyle w:val="14"/>
              <w:spacing w:before="91"/>
              <w:ind w:left="135" w:right="127"/>
              <w:jc w:val="center"/>
              <w:rPr>
                <w:rFonts w:ascii="Times New Roman" w:eastAsia="Times New Roman"/>
                <w:sz w:val="21"/>
              </w:rPr>
            </w:pPr>
            <w:r>
              <w:rPr>
                <w:sz w:val="21"/>
              </w:rPr>
              <w:t>＜</w:t>
            </w:r>
            <w:r>
              <w:rPr>
                <w:rFonts w:ascii="Times New Roman" w:eastAsia="Times New Roman"/>
                <w:sz w:val="21"/>
              </w:rPr>
              <w:t>10</w:t>
            </w:r>
          </w:p>
        </w:tc>
        <w:tc>
          <w:tcPr>
            <w:tcW w:w="736" w:type="dxa"/>
          </w:tcPr>
          <w:p w14:paraId="3720AC34">
            <w:pPr>
              <w:pStyle w:val="14"/>
              <w:spacing w:before="91"/>
              <w:ind w:left="137" w:right="129"/>
              <w:jc w:val="center"/>
              <w:rPr>
                <w:rFonts w:ascii="Times New Roman" w:eastAsia="Times New Roman"/>
                <w:sz w:val="21"/>
              </w:rPr>
            </w:pPr>
            <w:r>
              <w:rPr>
                <w:sz w:val="21"/>
              </w:rPr>
              <w:t>＜</w:t>
            </w:r>
            <w:r>
              <w:rPr>
                <w:rFonts w:ascii="Times New Roman" w:eastAsia="Times New Roman"/>
                <w:sz w:val="21"/>
              </w:rPr>
              <w:t>10</w:t>
            </w:r>
          </w:p>
        </w:tc>
        <w:tc>
          <w:tcPr>
            <w:tcW w:w="638" w:type="dxa"/>
          </w:tcPr>
          <w:p w14:paraId="7B6CE49D">
            <w:pPr>
              <w:pStyle w:val="14"/>
              <w:spacing w:before="105"/>
              <w:ind w:left="8"/>
              <w:jc w:val="center"/>
              <w:rPr>
                <w:rFonts w:ascii="Times New Roman"/>
                <w:sz w:val="21"/>
              </w:rPr>
            </w:pPr>
            <w:r>
              <w:rPr>
                <w:rFonts w:ascii="Times New Roman"/>
                <w:w w:val="99"/>
                <w:sz w:val="21"/>
              </w:rPr>
              <w:t>/</w:t>
            </w:r>
          </w:p>
        </w:tc>
        <w:tc>
          <w:tcPr>
            <w:tcW w:w="1060" w:type="dxa"/>
          </w:tcPr>
          <w:p w14:paraId="17F1B7E1">
            <w:pPr>
              <w:pStyle w:val="14"/>
              <w:spacing w:before="91"/>
              <w:ind w:left="7"/>
              <w:jc w:val="center"/>
              <w:rPr>
                <w:sz w:val="21"/>
              </w:rPr>
            </w:pPr>
            <w:r>
              <w:rPr>
                <w:w w:val="99"/>
                <w:sz w:val="21"/>
              </w:rPr>
              <w:t>是</w:t>
            </w:r>
          </w:p>
        </w:tc>
      </w:tr>
      <w:tr w14:paraId="3FF3C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vMerge w:val="continue"/>
            <w:tcBorders>
              <w:top w:val="nil"/>
            </w:tcBorders>
          </w:tcPr>
          <w:p w14:paraId="40910F4C">
            <w:pPr>
              <w:rPr>
                <w:sz w:val="2"/>
                <w:szCs w:val="2"/>
              </w:rPr>
            </w:pPr>
          </w:p>
        </w:tc>
        <w:tc>
          <w:tcPr>
            <w:tcW w:w="1060" w:type="dxa"/>
          </w:tcPr>
          <w:p w14:paraId="4683F0C6">
            <w:pPr>
              <w:pStyle w:val="14"/>
              <w:spacing w:before="107"/>
              <w:ind w:left="88" w:right="81"/>
              <w:jc w:val="center"/>
              <w:rPr>
                <w:rFonts w:ascii="Times New Roman"/>
                <w:sz w:val="21"/>
              </w:rPr>
            </w:pPr>
            <w:r>
              <w:rPr>
                <w:rFonts w:ascii="Times New Roman"/>
                <w:sz w:val="21"/>
              </w:rPr>
              <w:t>TSP</w:t>
            </w:r>
          </w:p>
        </w:tc>
        <w:tc>
          <w:tcPr>
            <w:tcW w:w="729" w:type="dxa"/>
          </w:tcPr>
          <w:p w14:paraId="74B5953C">
            <w:pPr>
              <w:pStyle w:val="14"/>
              <w:spacing w:before="90"/>
              <w:ind w:left="207"/>
              <w:rPr>
                <w:rFonts w:ascii="Times New Roman" w:eastAsia="Times New Roman"/>
                <w:sz w:val="21"/>
              </w:rPr>
            </w:pPr>
            <w:r>
              <w:rPr>
                <w:sz w:val="21"/>
              </w:rPr>
              <w:t>＜</w:t>
            </w:r>
            <w:r>
              <w:rPr>
                <w:rFonts w:ascii="Times New Roman" w:eastAsia="Times New Roman"/>
                <w:sz w:val="21"/>
              </w:rPr>
              <w:t>7</w:t>
            </w:r>
          </w:p>
        </w:tc>
        <w:tc>
          <w:tcPr>
            <w:tcW w:w="731" w:type="dxa"/>
          </w:tcPr>
          <w:p w14:paraId="19F3F421">
            <w:pPr>
              <w:pStyle w:val="14"/>
              <w:spacing w:before="90"/>
              <w:ind w:right="197"/>
              <w:jc w:val="right"/>
              <w:rPr>
                <w:rFonts w:ascii="Times New Roman" w:eastAsia="Times New Roman"/>
                <w:sz w:val="21"/>
              </w:rPr>
            </w:pPr>
            <w:r>
              <w:rPr>
                <w:w w:val="95"/>
                <w:sz w:val="21"/>
              </w:rPr>
              <w:t>＜</w:t>
            </w:r>
            <w:r>
              <w:rPr>
                <w:rFonts w:ascii="Times New Roman" w:eastAsia="Times New Roman"/>
                <w:w w:val="95"/>
                <w:sz w:val="21"/>
              </w:rPr>
              <w:t>7</w:t>
            </w:r>
          </w:p>
        </w:tc>
        <w:tc>
          <w:tcPr>
            <w:tcW w:w="731" w:type="dxa"/>
          </w:tcPr>
          <w:p w14:paraId="18CCD895">
            <w:pPr>
              <w:pStyle w:val="14"/>
              <w:spacing w:before="90"/>
              <w:ind w:left="206"/>
              <w:rPr>
                <w:rFonts w:ascii="Times New Roman" w:eastAsia="Times New Roman"/>
                <w:sz w:val="21"/>
              </w:rPr>
            </w:pPr>
            <w:r>
              <w:rPr>
                <w:sz w:val="21"/>
              </w:rPr>
              <w:t>＜</w:t>
            </w:r>
            <w:r>
              <w:rPr>
                <w:rFonts w:ascii="Times New Roman" w:eastAsia="Times New Roman"/>
                <w:sz w:val="21"/>
              </w:rPr>
              <w:t>7</w:t>
            </w:r>
          </w:p>
        </w:tc>
        <w:tc>
          <w:tcPr>
            <w:tcW w:w="733" w:type="dxa"/>
          </w:tcPr>
          <w:p w14:paraId="082449B7">
            <w:pPr>
              <w:pStyle w:val="14"/>
              <w:spacing w:before="90"/>
              <w:ind w:right="197"/>
              <w:jc w:val="right"/>
              <w:rPr>
                <w:rFonts w:ascii="Times New Roman" w:eastAsia="Times New Roman"/>
                <w:sz w:val="21"/>
              </w:rPr>
            </w:pPr>
            <w:r>
              <w:rPr>
                <w:sz w:val="21"/>
              </w:rPr>
              <w:t>＜</w:t>
            </w:r>
            <w:r>
              <w:rPr>
                <w:rFonts w:ascii="Times New Roman" w:eastAsia="Times New Roman"/>
                <w:sz w:val="21"/>
              </w:rPr>
              <w:t>7</w:t>
            </w:r>
          </w:p>
        </w:tc>
        <w:tc>
          <w:tcPr>
            <w:tcW w:w="733" w:type="dxa"/>
          </w:tcPr>
          <w:p w14:paraId="3B4133EC">
            <w:pPr>
              <w:pStyle w:val="14"/>
              <w:spacing w:before="90"/>
              <w:ind w:left="135" w:right="127"/>
              <w:jc w:val="center"/>
              <w:rPr>
                <w:rFonts w:ascii="Times New Roman" w:eastAsia="Times New Roman"/>
                <w:sz w:val="21"/>
              </w:rPr>
            </w:pPr>
            <w:r>
              <w:rPr>
                <w:sz w:val="21"/>
              </w:rPr>
              <w:t>＜</w:t>
            </w:r>
            <w:r>
              <w:rPr>
                <w:rFonts w:ascii="Times New Roman" w:eastAsia="Times New Roman"/>
                <w:sz w:val="21"/>
              </w:rPr>
              <w:t>7</w:t>
            </w:r>
          </w:p>
        </w:tc>
        <w:tc>
          <w:tcPr>
            <w:tcW w:w="733" w:type="dxa"/>
          </w:tcPr>
          <w:p w14:paraId="368BA47B">
            <w:pPr>
              <w:pStyle w:val="14"/>
              <w:spacing w:before="90"/>
              <w:ind w:left="135" w:right="127"/>
              <w:jc w:val="center"/>
              <w:rPr>
                <w:rFonts w:ascii="Times New Roman" w:eastAsia="Times New Roman"/>
                <w:sz w:val="21"/>
              </w:rPr>
            </w:pPr>
            <w:r>
              <w:rPr>
                <w:sz w:val="21"/>
              </w:rPr>
              <w:t>＜</w:t>
            </w:r>
            <w:r>
              <w:rPr>
                <w:rFonts w:ascii="Times New Roman" w:eastAsia="Times New Roman"/>
                <w:sz w:val="21"/>
              </w:rPr>
              <w:t>7</w:t>
            </w:r>
          </w:p>
        </w:tc>
        <w:tc>
          <w:tcPr>
            <w:tcW w:w="736" w:type="dxa"/>
          </w:tcPr>
          <w:p w14:paraId="2A86E263">
            <w:pPr>
              <w:pStyle w:val="14"/>
              <w:spacing w:before="90"/>
              <w:ind w:left="137" w:right="129"/>
              <w:jc w:val="center"/>
              <w:rPr>
                <w:rFonts w:ascii="Times New Roman" w:eastAsia="Times New Roman"/>
                <w:sz w:val="21"/>
              </w:rPr>
            </w:pPr>
            <w:r>
              <w:rPr>
                <w:sz w:val="21"/>
              </w:rPr>
              <w:t>＜</w:t>
            </w:r>
            <w:r>
              <w:rPr>
                <w:rFonts w:ascii="Times New Roman" w:eastAsia="Times New Roman"/>
                <w:sz w:val="21"/>
              </w:rPr>
              <w:t>7</w:t>
            </w:r>
          </w:p>
        </w:tc>
        <w:tc>
          <w:tcPr>
            <w:tcW w:w="638" w:type="dxa"/>
          </w:tcPr>
          <w:p w14:paraId="104FA651">
            <w:pPr>
              <w:pStyle w:val="14"/>
              <w:spacing w:before="107"/>
              <w:ind w:left="86" w:right="79"/>
              <w:jc w:val="center"/>
              <w:rPr>
                <w:rFonts w:ascii="Times New Roman"/>
                <w:sz w:val="21"/>
              </w:rPr>
            </w:pPr>
            <w:r>
              <w:rPr>
                <w:rFonts w:ascii="Times New Roman"/>
                <w:sz w:val="21"/>
              </w:rPr>
              <w:t>300</w:t>
            </w:r>
          </w:p>
        </w:tc>
        <w:tc>
          <w:tcPr>
            <w:tcW w:w="1060" w:type="dxa"/>
          </w:tcPr>
          <w:p w14:paraId="277AD570">
            <w:pPr>
              <w:pStyle w:val="14"/>
              <w:spacing w:before="90"/>
              <w:ind w:left="7"/>
              <w:jc w:val="center"/>
              <w:rPr>
                <w:sz w:val="21"/>
              </w:rPr>
            </w:pPr>
            <w:r>
              <w:rPr>
                <w:w w:val="99"/>
                <w:sz w:val="21"/>
              </w:rPr>
              <w:t>是</w:t>
            </w:r>
          </w:p>
        </w:tc>
      </w:tr>
      <w:tr w14:paraId="10C76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38" w:type="dxa"/>
            <w:vMerge w:val="restart"/>
            <w:tcBorders>
              <w:bottom w:val="nil"/>
            </w:tcBorders>
          </w:tcPr>
          <w:p w14:paraId="3E965D16">
            <w:pPr>
              <w:pStyle w:val="14"/>
              <w:spacing w:before="6"/>
              <w:rPr>
                <w:b/>
                <w:sz w:val="26"/>
              </w:rPr>
            </w:pPr>
          </w:p>
          <w:p w14:paraId="57A1D6E6">
            <w:pPr>
              <w:pStyle w:val="14"/>
              <w:ind w:left="213"/>
              <w:rPr>
                <w:rFonts w:ascii="Times New Roman"/>
                <w:sz w:val="21"/>
              </w:rPr>
            </w:pPr>
            <w:r>
              <w:rPr>
                <w:rFonts w:ascii="Times New Roman"/>
                <w:sz w:val="21"/>
              </w:rPr>
              <w:t>2#</w:t>
            </w:r>
          </w:p>
        </w:tc>
        <w:tc>
          <w:tcPr>
            <w:tcW w:w="1060" w:type="dxa"/>
          </w:tcPr>
          <w:p w14:paraId="74A938FF">
            <w:pPr>
              <w:pStyle w:val="14"/>
              <w:spacing w:before="90"/>
              <w:ind w:left="87" w:right="81"/>
              <w:jc w:val="center"/>
              <w:rPr>
                <w:sz w:val="21"/>
              </w:rPr>
            </w:pPr>
            <w:r>
              <w:rPr>
                <w:sz w:val="21"/>
              </w:rPr>
              <w:t>硫化氢</w:t>
            </w:r>
          </w:p>
        </w:tc>
        <w:tc>
          <w:tcPr>
            <w:tcW w:w="729" w:type="dxa"/>
          </w:tcPr>
          <w:p w14:paraId="3918E564">
            <w:pPr>
              <w:pStyle w:val="14"/>
              <w:spacing w:before="106"/>
              <w:ind w:left="6"/>
              <w:jc w:val="center"/>
              <w:rPr>
                <w:rFonts w:ascii="Times New Roman"/>
                <w:sz w:val="21"/>
              </w:rPr>
            </w:pPr>
            <w:r>
              <w:rPr>
                <w:rFonts w:ascii="Times New Roman"/>
                <w:w w:val="99"/>
                <w:sz w:val="21"/>
              </w:rPr>
              <w:t>3</w:t>
            </w:r>
          </w:p>
        </w:tc>
        <w:tc>
          <w:tcPr>
            <w:tcW w:w="731" w:type="dxa"/>
          </w:tcPr>
          <w:p w14:paraId="5CE86DA6">
            <w:pPr>
              <w:pStyle w:val="14"/>
              <w:spacing w:before="106"/>
              <w:ind w:left="10"/>
              <w:jc w:val="center"/>
              <w:rPr>
                <w:rFonts w:ascii="Times New Roman"/>
                <w:sz w:val="21"/>
              </w:rPr>
            </w:pPr>
            <w:r>
              <w:rPr>
                <w:rFonts w:ascii="Times New Roman"/>
                <w:w w:val="99"/>
                <w:sz w:val="21"/>
              </w:rPr>
              <w:t>4</w:t>
            </w:r>
          </w:p>
        </w:tc>
        <w:tc>
          <w:tcPr>
            <w:tcW w:w="731" w:type="dxa"/>
          </w:tcPr>
          <w:p w14:paraId="0E00AAF4">
            <w:pPr>
              <w:pStyle w:val="14"/>
              <w:spacing w:before="106"/>
              <w:ind w:left="7"/>
              <w:jc w:val="center"/>
              <w:rPr>
                <w:rFonts w:ascii="Times New Roman"/>
                <w:sz w:val="21"/>
              </w:rPr>
            </w:pPr>
            <w:r>
              <w:rPr>
                <w:rFonts w:ascii="Times New Roman"/>
                <w:w w:val="99"/>
                <w:sz w:val="21"/>
              </w:rPr>
              <w:t>4</w:t>
            </w:r>
          </w:p>
        </w:tc>
        <w:tc>
          <w:tcPr>
            <w:tcW w:w="733" w:type="dxa"/>
          </w:tcPr>
          <w:p w14:paraId="5F058BC6">
            <w:pPr>
              <w:pStyle w:val="14"/>
              <w:spacing w:before="106"/>
              <w:ind w:left="7"/>
              <w:jc w:val="center"/>
              <w:rPr>
                <w:rFonts w:ascii="Times New Roman"/>
                <w:sz w:val="21"/>
              </w:rPr>
            </w:pPr>
            <w:r>
              <w:rPr>
                <w:rFonts w:ascii="Times New Roman"/>
                <w:w w:val="99"/>
                <w:sz w:val="21"/>
              </w:rPr>
              <w:t>3</w:t>
            </w:r>
          </w:p>
        </w:tc>
        <w:tc>
          <w:tcPr>
            <w:tcW w:w="733" w:type="dxa"/>
          </w:tcPr>
          <w:p w14:paraId="078679C8">
            <w:pPr>
              <w:pStyle w:val="14"/>
              <w:spacing w:before="106"/>
              <w:ind w:left="10"/>
              <w:jc w:val="center"/>
              <w:rPr>
                <w:rFonts w:ascii="Times New Roman"/>
                <w:sz w:val="21"/>
              </w:rPr>
            </w:pPr>
            <w:r>
              <w:rPr>
                <w:rFonts w:ascii="Times New Roman"/>
                <w:w w:val="99"/>
                <w:sz w:val="21"/>
              </w:rPr>
              <w:t>2</w:t>
            </w:r>
          </w:p>
        </w:tc>
        <w:tc>
          <w:tcPr>
            <w:tcW w:w="733" w:type="dxa"/>
          </w:tcPr>
          <w:p w14:paraId="39CF9610">
            <w:pPr>
              <w:pStyle w:val="14"/>
              <w:spacing w:before="106"/>
              <w:ind w:left="8"/>
              <w:jc w:val="center"/>
              <w:rPr>
                <w:rFonts w:ascii="Times New Roman"/>
                <w:sz w:val="21"/>
              </w:rPr>
            </w:pPr>
            <w:r>
              <w:rPr>
                <w:rFonts w:ascii="Times New Roman"/>
                <w:w w:val="99"/>
                <w:sz w:val="21"/>
              </w:rPr>
              <w:t>3</w:t>
            </w:r>
          </w:p>
        </w:tc>
        <w:tc>
          <w:tcPr>
            <w:tcW w:w="736" w:type="dxa"/>
          </w:tcPr>
          <w:p w14:paraId="6E2B2424">
            <w:pPr>
              <w:pStyle w:val="14"/>
              <w:spacing w:before="106"/>
              <w:ind w:left="8"/>
              <w:jc w:val="center"/>
              <w:rPr>
                <w:rFonts w:ascii="Times New Roman"/>
                <w:sz w:val="21"/>
              </w:rPr>
            </w:pPr>
            <w:r>
              <w:rPr>
                <w:rFonts w:ascii="Times New Roman"/>
                <w:w w:val="99"/>
                <w:sz w:val="21"/>
              </w:rPr>
              <w:t>3</w:t>
            </w:r>
          </w:p>
        </w:tc>
        <w:tc>
          <w:tcPr>
            <w:tcW w:w="638" w:type="dxa"/>
          </w:tcPr>
          <w:p w14:paraId="0C1617D9">
            <w:pPr>
              <w:pStyle w:val="14"/>
              <w:spacing w:before="106"/>
              <w:ind w:left="86" w:right="79"/>
              <w:jc w:val="center"/>
              <w:rPr>
                <w:rFonts w:ascii="Times New Roman"/>
                <w:sz w:val="21"/>
              </w:rPr>
            </w:pPr>
            <w:r>
              <w:rPr>
                <w:rFonts w:ascii="Times New Roman"/>
                <w:sz w:val="21"/>
              </w:rPr>
              <w:t>10</w:t>
            </w:r>
          </w:p>
        </w:tc>
        <w:tc>
          <w:tcPr>
            <w:tcW w:w="1060" w:type="dxa"/>
          </w:tcPr>
          <w:p w14:paraId="49F9DD6F">
            <w:pPr>
              <w:pStyle w:val="14"/>
              <w:spacing w:before="90"/>
              <w:ind w:left="7"/>
              <w:jc w:val="center"/>
              <w:rPr>
                <w:sz w:val="21"/>
              </w:rPr>
            </w:pPr>
            <w:r>
              <w:rPr>
                <w:w w:val="99"/>
                <w:sz w:val="21"/>
              </w:rPr>
              <w:t>是</w:t>
            </w:r>
          </w:p>
        </w:tc>
      </w:tr>
      <w:tr w14:paraId="7CE6D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38" w:type="dxa"/>
            <w:vMerge w:val="continue"/>
            <w:tcBorders>
              <w:top w:val="nil"/>
              <w:bottom w:val="nil"/>
            </w:tcBorders>
          </w:tcPr>
          <w:p w14:paraId="6859C171">
            <w:pPr>
              <w:rPr>
                <w:sz w:val="2"/>
                <w:szCs w:val="2"/>
              </w:rPr>
            </w:pPr>
          </w:p>
        </w:tc>
        <w:tc>
          <w:tcPr>
            <w:tcW w:w="1060" w:type="dxa"/>
          </w:tcPr>
          <w:p w14:paraId="5E8E82B9">
            <w:pPr>
              <w:pStyle w:val="14"/>
              <w:spacing w:before="91"/>
              <w:ind w:left="8"/>
              <w:jc w:val="center"/>
              <w:rPr>
                <w:sz w:val="21"/>
              </w:rPr>
            </w:pPr>
            <w:r>
              <w:rPr>
                <w:w w:val="99"/>
                <w:sz w:val="21"/>
              </w:rPr>
              <w:t>氨</w:t>
            </w:r>
          </w:p>
        </w:tc>
        <w:tc>
          <w:tcPr>
            <w:tcW w:w="729" w:type="dxa"/>
          </w:tcPr>
          <w:p w14:paraId="3BE82DEC">
            <w:pPr>
              <w:pStyle w:val="14"/>
              <w:spacing w:before="105"/>
              <w:ind w:left="237" w:right="231"/>
              <w:jc w:val="center"/>
              <w:rPr>
                <w:rFonts w:ascii="Times New Roman"/>
                <w:sz w:val="21"/>
              </w:rPr>
            </w:pPr>
            <w:r>
              <w:rPr>
                <w:rFonts w:ascii="Times New Roman"/>
                <w:sz w:val="21"/>
              </w:rPr>
              <w:t>32</w:t>
            </w:r>
          </w:p>
        </w:tc>
        <w:tc>
          <w:tcPr>
            <w:tcW w:w="731" w:type="dxa"/>
          </w:tcPr>
          <w:p w14:paraId="6A65C2A5">
            <w:pPr>
              <w:pStyle w:val="14"/>
              <w:spacing w:before="105"/>
              <w:ind w:left="105" w:right="95"/>
              <w:jc w:val="center"/>
              <w:rPr>
                <w:rFonts w:ascii="Times New Roman"/>
                <w:sz w:val="21"/>
              </w:rPr>
            </w:pPr>
            <w:r>
              <w:rPr>
                <w:rFonts w:ascii="Times New Roman"/>
                <w:sz w:val="21"/>
              </w:rPr>
              <w:t>35</w:t>
            </w:r>
          </w:p>
        </w:tc>
        <w:tc>
          <w:tcPr>
            <w:tcW w:w="731" w:type="dxa"/>
          </w:tcPr>
          <w:p w14:paraId="4B0C50EF">
            <w:pPr>
              <w:pStyle w:val="14"/>
              <w:spacing w:before="105"/>
              <w:ind w:left="259"/>
              <w:rPr>
                <w:rFonts w:ascii="Times New Roman"/>
                <w:sz w:val="21"/>
              </w:rPr>
            </w:pPr>
            <w:r>
              <w:rPr>
                <w:rFonts w:ascii="Times New Roman"/>
                <w:sz w:val="21"/>
              </w:rPr>
              <w:t>42</w:t>
            </w:r>
          </w:p>
        </w:tc>
        <w:tc>
          <w:tcPr>
            <w:tcW w:w="733" w:type="dxa"/>
          </w:tcPr>
          <w:p w14:paraId="5A7C684B">
            <w:pPr>
              <w:pStyle w:val="14"/>
              <w:spacing w:before="105"/>
              <w:ind w:right="250"/>
              <w:jc w:val="right"/>
              <w:rPr>
                <w:rFonts w:ascii="Times New Roman"/>
                <w:sz w:val="21"/>
              </w:rPr>
            </w:pPr>
            <w:r>
              <w:rPr>
                <w:rFonts w:ascii="Times New Roman"/>
                <w:sz w:val="21"/>
              </w:rPr>
              <w:t>48</w:t>
            </w:r>
          </w:p>
        </w:tc>
        <w:tc>
          <w:tcPr>
            <w:tcW w:w="733" w:type="dxa"/>
          </w:tcPr>
          <w:p w14:paraId="1C391CC3">
            <w:pPr>
              <w:pStyle w:val="14"/>
              <w:spacing w:before="105"/>
              <w:ind w:left="135" w:right="125"/>
              <w:jc w:val="center"/>
              <w:rPr>
                <w:rFonts w:ascii="Times New Roman"/>
                <w:sz w:val="21"/>
              </w:rPr>
            </w:pPr>
            <w:r>
              <w:rPr>
                <w:rFonts w:ascii="Times New Roman"/>
                <w:sz w:val="21"/>
              </w:rPr>
              <w:t>42</w:t>
            </w:r>
          </w:p>
        </w:tc>
        <w:tc>
          <w:tcPr>
            <w:tcW w:w="733" w:type="dxa"/>
          </w:tcPr>
          <w:p w14:paraId="4DCF8E41">
            <w:pPr>
              <w:pStyle w:val="14"/>
              <w:spacing w:before="105"/>
              <w:ind w:left="135" w:right="127"/>
              <w:jc w:val="center"/>
              <w:rPr>
                <w:rFonts w:ascii="Times New Roman"/>
                <w:sz w:val="21"/>
              </w:rPr>
            </w:pPr>
            <w:r>
              <w:rPr>
                <w:rFonts w:ascii="Times New Roman"/>
                <w:sz w:val="21"/>
              </w:rPr>
              <w:t>35</w:t>
            </w:r>
          </w:p>
        </w:tc>
        <w:tc>
          <w:tcPr>
            <w:tcW w:w="736" w:type="dxa"/>
          </w:tcPr>
          <w:p w14:paraId="1AB72614">
            <w:pPr>
              <w:pStyle w:val="14"/>
              <w:spacing w:before="105"/>
              <w:ind w:left="137" w:right="129"/>
              <w:jc w:val="center"/>
              <w:rPr>
                <w:rFonts w:ascii="Times New Roman"/>
                <w:sz w:val="21"/>
              </w:rPr>
            </w:pPr>
            <w:r>
              <w:rPr>
                <w:rFonts w:ascii="Times New Roman"/>
                <w:sz w:val="21"/>
              </w:rPr>
              <w:t>500</w:t>
            </w:r>
          </w:p>
        </w:tc>
        <w:tc>
          <w:tcPr>
            <w:tcW w:w="638" w:type="dxa"/>
          </w:tcPr>
          <w:p w14:paraId="60022F27">
            <w:pPr>
              <w:pStyle w:val="14"/>
              <w:spacing w:before="105"/>
              <w:ind w:left="86" w:right="79"/>
              <w:jc w:val="center"/>
              <w:rPr>
                <w:rFonts w:ascii="Times New Roman"/>
                <w:sz w:val="21"/>
              </w:rPr>
            </w:pPr>
            <w:r>
              <w:rPr>
                <w:rFonts w:ascii="Times New Roman"/>
                <w:sz w:val="21"/>
              </w:rPr>
              <w:t>200</w:t>
            </w:r>
          </w:p>
        </w:tc>
        <w:tc>
          <w:tcPr>
            <w:tcW w:w="1060" w:type="dxa"/>
          </w:tcPr>
          <w:p w14:paraId="7B6B4F31">
            <w:pPr>
              <w:pStyle w:val="14"/>
              <w:spacing w:before="91"/>
              <w:ind w:left="7"/>
              <w:jc w:val="center"/>
              <w:rPr>
                <w:sz w:val="21"/>
              </w:rPr>
            </w:pPr>
            <w:r>
              <w:rPr>
                <w:w w:val="99"/>
                <w:sz w:val="21"/>
              </w:rPr>
              <w:t>是</w:t>
            </w:r>
          </w:p>
        </w:tc>
      </w:tr>
    </w:tbl>
    <w:p w14:paraId="14F273F5">
      <w:pPr>
        <w:spacing w:after="0"/>
        <w:jc w:val="center"/>
        <w:rPr>
          <w:sz w:val="21"/>
        </w:rPr>
        <w:sectPr>
          <w:footerReference r:id="rId32" w:type="default"/>
          <w:pgSz w:w="11910" w:h="16840"/>
          <w:pgMar w:top="1360" w:right="1320" w:bottom="1400" w:left="1340" w:header="878" w:footer="1204" w:gutter="0"/>
          <w:pgNumType w:start="90"/>
          <w:cols w:space="720" w:num="1"/>
        </w:sectPr>
      </w:pPr>
    </w:p>
    <w:p w14:paraId="06B23B22">
      <w:pPr>
        <w:pStyle w:val="7"/>
        <w:spacing w:before="11"/>
        <w:rPr>
          <w:b/>
          <w:sz w:val="4"/>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1060"/>
        <w:gridCol w:w="729"/>
        <w:gridCol w:w="731"/>
        <w:gridCol w:w="731"/>
        <w:gridCol w:w="733"/>
        <w:gridCol w:w="733"/>
        <w:gridCol w:w="733"/>
        <w:gridCol w:w="736"/>
        <w:gridCol w:w="638"/>
        <w:gridCol w:w="1060"/>
      </w:tblGrid>
      <w:tr w14:paraId="30B5A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638" w:type="dxa"/>
            <w:vMerge w:val="restart"/>
            <w:tcBorders>
              <w:top w:val="nil"/>
            </w:tcBorders>
          </w:tcPr>
          <w:p w14:paraId="4DF7790B">
            <w:pPr>
              <w:pStyle w:val="14"/>
              <w:rPr>
                <w:rFonts w:ascii="Times New Roman"/>
                <w:sz w:val="22"/>
              </w:rPr>
            </w:pPr>
          </w:p>
        </w:tc>
        <w:tc>
          <w:tcPr>
            <w:tcW w:w="1060" w:type="dxa"/>
            <w:tcBorders>
              <w:top w:val="nil"/>
            </w:tcBorders>
          </w:tcPr>
          <w:p w14:paraId="00978195">
            <w:pPr>
              <w:pStyle w:val="14"/>
              <w:spacing w:before="100"/>
              <w:ind w:left="89" w:right="81"/>
              <w:jc w:val="center"/>
              <w:rPr>
                <w:sz w:val="21"/>
              </w:rPr>
            </w:pPr>
            <w:r>
              <w:rPr>
                <w:sz w:val="21"/>
              </w:rPr>
              <w:t>臭气浓度</w:t>
            </w:r>
          </w:p>
        </w:tc>
        <w:tc>
          <w:tcPr>
            <w:tcW w:w="729" w:type="dxa"/>
            <w:tcBorders>
              <w:top w:val="nil"/>
            </w:tcBorders>
          </w:tcPr>
          <w:p w14:paraId="62B71970">
            <w:pPr>
              <w:pStyle w:val="14"/>
              <w:spacing w:before="100"/>
              <w:ind w:left="154"/>
              <w:rPr>
                <w:rFonts w:ascii="Times New Roman" w:eastAsia="Times New Roman"/>
                <w:sz w:val="21"/>
              </w:rPr>
            </w:pPr>
            <w:r>
              <w:rPr>
                <w:sz w:val="21"/>
              </w:rPr>
              <w:t>＜</w:t>
            </w:r>
            <w:r>
              <w:rPr>
                <w:rFonts w:ascii="Times New Roman" w:eastAsia="Times New Roman"/>
                <w:sz w:val="21"/>
              </w:rPr>
              <w:t>10</w:t>
            </w:r>
          </w:p>
        </w:tc>
        <w:tc>
          <w:tcPr>
            <w:tcW w:w="731" w:type="dxa"/>
            <w:tcBorders>
              <w:top w:val="nil"/>
            </w:tcBorders>
          </w:tcPr>
          <w:p w14:paraId="59C1FBCE">
            <w:pPr>
              <w:pStyle w:val="14"/>
              <w:spacing w:before="100"/>
              <w:ind w:right="144"/>
              <w:jc w:val="right"/>
              <w:rPr>
                <w:rFonts w:ascii="Times New Roman" w:eastAsia="Times New Roman"/>
                <w:sz w:val="21"/>
              </w:rPr>
            </w:pPr>
            <w:r>
              <w:rPr>
                <w:w w:val="95"/>
                <w:sz w:val="21"/>
              </w:rPr>
              <w:t>＜</w:t>
            </w:r>
            <w:r>
              <w:rPr>
                <w:rFonts w:ascii="Times New Roman" w:eastAsia="Times New Roman"/>
                <w:w w:val="95"/>
                <w:sz w:val="21"/>
              </w:rPr>
              <w:t>10</w:t>
            </w:r>
          </w:p>
        </w:tc>
        <w:tc>
          <w:tcPr>
            <w:tcW w:w="731" w:type="dxa"/>
            <w:tcBorders>
              <w:top w:val="nil"/>
            </w:tcBorders>
          </w:tcPr>
          <w:p w14:paraId="71D52E95">
            <w:pPr>
              <w:pStyle w:val="14"/>
              <w:spacing w:before="100"/>
              <w:ind w:left="153"/>
              <w:rPr>
                <w:rFonts w:ascii="Times New Roman" w:eastAsia="Times New Roman"/>
                <w:sz w:val="21"/>
              </w:rPr>
            </w:pPr>
            <w:r>
              <w:rPr>
                <w:sz w:val="21"/>
              </w:rPr>
              <w:t>＜</w:t>
            </w:r>
            <w:r>
              <w:rPr>
                <w:rFonts w:ascii="Times New Roman" w:eastAsia="Times New Roman"/>
                <w:sz w:val="21"/>
              </w:rPr>
              <w:t>10</w:t>
            </w:r>
          </w:p>
        </w:tc>
        <w:tc>
          <w:tcPr>
            <w:tcW w:w="733" w:type="dxa"/>
            <w:tcBorders>
              <w:top w:val="nil"/>
            </w:tcBorders>
          </w:tcPr>
          <w:p w14:paraId="36E358F4">
            <w:pPr>
              <w:pStyle w:val="14"/>
              <w:spacing w:before="100"/>
              <w:ind w:left="154"/>
              <w:rPr>
                <w:rFonts w:ascii="Times New Roman" w:eastAsia="Times New Roman"/>
                <w:sz w:val="21"/>
              </w:rPr>
            </w:pPr>
            <w:r>
              <w:rPr>
                <w:sz w:val="21"/>
              </w:rPr>
              <w:t>＜</w:t>
            </w:r>
            <w:r>
              <w:rPr>
                <w:rFonts w:ascii="Times New Roman" w:eastAsia="Times New Roman"/>
                <w:sz w:val="21"/>
              </w:rPr>
              <w:t>10</w:t>
            </w:r>
          </w:p>
        </w:tc>
        <w:tc>
          <w:tcPr>
            <w:tcW w:w="733" w:type="dxa"/>
            <w:tcBorders>
              <w:top w:val="nil"/>
            </w:tcBorders>
          </w:tcPr>
          <w:p w14:paraId="643E189D">
            <w:pPr>
              <w:pStyle w:val="14"/>
              <w:spacing w:before="100"/>
              <w:ind w:left="135" w:right="127"/>
              <w:jc w:val="center"/>
              <w:rPr>
                <w:rFonts w:ascii="Times New Roman" w:eastAsia="Times New Roman"/>
                <w:sz w:val="21"/>
              </w:rPr>
            </w:pPr>
            <w:r>
              <w:rPr>
                <w:sz w:val="21"/>
              </w:rPr>
              <w:t>＜</w:t>
            </w:r>
            <w:r>
              <w:rPr>
                <w:rFonts w:ascii="Times New Roman" w:eastAsia="Times New Roman"/>
                <w:sz w:val="21"/>
              </w:rPr>
              <w:t>10</w:t>
            </w:r>
          </w:p>
        </w:tc>
        <w:tc>
          <w:tcPr>
            <w:tcW w:w="733" w:type="dxa"/>
            <w:tcBorders>
              <w:top w:val="nil"/>
            </w:tcBorders>
          </w:tcPr>
          <w:p w14:paraId="310B1E87">
            <w:pPr>
              <w:pStyle w:val="14"/>
              <w:spacing w:before="100"/>
              <w:ind w:left="135" w:right="127"/>
              <w:jc w:val="center"/>
              <w:rPr>
                <w:rFonts w:ascii="Times New Roman" w:eastAsia="Times New Roman"/>
                <w:sz w:val="21"/>
              </w:rPr>
            </w:pPr>
            <w:r>
              <w:rPr>
                <w:sz w:val="21"/>
              </w:rPr>
              <w:t>＜</w:t>
            </w:r>
            <w:r>
              <w:rPr>
                <w:rFonts w:ascii="Times New Roman" w:eastAsia="Times New Roman"/>
                <w:sz w:val="21"/>
              </w:rPr>
              <w:t>10</w:t>
            </w:r>
          </w:p>
        </w:tc>
        <w:tc>
          <w:tcPr>
            <w:tcW w:w="736" w:type="dxa"/>
            <w:tcBorders>
              <w:top w:val="nil"/>
            </w:tcBorders>
          </w:tcPr>
          <w:p w14:paraId="7F47875A">
            <w:pPr>
              <w:pStyle w:val="14"/>
              <w:spacing w:before="100"/>
              <w:ind w:left="137" w:right="129"/>
              <w:jc w:val="center"/>
              <w:rPr>
                <w:rFonts w:ascii="Times New Roman" w:eastAsia="Times New Roman"/>
                <w:sz w:val="21"/>
              </w:rPr>
            </w:pPr>
            <w:r>
              <w:rPr>
                <w:sz w:val="21"/>
              </w:rPr>
              <w:t>＜</w:t>
            </w:r>
            <w:r>
              <w:rPr>
                <w:rFonts w:ascii="Times New Roman" w:eastAsia="Times New Roman"/>
                <w:sz w:val="21"/>
              </w:rPr>
              <w:t>10</w:t>
            </w:r>
          </w:p>
        </w:tc>
        <w:tc>
          <w:tcPr>
            <w:tcW w:w="638" w:type="dxa"/>
            <w:tcBorders>
              <w:top w:val="nil"/>
            </w:tcBorders>
          </w:tcPr>
          <w:p w14:paraId="7FE1C131">
            <w:pPr>
              <w:pStyle w:val="14"/>
              <w:spacing w:before="117"/>
              <w:ind w:left="8"/>
              <w:jc w:val="center"/>
              <w:rPr>
                <w:rFonts w:ascii="Times New Roman"/>
                <w:sz w:val="21"/>
              </w:rPr>
            </w:pPr>
            <w:r>
              <w:rPr>
                <w:rFonts w:ascii="Times New Roman"/>
                <w:w w:val="99"/>
                <w:sz w:val="21"/>
              </w:rPr>
              <w:t>/</w:t>
            </w:r>
          </w:p>
        </w:tc>
        <w:tc>
          <w:tcPr>
            <w:tcW w:w="1060" w:type="dxa"/>
            <w:tcBorders>
              <w:top w:val="nil"/>
            </w:tcBorders>
          </w:tcPr>
          <w:p w14:paraId="6390C9FC">
            <w:pPr>
              <w:pStyle w:val="14"/>
              <w:spacing w:before="100"/>
              <w:ind w:left="7"/>
              <w:jc w:val="center"/>
              <w:rPr>
                <w:sz w:val="21"/>
              </w:rPr>
            </w:pPr>
            <w:r>
              <w:rPr>
                <w:w w:val="99"/>
                <w:sz w:val="21"/>
              </w:rPr>
              <w:t>是</w:t>
            </w:r>
          </w:p>
        </w:tc>
      </w:tr>
      <w:tr w14:paraId="2105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38" w:type="dxa"/>
            <w:vMerge w:val="continue"/>
            <w:tcBorders>
              <w:top w:val="nil"/>
            </w:tcBorders>
          </w:tcPr>
          <w:p w14:paraId="419863AD">
            <w:pPr>
              <w:rPr>
                <w:sz w:val="2"/>
                <w:szCs w:val="2"/>
              </w:rPr>
            </w:pPr>
          </w:p>
        </w:tc>
        <w:tc>
          <w:tcPr>
            <w:tcW w:w="1060" w:type="dxa"/>
          </w:tcPr>
          <w:p w14:paraId="6E34370A">
            <w:pPr>
              <w:pStyle w:val="14"/>
              <w:spacing w:before="106"/>
              <w:ind w:left="88" w:right="81"/>
              <w:jc w:val="center"/>
              <w:rPr>
                <w:rFonts w:ascii="Times New Roman"/>
                <w:sz w:val="21"/>
              </w:rPr>
            </w:pPr>
            <w:r>
              <w:rPr>
                <w:rFonts w:ascii="Times New Roman"/>
                <w:sz w:val="21"/>
              </w:rPr>
              <w:t>TSP</w:t>
            </w:r>
          </w:p>
        </w:tc>
        <w:tc>
          <w:tcPr>
            <w:tcW w:w="729" w:type="dxa"/>
          </w:tcPr>
          <w:p w14:paraId="135B3560">
            <w:pPr>
              <w:pStyle w:val="14"/>
              <w:spacing w:before="90"/>
              <w:ind w:left="207"/>
              <w:rPr>
                <w:rFonts w:ascii="Times New Roman" w:eastAsia="Times New Roman"/>
                <w:sz w:val="21"/>
              </w:rPr>
            </w:pPr>
            <w:r>
              <w:rPr>
                <w:sz w:val="21"/>
              </w:rPr>
              <w:t>＜</w:t>
            </w:r>
            <w:r>
              <w:rPr>
                <w:rFonts w:ascii="Times New Roman" w:eastAsia="Times New Roman"/>
                <w:sz w:val="21"/>
              </w:rPr>
              <w:t>7</w:t>
            </w:r>
          </w:p>
        </w:tc>
        <w:tc>
          <w:tcPr>
            <w:tcW w:w="731" w:type="dxa"/>
          </w:tcPr>
          <w:p w14:paraId="24B2127D">
            <w:pPr>
              <w:pStyle w:val="14"/>
              <w:spacing w:before="90"/>
              <w:ind w:right="197"/>
              <w:jc w:val="right"/>
              <w:rPr>
                <w:rFonts w:ascii="Times New Roman" w:eastAsia="Times New Roman"/>
                <w:sz w:val="21"/>
              </w:rPr>
            </w:pPr>
            <w:r>
              <w:rPr>
                <w:w w:val="95"/>
                <w:sz w:val="21"/>
              </w:rPr>
              <w:t>＜</w:t>
            </w:r>
            <w:r>
              <w:rPr>
                <w:rFonts w:ascii="Times New Roman" w:eastAsia="Times New Roman"/>
                <w:w w:val="95"/>
                <w:sz w:val="21"/>
              </w:rPr>
              <w:t>7</w:t>
            </w:r>
          </w:p>
        </w:tc>
        <w:tc>
          <w:tcPr>
            <w:tcW w:w="731" w:type="dxa"/>
          </w:tcPr>
          <w:p w14:paraId="65AE6FB0">
            <w:pPr>
              <w:pStyle w:val="14"/>
              <w:spacing w:before="90"/>
              <w:ind w:left="206"/>
              <w:rPr>
                <w:rFonts w:ascii="Times New Roman" w:eastAsia="Times New Roman"/>
                <w:sz w:val="21"/>
              </w:rPr>
            </w:pPr>
            <w:r>
              <w:rPr>
                <w:sz w:val="21"/>
              </w:rPr>
              <w:t>＜</w:t>
            </w:r>
            <w:r>
              <w:rPr>
                <w:rFonts w:ascii="Times New Roman" w:eastAsia="Times New Roman"/>
                <w:sz w:val="21"/>
              </w:rPr>
              <w:t>7</w:t>
            </w:r>
          </w:p>
        </w:tc>
        <w:tc>
          <w:tcPr>
            <w:tcW w:w="733" w:type="dxa"/>
          </w:tcPr>
          <w:p w14:paraId="5252F760">
            <w:pPr>
              <w:pStyle w:val="14"/>
              <w:spacing w:before="90"/>
              <w:ind w:left="207"/>
              <w:rPr>
                <w:rFonts w:ascii="Times New Roman" w:eastAsia="Times New Roman"/>
                <w:sz w:val="21"/>
              </w:rPr>
            </w:pPr>
            <w:r>
              <w:rPr>
                <w:sz w:val="21"/>
              </w:rPr>
              <w:t>＜</w:t>
            </w:r>
            <w:r>
              <w:rPr>
                <w:rFonts w:ascii="Times New Roman" w:eastAsia="Times New Roman"/>
                <w:sz w:val="21"/>
              </w:rPr>
              <w:t>7</w:t>
            </w:r>
          </w:p>
        </w:tc>
        <w:tc>
          <w:tcPr>
            <w:tcW w:w="733" w:type="dxa"/>
          </w:tcPr>
          <w:p w14:paraId="5A5C8729">
            <w:pPr>
              <w:pStyle w:val="14"/>
              <w:spacing w:before="90"/>
              <w:ind w:left="135" w:right="127"/>
              <w:jc w:val="center"/>
              <w:rPr>
                <w:rFonts w:ascii="Times New Roman" w:eastAsia="Times New Roman"/>
                <w:sz w:val="21"/>
              </w:rPr>
            </w:pPr>
            <w:r>
              <w:rPr>
                <w:sz w:val="21"/>
              </w:rPr>
              <w:t>＜</w:t>
            </w:r>
            <w:r>
              <w:rPr>
                <w:rFonts w:ascii="Times New Roman" w:eastAsia="Times New Roman"/>
                <w:sz w:val="21"/>
              </w:rPr>
              <w:t>7</w:t>
            </w:r>
          </w:p>
        </w:tc>
        <w:tc>
          <w:tcPr>
            <w:tcW w:w="733" w:type="dxa"/>
          </w:tcPr>
          <w:p w14:paraId="1DA3C2EA">
            <w:pPr>
              <w:pStyle w:val="14"/>
              <w:spacing w:before="90"/>
              <w:ind w:left="135" w:right="127"/>
              <w:jc w:val="center"/>
              <w:rPr>
                <w:rFonts w:ascii="Times New Roman" w:eastAsia="Times New Roman"/>
                <w:sz w:val="21"/>
              </w:rPr>
            </w:pPr>
            <w:r>
              <w:rPr>
                <w:sz w:val="21"/>
              </w:rPr>
              <w:t>＜</w:t>
            </w:r>
            <w:r>
              <w:rPr>
                <w:rFonts w:ascii="Times New Roman" w:eastAsia="Times New Roman"/>
                <w:sz w:val="21"/>
              </w:rPr>
              <w:t>7</w:t>
            </w:r>
          </w:p>
        </w:tc>
        <w:tc>
          <w:tcPr>
            <w:tcW w:w="736" w:type="dxa"/>
          </w:tcPr>
          <w:p w14:paraId="6C113270">
            <w:pPr>
              <w:pStyle w:val="14"/>
              <w:spacing w:before="90"/>
              <w:ind w:left="137" w:right="129"/>
              <w:jc w:val="center"/>
              <w:rPr>
                <w:rFonts w:ascii="Times New Roman" w:eastAsia="Times New Roman"/>
                <w:sz w:val="21"/>
              </w:rPr>
            </w:pPr>
            <w:r>
              <w:rPr>
                <w:sz w:val="21"/>
              </w:rPr>
              <w:t>＜</w:t>
            </w:r>
            <w:r>
              <w:rPr>
                <w:rFonts w:ascii="Times New Roman" w:eastAsia="Times New Roman"/>
                <w:sz w:val="21"/>
              </w:rPr>
              <w:t>7</w:t>
            </w:r>
          </w:p>
        </w:tc>
        <w:tc>
          <w:tcPr>
            <w:tcW w:w="638" w:type="dxa"/>
          </w:tcPr>
          <w:p w14:paraId="6B4B9B6B">
            <w:pPr>
              <w:pStyle w:val="14"/>
              <w:spacing w:before="106"/>
              <w:ind w:left="86" w:right="79"/>
              <w:jc w:val="center"/>
              <w:rPr>
                <w:rFonts w:ascii="Times New Roman"/>
                <w:sz w:val="21"/>
              </w:rPr>
            </w:pPr>
            <w:r>
              <w:rPr>
                <w:rFonts w:ascii="Times New Roman"/>
                <w:sz w:val="21"/>
              </w:rPr>
              <w:t>300</w:t>
            </w:r>
          </w:p>
        </w:tc>
        <w:tc>
          <w:tcPr>
            <w:tcW w:w="1060" w:type="dxa"/>
          </w:tcPr>
          <w:p w14:paraId="7106FAB3">
            <w:pPr>
              <w:pStyle w:val="14"/>
              <w:spacing w:before="90"/>
              <w:ind w:left="7"/>
              <w:jc w:val="center"/>
              <w:rPr>
                <w:sz w:val="21"/>
              </w:rPr>
            </w:pPr>
            <w:r>
              <w:rPr>
                <w:w w:val="99"/>
                <w:sz w:val="21"/>
              </w:rPr>
              <w:t>是</w:t>
            </w:r>
          </w:p>
        </w:tc>
      </w:tr>
    </w:tbl>
    <w:p w14:paraId="11AF0B8F">
      <w:pPr>
        <w:pStyle w:val="6"/>
        <w:numPr>
          <w:ilvl w:val="3"/>
          <w:numId w:val="17"/>
        </w:numPr>
        <w:tabs>
          <w:tab w:val="left" w:pos="1171"/>
        </w:tabs>
        <w:spacing w:before="2" w:after="0" w:line="240" w:lineRule="auto"/>
        <w:ind w:left="1170" w:right="0" w:hanging="710"/>
        <w:jc w:val="left"/>
      </w:pPr>
      <w:bookmarkStart w:id="142" w:name="4.2.1.3环境空气质量现状评价"/>
      <w:bookmarkEnd w:id="142"/>
      <w:bookmarkStart w:id="143" w:name="4.2.1.3环境空气质量现状评价"/>
      <w:bookmarkEnd w:id="143"/>
      <w:r>
        <w:t>环境空气质量现状评价</w:t>
      </w:r>
    </w:p>
    <w:p w14:paraId="5759E204">
      <w:pPr>
        <w:pStyle w:val="7"/>
        <w:spacing w:before="158"/>
        <w:ind w:left="940"/>
      </w:pPr>
      <w:r>
        <w:t>根据上述监测结果，对各因子分析评价如下：</w:t>
      </w:r>
    </w:p>
    <w:p w14:paraId="576B2808">
      <w:pPr>
        <w:pStyle w:val="7"/>
        <w:spacing w:before="157"/>
        <w:ind w:left="940"/>
      </w:pPr>
      <w:r>
        <w:rPr>
          <w:position w:val="2"/>
        </w:rPr>
        <w:t>（</w:t>
      </w:r>
      <w:r>
        <w:rPr>
          <w:rFonts w:ascii="Times New Roman" w:eastAsia="Times New Roman"/>
          <w:position w:val="2"/>
        </w:rPr>
        <w:t>1</w:t>
      </w:r>
      <w:r>
        <w:rPr>
          <w:position w:val="2"/>
        </w:rPr>
        <w:t>）氨（</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p>
    <w:p w14:paraId="2D721C87">
      <w:pPr>
        <w:pStyle w:val="7"/>
        <w:spacing w:before="156"/>
        <w:ind w:left="940"/>
      </w:pPr>
      <w:r>
        <w:rPr>
          <w:position w:val="2"/>
        </w:rPr>
        <w:t xml:space="preserve">各监测点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小时平均浓度均符合《环境影响评价技术导则大气环境》</w:t>
      </w:r>
    </w:p>
    <w:p w14:paraId="2E15C724">
      <w:pPr>
        <w:pStyle w:val="7"/>
        <w:spacing w:before="157"/>
        <w:ind w:left="460"/>
      </w:pPr>
      <w:r>
        <w:rPr>
          <w:rFonts w:ascii="Times New Roman" w:eastAsia="Times New Roman"/>
        </w:rPr>
        <w:t xml:space="preserve">HJ2.2-2018 </w:t>
      </w:r>
      <w:r>
        <w:t xml:space="preserve">表 </w:t>
      </w:r>
      <w:r>
        <w:rPr>
          <w:rFonts w:ascii="Times New Roman" w:eastAsia="Times New Roman"/>
        </w:rPr>
        <w:t xml:space="preserve">D.1 </w:t>
      </w:r>
      <w:r>
        <w:t>其他污染物空气质量浓度参考限值标准的要求。</w:t>
      </w:r>
    </w:p>
    <w:p w14:paraId="6A37BC6A">
      <w:pPr>
        <w:pStyle w:val="7"/>
        <w:spacing w:before="157"/>
        <w:ind w:left="940"/>
      </w:pPr>
      <w:r>
        <w:rPr>
          <w:position w:val="2"/>
        </w:rPr>
        <w:t>（</w:t>
      </w:r>
      <w:r>
        <w:rPr>
          <w:rFonts w:ascii="Times New Roman" w:eastAsia="Times New Roman"/>
          <w:position w:val="2"/>
        </w:rPr>
        <w:t>2</w:t>
      </w:r>
      <w:r>
        <w:rPr>
          <w:position w:val="2"/>
        </w:rPr>
        <w:t>）硫化氢（</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w:t>
      </w:r>
    </w:p>
    <w:p w14:paraId="574B1067">
      <w:pPr>
        <w:pStyle w:val="7"/>
        <w:spacing w:before="154"/>
        <w:ind w:left="940"/>
      </w:pPr>
      <w:r>
        <w:rPr>
          <w:position w:val="2"/>
        </w:rPr>
        <w:t xml:space="preserve">各监测点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小时平均浓度均符合《环境影响评价技术导则大气环境》</w:t>
      </w:r>
    </w:p>
    <w:p w14:paraId="5F7C557F">
      <w:pPr>
        <w:pStyle w:val="7"/>
        <w:spacing w:before="159"/>
        <w:ind w:left="460"/>
      </w:pPr>
      <w:r>
        <w:rPr>
          <w:rFonts w:ascii="Times New Roman" w:eastAsia="Times New Roman"/>
        </w:rPr>
        <w:t xml:space="preserve">HJ2.2-2018 </w:t>
      </w:r>
      <w:r>
        <w:t xml:space="preserve">表 </w:t>
      </w:r>
      <w:r>
        <w:rPr>
          <w:rFonts w:ascii="Times New Roman" w:eastAsia="Times New Roman"/>
        </w:rPr>
        <w:t xml:space="preserve">D.1 </w:t>
      </w:r>
      <w:r>
        <w:t>其他污染物空气质量浓度参考限值标准的要求。</w:t>
      </w:r>
    </w:p>
    <w:p w14:paraId="6EA665DF">
      <w:pPr>
        <w:pStyle w:val="7"/>
        <w:spacing w:before="158"/>
        <w:ind w:left="940"/>
      </w:pPr>
      <w:r>
        <w:t>（</w:t>
      </w:r>
      <w:r>
        <w:rPr>
          <w:rFonts w:ascii="Times New Roman" w:eastAsia="Times New Roman"/>
        </w:rPr>
        <w:t>3</w:t>
      </w:r>
      <w:r>
        <w:t>）总悬浮颗粒物（</w:t>
      </w:r>
      <w:r>
        <w:rPr>
          <w:rFonts w:ascii="Times New Roman" w:eastAsia="Times New Roman"/>
        </w:rPr>
        <w:t>TSP</w:t>
      </w:r>
      <w:r>
        <w:t>）</w:t>
      </w:r>
    </w:p>
    <w:p w14:paraId="7B9B9312">
      <w:pPr>
        <w:pStyle w:val="7"/>
        <w:spacing w:before="161"/>
        <w:ind w:left="940"/>
        <w:rPr>
          <w:rFonts w:ascii="Times New Roman" w:eastAsia="Times New Roman"/>
        </w:rPr>
      </w:pPr>
      <w:r>
        <w:rPr>
          <w:spacing w:val="8"/>
        </w:rPr>
        <w:t xml:space="preserve">各监测点 </w:t>
      </w:r>
      <w:r>
        <w:rPr>
          <w:rFonts w:ascii="Times New Roman" w:eastAsia="Times New Roman"/>
        </w:rPr>
        <w:t xml:space="preserve">TSP 24h </w:t>
      </w:r>
      <w:r>
        <w:rPr>
          <w:spacing w:val="26"/>
        </w:rPr>
        <w:t>平均浓度均符合《环境空气质量标准》</w:t>
      </w:r>
      <w:r>
        <w:t>（</w:t>
      </w:r>
      <w:r>
        <w:rPr>
          <w:spacing w:val="-89"/>
        </w:rPr>
        <w:t xml:space="preserve"> </w:t>
      </w:r>
      <w:r>
        <w:rPr>
          <w:rFonts w:ascii="Times New Roman" w:eastAsia="Times New Roman"/>
        </w:rPr>
        <w:t>GB3095-</w:t>
      </w:r>
    </w:p>
    <w:p w14:paraId="043AEC8F">
      <w:pPr>
        <w:pStyle w:val="7"/>
        <w:spacing w:before="158"/>
        <w:ind w:left="460"/>
      </w:pPr>
      <w:r>
        <w:rPr>
          <w:rFonts w:ascii="Times New Roman" w:eastAsia="Times New Roman"/>
        </w:rPr>
        <w:t>2012</w:t>
      </w:r>
      <w:r>
        <w:t xml:space="preserve">）及修改单表 </w:t>
      </w:r>
      <w:r>
        <w:rPr>
          <w:rFonts w:ascii="Times New Roman" w:eastAsia="Times New Roman"/>
        </w:rPr>
        <w:t xml:space="preserve">2 </w:t>
      </w:r>
      <w:r>
        <w:t>标准要求。</w:t>
      </w:r>
    </w:p>
    <w:p w14:paraId="0723FB71">
      <w:pPr>
        <w:pStyle w:val="7"/>
        <w:spacing w:before="161"/>
        <w:ind w:left="940"/>
      </w:pPr>
      <w:r>
        <w:t>（</w:t>
      </w:r>
      <w:r>
        <w:rPr>
          <w:rFonts w:ascii="Times New Roman" w:eastAsia="Times New Roman"/>
        </w:rPr>
        <w:t>4</w:t>
      </w:r>
      <w:r>
        <w:t>）臭气浓度：臭气浓度无环境空气标准限值，不进行评价。</w:t>
      </w:r>
    </w:p>
    <w:p w14:paraId="6140A7B5">
      <w:pPr>
        <w:pStyle w:val="7"/>
        <w:spacing w:before="154" w:line="364" w:lineRule="auto"/>
        <w:ind w:left="460" w:right="411" w:firstLine="480"/>
      </w:pPr>
      <w:r>
        <w:rPr>
          <w:position w:val="2"/>
        </w:rPr>
        <w:t xml:space="preserve">综上所述，该地区 </w:t>
      </w:r>
      <w:r>
        <w:rPr>
          <w:rFonts w:ascii="Times New Roman" w:eastAsia="Times New Roman"/>
          <w:position w:val="2"/>
        </w:rPr>
        <w:t>TSP</w:t>
      </w:r>
      <w:r>
        <w:rPr>
          <w:position w:val="2"/>
        </w:rPr>
        <w:t>、</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监测结果均达标，目前该地区环境空气</w:t>
      </w:r>
      <w:r>
        <w:rPr>
          <w:vertAlign w:val="baseline"/>
        </w:rPr>
        <w:t>质量状况良好。</w:t>
      </w:r>
    </w:p>
    <w:p w14:paraId="33806518">
      <w:pPr>
        <w:pStyle w:val="6"/>
        <w:ind w:left="460"/>
      </w:pPr>
      <w:bookmarkStart w:id="144" w:name="4.2.2地表水环境现状调查与评价"/>
      <w:bookmarkEnd w:id="144"/>
      <w:r>
        <w:rPr>
          <w:rFonts w:ascii="Times New Roman" w:eastAsia="Times New Roman"/>
        </w:rPr>
        <w:t xml:space="preserve">4.2.2 </w:t>
      </w:r>
      <w:r>
        <w:t>地表水环境现状调查与评价</w:t>
      </w:r>
    </w:p>
    <w:p w14:paraId="038F34F0">
      <w:pPr>
        <w:pStyle w:val="6"/>
        <w:spacing w:before="158"/>
        <w:ind w:left="460"/>
      </w:pPr>
      <w:bookmarkStart w:id="145" w:name="4.2.2.1区域地表水常规监测"/>
      <w:bookmarkEnd w:id="145"/>
      <w:r>
        <w:rPr>
          <w:rFonts w:ascii="Times New Roman" w:eastAsia="Times New Roman"/>
        </w:rPr>
        <w:t xml:space="preserve">4.2.2.1 </w:t>
      </w:r>
      <w:r>
        <w:t>区域地表水常规监测</w:t>
      </w:r>
    </w:p>
    <w:p w14:paraId="42D32216">
      <w:pPr>
        <w:pStyle w:val="7"/>
        <w:spacing w:before="161" w:line="362" w:lineRule="auto"/>
        <w:ind w:left="460" w:right="422" w:firstLine="480"/>
      </w:pPr>
      <w:r>
        <w:t xml:space="preserve">本评价收集 </w:t>
      </w:r>
      <w:r>
        <w:rPr>
          <w:rFonts w:ascii="Times New Roman" w:eastAsia="Times New Roman"/>
        </w:rPr>
        <w:t xml:space="preserve">2023 </w:t>
      </w:r>
      <w:r>
        <w:t>年新墙河八仙桥和六合垸断面常规监测断面的地表水分析数据，以说明项目评价区域地表水环境质量状况。</w:t>
      </w:r>
    </w:p>
    <w:p w14:paraId="1C3F5972">
      <w:pPr>
        <w:spacing w:before="4"/>
        <w:ind w:left="1763" w:right="0" w:firstLine="0"/>
        <w:jc w:val="left"/>
        <w:rPr>
          <w:b/>
          <w:sz w:val="21"/>
        </w:rPr>
      </w:pPr>
      <w:r>
        <w:rPr>
          <w:b/>
          <w:sz w:val="21"/>
        </w:rPr>
        <w:t xml:space="preserve">表 </w:t>
      </w:r>
      <w:r>
        <w:rPr>
          <w:rFonts w:ascii="Times New Roman" w:eastAsia="Times New Roman"/>
          <w:b/>
          <w:sz w:val="21"/>
        </w:rPr>
        <w:t xml:space="preserve">4.2-5 2023 </w:t>
      </w:r>
      <w:r>
        <w:rPr>
          <w:b/>
          <w:sz w:val="21"/>
        </w:rPr>
        <w:t>年新墙河六合垸、八仙桥断面水质监测结果统计</w:t>
      </w:r>
    </w:p>
    <w:p w14:paraId="4502B3A8">
      <w:pPr>
        <w:pStyle w:val="7"/>
        <w:spacing w:before="9" w:after="1"/>
        <w:rPr>
          <w:b/>
          <w:sz w:val="10"/>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7"/>
        <w:gridCol w:w="1917"/>
        <w:gridCol w:w="1676"/>
        <w:gridCol w:w="1676"/>
        <w:gridCol w:w="1676"/>
      </w:tblGrid>
      <w:tr w14:paraId="3E068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tcPr>
          <w:p w14:paraId="63AC64C3">
            <w:pPr>
              <w:pStyle w:val="14"/>
              <w:spacing w:before="63"/>
              <w:ind w:left="137" w:right="128"/>
              <w:jc w:val="center"/>
              <w:rPr>
                <w:b/>
                <w:sz w:val="21"/>
              </w:rPr>
            </w:pPr>
            <w:r>
              <w:rPr>
                <w:b/>
                <w:sz w:val="21"/>
              </w:rPr>
              <w:t>监测断面</w:t>
            </w:r>
          </w:p>
        </w:tc>
        <w:tc>
          <w:tcPr>
            <w:tcW w:w="1917" w:type="dxa"/>
          </w:tcPr>
          <w:p w14:paraId="50F88B42">
            <w:pPr>
              <w:pStyle w:val="14"/>
              <w:spacing w:before="63"/>
              <w:ind w:left="202" w:right="193"/>
              <w:jc w:val="center"/>
              <w:rPr>
                <w:b/>
                <w:sz w:val="21"/>
              </w:rPr>
            </w:pPr>
            <w:r>
              <w:rPr>
                <w:b/>
                <w:sz w:val="21"/>
              </w:rPr>
              <w:t>监测因子</w:t>
            </w:r>
          </w:p>
        </w:tc>
        <w:tc>
          <w:tcPr>
            <w:tcW w:w="1676" w:type="dxa"/>
          </w:tcPr>
          <w:p w14:paraId="08E359AD">
            <w:pPr>
              <w:pStyle w:val="14"/>
              <w:spacing w:before="63"/>
              <w:ind w:left="498" w:right="491"/>
              <w:jc w:val="center"/>
              <w:rPr>
                <w:b/>
                <w:sz w:val="21"/>
              </w:rPr>
            </w:pPr>
            <w:r>
              <w:rPr>
                <w:b/>
                <w:sz w:val="21"/>
              </w:rPr>
              <w:t>单位</w:t>
            </w:r>
          </w:p>
        </w:tc>
        <w:tc>
          <w:tcPr>
            <w:tcW w:w="1676" w:type="dxa"/>
          </w:tcPr>
          <w:p w14:paraId="26E21785">
            <w:pPr>
              <w:pStyle w:val="14"/>
              <w:spacing w:before="63"/>
              <w:ind w:left="500" w:right="490"/>
              <w:jc w:val="center"/>
              <w:rPr>
                <w:b/>
                <w:sz w:val="21"/>
              </w:rPr>
            </w:pPr>
            <w:r>
              <w:rPr>
                <w:b/>
                <w:sz w:val="21"/>
              </w:rPr>
              <w:t>年均值</w:t>
            </w:r>
          </w:p>
        </w:tc>
        <w:tc>
          <w:tcPr>
            <w:tcW w:w="1676" w:type="dxa"/>
          </w:tcPr>
          <w:p w14:paraId="66C27839">
            <w:pPr>
              <w:pStyle w:val="14"/>
              <w:spacing w:before="63"/>
              <w:ind w:left="499" w:right="491"/>
              <w:jc w:val="center"/>
              <w:rPr>
                <w:b/>
                <w:sz w:val="21"/>
              </w:rPr>
            </w:pPr>
            <w:r>
              <w:rPr>
                <w:b/>
                <w:sz w:val="21"/>
              </w:rPr>
              <w:t>标准值</w:t>
            </w:r>
          </w:p>
        </w:tc>
      </w:tr>
      <w:tr w14:paraId="323A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restart"/>
          </w:tcPr>
          <w:p w14:paraId="0F85D085">
            <w:pPr>
              <w:pStyle w:val="14"/>
              <w:rPr>
                <w:b/>
                <w:sz w:val="20"/>
              </w:rPr>
            </w:pPr>
          </w:p>
          <w:p w14:paraId="089B189C">
            <w:pPr>
              <w:pStyle w:val="14"/>
              <w:rPr>
                <w:b/>
                <w:sz w:val="20"/>
              </w:rPr>
            </w:pPr>
          </w:p>
          <w:p w14:paraId="07FAABEB">
            <w:pPr>
              <w:pStyle w:val="14"/>
              <w:rPr>
                <w:b/>
                <w:sz w:val="20"/>
              </w:rPr>
            </w:pPr>
          </w:p>
          <w:p w14:paraId="1377B76C">
            <w:pPr>
              <w:pStyle w:val="14"/>
              <w:rPr>
                <w:b/>
                <w:sz w:val="20"/>
              </w:rPr>
            </w:pPr>
          </w:p>
          <w:p w14:paraId="1A0DA3CE">
            <w:pPr>
              <w:pStyle w:val="14"/>
              <w:spacing w:before="11"/>
              <w:rPr>
                <w:b/>
                <w:sz w:val="14"/>
              </w:rPr>
            </w:pPr>
          </w:p>
          <w:p w14:paraId="4143F337">
            <w:pPr>
              <w:pStyle w:val="14"/>
              <w:spacing w:before="1" w:line="242" w:lineRule="auto"/>
              <w:ind w:left="158" w:right="149" w:hanging="1"/>
              <w:jc w:val="center"/>
              <w:rPr>
                <w:sz w:val="21"/>
              </w:rPr>
            </w:pPr>
            <w:r>
              <w:rPr>
                <w:w w:val="95"/>
                <w:sz w:val="21"/>
              </w:rPr>
              <w:t>新墙河六合垸断面（Ⅲ类水</w:t>
            </w:r>
            <w:r>
              <w:rPr>
                <w:sz w:val="21"/>
              </w:rPr>
              <w:t>体）</w:t>
            </w:r>
          </w:p>
        </w:tc>
        <w:tc>
          <w:tcPr>
            <w:tcW w:w="1917" w:type="dxa"/>
          </w:tcPr>
          <w:p w14:paraId="5202ADC5">
            <w:pPr>
              <w:pStyle w:val="14"/>
              <w:spacing w:before="78"/>
              <w:ind w:left="202" w:right="193"/>
              <w:jc w:val="center"/>
              <w:rPr>
                <w:rFonts w:ascii="Times New Roman"/>
                <w:sz w:val="21"/>
              </w:rPr>
            </w:pPr>
            <w:r>
              <w:rPr>
                <w:rFonts w:ascii="Times New Roman"/>
                <w:sz w:val="21"/>
              </w:rPr>
              <w:t>pH</w:t>
            </w:r>
          </w:p>
        </w:tc>
        <w:tc>
          <w:tcPr>
            <w:tcW w:w="1676" w:type="dxa"/>
          </w:tcPr>
          <w:p w14:paraId="686CE02D">
            <w:pPr>
              <w:pStyle w:val="14"/>
              <w:spacing w:before="64"/>
              <w:ind w:left="500" w:right="491"/>
              <w:jc w:val="center"/>
              <w:rPr>
                <w:sz w:val="21"/>
              </w:rPr>
            </w:pPr>
            <w:r>
              <w:rPr>
                <w:sz w:val="21"/>
              </w:rPr>
              <w:t>无量纲</w:t>
            </w:r>
          </w:p>
        </w:tc>
        <w:tc>
          <w:tcPr>
            <w:tcW w:w="1676" w:type="dxa"/>
          </w:tcPr>
          <w:p w14:paraId="0478101E">
            <w:pPr>
              <w:pStyle w:val="14"/>
              <w:spacing w:before="78"/>
              <w:ind w:left="500" w:right="489"/>
              <w:jc w:val="center"/>
              <w:rPr>
                <w:rFonts w:ascii="Times New Roman"/>
                <w:sz w:val="21"/>
              </w:rPr>
            </w:pPr>
            <w:r>
              <w:rPr>
                <w:rFonts w:ascii="Times New Roman"/>
                <w:sz w:val="21"/>
              </w:rPr>
              <w:t>7.43</w:t>
            </w:r>
          </w:p>
        </w:tc>
        <w:tc>
          <w:tcPr>
            <w:tcW w:w="1676" w:type="dxa"/>
          </w:tcPr>
          <w:p w14:paraId="5D551A5F">
            <w:pPr>
              <w:pStyle w:val="14"/>
              <w:spacing w:before="78"/>
              <w:ind w:left="496" w:right="491"/>
              <w:jc w:val="center"/>
              <w:rPr>
                <w:rFonts w:ascii="Times New Roman"/>
                <w:sz w:val="21"/>
              </w:rPr>
            </w:pPr>
            <w:r>
              <w:rPr>
                <w:rFonts w:ascii="Times New Roman"/>
                <w:sz w:val="21"/>
              </w:rPr>
              <w:t>6-9</w:t>
            </w:r>
          </w:p>
        </w:tc>
      </w:tr>
      <w:tr w14:paraId="04900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77" w:type="dxa"/>
            <w:vMerge w:val="continue"/>
            <w:tcBorders>
              <w:top w:val="nil"/>
            </w:tcBorders>
          </w:tcPr>
          <w:p w14:paraId="3C5A27B6">
            <w:pPr>
              <w:rPr>
                <w:sz w:val="2"/>
                <w:szCs w:val="2"/>
              </w:rPr>
            </w:pPr>
          </w:p>
        </w:tc>
        <w:tc>
          <w:tcPr>
            <w:tcW w:w="1917" w:type="dxa"/>
          </w:tcPr>
          <w:p w14:paraId="7AD1416A">
            <w:pPr>
              <w:pStyle w:val="14"/>
              <w:spacing w:before="62"/>
              <w:ind w:left="202" w:right="195"/>
              <w:jc w:val="center"/>
              <w:rPr>
                <w:sz w:val="21"/>
              </w:rPr>
            </w:pPr>
            <w:r>
              <w:rPr>
                <w:sz w:val="21"/>
              </w:rPr>
              <w:t>溶解氧</w:t>
            </w:r>
          </w:p>
        </w:tc>
        <w:tc>
          <w:tcPr>
            <w:tcW w:w="1676" w:type="dxa"/>
          </w:tcPr>
          <w:p w14:paraId="004607D7">
            <w:pPr>
              <w:pStyle w:val="14"/>
              <w:spacing w:before="76"/>
              <w:ind w:left="498" w:right="491"/>
              <w:jc w:val="center"/>
              <w:rPr>
                <w:rFonts w:ascii="Times New Roman"/>
                <w:sz w:val="21"/>
              </w:rPr>
            </w:pPr>
            <w:r>
              <w:rPr>
                <w:rFonts w:ascii="Times New Roman"/>
                <w:sz w:val="21"/>
              </w:rPr>
              <w:t>mg/L</w:t>
            </w:r>
          </w:p>
        </w:tc>
        <w:tc>
          <w:tcPr>
            <w:tcW w:w="1676" w:type="dxa"/>
          </w:tcPr>
          <w:p w14:paraId="11E2B0FD">
            <w:pPr>
              <w:pStyle w:val="14"/>
              <w:spacing w:before="76"/>
              <w:ind w:left="500" w:right="489"/>
              <w:jc w:val="center"/>
              <w:rPr>
                <w:rFonts w:ascii="Times New Roman"/>
                <w:sz w:val="21"/>
              </w:rPr>
            </w:pPr>
            <w:r>
              <w:rPr>
                <w:rFonts w:ascii="Times New Roman"/>
                <w:sz w:val="21"/>
              </w:rPr>
              <w:t>8.35</w:t>
            </w:r>
          </w:p>
        </w:tc>
        <w:tc>
          <w:tcPr>
            <w:tcW w:w="1676" w:type="dxa"/>
          </w:tcPr>
          <w:p w14:paraId="085E7568">
            <w:pPr>
              <w:pStyle w:val="14"/>
              <w:spacing w:before="62"/>
              <w:ind w:left="498" w:right="491"/>
              <w:jc w:val="center"/>
              <w:rPr>
                <w:rFonts w:ascii="Times New Roman" w:hAnsi="Times New Roman"/>
                <w:sz w:val="21"/>
              </w:rPr>
            </w:pPr>
            <w:r>
              <w:rPr>
                <w:sz w:val="21"/>
              </w:rPr>
              <w:t>≧</w:t>
            </w:r>
            <w:r>
              <w:rPr>
                <w:rFonts w:ascii="Times New Roman" w:hAnsi="Times New Roman"/>
                <w:sz w:val="21"/>
              </w:rPr>
              <w:t>5</w:t>
            </w:r>
          </w:p>
        </w:tc>
      </w:tr>
      <w:tr w14:paraId="6E1C9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59A57CD3">
            <w:pPr>
              <w:rPr>
                <w:sz w:val="2"/>
                <w:szCs w:val="2"/>
              </w:rPr>
            </w:pPr>
          </w:p>
        </w:tc>
        <w:tc>
          <w:tcPr>
            <w:tcW w:w="1917" w:type="dxa"/>
          </w:tcPr>
          <w:p w14:paraId="701D8BBF">
            <w:pPr>
              <w:pStyle w:val="14"/>
              <w:spacing w:before="64"/>
              <w:ind w:left="202" w:right="195"/>
              <w:jc w:val="center"/>
              <w:rPr>
                <w:sz w:val="21"/>
              </w:rPr>
            </w:pPr>
            <w:r>
              <w:rPr>
                <w:sz w:val="21"/>
              </w:rPr>
              <w:t>高锰酸盐指数</w:t>
            </w:r>
          </w:p>
        </w:tc>
        <w:tc>
          <w:tcPr>
            <w:tcW w:w="1676" w:type="dxa"/>
          </w:tcPr>
          <w:p w14:paraId="6A4C319F">
            <w:pPr>
              <w:pStyle w:val="14"/>
              <w:spacing w:before="77"/>
              <w:ind w:left="498" w:right="491"/>
              <w:jc w:val="center"/>
              <w:rPr>
                <w:rFonts w:ascii="Times New Roman"/>
                <w:sz w:val="21"/>
              </w:rPr>
            </w:pPr>
            <w:r>
              <w:rPr>
                <w:rFonts w:ascii="Times New Roman"/>
                <w:sz w:val="21"/>
              </w:rPr>
              <w:t>mg/L</w:t>
            </w:r>
          </w:p>
        </w:tc>
        <w:tc>
          <w:tcPr>
            <w:tcW w:w="1676" w:type="dxa"/>
          </w:tcPr>
          <w:p w14:paraId="5712FC01">
            <w:pPr>
              <w:pStyle w:val="14"/>
              <w:spacing w:before="77"/>
              <w:ind w:left="500" w:right="489"/>
              <w:jc w:val="center"/>
              <w:rPr>
                <w:rFonts w:ascii="Times New Roman"/>
                <w:sz w:val="21"/>
              </w:rPr>
            </w:pPr>
            <w:r>
              <w:rPr>
                <w:rFonts w:ascii="Times New Roman"/>
                <w:sz w:val="21"/>
              </w:rPr>
              <w:t>3.60</w:t>
            </w:r>
          </w:p>
        </w:tc>
        <w:tc>
          <w:tcPr>
            <w:tcW w:w="1676" w:type="dxa"/>
          </w:tcPr>
          <w:p w14:paraId="73EAEE9C">
            <w:pPr>
              <w:pStyle w:val="14"/>
              <w:spacing w:before="77"/>
              <w:ind w:left="500" w:right="490"/>
              <w:jc w:val="center"/>
              <w:rPr>
                <w:rFonts w:ascii="Times New Roman" w:hAnsi="Times New Roman"/>
                <w:sz w:val="21"/>
              </w:rPr>
            </w:pPr>
            <w:r>
              <w:rPr>
                <w:rFonts w:ascii="Times New Roman" w:hAnsi="Times New Roman"/>
                <w:sz w:val="21"/>
              </w:rPr>
              <w:t>≤6</w:t>
            </w:r>
          </w:p>
        </w:tc>
      </w:tr>
      <w:tr w14:paraId="4B6E7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67E76B79">
            <w:pPr>
              <w:rPr>
                <w:sz w:val="2"/>
                <w:szCs w:val="2"/>
              </w:rPr>
            </w:pPr>
          </w:p>
        </w:tc>
        <w:tc>
          <w:tcPr>
            <w:tcW w:w="1917" w:type="dxa"/>
          </w:tcPr>
          <w:p w14:paraId="31F07EDF">
            <w:pPr>
              <w:pStyle w:val="14"/>
              <w:spacing w:before="62"/>
              <w:ind w:left="200" w:right="195"/>
              <w:jc w:val="center"/>
              <w:rPr>
                <w:sz w:val="21"/>
              </w:rPr>
            </w:pPr>
            <w:r>
              <w:rPr>
                <w:sz w:val="21"/>
              </w:rPr>
              <w:t>化学需氧量</w:t>
            </w:r>
          </w:p>
        </w:tc>
        <w:tc>
          <w:tcPr>
            <w:tcW w:w="1676" w:type="dxa"/>
          </w:tcPr>
          <w:p w14:paraId="39D3DF55">
            <w:pPr>
              <w:pStyle w:val="14"/>
              <w:spacing w:before="76"/>
              <w:ind w:left="498" w:right="491"/>
              <w:jc w:val="center"/>
              <w:rPr>
                <w:rFonts w:ascii="Times New Roman"/>
                <w:sz w:val="21"/>
              </w:rPr>
            </w:pPr>
            <w:r>
              <w:rPr>
                <w:rFonts w:ascii="Times New Roman"/>
                <w:sz w:val="21"/>
              </w:rPr>
              <w:t>mg/L</w:t>
            </w:r>
          </w:p>
        </w:tc>
        <w:tc>
          <w:tcPr>
            <w:tcW w:w="1676" w:type="dxa"/>
          </w:tcPr>
          <w:p w14:paraId="06D21526">
            <w:pPr>
              <w:pStyle w:val="14"/>
              <w:spacing w:before="76"/>
              <w:ind w:left="500" w:right="491"/>
              <w:jc w:val="center"/>
              <w:rPr>
                <w:rFonts w:ascii="Times New Roman"/>
                <w:sz w:val="21"/>
              </w:rPr>
            </w:pPr>
            <w:r>
              <w:rPr>
                <w:rFonts w:ascii="Times New Roman"/>
                <w:sz w:val="21"/>
              </w:rPr>
              <w:t>14.50</w:t>
            </w:r>
          </w:p>
        </w:tc>
        <w:tc>
          <w:tcPr>
            <w:tcW w:w="1676" w:type="dxa"/>
          </w:tcPr>
          <w:p w14:paraId="63DADA36">
            <w:pPr>
              <w:pStyle w:val="14"/>
              <w:spacing w:before="76"/>
              <w:ind w:left="500" w:right="490"/>
              <w:jc w:val="center"/>
              <w:rPr>
                <w:rFonts w:ascii="Times New Roman" w:hAnsi="Times New Roman"/>
                <w:sz w:val="21"/>
              </w:rPr>
            </w:pPr>
            <w:r>
              <w:rPr>
                <w:rFonts w:ascii="Times New Roman" w:hAnsi="Times New Roman"/>
                <w:sz w:val="21"/>
              </w:rPr>
              <w:t>≤20</w:t>
            </w:r>
          </w:p>
        </w:tc>
      </w:tr>
      <w:tr w14:paraId="1F7AE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23E6546A">
            <w:pPr>
              <w:rPr>
                <w:sz w:val="2"/>
                <w:szCs w:val="2"/>
              </w:rPr>
            </w:pPr>
          </w:p>
        </w:tc>
        <w:tc>
          <w:tcPr>
            <w:tcW w:w="1917" w:type="dxa"/>
          </w:tcPr>
          <w:p w14:paraId="244A8CE7">
            <w:pPr>
              <w:pStyle w:val="14"/>
              <w:spacing w:before="63"/>
              <w:ind w:left="202" w:right="195"/>
              <w:jc w:val="center"/>
              <w:rPr>
                <w:sz w:val="21"/>
              </w:rPr>
            </w:pPr>
            <w:r>
              <w:rPr>
                <w:sz w:val="21"/>
              </w:rPr>
              <w:t>五日生化需氧量</w:t>
            </w:r>
          </w:p>
        </w:tc>
        <w:tc>
          <w:tcPr>
            <w:tcW w:w="1676" w:type="dxa"/>
          </w:tcPr>
          <w:p w14:paraId="6ACCD3C1">
            <w:pPr>
              <w:pStyle w:val="14"/>
              <w:spacing w:before="77"/>
              <w:ind w:left="498" w:right="491"/>
              <w:jc w:val="center"/>
              <w:rPr>
                <w:rFonts w:ascii="Times New Roman"/>
                <w:sz w:val="21"/>
              </w:rPr>
            </w:pPr>
            <w:r>
              <w:rPr>
                <w:rFonts w:ascii="Times New Roman"/>
                <w:sz w:val="21"/>
              </w:rPr>
              <w:t>mg/L</w:t>
            </w:r>
          </w:p>
        </w:tc>
        <w:tc>
          <w:tcPr>
            <w:tcW w:w="1676" w:type="dxa"/>
          </w:tcPr>
          <w:p w14:paraId="037476D5">
            <w:pPr>
              <w:pStyle w:val="14"/>
              <w:spacing w:before="77"/>
              <w:ind w:left="500" w:right="489"/>
              <w:jc w:val="center"/>
              <w:rPr>
                <w:rFonts w:ascii="Times New Roman"/>
                <w:sz w:val="21"/>
              </w:rPr>
            </w:pPr>
            <w:r>
              <w:rPr>
                <w:rFonts w:ascii="Times New Roman"/>
                <w:sz w:val="21"/>
              </w:rPr>
              <w:t>2.41</w:t>
            </w:r>
          </w:p>
        </w:tc>
        <w:tc>
          <w:tcPr>
            <w:tcW w:w="1676" w:type="dxa"/>
          </w:tcPr>
          <w:p w14:paraId="4CD9626F">
            <w:pPr>
              <w:pStyle w:val="14"/>
              <w:spacing w:before="77"/>
              <w:ind w:left="500" w:right="490"/>
              <w:jc w:val="center"/>
              <w:rPr>
                <w:rFonts w:ascii="Times New Roman" w:hAnsi="Times New Roman"/>
                <w:sz w:val="21"/>
              </w:rPr>
            </w:pPr>
            <w:r>
              <w:rPr>
                <w:rFonts w:ascii="Times New Roman" w:hAnsi="Times New Roman"/>
                <w:sz w:val="21"/>
              </w:rPr>
              <w:t>≤4</w:t>
            </w:r>
          </w:p>
        </w:tc>
      </w:tr>
      <w:tr w14:paraId="28DDC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0DA91E24">
            <w:pPr>
              <w:rPr>
                <w:sz w:val="2"/>
                <w:szCs w:val="2"/>
              </w:rPr>
            </w:pPr>
          </w:p>
        </w:tc>
        <w:tc>
          <w:tcPr>
            <w:tcW w:w="1917" w:type="dxa"/>
          </w:tcPr>
          <w:p w14:paraId="4423DFDB">
            <w:pPr>
              <w:pStyle w:val="14"/>
              <w:spacing w:before="62"/>
              <w:ind w:left="202" w:right="195"/>
              <w:jc w:val="center"/>
              <w:rPr>
                <w:sz w:val="21"/>
              </w:rPr>
            </w:pPr>
            <w:r>
              <w:rPr>
                <w:sz w:val="21"/>
              </w:rPr>
              <w:t>氨氮</w:t>
            </w:r>
          </w:p>
        </w:tc>
        <w:tc>
          <w:tcPr>
            <w:tcW w:w="1676" w:type="dxa"/>
          </w:tcPr>
          <w:p w14:paraId="628ACE84">
            <w:pPr>
              <w:pStyle w:val="14"/>
              <w:spacing w:before="76"/>
              <w:ind w:left="498" w:right="491"/>
              <w:jc w:val="center"/>
              <w:rPr>
                <w:rFonts w:ascii="Times New Roman"/>
                <w:sz w:val="21"/>
              </w:rPr>
            </w:pPr>
            <w:r>
              <w:rPr>
                <w:rFonts w:ascii="Times New Roman"/>
                <w:sz w:val="21"/>
              </w:rPr>
              <w:t>mg/L</w:t>
            </w:r>
          </w:p>
        </w:tc>
        <w:tc>
          <w:tcPr>
            <w:tcW w:w="1676" w:type="dxa"/>
          </w:tcPr>
          <w:p w14:paraId="4E4AA195">
            <w:pPr>
              <w:pStyle w:val="14"/>
              <w:spacing w:before="76"/>
              <w:ind w:left="500" w:right="489"/>
              <w:jc w:val="center"/>
              <w:rPr>
                <w:rFonts w:ascii="Times New Roman"/>
                <w:sz w:val="21"/>
              </w:rPr>
            </w:pPr>
            <w:r>
              <w:rPr>
                <w:rFonts w:ascii="Times New Roman"/>
                <w:sz w:val="21"/>
              </w:rPr>
              <w:t>0.44</w:t>
            </w:r>
          </w:p>
        </w:tc>
        <w:tc>
          <w:tcPr>
            <w:tcW w:w="1676" w:type="dxa"/>
          </w:tcPr>
          <w:p w14:paraId="04A7FCEE">
            <w:pPr>
              <w:pStyle w:val="14"/>
              <w:spacing w:before="76"/>
              <w:ind w:left="500" w:right="490"/>
              <w:jc w:val="center"/>
              <w:rPr>
                <w:rFonts w:ascii="Times New Roman" w:hAnsi="Times New Roman"/>
                <w:sz w:val="21"/>
              </w:rPr>
            </w:pPr>
            <w:r>
              <w:rPr>
                <w:rFonts w:ascii="Times New Roman" w:hAnsi="Times New Roman"/>
                <w:sz w:val="21"/>
              </w:rPr>
              <w:t>≤1</w:t>
            </w:r>
          </w:p>
        </w:tc>
      </w:tr>
      <w:tr w14:paraId="3CA5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77" w:type="dxa"/>
            <w:vMerge w:val="continue"/>
            <w:tcBorders>
              <w:top w:val="nil"/>
            </w:tcBorders>
          </w:tcPr>
          <w:p w14:paraId="25E5AC80">
            <w:pPr>
              <w:rPr>
                <w:sz w:val="2"/>
                <w:szCs w:val="2"/>
              </w:rPr>
            </w:pPr>
          </w:p>
        </w:tc>
        <w:tc>
          <w:tcPr>
            <w:tcW w:w="1917" w:type="dxa"/>
          </w:tcPr>
          <w:p w14:paraId="5D84B523">
            <w:pPr>
              <w:pStyle w:val="14"/>
              <w:spacing w:before="63"/>
              <w:ind w:left="202" w:right="195"/>
              <w:jc w:val="center"/>
              <w:rPr>
                <w:sz w:val="21"/>
              </w:rPr>
            </w:pPr>
            <w:r>
              <w:rPr>
                <w:sz w:val="21"/>
              </w:rPr>
              <w:t>总磷</w:t>
            </w:r>
          </w:p>
        </w:tc>
        <w:tc>
          <w:tcPr>
            <w:tcW w:w="1676" w:type="dxa"/>
          </w:tcPr>
          <w:p w14:paraId="387E7171">
            <w:pPr>
              <w:pStyle w:val="14"/>
              <w:spacing w:before="77"/>
              <w:ind w:left="498" w:right="491"/>
              <w:jc w:val="center"/>
              <w:rPr>
                <w:rFonts w:ascii="Times New Roman"/>
                <w:sz w:val="21"/>
              </w:rPr>
            </w:pPr>
            <w:r>
              <w:rPr>
                <w:rFonts w:ascii="Times New Roman"/>
                <w:sz w:val="21"/>
              </w:rPr>
              <w:t>mg/L</w:t>
            </w:r>
          </w:p>
        </w:tc>
        <w:tc>
          <w:tcPr>
            <w:tcW w:w="1676" w:type="dxa"/>
          </w:tcPr>
          <w:p w14:paraId="222C8CC0">
            <w:pPr>
              <w:pStyle w:val="14"/>
              <w:spacing w:before="77"/>
              <w:ind w:left="500" w:right="491"/>
              <w:jc w:val="center"/>
              <w:rPr>
                <w:rFonts w:ascii="Times New Roman"/>
                <w:sz w:val="21"/>
              </w:rPr>
            </w:pPr>
            <w:r>
              <w:rPr>
                <w:rFonts w:ascii="Times New Roman"/>
                <w:sz w:val="21"/>
              </w:rPr>
              <w:t>0.096</w:t>
            </w:r>
          </w:p>
        </w:tc>
        <w:tc>
          <w:tcPr>
            <w:tcW w:w="1676" w:type="dxa"/>
          </w:tcPr>
          <w:p w14:paraId="39A7BFC7">
            <w:pPr>
              <w:pStyle w:val="14"/>
              <w:spacing w:before="77"/>
              <w:ind w:left="500" w:right="490"/>
              <w:jc w:val="center"/>
              <w:rPr>
                <w:rFonts w:ascii="Times New Roman" w:hAnsi="Times New Roman"/>
                <w:sz w:val="21"/>
              </w:rPr>
            </w:pPr>
            <w:r>
              <w:rPr>
                <w:rFonts w:ascii="Times New Roman" w:hAnsi="Times New Roman"/>
                <w:sz w:val="21"/>
              </w:rPr>
              <w:t>≤0.2</w:t>
            </w:r>
          </w:p>
        </w:tc>
      </w:tr>
      <w:tr w14:paraId="2C841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2348960A">
            <w:pPr>
              <w:rPr>
                <w:sz w:val="2"/>
                <w:szCs w:val="2"/>
              </w:rPr>
            </w:pPr>
          </w:p>
        </w:tc>
        <w:tc>
          <w:tcPr>
            <w:tcW w:w="1917" w:type="dxa"/>
          </w:tcPr>
          <w:p w14:paraId="547FA9A1">
            <w:pPr>
              <w:pStyle w:val="14"/>
              <w:spacing w:before="78"/>
              <w:ind w:left="202" w:right="194"/>
              <w:jc w:val="center"/>
              <w:rPr>
                <w:rFonts w:ascii="Times New Roman"/>
                <w:sz w:val="21"/>
              </w:rPr>
            </w:pPr>
            <w:r>
              <w:rPr>
                <w:rFonts w:ascii="Times New Roman"/>
                <w:sz w:val="21"/>
              </w:rPr>
              <w:t>LAS</w:t>
            </w:r>
          </w:p>
        </w:tc>
        <w:tc>
          <w:tcPr>
            <w:tcW w:w="1676" w:type="dxa"/>
          </w:tcPr>
          <w:p w14:paraId="33E0FF8F">
            <w:pPr>
              <w:pStyle w:val="14"/>
              <w:spacing w:before="78"/>
              <w:ind w:left="498" w:right="491"/>
              <w:jc w:val="center"/>
              <w:rPr>
                <w:rFonts w:ascii="Times New Roman"/>
                <w:sz w:val="21"/>
              </w:rPr>
            </w:pPr>
            <w:r>
              <w:rPr>
                <w:rFonts w:ascii="Times New Roman"/>
                <w:sz w:val="21"/>
              </w:rPr>
              <w:t>mg/L</w:t>
            </w:r>
          </w:p>
        </w:tc>
        <w:tc>
          <w:tcPr>
            <w:tcW w:w="1676" w:type="dxa"/>
          </w:tcPr>
          <w:p w14:paraId="1113DB96">
            <w:pPr>
              <w:pStyle w:val="14"/>
              <w:spacing w:before="78"/>
              <w:ind w:left="500" w:right="490"/>
              <w:jc w:val="center"/>
              <w:rPr>
                <w:rFonts w:ascii="Times New Roman"/>
                <w:sz w:val="21"/>
              </w:rPr>
            </w:pPr>
            <w:r>
              <w:rPr>
                <w:rFonts w:ascii="Times New Roman"/>
                <w:sz w:val="21"/>
              </w:rPr>
              <w:t>0.05L</w:t>
            </w:r>
          </w:p>
        </w:tc>
        <w:tc>
          <w:tcPr>
            <w:tcW w:w="1676" w:type="dxa"/>
          </w:tcPr>
          <w:p w14:paraId="6ABADD21">
            <w:pPr>
              <w:pStyle w:val="14"/>
              <w:spacing w:before="78"/>
              <w:ind w:left="500" w:right="490"/>
              <w:jc w:val="center"/>
              <w:rPr>
                <w:rFonts w:ascii="Times New Roman" w:hAnsi="Times New Roman"/>
                <w:sz w:val="21"/>
              </w:rPr>
            </w:pPr>
            <w:r>
              <w:rPr>
                <w:rFonts w:ascii="Times New Roman" w:hAnsi="Times New Roman"/>
                <w:sz w:val="21"/>
              </w:rPr>
              <w:t>≤0.2</w:t>
            </w:r>
          </w:p>
        </w:tc>
      </w:tr>
      <w:tr w14:paraId="20F84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77" w:type="dxa"/>
          </w:tcPr>
          <w:p w14:paraId="12A37130">
            <w:pPr>
              <w:pStyle w:val="14"/>
              <w:spacing w:before="62"/>
              <w:ind w:left="137" w:right="130"/>
              <w:jc w:val="center"/>
              <w:rPr>
                <w:sz w:val="21"/>
              </w:rPr>
            </w:pPr>
            <w:r>
              <w:rPr>
                <w:sz w:val="21"/>
              </w:rPr>
              <w:t>新墙河八仙桥</w:t>
            </w:r>
          </w:p>
        </w:tc>
        <w:tc>
          <w:tcPr>
            <w:tcW w:w="1917" w:type="dxa"/>
          </w:tcPr>
          <w:p w14:paraId="0952B864">
            <w:pPr>
              <w:pStyle w:val="14"/>
              <w:spacing w:before="76"/>
              <w:ind w:left="202" w:right="193"/>
              <w:jc w:val="center"/>
              <w:rPr>
                <w:rFonts w:ascii="Times New Roman"/>
                <w:sz w:val="21"/>
              </w:rPr>
            </w:pPr>
            <w:r>
              <w:rPr>
                <w:rFonts w:ascii="Times New Roman"/>
                <w:sz w:val="21"/>
              </w:rPr>
              <w:t>pH</w:t>
            </w:r>
          </w:p>
        </w:tc>
        <w:tc>
          <w:tcPr>
            <w:tcW w:w="1676" w:type="dxa"/>
          </w:tcPr>
          <w:p w14:paraId="415A1A12">
            <w:pPr>
              <w:pStyle w:val="14"/>
              <w:spacing w:before="76"/>
              <w:ind w:left="498" w:right="491"/>
              <w:jc w:val="center"/>
              <w:rPr>
                <w:rFonts w:ascii="Times New Roman"/>
                <w:sz w:val="21"/>
              </w:rPr>
            </w:pPr>
            <w:r>
              <w:rPr>
                <w:rFonts w:ascii="Times New Roman"/>
                <w:sz w:val="21"/>
              </w:rPr>
              <w:t>mg/L</w:t>
            </w:r>
          </w:p>
        </w:tc>
        <w:tc>
          <w:tcPr>
            <w:tcW w:w="1676" w:type="dxa"/>
          </w:tcPr>
          <w:p w14:paraId="403FB0A0">
            <w:pPr>
              <w:pStyle w:val="14"/>
              <w:spacing w:before="76"/>
              <w:ind w:left="6"/>
              <w:jc w:val="center"/>
              <w:rPr>
                <w:rFonts w:ascii="Times New Roman"/>
                <w:sz w:val="21"/>
              </w:rPr>
            </w:pPr>
            <w:r>
              <w:rPr>
                <w:rFonts w:ascii="Times New Roman"/>
                <w:w w:val="99"/>
                <w:sz w:val="21"/>
              </w:rPr>
              <w:t>7</w:t>
            </w:r>
          </w:p>
        </w:tc>
        <w:tc>
          <w:tcPr>
            <w:tcW w:w="1676" w:type="dxa"/>
          </w:tcPr>
          <w:p w14:paraId="0949DAB3">
            <w:pPr>
              <w:pStyle w:val="14"/>
              <w:spacing w:before="76"/>
              <w:ind w:left="496" w:right="491"/>
              <w:jc w:val="center"/>
              <w:rPr>
                <w:rFonts w:ascii="Times New Roman"/>
                <w:sz w:val="21"/>
              </w:rPr>
            </w:pPr>
            <w:r>
              <w:rPr>
                <w:rFonts w:ascii="Times New Roman"/>
                <w:sz w:val="21"/>
              </w:rPr>
              <w:t>6-9</w:t>
            </w:r>
          </w:p>
        </w:tc>
      </w:tr>
    </w:tbl>
    <w:p w14:paraId="69D37AA5">
      <w:pPr>
        <w:spacing w:after="0"/>
        <w:jc w:val="center"/>
        <w:rPr>
          <w:rFonts w:ascii="Times New Roman"/>
          <w:sz w:val="21"/>
        </w:rPr>
        <w:sectPr>
          <w:pgSz w:w="11910" w:h="16840"/>
          <w:pgMar w:top="1360" w:right="1320" w:bottom="1400" w:left="1340" w:header="878" w:footer="1204" w:gutter="0"/>
          <w:cols w:space="720" w:num="1"/>
        </w:sectPr>
      </w:pPr>
    </w:p>
    <w:p w14:paraId="36770DA9">
      <w:pPr>
        <w:pStyle w:val="7"/>
        <w:spacing w:before="3"/>
        <w:rPr>
          <w:b/>
          <w:sz w:val="5"/>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7"/>
        <w:gridCol w:w="1917"/>
        <w:gridCol w:w="1676"/>
        <w:gridCol w:w="1676"/>
        <w:gridCol w:w="1676"/>
      </w:tblGrid>
      <w:tr w14:paraId="607BD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restart"/>
          </w:tcPr>
          <w:p w14:paraId="13F846B1">
            <w:pPr>
              <w:pStyle w:val="14"/>
              <w:spacing w:before="2" w:line="242" w:lineRule="auto"/>
              <w:ind w:left="578" w:right="149" w:hanging="420"/>
              <w:rPr>
                <w:sz w:val="21"/>
              </w:rPr>
            </w:pPr>
            <w:r>
              <w:rPr>
                <w:w w:val="95"/>
                <w:sz w:val="21"/>
              </w:rPr>
              <w:t>断面（Ⅲ类水</w:t>
            </w:r>
            <w:r>
              <w:rPr>
                <w:sz w:val="21"/>
              </w:rPr>
              <w:t>体）</w:t>
            </w:r>
          </w:p>
        </w:tc>
        <w:tc>
          <w:tcPr>
            <w:tcW w:w="1917" w:type="dxa"/>
          </w:tcPr>
          <w:p w14:paraId="1A94B230">
            <w:pPr>
              <w:pStyle w:val="14"/>
              <w:spacing w:before="62"/>
              <w:ind w:left="202" w:right="195"/>
              <w:jc w:val="center"/>
              <w:rPr>
                <w:sz w:val="21"/>
              </w:rPr>
            </w:pPr>
            <w:r>
              <w:rPr>
                <w:sz w:val="21"/>
              </w:rPr>
              <w:t>溶解氧</w:t>
            </w:r>
          </w:p>
        </w:tc>
        <w:tc>
          <w:tcPr>
            <w:tcW w:w="1676" w:type="dxa"/>
          </w:tcPr>
          <w:p w14:paraId="2D055490">
            <w:pPr>
              <w:pStyle w:val="14"/>
              <w:spacing w:before="76"/>
              <w:ind w:left="609"/>
              <w:rPr>
                <w:rFonts w:ascii="Times New Roman"/>
                <w:sz w:val="21"/>
              </w:rPr>
            </w:pPr>
            <w:r>
              <w:rPr>
                <w:rFonts w:ascii="Times New Roman"/>
                <w:sz w:val="21"/>
              </w:rPr>
              <w:t>mg/L</w:t>
            </w:r>
          </w:p>
        </w:tc>
        <w:tc>
          <w:tcPr>
            <w:tcW w:w="1676" w:type="dxa"/>
          </w:tcPr>
          <w:p w14:paraId="10AD9B4B">
            <w:pPr>
              <w:pStyle w:val="14"/>
              <w:spacing w:before="76"/>
              <w:ind w:left="497" w:right="491"/>
              <w:jc w:val="center"/>
              <w:rPr>
                <w:rFonts w:ascii="Times New Roman"/>
                <w:sz w:val="21"/>
              </w:rPr>
            </w:pPr>
            <w:r>
              <w:rPr>
                <w:rFonts w:ascii="Times New Roman"/>
                <w:sz w:val="21"/>
              </w:rPr>
              <w:t>7.6</w:t>
            </w:r>
          </w:p>
        </w:tc>
        <w:tc>
          <w:tcPr>
            <w:tcW w:w="1676" w:type="dxa"/>
          </w:tcPr>
          <w:p w14:paraId="6C407783">
            <w:pPr>
              <w:pStyle w:val="14"/>
              <w:spacing w:before="62"/>
              <w:ind w:left="680"/>
              <w:rPr>
                <w:rFonts w:ascii="Times New Roman" w:hAnsi="Times New Roman"/>
                <w:sz w:val="21"/>
              </w:rPr>
            </w:pPr>
            <w:r>
              <w:rPr>
                <w:sz w:val="21"/>
              </w:rPr>
              <w:t>≧</w:t>
            </w:r>
            <w:r>
              <w:rPr>
                <w:rFonts w:ascii="Times New Roman" w:hAnsi="Times New Roman"/>
                <w:sz w:val="21"/>
              </w:rPr>
              <w:t>5</w:t>
            </w:r>
          </w:p>
        </w:tc>
      </w:tr>
      <w:tr w14:paraId="24522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77" w:type="dxa"/>
            <w:vMerge w:val="continue"/>
            <w:tcBorders>
              <w:top w:val="nil"/>
            </w:tcBorders>
          </w:tcPr>
          <w:p w14:paraId="192B3EA3">
            <w:pPr>
              <w:rPr>
                <w:sz w:val="2"/>
                <w:szCs w:val="2"/>
              </w:rPr>
            </w:pPr>
          </w:p>
        </w:tc>
        <w:tc>
          <w:tcPr>
            <w:tcW w:w="1917" w:type="dxa"/>
          </w:tcPr>
          <w:p w14:paraId="4BA9AD04">
            <w:pPr>
              <w:pStyle w:val="14"/>
              <w:spacing w:before="63"/>
              <w:ind w:left="202" w:right="195"/>
              <w:jc w:val="center"/>
              <w:rPr>
                <w:sz w:val="21"/>
              </w:rPr>
            </w:pPr>
            <w:r>
              <w:rPr>
                <w:sz w:val="21"/>
              </w:rPr>
              <w:t>高锰酸盐指数</w:t>
            </w:r>
          </w:p>
        </w:tc>
        <w:tc>
          <w:tcPr>
            <w:tcW w:w="1676" w:type="dxa"/>
          </w:tcPr>
          <w:p w14:paraId="7D0C7525">
            <w:pPr>
              <w:pStyle w:val="14"/>
              <w:spacing w:before="77"/>
              <w:ind w:left="609"/>
              <w:rPr>
                <w:rFonts w:ascii="Times New Roman"/>
                <w:sz w:val="21"/>
              </w:rPr>
            </w:pPr>
            <w:r>
              <w:rPr>
                <w:rFonts w:ascii="Times New Roman"/>
                <w:sz w:val="21"/>
              </w:rPr>
              <w:t>mg/L</w:t>
            </w:r>
          </w:p>
        </w:tc>
        <w:tc>
          <w:tcPr>
            <w:tcW w:w="1676" w:type="dxa"/>
          </w:tcPr>
          <w:p w14:paraId="3DDC780C">
            <w:pPr>
              <w:pStyle w:val="14"/>
              <w:spacing w:before="77"/>
              <w:ind w:left="497" w:right="491"/>
              <w:jc w:val="center"/>
              <w:rPr>
                <w:rFonts w:ascii="Times New Roman"/>
                <w:sz w:val="21"/>
              </w:rPr>
            </w:pPr>
            <w:r>
              <w:rPr>
                <w:rFonts w:ascii="Times New Roman"/>
                <w:sz w:val="21"/>
              </w:rPr>
              <w:t>3.1</w:t>
            </w:r>
          </w:p>
        </w:tc>
        <w:tc>
          <w:tcPr>
            <w:tcW w:w="1676" w:type="dxa"/>
          </w:tcPr>
          <w:p w14:paraId="3375A367">
            <w:pPr>
              <w:pStyle w:val="14"/>
              <w:spacing w:before="77"/>
              <w:ind w:left="728"/>
              <w:rPr>
                <w:rFonts w:ascii="Times New Roman" w:hAnsi="Times New Roman"/>
                <w:sz w:val="21"/>
              </w:rPr>
            </w:pPr>
            <w:r>
              <w:rPr>
                <w:rFonts w:ascii="Times New Roman" w:hAnsi="Times New Roman"/>
                <w:sz w:val="21"/>
              </w:rPr>
              <w:t>≤6</w:t>
            </w:r>
          </w:p>
        </w:tc>
      </w:tr>
      <w:tr w14:paraId="65A24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22DAB072">
            <w:pPr>
              <w:rPr>
                <w:sz w:val="2"/>
                <w:szCs w:val="2"/>
              </w:rPr>
            </w:pPr>
          </w:p>
        </w:tc>
        <w:tc>
          <w:tcPr>
            <w:tcW w:w="1917" w:type="dxa"/>
          </w:tcPr>
          <w:p w14:paraId="778BA033">
            <w:pPr>
              <w:pStyle w:val="14"/>
              <w:spacing w:before="64"/>
              <w:ind w:left="200" w:right="195"/>
              <w:jc w:val="center"/>
              <w:rPr>
                <w:sz w:val="21"/>
              </w:rPr>
            </w:pPr>
            <w:r>
              <w:rPr>
                <w:sz w:val="21"/>
              </w:rPr>
              <w:t>化学需氧量</w:t>
            </w:r>
          </w:p>
        </w:tc>
        <w:tc>
          <w:tcPr>
            <w:tcW w:w="1676" w:type="dxa"/>
          </w:tcPr>
          <w:p w14:paraId="798EC378">
            <w:pPr>
              <w:pStyle w:val="14"/>
              <w:spacing w:before="78"/>
              <w:ind w:left="609"/>
              <w:rPr>
                <w:rFonts w:ascii="Times New Roman"/>
                <w:sz w:val="21"/>
              </w:rPr>
            </w:pPr>
            <w:r>
              <w:rPr>
                <w:rFonts w:ascii="Times New Roman"/>
                <w:sz w:val="21"/>
              </w:rPr>
              <w:t>mg/L</w:t>
            </w:r>
          </w:p>
        </w:tc>
        <w:tc>
          <w:tcPr>
            <w:tcW w:w="1676" w:type="dxa"/>
          </w:tcPr>
          <w:p w14:paraId="71851501">
            <w:pPr>
              <w:pStyle w:val="14"/>
              <w:spacing w:before="78"/>
              <w:ind w:left="500" w:right="489"/>
              <w:jc w:val="center"/>
              <w:rPr>
                <w:rFonts w:ascii="Times New Roman"/>
                <w:sz w:val="21"/>
              </w:rPr>
            </w:pPr>
            <w:r>
              <w:rPr>
                <w:rFonts w:ascii="Times New Roman"/>
                <w:sz w:val="21"/>
              </w:rPr>
              <w:t>13.4</w:t>
            </w:r>
          </w:p>
        </w:tc>
        <w:tc>
          <w:tcPr>
            <w:tcW w:w="1676" w:type="dxa"/>
          </w:tcPr>
          <w:p w14:paraId="27DE0909">
            <w:pPr>
              <w:pStyle w:val="14"/>
              <w:spacing w:before="78"/>
              <w:ind w:left="675"/>
              <w:rPr>
                <w:rFonts w:ascii="Times New Roman" w:hAnsi="Times New Roman"/>
                <w:sz w:val="21"/>
              </w:rPr>
            </w:pPr>
            <w:r>
              <w:rPr>
                <w:rFonts w:ascii="Times New Roman" w:hAnsi="Times New Roman"/>
                <w:sz w:val="21"/>
              </w:rPr>
              <w:t>≤20</w:t>
            </w:r>
          </w:p>
        </w:tc>
      </w:tr>
      <w:tr w14:paraId="1B28D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3FAAD58A">
            <w:pPr>
              <w:rPr>
                <w:sz w:val="2"/>
                <w:szCs w:val="2"/>
              </w:rPr>
            </w:pPr>
          </w:p>
        </w:tc>
        <w:tc>
          <w:tcPr>
            <w:tcW w:w="1917" w:type="dxa"/>
          </w:tcPr>
          <w:p w14:paraId="0FDED651">
            <w:pPr>
              <w:pStyle w:val="14"/>
              <w:spacing w:before="62"/>
              <w:ind w:left="202" w:right="195"/>
              <w:jc w:val="center"/>
              <w:rPr>
                <w:sz w:val="21"/>
              </w:rPr>
            </w:pPr>
            <w:r>
              <w:rPr>
                <w:sz w:val="21"/>
              </w:rPr>
              <w:t>五日生化需氧量</w:t>
            </w:r>
          </w:p>
        </w:tc>
        <w:tc>
          <w:tcPr>
            <w:tcW w:w="1676" w:type="dxa"/>
          </w:tcPr>
          <w:p w14:paraId="0137DFBC">
            <w:pPr>
              <w:pStyle w:val="14"/>
              <w:spacing w:before="76"/>
              <w:ind w:left="609"/>
              <w:rPr>
                <w:rFonts w:ascii="Times New Roman"/>
                <w:sz w:val="21"/>
              </w:rPr>
            </w:pPr>
            <w:r>
              <w:rPr>
                <w:rFonts w:ascii="Times New Roman"/>
                <w:sz w:val="21"/>
              </w:rPr>
              <w:t>mg/L</w:t>
            </w:r>
          </w:p>
        </w:tc>
        <w:tc>
          <w:tcPr>
            <w:tcW w:w="1676" w:type="dxa"/>
          </w:tcPr>
          <w:p w14:paraId="39B4FE05">
            <w:pPr>
              <w:pStyle w:val="14"/>
              <w:spacing w:before="76"/>
              <w:ind w:left="497" w:right="491"/>
              <w:jc w:val="center"/>
              <w:rPr>
                <w:rFonts w:ascii="Times New Roman"/>
                <w:sz w:val="21"/>
              </w:rPr>
            </w:pPr>
            <w:r>
              <w:rPr>
                <w:rFonts w:ascii="Times New Roman"/>
                <w:sz w:val="21"/>
              </w:rPr>
              <w:t>1.5</w:t>
            </w:r>
          </w:p>
        </w:tc>
        <w:tc>
          <w:tcPr>
            <w:tcW w:w="1676" w:type="dxa"/>
          </w:tcPr>
          <w:p w14:paraId="46E69BE7">
            <w:pPr>
              <w:pStyle w:val="14"/>
              <w:spacing w:before="76"/>
              <w:ind w:left="728"/>
              <w:rPr>
                <w:rFonts w:ascii="Times New Roman" w:hAnsi="Times New Roman"/>
                <w:sz w:val="21"/>
              </w:rPr>
            </w:pPr>
            <w:r>
              <w:rPr>
                <w:rFonts w:ascii="Times New Roman" w:hAnsi="Times New Roman"/>
                <w:sz w:val="21"/>
              </w:rPr>
              <w:t>≤4</w:t>
            </w:r>
          </w:p>
        </w:tc>
      </w:tr>
      <w:tr w14:paraId="4E57C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65D23A3C">
            <w:pPr>
              <w:rPr>
                <w:sz w:val="2"/>
                <w:szCs w:val="2"/>
              </w:rPr>
            </w:pPr>
          </w:p>
        </w:tc>
        <w:tc>
          <w:tcPr>
            <w:tcW w:w="1917" w:type="dxa"/>
          </w:tcPr>
          <w:p w14:paraId="534CA8A0">
            <w:pPr>
              <w:pStyle w:val="14"/>
              <w:spacing w:before="63"/>
              <w:ind w:left="202" w:right="195"/>
              <w:jc w:val="center"/>
              <w:rPr>
                <w:sz w:val="21"/>
              </w:rPr>
            </w:pPr>
            <w:r>
              <w:rPr>
                <w:sz w:val="21"/>
              </w:rPr>
              <w:t>氨氮</w:t>
            </w:r>
          </w:p>
        </w:tc>
        <w:tc>
          <w:tcPr>
            <w:tcW w:w="1676" w:type="dxa"/>
          </w:tcPr>
          <w:p w14:paraId="7C6E1C67">
            <w:pPr>
              <w:pStyle w:val="14"/>
              <w:spacing w:before="77"/>
              <w:ind w:left="609"/>
              <w:rPr>
                <w:rFonts w:ascii="Times New Roman"/>
                <w:sz w:val="21"/>
              </w:rPr>
            </w:pPr>
            <w:r>
              <w:rPr>
                <w:rFonts w:ascii="Times New Roman"/>
                <w:sz w:val="21"/>
              </w:rPr>
              <w:t>mg/L</w:t>
            </w:r>
          </w:p>
        </w:tc>
        <w:tc>
          <w:tcPr>
            <w:tcW w:w="1676" w:type="dxa"/>
          </w:tcPr>
          <w:p w14:paraId="59D3D3F4">
            <w:pPr>
              <w:pStyle w:val="14"/>
              <w:spacing w:before="77"/>
              <w:ind w:left="500" w:right="491"/>
              <w:jc w:val="center"/>
              <w:rPr>
                <w:rFonts w:ascii="Times New Roman"/>
                <w:sz w:val="21"/>
              </w:rPr>
            </w:pPr>
            <w:r>
              <w:rPr>
                <w:rFonts w:ascii="Times New Roman"/>
                <w:sz w:val="21"/>
              </w:rPr>
              <w:t>0.39</w:t>
            </w:r>
          </w:p>
        </w:tc>
        <w:tc>
          <w:tcPr>
            <w:tcW w:w="1676" w:type="dxa"/>
          </w:tcPr>
          <w:p w14:paraId="733A2E3E">
            <w:pPr>
              <w:pStyle w:val="14"/>
              <w:spacing w:before="77"/>
              <w:ind w:left="728"/>
              <w:rPr>
                <w:rFonts w:ascii="Times New Roman" w:hAnsi="Times New Roman"/>
                <w:sz w:val="21"/>
              </w:rPr>
            </w:pPr>
            <w:r>
              <w:rPr>
                <w:rFonts w:ascii="Times New Roman" w:hAnsi="Times New Roman"/>
                <w:sz w:val="21"/>
              </w:rPr>
              <w:t>≤1</w:t>
            </w:r>
          </w:p>
        </w:tc>
      </w:tr>
      <w:tr w14:paraId="6B1EA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77" w:type="dxa"/>
            <w:vMerge w:val="continue"/>
            <w:tcBorders>
              <w:top w:val="nil"/>
            </w:tcBorders>
          </w:tcPr>
          <w:p w14:paraId="12243D11">
            <w:pPr>
              <w:rPr>
                <w:sz w:val="2"/>
                <w:szCs w:val="2"/>
              </w:rPr>
            </w:pPr>
          </w:p>
        </w:tc>
        <w:tc>
          <w:tcPr>
            <w:tcW w:w="1917" w:type="dxa"/>
          </w:tcPr>
          <w:p w14:paraId="3DB7580B">
            <w:pPr>
              <w:pStyle w:val="14"/>
              <w:spacing w:before="62"/>
              <w:ind w:left="202" w:right="195"/>
              <w:jc w:val="center"/>
              <w:rPr>
                <w:sz w:val="21"/>
              </w:rPr>
            </w:pPr>
            <w:r>
              <w:rPr>
                <w:sz w:val="21"/>
              </w:rPr>
              <w:t>总磷</w:t>
            </w:r>
          </w:p>
        </w:tc>
        <w:tc>
          <w:tcPr>
            <w:tcW w:w="1676" w:type="dxa"/>
          </w:tcPr>
          <w:p w14:paraId="21D12133">
            <w:pPr>
              <w:pStyle w:val="14"/>
              <w:spacing w:before="76"/>
              <w:ind w:left="609"/>
              <w:rPr>
                <w:rFonts w:ascii="Times New Roman"/>
                <w:sz w:val="21"/>
              </w:rPr>
            </w:pPr>
            <w:r>
              <w:rPr>
                <w:rFonts w:ascii="Times New Roman"/>
                <w:sz w:val="21"/>
              </w:rPr>
              <w:t>mg/L</w:t>
            </w:r>
          </w:p>
        </w:tc>
        <w:tc>
          <w:tcPr>
            <w:tcW w:w="1676" w:type="dxa"/>
          </w:tcPr>
          <w:p w14:paraId="4252C58A">
            <w:pPr>
              <w:pStyle w:val="14"/>
              <w:spacing w:before="76"/>
              <w:ind w:left="500" w:right="491"/>
              <w:jc w:val="center"/>
              <w:rPr>
                <w:rFonts w:ascii="Times New Roman"/>
                <w:sz w:val="21"/>
              </w:rPr>
            </w:pPr>
            <w:r>
              <w:rPr>
                <w:rFonts w:ascii="Times New Roman"/>
                <w:sz w:val="21"/>
              </w:rPr>
              <w:t>0.091</w:t>
            </w:r>
          </w:p>
        </w:tc>
        <w:tc>
          <w:tcPr>
            <w:tcW w:w="1676" w:type="dxa"/>
          </w:tcPr>
          <w:p w14:paraId="20DCD600">
            <w:pPr>
              <w:pStyle w:val="14"/>
              <w:spacing w:before="76"/>
              <w:ind w:left="648"/>
              <w:rPr>
                <w:rFonts w:ascii="Times New Roman" w:hAnsi="Times New Roman"/>
                <w:sz w:val="21"/>
              </w:rPr>
            </w:pPr>
            <w:r>
              <w:rPr>
                <w:rFonts w:ascii="Times New Roman" w:hAnsi="Times New Roman"/>
                <w:sz w:val="21"/>
              </w:rPr>
              <w:t>≤0.2</w:t>
            </w:r>
          </w:p>
        </w:tc>
      </w:tr>
      <w:tr w14:paraId="4A264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577" w:type="dxa"/>
            <w:vMerge w:val="continue"/>
            <w:tcBorders>
              <w:top w:val="nil"/>
            </w:tcBorders>
          </w:tcPr>
          <w:p w14:paraId="79328C53">
            <w:pPr>
              <w:rPr>
                <w:sz w:val="2"/>
                <w:szCs w:val="2"/>
              </w:rPr>
            </w:pPr>
          </w:p>
        </w:tc>
        <w:tc>
          <w:tcPr>
            <w:tcW w:w="1917" w:type="dxa"/>
          </w:tcPr>
          <w:p w14:paraId="534A8BDE">
            <w:pPr>
              <w:pStyle w:val="14"/>
              <w:spacing w:before="77"/>
              <w:ind w:left="202" w:right="194"/>
              <w:jc w:val="center"/>
              <w:rPr>
                <w:rFonts w:ascii="Times New Roman"/>
                <w:sz w:val="21"/>
              </w:rPr>
            </w:pPr>
            <w:r>
              <w:rPr>
                <w:rFonts w:ascii="Times New Roman"/>
                <w:sz w:val="21"/>
              </w:rPr>
              <w:t>LAS</w:t>
            </w:r>
          </w:p>
        </w:tc>
        <w:tc>
          <w:tcPr>
            <w:tcW w:w="1676" w:type="dxa"/>
          </w:tcPr>
          <w:p w14:paraId="175A36CD">
            <w:pPr>
              <w:pStyle w:val="14"/>
              <w:spacing w:before="77"/>
              <w:ind w:left="609"/>
              <w:rPr>
                <w:rFonts w:ascii="Times New Roman"/>
                <w:sz w:val="21"/>
              </w:rPr>
            </w:pPr>
            <w:r>
              <w:rPr>
                <w:rFonts w:ascii="Times New Roman"/>
                <w:sz w:val="21"/>
              </w:rPr>
              <w:t>mg/L</w:t>
            </w:r>
          </w:p>
        </w:tc>
        <w:tc>
          <w:tcPr>
            <w:tcW w:w="1676" w:type="dxa"/>
          </w:tcPr>
          <w:p w14:paraId="23EF0C95">
            <w:pPr>
              <w:pStyle w:val="14"/>
              <w:spacing w:before="77"/>
              <w:ind w:left="500" w:right="489"/>
              <w:jc w:val="center"/>
              <w:rPr>
                <w:rFonts w:ascii="Times New Roman"/>
                <w:sz w:val="21"/>
              </w:rPr>
            </w:pPr>
            <w:r>
              <w:rPr>
                <w:rFonts w:ascii="Times New Roman"/>
                <w:sz w:val="21"/>
              </w:rPr>
              <w:t>0.02</w:t>
            </w:r>
          </w:p>
        </w:tc>
        <w:tc>
          <w:tcPr>
            <w:tcW w:w="1676" w:type="dxa"/>
          </w:tcPr>
          <w:p w14:paraId="338FCC88">
            <w:pPr>
              <w:pStyle w:val="14"/>
              <w:spacing w:before="77"/>
              <w:ind w:left="648"/>
              <w:rPr>
                <w:rFonts w:ascii="Times New Roman" w:hAnsi="Times New Roman"/>
                <w:sz w:val="21"/>
              </w:rPr>
            </w:pPr>
            <w:r>
              <w:rPr>
                <w:rFonts w:ascii="Times New Roman" w:hAnsi="Times New Roman"/>
                <w:sz w:val="21"/>
              </w:rPr>
              <w:t>≤0.2</w:t>
            </w:r>
          </w:p>
        </w:tc>
      </w:tr>
    </w:tbl>
    <w:p w14:paraId="72BB288B">
      <w:pPr>
        <w:pStyle w:val="7"/>
        <w:spacing w:before="3" w:line="362" w:lineRule="auto"/>
        <w:ind w:left="460" w:right="480" w:firstLine="480"/>
      </w:pPr>
      <w:r>
        <w:t xml:space="preserve">由表 </w:t>
      </w:r>
      <w:r>
        <w:rPr>
          <w:rFonts w:ascii="Times New Roman" w:eastAsia="Times New Roman"/>
        </w:rPr>
        <w:t xml:space="preserve">3-2 </w:t>
      </w:r>
      <w:r>
        <w:t>可知，新墙河八仙桥断面、六合垸断面监测因子均可以达到《地表水环境质量标准》（</w:t>
      </w:r>
      <w:r>
        <w:rPr>
          <w:rFonts w:ascii="Times New Roman" w:eastAsia="Times New Roman"/>
        </w:rPr>
        <w:t>GB3838-2002</w:t>
      </w:r>
      <w:r>
        <w:t xml:space="preserve">）中的 </w:t>
      </w:r>
      <w:r>
        <w:rPr>
          <w:rFonts w:ascii="Times New Roman" w:eastAsia="Times New Roman"/>
        </w:rPr>
        <w:t xml:space="preserve">III </w:t>
      </w:r>
      <w:r>
        <w:t>类水质要求。</w:t>
      </w:r>
    </w:p>
    <w:p w14:paraId="3AF02A3F">
      <w:pPr>
        <w:pStyle w:val="6"/>
        <w:spacing w:before="3"/>
        <w:ind w:left="460"/>
      </w:pPr>
      <w:bookmarkStart w:id="146" w:name="4.2.3地下水环境现状调查与评价"/>
      <w:bookmarkEnd w:id="146"/>
      <w:r>
        <w:rPr>
          <w:rFonts w:ascii="Times New Roman" w:eastAsia="Times New Roman"/>
        </w:rPr>
        <w:t xml:space="preserve">4.2.3 </w:t>
      </w:r>
      <w:r>
        <w:t>地下水环境现状调查与评价</w:t>
      </w:r>
    </w:p>
    <w:p w14:paraId="06589C58">
      <w:pPr>
        <w:pStyle w:val="6"/>
        <w:spacing w:before="160"/>
        <w:ind w:left="460"/>
      </w:pPr>
      <w:bookmarkStart w:id="147" w:name="4.2.3.1地下水环境质量现状监测"/>
      <w:bookmarkEnd w:id="147"/>
      <w:r>
        <w:rPr>
          <w:rFonts w:ascii="Times New Roman" w:eastAsia="Times New Roman"/>
        </w:rPr>
        <w:t xml:space="preserve">4.2.3.1 </w:t>
      </w:r>
      <w:r>
        <w:t>地下水环境质量现状监测</w:t>
      </w:r>
    </w:p>
    <w:p w14:paraId="27560A77">
      <w:pPr>
        <w:pStyle w:val="7"/>
        <w:spacing w:before="161" w:line="362" w:lineRule="auto"/>
        <w:ind w:left="460" w:right="477" w:firstLine="480"/>
      </w:pPr>
      <w:r>
        <w:rPr>
          <w:spacing w:val="-3"/>
        </w:rPr>
        <w:t xml:space="preserve">本次环评委托湖南昌旭环保科技有限公司于 </w:t>
      </w:r>
      <w:r>
        <w:rPr>
          <w:rFonts w:ascii="Times New Roman" w:eastAsia="Times New Roman"/>
        </w:rPr>
        <w:t xml:space="preserve">2023 </w:t>
      </w:r>
      <w:r>
        <w:rPr>
          <w:spacing w:val="-26"/>
        </w:rPr>
        <w:t xml:space="preserve">年 </w:t>
      </w:r>
      <w:r>
        <w:rPr>
          <w:rFonts w:ascii="Times New Roman" w:eastAsia="Times New Roman"/>
        </w:rPr>
        <w:t xml:space="preserve">12 </w:t>
      </w:r>
      <w:r>
        <w:rPr>
          <w:spacing w:val="-27"/>
        </w:rPr>
        <w:t xml:space="preserve">月 </w:t>
      </w:r>
      <w:r>
        <w:rPr>
          <w:rFonts w:ascii="Times New Roman" w:eastAsia="Times New Roman"/>
        </w:rPr>
        <w:t xml:space="preserve">29 </w:t>
      </w:r>
      <w:r>
        <w:t>日进行了地下水环境质量现状监测。</w:t>
      </w:r>
    </w:p>
    <w:p w14:paraId="2C40AA6F">
      <w:pPr>
        <w:pStyle w:val="7"/>
        <w:spacing w:before="5" w:line="362" w:lineRule="auto"/>
        <w:ind w:left="460" w:right="477" w:firstLine="480"/>
      </w:pPr>
      <w:r>
        <w:t>（</w:t>
      </w:r>
      <w:r>
        <w:rPr>
          <w:rFonts w:ascii="Times New Roman" w:eastAsia="Times New Roman"/>
        </w:rPr>
        <w:t>1</w:t>
      </w:r>
      <w:r>
        <w:t>）</w:t>
      </w:r>
      <w:r>
        <w:rPr>
          <w:spacing w:val="-11"/>
        </w:rPr>
        <w:t xml:space="preserve">监测点位： 本次评价设 </w:t>
      </w:r>
      <w:r>
        <w:rPr>
          <w:rFonts w:ascii="Times New Roman" w:eastAsia="Times New Roman"/>
        </w:rPr>
        <w:t xml:space="preserve">3 </w:t>
      </w:r>
      <w:r>
        <w:t>个地下水环境质量监测点位、</w:t>
      </w:r>
      <w:r>
        <w:rPr>
          <w:rFonts w:ascii="Times New Roman" w:eastAsia="Times New Roman"/>
        </w:rPr>
        <w:t xml:space="preserve">7 </w:t>
      </w:r>
      <w:r>
        <w:t>个地下水位监测点，详见下表。</w:t>
      </w:r>
    </w:p>
    <w:p w14:paraId="345F3803">
      <w:pPr>
        <w:spacing w:before="3" w:after="3"/>
        <w:ind w:left="3006" w:right="0" w:firstLine="0"/>
        <w:jc w:val="left"/>
        <w:rPr>
          <w:b/>
          <w:sz w:val="21"/>
        </w:rPr>
      </w:pPr>
      <w:r>
        <w:rPr>
          <w:b/>
          <w:spacing w:val="-28"/>
          <w:sz w:val="21"/>
        </w:rPr>
        <w:t xml:space="preserve">表 </w:t>
      </w:r>
      <w:r>
        <w:rPr>
          <w:rFonts w:ascii="Times New Roman" w:eastAsia="Times New Roman"/>
          <w:b/>
          <w:sz w:val="21"/>
        </w:rPr>
        <w:t>0</w:t>
      </w:r>
      <w:r>
        <w:rPr>
          <w:rFonts w:ascii="Times New Roman" w:eastAsia="Times New Roman"/>
          <w:b/>
          <w:spacing w:val="-9"/>
          <w:sz w:val="21"/>
        </w:rPr>
        <w:t xml:space="preserve">- </w:t>
      </w:r>
      <w:r>
        <w:rPr>
          <w:rFonts w:ascii="Times New Roman" w:eastAsia="Times New Roman"/>
          <w:b/>
          <w:sz w:val="21"/>
        </w:rPr>
        <w:t>6</w:t>
      </w:r>
      <w:r>
        <w:rPr>
          <w:rFonts w:ascii="Times New Roman" w:eastAsia="Times New Roman"/>
          <w:b/>
          <w:spacing w:val="50"/>
          <w:sz w:val="21"/>
        </w:rPr>
        <w:t xml:space="preserve"> </w:t>
      </w:r>
      <w:r>
        <w:rPr>
          <w:b/>
          <w:sz w:val="21"/>
        </w:rPr>
        <w:t>地下水质量监测断面一览表</w:t>
      </w:r>
    </w:p>
    <w:tbl>
      <w:tblPr>
        <w:tblStyle w:val="10"/>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2"/>
        <w:gridCol w:w="3560"/>
        <w:gridCol w:w="3476"/>
      </w:tblGrid>
      <w:tr w14:paraId="2C3DB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22" w:type="dxa"/>
          </w:tcPr>
          <w:p w14:paraId="14DF76A0">
            <w:pPr>
              <w:pStyle w:val="14"/>
              <w:spacing w:before="62"/>
              <w:ind w:left="429" w:right="420"/>
              <w:jc w:val="center"/>
              <w:rPr>
                <w:b/>
                <w:sz w:val="21"/>
              </w:rPr>
            </w:pPr>
            <w:r>
              <w:rPr>
                <w:b/>
                <w:sz w:val="21"/>
              </w:rPr>
              <w:t>编号</w:t>
            </w:r>
          </w:p>
        </w:tc>
        <w:tc>
          <w:tcPr>
            <w:tcW w:w="3560" w:type="dxa"/>
          </w:tcPr>
          <w:p w14:paraId="02E30B8C">
            <w:pPr>
              <w:pStyle w:val="14"/>
              <w:spacing w:before="62"/>
              <w:ind w:left="1337" w:right="1329"/>
              <w:jc w:val="center"/>
              <w:rPr>
                <w:b/>
                <w:sz w:val="21"/>
              </w:rPr>
            </w:pPr>
            <w:r>
              <w:rPr>
                <w:b/>
                <w:sz w:val="21"/>
              </w:rPr>
              <w:t>监测点位</w:t>
            </w:r>
          </w:p>
        </w:tc>
        <w:tc>
          <w:tcPr>
            <w:tcW w:w="3476" w:type="dxa"/>
          </w:tcPr>
          <w:p w14:paraId="464DDE2E">
            <w:pPr>
              <w:pStyle w:val="14"/>
              <w:spacing w:before="62"/>
              <w:ind w:left="1144" w:right="1137"/>
              <w:jc w:val="center"/>
              <w:rPr>
                <w:b/>
                <w:sz w:val="21"/>
              </w:rPr>
            </w:pPr>
            <w:r>
              <w:rPr>
                <w:b/>
                <w:sz w:val="21"/>
              </w:rPr>
              <w:t>距离、方位</w:t>
            </w:r>
          </w:p>
        </w:tc>
      </w:tr>
      <w:tr w14:paraId="65A42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2" w:type="dxa"/>
          </w:tcPr>
          <w:p w14:paraId="614A26D3">
            <w:pPr>
              <w:pStyle w:val="14"/>
              <w:spacing w:before="77"/>
              <w:ind w:left="428" w:right="420"/>
              <w:jc w:val="center"/>
              <w:rPr>
                <w:rFonts w:ascii="Times New Roman"/>
                <w:sz w:val="21"/>
              </w:rPr>
            </w:pPr>
            <w:r>
              <w:rPr>
                <w:rFonts w:ascii="Times New Roman"/>
                <w:sz w:val="21"/>
              </w:rPr>
              <w:t>D1</w:t>
            </w:r>
          </w:p>
        </w:tc>
        <w:tc>
          <w:tcPr>
            <w:tcW w:w="3560" w:type="dxa"/>
          </w:tcPr>
          <w:p w14:paraId="741E424C">
            <w:pPr>
              <w:pStyle w:val="14"/>
              <w:spacing w:before="61"/>
              <w:ind w:left="1335" w:right="1329"/>
              <w:jc w:val="center"/>
              <w:rPr>
                <w:sz w:val="21"/>
              </w:rPr>
            </w:pPr>
            <w:r>
              <w:rPr>
                <w:sz w:val="21"/>
              </w:rPr>
              <w:t>林家冲</w:t>
            </w:r>
          </w:p>
        </w:tc>
        <w:tc>
          <w:tcPr>
            <w:tcW w:w="3476" w:type="dxa"/>
          </w:tcPr>
          <w:p w14:paraId="46506442">
            <w:pPr>
              <w:pStyle w:val="14"/>
              <w:spacing w:before="63"/>
              <w:ind w:left="1144" w:right="1136"/>
              <w:jc w:val="center"/>
              <w:rPr>
                <w:rFonts w:ascii="Times New Roman" w:eastAsia="Times New Roman"/>
                <w:sz w:val="21"/>
              </w:rPr>
            </w:pPr>
            <w:r>
              <w:rPr>
                <w:rFonts w:ascii="Times New Roman" w:eastAsia="Times New Roman"/>
                <w:sz w:val="21"/>
              </w:rPr>
              <w:t>WN</w:t>
            </w:r>
            <w:r>
              <w:rPr>
                <w:sz w:val="21"/>
              </w:rPr>
              <w:t>，</w:t>
            </w:r>
            <w:r>
              <w:rPr>
                <w:rFonts w:ascii="Times New Roman" w:eastAsia="Times New Roman"/>
                <w:sz w:val="21"/>
              </w:rPr>
              <w:t>550m</w:t>
            </w:r>
          </w:p>
        </w:tc>
      </w:tr>
      <w:tr w14:paraId="0E32C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22" w:type="dxa"/>
          </w:tcPr>
          <w:p w14:paraId="4FE9143C">
            <w:pPr>
              <w:pStyle w:val="14"/>
              <w:spacing w:before="76"/>
              <w:ind w:left="428" w:right="420"/>
              <w:jc w:val="center"/>
              <w:rPr>
                <w:rFonts w:ascii="Times New Roman"/>
                <w:sz w:val="21"/>
              </w:rPr>
            </w:pPr>
            <w:r>
              <w:rPr>
                <w:rFonts w:ascii="Times New Roman"/>
                <w:sz w:val="21"/>
              </w:rPr>
              <w:t>D2</w:t>
            </w:r>
          </w:p>
        </w:tc>
        <w:tc>
          <w:tcPr>
            <w:tcW w:w="3560" w:type="dxa"/>
          </w:tcPr>
          <w:p w14:paraId="647C8884">
            <w:pPr>
              <w:pStyle w:val="14"/>
              <w:spacing w:before="59"/>
              <w:ind w:left="1335" w:right="1329"/>
              <w:jc w:val="center"/>
              <w:rPr>
                <w:sz w:val="21"/>
              </w:rPr>
            </w:pPr>
            <w:r>
              <w:rPr>
                <w:sz w:val="21"/>
              </w:rPr>
              <w:t>新隋家</w:t>
            </w:r>
          </w:p>
        </w:tc>
        <w:tc>
          <w:tcPr>
            <w:tcW w:w="3476" w:type="dxa"/>
          </w:tcPr>
          <w:p w14:paraId="6AE19D35">
            <w:pPr>
              <w:pStyle w:val="14"/>
              <w:spacing w:before="62"/>
              <w:ind w:left="1144" w:right="1136"/>
              <w:jc w:val="center"/>
              <w:rPr>
                <w:rFonts w:ascii="Times New Roman" w:eastAsia="Times New Roman"/>
                <w:sz w:val="21"/>
              </w:rPr>
            </w:pPr>
            <w:r>
              <w:rPr>
                <w:rFonts w:ascii="Times New Roman" w:eastAsia="Times New Roman"/>
                <w:sz w:val="21"/>
              </w:rPr>
              <w:t>S</w:t>
            </w:r>
            <w:r>
              <w:rPr>
                <w:sz w:val="21"/>
              </w:rPr>
              <w:t>，</w:t>
            </w:r>
            <w:r>
              <w:rPr>
                <w:rFonts w:ascii="Times New Roman" w:eastAsia="Times New Roman"/>
                <w:sz w:val="21"/>
              </w:rPr>
              <w:t>350m</w:t>
            </w:r>
          </w:p>
        </w:tc>
      </w:tr>
      <w:tr w14:paraId="3D46C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2" w:type="dxa"/>
          </w:tcPr>
          <w:p w14:paraId="08AC3920">
            <w:pPr>
              <w:pStyle w:val="14"/>
              <w:spacing w:before="77"/>
              <w:ind w:left="428" w:right="420"/>
              <w:jc w:val="center"/>
              <w:rPr>
                <w:rFonts w:ascii="Times New Roman"/>
                <w:sz w:val="21"/>
              </w:rPr>
            </w:pPr>
            <w:r>
              <w:rPr>
                <w:rFonts w:ascii="Times New Roman"/>
                <w:sz w:val="21"/>
              </w:rPr>
              <w:t>D3</w:t>
            </w:r>
          </w:p>
        </w:tc>
        <w:tc>
          <w:tcPr>
            <w:tcW w:w="3560" w:type="dxa"/>
          </w:tcPr>
          <w:p w14:paraId="440186FD">
            <w:pPr>
              <w:pStyle w:val="14"/>
              <w:spacing w:before="60"/>
              <w:ind w:left="1337" w:right="1329"/>
              <w:jc w:val="center"/>
              <w:rPr>
                <w:sz w:val="21"/>
              </w:rPr>
            </w:pPr>
            <w:r>
              <w:rPr>
                <w:sz w:val="21"/>
              </w:rPr>
              <w:t>林家冲胥</w:t>
            </w:r>
          </w:p>
        </w:tc>
        <w:tc>
          <w:tcPr>
            <w:tcW w:w="3476" w:type="dxa"/>
          </w:tcPr>
          <w:p w14:paraId="42E1A739">
            <w:pPr>
              <w:pStyle w:val="14"/>
              <w:spacing w:before="63"/>
              <w:ind w:left="1144" w:right="1136"/>
              <w:jc w:val="center"/>
              <w:rPr>
                <w:rFonts w:ascii="Times New Roman" w:eastAsia="Times New Roman"/>
                <w:sz w:val="21"/>
              </w:rPr>
            </w:pPr>
            <w:r>
              <w:rPr>
                <w:rFonts w:ascii="Times New Roman" w:eastAsia="Times New Roman"/>
                <w:sz w:val="21"/>
              </w:rPr>
              <w:t>ES</w:t>
            </w:r>
            <w:r>
              <w:rPr>
                <w:sz w:val="21"/>
              </w:rPr>
              <w:t>，</w:t>
            </w:r>
            <w:r>
              <w:rPr>
                <w:rFonts w:ascii="Times New Roman" w:eastAsia="Times New Roman"/>
                <w:sz w:val="21"/>
              </w:rPr>
              <w:t>950m</w:t>
            </w:r>
          </w:p>
        </w:tc>
      </w:tr>
      <w:tr w14:paraId="1F473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22" w:type="dxa"/>
          </w:tcPr>
          <w:p w14:paraId="19ECA451">
            <w:pPr>
              <w:pStyle w:val="14"/>
              <w:spacing w:before="78"/>
              <w:ind w:left="428" w:right="420"/>
              <w:jc w:val="center"/>
              <w:rPr>
                <w:rFonts w:ascii="Times New Roman"/>
                <w:sz w:val="21"/>
              </w:rPr>
            </w:pPr>
            <w:r>
              <w:rPr>
                <w:rFonts w:ascii="Times New Roman"/>
                <w:sz w:val="21"/>
              </w:rPr>
              <w:t>D4</w:t>
            </w:r>
          </w:p>
        </w:tc>
        <w:tc>
          <w:tcPr>
            <w:tcW w:w="3560" w:type="dxa"/>
          </w:tcPr>
          <w:p w14:paraId="36F1903A">
            <w:pPr>
              <w:pStyle w:val="14"/>
              <w:spacing w:before="59"/>
              <w:ind w:left="1335" w:right="1329"/>
              <w:jc w:val="center"/>
              <w:rPr>
                <w:sz w:val="21"/>
              </w:rPr>
            </w:pPr>
            <w:r>
              <w:rPr>
                <w:sz w:val="21"/>
              </w:rPr>
              <w:t>隋家湾</w:t>
            </w:r>
          </w:p>
        </w:tc>
        <w:tc>
          <w:tcPr>
            <w:tcW w:w="3476" w:type="dxa"/>
          </w:tcPr>
          <w:p w14:paraId="5088332D">
            <w:pPr>
              <w:pStyle w:val="14"/>
              <w:spacing w:before="64"/>
              <w:ind w:left="1144" w:right="1138"/>
              <w:jc w:val="center"/>
              <w:rPr>
                <w:rFonts w:ascii="Times New Roman" w:eastAsia="Times New Roman"/>
                <w:sz w:val="21"/>
              </w:rPr>
            </w:pPr>
            <w:r>
              <w:rPr>
                <w:rFonts w:ascii="Times New Roman" w:eastAsia="Times New Roman"/>
                <w:sz w:val="21"/>
              </w:rPr>
              <w:t>WN</w:t>
            </w:r>
            <w:r>
              <w:rPr>
                <w:sz w:val="21"/>
              </w:rPr>
              <w:t>，</w:t>
            </w:r>
            <w:r>
              <w:rPr>
                <w:rFonts w:ascii="Times New Roman" w:eastAsia="Times New Roman"/>
                <w:sz w:val="21"/>
              </w:rPr>
              <w:t>1000m</w:t>
            </w:r>
          </w:p>
        </w:tc>
      </w:tr>
      <w:tr w14:paraId="03EF4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2" w:type="dxa"/>
          </w:tcPr>
          <w:p w14:paraId="25DB76D7">
            <w:pPr>
              <w:pStyle w:val="14"/>
              <w:spacing w:before="76"/>
              <w:ind w:left="428" w:right="420"/>
              <w:jc w:val="center"/>
              <w:rPr>
                <w:rFonts w:ascii="Times New Roman"/>
                <w:sz w:val="21"/>
              </w:rPr>
            </w:pPr>
            <w:r>
              <w:rPr>
                <w:rFonts w:ascii="Times New Roman"/>
                <w:sz w:val="21"/>
              </w:rPr>
              <w:t>D5</w:t>
            </w:r>
          </w:p>
        </w:tc>
        <w:tc>
          <w:tcPr>
            <w:tcW w:w="3560" w:type="dxa"/>
          </w:tcPr>
          <w:p w14:paraId="2E20F466">
            <w:pPr>
              <w:pStyle w:val="14"/>
              <w:spacing w:before="60"/>
              <w:ind w:left="1335" w:right="1329"/>
              <w:jc w:val="center"/>
              <w:rPr>
                <w:sz w:val="21"/>
              </w:rPr>
            </w:pPr>
            <w:r>
              <w:rPr>
                <w:sz w:val="21"/>
              </w:rPr>
              <w:t>王坡</w:t>
            </w:r>
          </w:p>
        </w:tc>
        <w:tc>
          <w:tcPr>
            <w:tcW w:w="3476" w:type="dxa"/>
          </w:tcPr>
          <w:p w14:paraId="6B120974">
            <w:pPr>
              <w:pStyle w:val="14"/>
              <w:spacing w:before="62"/>
              <w:ind w:left="1144" w:right="1136"/>
              <w:jc w:val="center"/>
              <w:rPr>
                <w:rFonts w:ascii="Times New Roman" w:eastAsia="Times New Roman"/>
                <w:sz w:val="21"/>
              </w:rPr>
            </w:pPr>
            <w:r>
              <w:rPr>
                <w:rFonts w:ascii="Times New Roman" w:eastAsia="Times New Roman"/>
                <w:sz w:val="21"/>
              </w:rPr>
              <w:t>WS</w:t>
            </w:r>
            <w:r>
              <w:rPr>
                <w:sz w:val="21"/>
              </w:rPr>
              <w:t>，</w:t>
            </w:r>
            <w:r>
              <w:rPr>
                <w:rFonts w:ascii="Times New Roman" w:eastAsia="Times New Roman"/>
                <w:sz w:val="21"/>
              </w:rPr>
              <w:t>600m</w:t>
            </w:r>
          </w:p>
        </w:tc>
      </w:tr>
      <w:tr w14:paraId="36C32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22" w:type="dxa"/>
          </w:tcPr>
          <w:p w14:paraId="3D533696">
            <w:pPr>
              <w:pStyle w:val="14"/>
              <w:spacing w:before="77"/>
              <w:ind w:left="428" w:right="420"/>
              <w:jc w:val="center"/>
              <w:rPr>
                <w:rFonts w:ascii="Times New Roman"/>
                <w:sz w:val="21"/>
              </w:rPr>
            </w:pPr>
            <w:r>
              <w:rPr>
                <w:rFonts w:ascii="Times New Roman"/>
                <w:sz w:val="21"/>
              </w:rPr>
              <w:t>D6</w:t>
            </w:r>
          </w:p>
        </w:tc>
        <w:tc>
          <w:tcPr>
            <w:tcW w:w="3560" w:type="dxa"/>
          </w:tcPr>
          <w:p w14:paraId="4A6D68DF">
            <w:pPr>
              <w:pStyle w:val="14"/>
              <w:spacing w:before="61"/>
              <w:ind w:left="1335" w:right="1329"/>
              <w:jc w:val="center"/>
              <w:rPr>
                <w:sz w:val="21"/>
              </w:rPr>
            </w:pPr>
            <w:r>
              <w:rPr>
                <w:sz w:val="21"/>
              </w:rPr>
              <w:t>屈家冲</w:t>
            </w:r>
          </w:p>
        </w:tc>
        <w:tc>
          <w:tcPr>
            <w:tcW w:w="3476" w:type="dxa"/>
          </w:tcPr>
          <w:p w14:paraId="76A685C9">
            <w:pPr>
              <w:pStyle w:val="14"/>
              <w:spacing w:before="63"/>
              <w:ind w:left="1144" w:right="1136"/>
              <w:jc w:val="center"/>
              <w:rPr>
                <w:rFonts w:ascii="Times New Roman" w:eastAsia="Times New Roman"/>
                <w:sz w:val="21"/>
              </w:rPr>
            </w:pPr>
            <w:r>
              <w:rPr>
                <w:rFonts w:ascii="Times New Roman" w:eastAsia="Times New Roman"/>
                <w:sz w:val="21"/>
              </w:rPr>
              <w:t>ES</w:t>
            </w:r>
            <w:r>
              <w:rPr>
                <w:sz w:val="21"/>
              </w:rPr>
              <w:t>，</w:t>
            </w:r>
            <w:r>
              <w:rPr>
                <w:rFonts w:ascii="Times New Roman" w:eastAsia="Times New Roman"/>
                <w:sz w:val="21"/>
              </w:rPr>
              <w:t>900m</w:t>
            </w:r>
          </w:p>
        </w:tc>
      </w:tr>
    </w:tbl>
    <w:p w14:paraId="0A16BFFE">
      <w:pPr>
        <w:pStyle w:val="7"/>
        <w:spacing w:before="1" w:line="364" w:lineRule="auto"/>
        <w:ind w:left="460" w:right="477" w:firstLine="480"/>
        <w:jc w:val="both"/>
      </w:pPr>
      <w:r>
        <w:t>（</w:t>
      </w:r>
      <w:r>
        <w:rPr>
          <w:rFonts w:ascii="Times New Roman" w:eastAsia="Times New Roman"/>
        </w:rPr>
        <w:t>2</w:t>
      </w:r>
      <w:r>
        <w:t>）监测因子：</w:t>
      </w:r>
      <w:r>
        <w:rPr>
          <w:rFonts w:ascii="Times New Roman" w:eastAsia="Times New Roman"/>
        </w:rPr>
        <w:t>pH</w:t>
      </w:r>
      <w:r>
        <w:t>、氨氮、硝酸盐、亚硝酸盐、挥发性酚类、氰化物、砷、汞、铬（六价）、总硬度、铅、氟、镉、铁、锰、溶解性总固体、高锰酸盐指数、硫酸盐、氯化物、总大肠菌群、细菌总数、</w:t>
      </w:r>
      <w:r>
        <w:rPr>
          <w:rFonts w:ascii="Times New Roman" w:eastAsia="Times New Roman"/>
        </w:rPr>
        <w:t>K</w:t>
      </w:r>
      <w:r>
        <w:rPr>
          <w:rFonts w:ascii="Times New Roman" w:eastAsia="Times New Roman"/>
          <w:position w:val="8"/>
          <w:sz w:val="15"/>
        </w:rPr>
        <w:t>+</w:t>
      </w:r>
      <w:r>
        <w:t>、</w:t>
      </w:r>
      <w:r>
        <w:rPr>
          <w:rFonts w:ascii="Times New Roman" w:eastAsia="Times New Roman"/>
        </w:rPr>
        <w:t>Na</w:t>
      </w:r>
      <w:r>
        <w:rPr>
          <w:rFonts w:ascii="Times New Roman" w:eastAsia="Times New Roman"/>
          <w:position w:val="8"/>
          <w:sz w:val="15"/>
        </w:rPr>
        <w:t>+</w:t>
      </w:r>
      <w:r>
        <w:t>、</w:t>
      </w:r>
      <w:r>
        <w:rPr>
          <w:rFonts w:ascii="Times New Roman" w:eastAsia="Times New Roman"/>
        </w:rPr>
        <w:t>Ca</w:t>
      </w:r>
      <w:r>
        <w:rPr>
          <w:rFonts w:ascii="Times New Roman" w:eastAsia="Times New Roman"/>
          <w:position w:val="8"/>
          <w:sz w:val="15"/>
        </w:rPr>
        <w:t>2+</w:t>
      </w:r>
      <w:r>
        <w:t>、</w:t>
      </w:r>
      <w:r>
        <w:rPr>
          <w:rFonts w:ascii="Times New Roman" w:eastAsia="Times New Roman"/>
        </w:rPr>
        <w:t>Mg</w:t>
      </w:r>
      <w:r>
        <w:rPr>
          <w:rFonts w:ascii="Times New Roman" w:eastAsia="Times New Roman"/>
          <w:position w:val="8"/>
          <w:sz w:val="15"/>
        </w:rPr>
        <w:t>2+</w:t>
      </w:r>
      <w:r>
        <w:t>、</w:t>
      </w:r>
      <w:r>
        <w:rPr>
          <w:rFonts w:ascii="Times New Roman" w:eastAsia="Times New Roman"/>
          <w:position w:val="2"/>
        </w:rPr>
        <w:t>HCO</w:t>
      </w:r>
      <w:r>
        <w:rPr>
          <w:rFonts w:ascii="Times New Roman" w:eastAsia="Times New Roman"/>
          <w:position w:val="2"/>
          <w:vertAlign w:val="subscript"/>
        </w:rPr>
        <w:t>3</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CO</w:t>
      </w:r>
      <w:r>
        <w:rPr>
          <w:rFonts w:ascii="Times New Roman" w:eastAsia="Times New Roman"/>
          <w:position w:val="2"/>
          <w:vertAlign w:val="subscript"/>
        </w:rPr>
        <w:t>3</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Cl</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4</w:t>
      </w:r>
      <w:r>
        <w:rPr>
          <w:rFonts w:ascii="Times New Roman" w:eastAsia="Times New Roman"/>
          <w:position w:val="2"/>
          <w:vertAlign w:val="superscript"/>
        </w:rPr>
        <w:t>2-</w:t>
      </w:r>
      <w:r>
        <w:rPr>
          <w:position w:val="2"/>
          <w:vertAlign w:val="baseline"/>
        </w:rPr>
        <w:t>。</w:t>
      </w:r>
    </w:p>
    <w:p w14:paraId="16C74F0B">
      <w:pPr>
        <w:pStyle w:val="7"/>
        <w:spacing w:line="301" w:lineRule="exact"/>
        <w:ind w:left="940"/>
      </w:pPr>
      <w:r>
        <w:t>（</w:t>
      </w:r>
      <w:r>
        <w:rPr>
          <w:rFonts w:ascii="Times New Roman" w:eastAsia="Times New Roman"/>
        </w:rPr>
        <w:t>3</w:t>
      </w:r>
      <w:r>
        <w:t>）监测频次：监测一次。</w:t>
      </w:r>
    </w:p>
    <w:p w14:paraId="1E318B3F">
      <w:pPr>
        <w:pStyle w:val="7"/>
        <w:spacing w:before="160"/>
        <w:ind w:left="940"/>
      </w:pPr>
      <w:r>
        <w:t>（</w:t>
      </w:r>
      <w:r>
        <w:rPr>
          <w:rFonts w:ascii="Times New Roman" w:eastAsia="Times New Roman"/>
        </w:rPr>
        <w:t>4</w:t>
      </w:r>
      <w:r>
        <w:t>）分析方法：按国家颁布的《环境监测技术规范》方法执行。</w:t>
      </w:r>
    </w:p>
    <w:p w14:paraId="2110A1D9">
      <w:pPr>
        <w:pStyle w:val="7"/>
        <w:spacing w:before="161"/>
        <w:ind w:left="940"/>
      </w:pPr>
      <w:r>
        <w:t>（</w:t>
      </w:r>
      <w:r>
        <w:rPr>
          <w:rFonts w:ascii="Times New Roman" w:eastAsia="Times New Roman"/>
        </w:rPr>
        <w:t>5</w:t>
      </w:r>
      <w:r>
        <w:t>）评价结果统计分析</w:t>
      </w:r>
    </w:p>
    <w:p w14:paraId="76BF57B7">
      <w:pPr>
        <w:pStyle w:val="7"/>
        <w:spacing w:before="158"/>
        <w:ind w:left="940"/>
      </w:pPr>
      <w:r>
        <w:t>本项目地下水质量监测结果统计分析与评价见下表。</w:t>
      </w:r>
    </w:p>
    <w:p w14:paraId="70AFDEB7">
      <w:pPr>
        <w:spacing w:before="159"/>
        <w:ind w:left="274" w:right="246" w:firstLine="0"/>
        <w:jc w:val="center"/>
        <w:rPr>
          <w:b/>
          <w:sz w:val="21"/>
        </w:rPr>
      </w:pPr>
      <w:r>
        <w:rPr>
          <w:b/>
          <w:sz w:val="21"/>
        </w:rPr>
        <w:t xml:space="preserve">表 </w:t>
      </w:r>
      <w:r>
        <w:rPr>
          <w:rFonts w:ascii="Times New Roman" w:eastAsia="Times New Roman"/>
          <w:b/>
          <w:sz w:val="21"/>
        </w:rPr>
        <w:t xml:space="preserve">0- 7 </w:t>
      </w:r>
      <w:r>
        <w:rPr>
          <w:b/>
          <w:sz w:val="21"/>
        </w:rPr>
        <w:t>地下水质量现状监测及评价结果一览表</w:t>
      </w:r>
    </w:p>
    <w:p w14:paraId="74F0AECC">
      <w:pPr>
        <w:spacing w:after="0"/>
        <w:jc w:val="center"/>
        <w:rPr>
          <w:sz w:val="21"/>
        </w:rPr>
        <w:sectPr>
          <w:pgSz w:w="11910" w:h="16840"/>
          <w:pgMar w:top="1360" w:right="1320" w:bottom="1400" w:left="1340" w:header="878" w:footer="1204" w:gutter="0"/>
          <w:cols w:space="720" w:num="1"/>
        </w:sectPr>
      </w:pPr>
    </w:p>
    <w:p w14:paraId="0AF81A0D">
      <w:pPr>
        <w:pStyle w:val="7"/>
        <w:spacing w:before="9"/>
        <w:rPr>
          <w:rFonts w:ascii="Times New Roman"/>
          <w:sz w:val="5"/>
        </w:rPr>
      </w:pPr>
    </w:p>
    <w:tbl>
      <w:tblPr>
        <w:tblStyle w:val="10"/>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027"/>
        <w:gridCol w:w="1236"/>
        <w:gridCol w:w="1331"/>
        <w:gridCol w:w="1022"/>
        <w:gridCol w:w="993"/>
        <w:gridCol w:w="933"/>
        <w:gridCol w:w="274"/>
        <w:gridCol w:w="551"/>
      </w:tblGrid>
      <w:tr w14:paraId="22E00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restart"/>
          </w:tcPr>
          <w:p w14:paraId="550743A3">
            <w:pPr>
              <w:pStyle w:val="14"/>
              <w:spacing w:before="7"/>
              <w:rPr>
                <w:rFonts w:ascii="Times New Roman"/>
                <w:sz w:val="25"/>
              </w:rPr>
            </w:pPr>
          </w:p>
          <w:p w14:paraId="7B865757">
            <w:pPr>
              <w:pStyle w:val="14"/>
              <w:ind w:left="52"/>
              <w:rPr>
                <w:b/>
                <w:sz w:val="21"/>
              </w:rPr>
            </w:pPr>
            <w:r>
              <w:rPr>
                <w:b/>
                <w:sz w:val="21"/>
              </w:rPr>
              <w:t>采样时间</w:t>
            </w:r>
          </w:p>
        </w:tc>
        <w:tc>
          <w:tcPr>
            <w:tcW w:w="1027" w:type="dxa"/>
            <w:vMerge w:val="restart"/>
          </w:tcPr>
          <w:p w14:paraId="3A397ECD">
            <w:pPr>
              <w:pStyle w:val="14"/>
              <w:spacing w:before="7"/>
              <w:rPr>
                <w:rFonts w:ascii="Times New Roman"/>
                <w:sz w:val="25"/>
              </w:rPr>
            </w:pPr>
          </w:p>
          <w:p w14:paraId="64138D69">
            <w:pPr>
              <w:pStyle w:val="14"/>
              <w:ind w:left="92"/>
              <w:rPr>
                <w:b/>
                <w:sz w:val="21"/>
              </w:rPr>
            </w:pPr>
            <w:r>
              <w:rPr>
                <w:b/>
                <w:sz w:val="21"/>
              </w:rPr>
              <w:t>检测项目</w:t>
            </w:r>
          </w:p>
        </w:tc>
        <w:tc>
          <w:tcPr>
            <w:tcW w:w="1236" w:type="dxa"/>
            <w:vMerge w:val="restart"/>
          </w:tcPr>
          <w:p w14:paraId="4F936D4C">
            <w:pPr>
              <w:pStyle w:val="14"/>
              <w:spacing w:before="7"/>
              <w:rPr>
                <w:rFonts w:ascii="Times New Roman"/>
                <w:sz w:val="25"/>
              </w:rPr>
            </w:pPr>
          </w:p>
          <w:p w14:paraId="5F74DE14">
            <w:pPr>
              <w:pStyle w:val="14"/>
              <w:ind w:left="407"/>
              <w:rPr>
                <w:b/>
                <w:sz w:val="21"/>
              </w:rPr>
            </w:pPr>
            <w:r>
              <w:rPr>
                <w:b/>
                <w:sz w:val="21"/>
              </w:rPr>
              <w:t>单位</w:t>
            </w:r>
          </w:p>
        </w:tc>
        <w:tc>
          <w:tcPr>
            <w:tcW w:w="1331" w:type="dxa"/>
            <w:vMerge w:val="restart"/>
          </w:tcPr>
          <w:p w14:paraId="2FCF7E84">
            <w:pPr>
              <w:pStyle w:val="14"/>
              <w:spacing w:before="21" w:line="242" w:lineRule="auto"/>
              <w:ind w:left="32" w:right="23" w:hanging="1"/>
              <w:jc w:val="center"/>
              <w:rPr>
                <w:b/>
                <w:sz w:val="21"/>
              </w:rPr>
            </w:pPr>
            <w:r>
              <w:rPr>
                <w:b/>
                <w:w w:val="95"/>
                <w:sz w:val="21"/>
              </w:rPr>
              <w:t>《地下水质量标准》Ⅲ类标</w:t>
            </w:r>
            <w:r>
              <w:rPr>
                <w:b/>
                <w:sz w:val="21"/>
              </w:rPr>
              <w:t>准限值</w:t>
            </w:r>
          </w:p>
        </w:tc>
        <w:tc>
          <w:tcPr>
            <w:tcW w:w="2948" w:type="dxa"/>
            <w:gridSpan w:val="3"/>
          </w:tcPr>
          <w:p w14:paraId="572ACF74">
            <w:pPr>
              <w:pStyle w:val="14"/>
              <w:spacing w:before="76"/>
              <w:ind w:left="525"/>
              <w:rPr>
                <w:b/>
                <w:sz w:val="21"/>
              </w:rPr>
            </w:pPr>
            <w:r>
              <w:rPr>
                <w:b/>
                <w:sz w:val="21"/>
              </w:rPr>
              <w:t>采样点位和检测结果</w:t>
            </w:r>
          </w:p>
        </w:tc>
        <w:tc>
          <w:tcPr>
            <w:tcW w:w="274" w:type="dxa"/>
            <w:vMerge w:val="restart"/>
          </w:tcPr>
          <w:p w14:paraId="0F3C250A">
            <w:pPr>
              <w:pStyle w:val="14"/>
              <w:spacing w:before="21" w:line="242" w:lineRule="auto"/>
              <w:ind w:left="30" w:right="22"/>
              <w:jc w:val="both"/>
              <w:rPr>
                <w:b/>
                <w:sz w:val="21"/>
              </w:rPr>
            </w:pPr>
            <w:r>
              <w:rPr>
                <w:b/>
                <w:sz w:val="21"/>
              </w:rPr>
              <w:t>超标率</w:t>
            </w:r>
          </w:p>
        </w:tc>
        <w:tc>
          <w:tcPr>
            <w:tcW w:w="551" w:type="dxa"/>
            <w:vMerge w:val="restart"/>
          </w:tcPr>
          <w:p w14:paraId="1E4BC04B">
            <w:pPr>
              <w:pStyle w:val="14"/>
              <w:spacing w:before="21" w:line="242" w:lineRule="auto"/>
              <w:ind w:left="63" w:right="55"/>
              <w:jc w:val="both"/>
              <w:rPr>
                <w:b/>
                <w:sz w:val="21"/>
              </w:rPr>
            </w:pPr>
            <w:r>
              <w:rPr>
                <w:b/>
                <w:sz w:val="21"/>
              </w:rPr>
              <w:t>最大超标倍数</w:t>
            </w:r>
          </w:p>
        </w:tc>
      </w:tr>
      <w:tr w14:paraId="2DD9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3A49306">
            <w:pPr>
              <w:rPr>
                <w:sz w:val="2"/>
                <w:szCs w:val="2"/>
              </w:rPr>
            </w:pPr>
          </w:p>
        </w:tc>
        <w:tc>
          <w:tcPr>
            <w:tcW w:w="1027" w:type="dxa"/>
            <w:vMerge w:val="continue"/>
            <w:tcBorders>
              <w:top w:val="nil"/>
            </w:tcBorders>
          </w:tcPr>
          <w:p w14:paraId="2425E938">
            <w:pPr>
              <w:rPr>
                <w:sz w:val="2"/>
                <w:szCs w:val="2"/>
              </w:rPr>
            </w:pPr>
          </w:p>
        </w:tc>
        <w:tc>
          <w:tcPr>
            <w:tcW w:w="1236" w:type="dxa"/>
            <w:vMerge w:val="continue"/>
            <w:tcBorders>
              <w:top w:val="nil"/>
            </w:tcBorders>
          </w:tcPr>
          <w:p w14:paraId="30A848B0">
            <w:pPr>
              <w:rPr>
                <w:sz w:val="2"/>
                <w:szCs w:val="2"/>
              </w:rPr>
            </w:pPr>
          </w:p>
        </w:tc>
        <w:tc>
          <w:tcPr>
            <w:tcW w:w="1331" w:type="dxa"/>
            <w:vMerge w:val="continue"/>
            <w:tcBorders>
              <w:top w:val="nil"/>
            </w:tcBorders>
          </w:tcPr>
          <w:p w14:paraId="1F91B352">
            <w:pPr>
              <w:rPr>
                <w:sz w:val="2"/>
                <w:szCs w:val="2"/>
              </w:rPr>
            </w:pPr>
          </w:p>
        </w:tc>
        <w:tc>
          <w:tcPr>
            <w:tcW w:w="1022" w:type="dxa"/>
          </w:tcPr>
          <w:p w14:paraId="7F94DCCF">
            <w:pPr>
              <w:pStyle w:val="14"/>
              <w:spacing w:before="73"/>
              <w:ind w:left="173" w:right="165"/>
              <w:jc w:val="center"/>
              <w:rPr>
                <w:b/>
                <w:sz w:val="21"/>
              </w:rPr>
            </w:pPr>
            <w:r>
              <w:rPr>
                <w:b/>
                <w:sz w:val="21"/>
              </w:rPr>
              <w:t>林家冲</w:t>
            </w:r>
          </w:p>
        </w:tc>
        <w:tc>
          <w:tcPr>
            <w:tcW w:w="993" w:type="dxa"/>
          </w:tcPr>
          <w:p w14:paraId="29E001D4">
            <w:pPr>
              <w:pStyle w:val="14"/>
              <w:spacing w:before="73"/>
              <w:ind w:left="159" w:right="150"/>
              <w:jc w:val="center"/>
              <w:rPr>
                <w:b/>
                <w:sz w:val="21"/>
              </w:rPr>
            </w:pPr>
            <w:r>
              <w:rPr>
                <w:b/>
                <w:sz w:val="21"/>
              </w:rPr>
              <w:t>新隋家</w:t>
            </w:r>
          </w:p>
        </w:tc>
        <w:tc>
          <w:tcPr>
            <w:tcW w:w="933" w:type="dxa"/>
          </w:tcPr>
          <w:p w14:paraId="4EE41977">
            <w:pPr>
              <w:pStyle w:val="14"/>
              <w:spacing w:before="73"/>
              <w:ind w:left="23" w:right="15"/>
              <w:jc w:val="center"/>
              <w:rPr>
                <w:b/>
                <w:sz w:val="21"/>
              </w:rPr>
            </w:pPr>
            <w:r>
              <w:rPr>
                <w:b/>
                <w:sz w:val="21"/>
              </w:rPr>
              <w:t>林家冲胥</w:t>
            </w:r>
          </w:p>
        </w:tc>
        <w:tc>
          <w:tcPr>
            <w:tcW w:w="274" w:type="dxa"/>
            <w:vMerge w:val="continue"/>
            <w:tcBorders>
              <w:top w:val="nil"/>
            </w:tcBorders>
          </w:tcPr>
          <w:p w14:paraId="22EE8EE6">
            <w:pPr>
              <w:rPr>
                <w:sz w:val="2"/>
                <w:szCs w:val="2"/>
              </w:rPr>
            </w:pPr>
          </w:p>
        </w:tc>
        <w:tc>
          <w:tcPr>
            <w:tcW w:w="551" w:type="dxa"/>
            <w:vMerge w:val="continue"/>
            <w:tcBorders>
              <w:top w:val="nil"/>
            </w:tcBorders>
          </w:tcPr>
          <w:p w14:paraId="501F075E">
            <w:pPr>
              <w:rPr>
                <w:sz w:val="2"/>
                <w:szCs w:val="2"/>
              </w:rPr>
            </w:pPr>
          </w:p>
        </w:tc>
      </w:tr>
      <w:tr w14:paraId="61F1A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restart"/>
          </w:tcPr>
          <w:p w14:paraId="299E0ED1">
            <w:pPr>
              <w:pStyle w:val="14"/>
              <w:rPr>
                <w:rFonts w:ascii="Times New Roman"/>
                <w:sz w:val="22"/>
              </w:rPr>
            </w:pPr>
          </w:p>
          <w:p w14:paraId="15A38ED2">
            <w:pPr>
              <w:pStyle w:val="14"/>
              <w:rPr>
                <w:rFonts w:ascii="Times New Roman"/>
                <w:sz w:val="22"/>
              </w:rPr>
            </w:pPr>
          </w:p>
          <w:p w14:paraId="1461A4DE">
            <w:pPr>
              <w:pStyle w:val="14"/>
              <w:rPr>
                <w:rFonts w:ascii="Times New Roman"/>
                <w:sz w:val="22"/>
              </w:rPr>
            </w:pPr>
          </w:p>
          <w:p w14:paraId="06AB2B59">
            <w:pPr>
              <w:pStyle w:val="14"/>
              <w:rPr>
                <w:rFonts w:ascii="Times New Roman"/>
                <w:sz w:val="22"/>
              </w:rPr>
            </w:pPr>
          </w:p>
          <w:p w14:paraId="42C5A861">
            <w:pPr>
              <w:pStyle w:val="14"/>
              <w:rPr>
                <w:rFonts w:ascii="Times New Roman"/>
                <w:sz w:val="22"/>
              </w:rPr>
            </w:pPr>
          </w:p>
          <w:p w14:paraId="181D0285">
            <w:pPr>
              <w:pStyle w:val="14"/>
              <w:rPr>
                <w:rFonts w:ascii="Times New Roman"/>
                <w:sz w:val="22"/>
              </w:rPr>
            </w:pPr>
          </w:p>
          <w:p w14:paraId="1214A72E">
            <w:pPr>
              <w:pStyle w:val="14"/>
              <w:rPr>
                <w:rFonts w:ascii="Times New Roman"/>
                <w:sz w:val="22"/>
              </w:rPr>
            </w:pPr>
          </w:p>
          <w:p w14:paraId="55BB098B">
            <w:pPr>
              <w:pStyle w:val="14"/>
              <w:rPr>
                <w:rFonts w:ascii="Times New Roman"/>
                <w:sz w:val="22"/>
              </w:rPr>
            </w:pPr>
          </w:p>
          <w:p w14:paraId="14289832">
            <w:pPr>
              <w:pStyle w:val="14"/>
              <w:rPr>
                <w:rFonts w:ascii="Times New Roman"/>
                <w:sz w:val="22"/>
              </w:rPr>
            </w:pPr>
          </w:p>
          <w:p w14:paraId="4FFEF836">
            <w:pPr>
              <w:pStyle w:val="14"/>
              <w:rPr>
                <w:rFonts w:ascii="Times New Roman"/>
                <w:sz w:val="22"/>
              </w:rPr>
            </w:pPr>
          </w:p>
          <w:p w14:paraId="7AB7AA5A">
            <w:pPr>
              <w:pStyle w:val="14"/>
              <w:rPr>
                <w:rFonts w:ascii="Times New Roman"/>
                <w:sz w:val="22"/>
              </w:rPr>
            </w:pPr>
          </w:p>
          <w:p w14:paraId="11609244">
            <w:pPr>
              <w:pStyle w:val="14"/>
              <w:rPr>
                <w:rFonts w:ascii="Times New Roman"/>
                <w:sz w:val="22"/>
              </w:rPr>
            </w:pPr>
          </w:p>
          <w:p w14:paraId="68EE97A1">
            <w:pPr>
              <w:pStyle w:val="14"/>
              <w:rPr>
                <w:rFonts w:ascii="Times New Roman"/>
                <w:sz w:val="22"/>
              </w:rPr>
            </w:pPr>
          </w:p>
          <w:p w14:paraId="05504A96">
            <w:pPr>
              <w:pStyle w:val="14"/>
              <w:rPr>
                <w:rFonts w:ascii="Times New Roman"/>
                <w:sz w:val="22"/>
              </w:rPr>
            </w:pPr>
          </w:p>
          <w:p w14:paraId="02D1510C">
            <w:pPr>
              <w:pStyle w:val="14"/>
              <w:rPr>
                <w:rFonts w:ascii="Times New Roman"/>
                <w:sz w:val="22"/>
              </w:rPr>
            </w:pPr>
          </w:p>
          <w:p w14:paraId="74072023">
            <w:pPr>
              <w:pStyle w:val="14"/>
              <w:rPr>
                <w:rFonts w:ascii="Times New Roman"/>
                <w:sz w:val="22"/>
              </w:rPr>
            </w:pPr>
          </w:p>
          <w:p w14:paraId="4163A028">
            <w:pPr>
              <w:pStyle w:val="14"/>
              <w:rPr>
                <w:rFonts w:ascii="Times New Roman"/>
                <w:sz w:val="22"/>
              </w:rPr>
            </w:pPr>
          </w:p>
          <w:p w14:paraId="26E478C6">
            <w:pPr>
              <w:pStyle w:val="14"/>
              <w:rPr>
                <w:rFonts w:ascii="Times New Roman"/>
                <w:sz w:val="22"/>
              </w:rPr>
            </w:pPr>
          </w:p>
          <w:p w14:paraId="26946D22">
            <w:pPr>
              <w:pStyle w:val="14"/>
              <w:rPr>
                <w:rFonts w:ascii="Times New Roman"/>
                <w:sz w:val="22"/>
              </w:rPr>
            </w:pPr>
          </w:p>
          <w:p w14:paraId="3A4FA583">
            <w:pPr>
              <w:pStyle w:val="14"/>
              <w:rPr>
                <w:rFonts w:ascii="Times New Roman"/>
                <w:sz w:val="22"/>
              </w:rPr>
            </w:pPr>
          </w:p>
          <w:p w14:paraId="3B71BE4C">
            <w:pPr>
              <w:pStyle w:val="14"/>
              <w:rPr>
                <w:rFonts w:ascii="Times New Roman"/>
                <w:sz w:val="22"/>
              </w:rPr>
            </w:pPr>
          </w:p>
          <w:p w14:paraId="5D01AA90">
            <w:pPr>
              <w:pStyle w:val="14"/>
              <w:rPr>
                <w:rFonts w:ascii="Times New Roman"/>
                <w:sz w:val="22"/>
              </w:rPr>
            </w:pPr>
          </w:p>
          <w:p w14:paraId="2A30C3CE">
            <w:pPr>
              <w:pStyle w:val="14"/>
              <w:rPr>
                <w:rFonts w:ascii="Times New Roman"/>
                <w:sz w:val="22"/>
              </w:rPr>
            </w:pPr>
          </w:p>
          <w:p w14:paraId="6E6BDE96">
            <w:pPr>
              <w:pStyle w:val="14"/>
              <w:rPr>
                <w:rFonts w:ascii="Times New Roman"/>
                <w:sz w:val="22"/>
              </w:rPr>
            </w:pPr>
          </w:p>
          <w:p w14:paraId="0E4AEA5F">
            <w:pPr>
              <w:pStyle w:val="14"/>
              <w:spacing w:before="4"/>
              <w:rPr>
                <w:rFonts w:ascii="Times New Roman"/>
                <w:sz w:val="22"/>
              </w:rPr>
            </w:pPr>
          </w:p>
          <w:p w14:paraId="1ACE43CF">
            <w:pPr>
              <w:pStyle w:val="14"/>
              <w:ind w:left="105"/>
              <w:rPr>
                <w:rFonts w:ascii="Times New Roman"/>
                <w:sz w:val="21"/>
              </w:rPr>
            </w:pPr>
            <w:r>
              <w:rPr>
                <w:rFonts w:ascii="Times New Roman"/>
                <w:sz w:val="21"/>
              </w:rPr>
              <w:t>2024.1.2</w:t>
            </w:r>
          </w:p>
        </w:tc>
        <w:tc>
          <w:tcPr>
            <w:tcW w:w="1027" w:type="dxa"/>
          </w:tcPr>
          <w:p w14:paraId="1DEF1D1D">
            <w:pPr>
              <w:pStyle w:val="14"/>
              <w:spacing w:before="113"/>
              <w:ind w:left="71" w:right="61"/>
              <w:jc w:val="center"/>
              <w:rPr>
                <w:rFonts w:ascii="Times New Roman"/>
                <w:sz w:val="21"/>
              </w:rPr>
            </w:pPr>
            <w:r>
              <w:rPr>
                <w:rFonts w:ascii="Times New Roman"/>
                <w:sz w:val="21"/>
              </w:rPr>
              <w:t>pH</w:t>
            </w:r>
          </w:p>
        </w:tc>
        <w:tc>
          <w:tcPr>
            <w:tcW w:w="1236" w:type="dxa"/>
          </w:tcPr>
          <w:p w14:paraId="3CBB99A9">
            <w:pPr>
              <w:pStyle w:val="14"/>
              <w:spacing w:before="77"/>
              <w:ind w:left="215" w:right="209"/>
              <w:jc w:val="center"/>
              <w:rPr>
                <w:sz w:val="21"/>
              </w:rPr>
            </w:pPr>
            <w:r>
              <w:rPr>
                <w:sz w:val="21"/>
              </w:rPr>
              <w:t>无量纲</w:t>
            </w:r>
          </w:p>
        </w:tc>
        <w:tc>
          <w:tcPr>
            <w:tcW w:w="1331" w:type="dxa"/>
          </w:tcPr>
          <w:p w14:paraId="707EEAF0">
            <w:pPr>
              <w:pStyle w:val="14"/>
              <w:spacing w:before="113"/>
              <w:ind w:left="138" w:right="130"/>
              <w:jc w:val="center"/>
              <w:rPr>
                <w:rFonts w:ascii="Times New Roman" w:hAnsi="Times New Roman"/>
                <w:sz w:val="21"/>
              </w:rPr>
            </w:pPr>
            <w:r>
              <w:rPr>
                <w:rFonts w:ascii="Times New Roman" w:hAnsi="Times New Roman"/>
                <w:sz w:val="21"/>
              </w:rPr>
              <w:t>6.5≤pH≤8.5</w:t>
            </w:r>
          </w:p>
        </w:tc>
        <w:tc>
          <w:tcPr>
            <w:tcW w:w="1022" w:type="dxa"/>
          </w:tcPr>
          <w:p w14:paraId="423C0A71">
            <w:pPr>
              <w:pStyle w:val="14"/>
              <w:spacing w:before="113"/>
              <w:ind w:left="173" w:right="164"/>
              <w:jc w:val="center"/>
              <w:rPr>
                <w:rFonts w:ascii="Times New Roman"/>
                <w:sz w:val="21"/>
              </w:rPr>
            </w:pPr>
            <w:r>
              <w:rPr>
                <w:rFonts w:ascii="Times New Roman"/>
                <w:sz w:val="21"/>
              </w:rPr>
              <w:t>7.2</w:t>
            </w:r>
          </w:p>
        </w:tc>
        <w:tc>
          <w:tcPr>
            <w:tcW w:w="993" w:type="dxa"/>
          </w:tcPr>
          <w:p w14:paraId="2F8C9E63">
            <w:pPr>
              <w:pStyle w:val="14"/>
              <w:spacing w:before="113"/>
              <w:ind w:left="159" w:right="149"/>
              <w:jc w:val="center"/>
              <w:rPr>
                <w:rFonts w:ascii="Times New Roman"/>
                <w:sz w:val="21"/>
              </w:rPr>
            </w:pPr>
            <w:r>
              <w:rPr>
                <w:rFonts w:ascii="Times New Roman"/>
                <w:sz w:val="21"/>
              </w:rPr>
              <w:t>7.1</w:t>
            </w:r>
          </w:p>
        </w:tc>
        <w:tc>
          <w:tcPr>
            <w:tcW w:w="933" w:type="dxa"/>
          </w:tcPr>
          <w:p w14:paraId="474B294D">
            <w:pPr>
              <w:pStyle w:val="14"/>
              <w:spacing w:before="113"/>
              <w:ind w:left="23" w:right="14"/>
              <w:jc w:val="center"/>
              <w:rPr>
                <w:rFonts w:ascii="Times New Roman"/>
                <w:sz w:val="21"/>
              </w:rPr>
            </w:pPr>
            <w:r>
              <w:rPr>
                <w:rFonts w:ascii="Times New Roman"/>
                <w:sz w:val="21"/>
              </w:rPr>
              <w:t>7.2</w:t>
            </w:r>
          </w:p>
        </w:tc>
        <w:tc>
          <w:tcPr>
            <w:tcW w:w="274" w:type="dxa"/>
          </w:tcPr>
          <w:p w14:paraId="0F394296">
            <w:pPr>
              <w:pStyle w:val="14"/>
              <w:spacing w:before="91"/>
              <w:ind w:left="83"/>
              <w:rPr>
                <w:rFonts w:ascii="Times New Roman"/>
                <w:sz w:val="21"/>
              </w:rPr>
            </w:pPr>
            <w:r>
              <w:rPr>
                <w:rFonts w:ascii="Times New Roman"/>
                <w:w w:val="99"/>
                <w:sz w:val="21"/>
              </w:rPr>
              <w:t>0</w:t>
            </w:r>
          </w:p>
        </w:tc>
        <w:tc>
          <w:tcPr>
            <w:tcW w:w="551" w:type="dxa"/>
          </w:tcPr>
          <w:p w14:paraId="426D664D">
            <w:pPr>
              <w:pStyle w:val="14"/>
              <w:spacing w:before="91"/>
              <w:ind w:left="222"/>
              <w:rPr>
                <w:rFonts w:ascii="Times New Roman"/>
                <w:sz w:val="21"/>
              </w:rPr>
            </w:pPr>
            <w:r>
              <w:rPr>
                <w:rFonts w:ascii="Times New Roman"/>
                <w:w w:val="99"/>
                <w:sz w:val="21"/>
              </w:rPr>
              <w:t>0</w:t>
            </w:r>
          </w:p>
        </w:tc>
      </w:tr>
      <w:tr w14:paraId="5CA48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2AD0368B">
            <w:pPr>
              <w:rPr>
                <w:sz w:val="2"/>
                <w:szCs w:val="2"/>
              </w:rPr>
            </w:pPr>
          </w:p>
        </w:tc>
        <w:tc>
          <w:tcPr>
            <w:tcW w:w="1027" w:type="dxa"/>
          </w:tcPr>
          <w:p w14:paraId="40C41D10">
            <w:pPr>
              <w:pStyle w:val="14"/>
              <w:spacing w:before="98"/>
              <w:ind w:left="71" w:right="63"/>
              <w:jc w:val="center"/>
              <w:rPr>
                <w:sz w:val="21"/>
              </w:rPr>
            </w:pPr>
            <w:r>
              <w:rPr>
                <w:sz w:val="21"/>
              </w:rPr>
              <w:t>钾离子</w:t>
            </w:r>
          </w:p>
        </w:tc>
        <w:tc>
          <w:tcPr>
            <w:tcW w:w="1236" w:type="dxa"/>
          </w:tcPr>
          <w:p w14:paraId="5A451624">
            <w:pPr>
              <w:pStyle w:val="14"/>
              <w:spacing w:before="91"/>
              <w:ind w:left="215" w:right="209"/>
              <w:jc w:val="center"/>
              <w:rPr>
                <w:rFonts w:ascii="Times New Roman"/>
                <w:sz w:val="21"/>
              </w:rPr>
            </w:pPr>
            <w:r>
              <w:rPr>
                <w:rFonts w:ascii="Times New Roman"/>
                <w:sz w:val="21"/>
              </w:rPr>
              <w:t>mg/L</w:t>
            </w:r>
          </w:p>
        </w:tc>
        <w:tc>
          <w:tcPr>
            <w:tcW w:w="1331" w:type="dxa"/>
          </w:tcPr>
          <w:p w14:paraId="1DD317E5">
            <w:pPr>
              <w:pStyle w:val="14"/>
              <w:spacing w:before="112"/>
              <w:ind w:left="7"/>
              <w:jc w:val="center"/>
              <w:rPr>
                <w:rFonts w:ascii="Times New Roman"/>
                <w:sz w:val="21"/>
              </w:rPr>
            </w:pPr>
            <w:r>
              <w:rPr>
                <w:rFonts w:ascii="Times New Roman"/>
                <w:w w:val="99"/>
                <w:sz w:val="21"/>
              </w:rPr>
              <w:t>/</w:t>
            </w:r>
          </w:p>
        </w:tc>
        <w:tc>
          <w:tcPr>
            <w:tcW w:w="1022" w:type="dxa"/>
          </w:tcPr>
          <w:p w14:paraId="5696C536">
            <w:pPr>
              <w:pStyle w:val="14"/>
              <w:spacing w:before="112"/>
              <w:ind w:left="173" w:right="164"/>
              <w:jc w:val="center"/>
              <w:rPr>
                <w:rFonts w:ascii="Times New Roman"/>
                <w:sz w:val="21"/>
              </w:rPr>
            </w:pPr>
            <w:r>
              <w:rPr>
                <w:rFonts w:ascii="Times New Roman"/>
                <w:sz w:val="21"/>
              </w:rPr>
              <w:t>0.45</w:t>
            </w:r>
          </w:p>
        </w:tc>
        <w:tc>
          <w:tcPr>
            <w:tcW w:w="993" w:type="dxa"/>
          </w:tcPr>
          <w:p w14:paraId="12DE92D3">
            <w:pPr>
              <w:pStyle w:val="14"/>
              <w:spacing w:before="112"/>
              <w:ind w:left="159" w:right="149"/>
              <w:jc w:val="center"/>
              <w:rPr>
                <w:rFonts w:ascii="Times New Roman"/>
                <w:sz w:val="21"/>
              </w:rPr>
            </w:pPr>
            <w:r>
              <w:rPr>
                <w:rFonts w:ascii="Times New Roman"/>
                <w:sz w:val="21"/>
              </w:rPr>
              <w:t>0.78</w:t>
            </w:r>
          </w:p>
        </w:tc>
        <w:tc>
          <w:tcPr>
            <w:tcW w:w="933" w:type="dxa"/>
          </w:tcPr>
          <w:p w14:paraId="3EC4A95C">
            <w:pPr>
              <w:pStyle w:val="14"/>
              <w:spacing w:before="112"/>
              <w:ind w:left="23" w:right="14"/>
              <w:jc w:val="center"/>
              <w:rPr>
                <w:rFonts w:ascii="Times New Roman"/>
                <w:sz w:val="21"/>
              </w:rPr>
            </w:pPr>
            <w:r>
              <w:rPr>
                <w:rFonts w:ascii="Times New Roman"/>
                <w:sz w:val="21"/>
              </w:rPr>
              <w:t>0.74</w:t>
            </w:r>
          </w:p>
        </w:tc>
        <w:tc>
          <w:tcPr>
            <w:tcW w:w="274" w:type="dxa"/>
          </w:tcPr>
          <w:p w14:paraId="09B16700">
            <w:pPr>
              <w:pStyle w:val="14"/>
              <w:spacing w:before="91"/>
              <w:ind w:left="83"/>
              <w:rPr>
                <w:rFonts w:ascii="Times New Roman"/>
                <w:sz w:val="21"/>
              </w:rPr>
            </w:pPr>
            <w:r>
              <w:rPr>
                <w:rFonts w:ascii="Times New Roman"/>
                <w:w w:val="99"/>
                <w:sz w:val="21"/>
              </w:rPr>
              <w:t>0</w:t>
            </w:r>
          </w:p>
        </w:tc>
        <w:tc>
          <w:tcPr>
            <w:tcW w:w="551" w:type="dxa"/>
          </w:tcPr>
          <w:p w14:paraId="20F573BB">
            <w:pPr>
              <w:pStyle w:val="14"/>
              <w:spacing w:before="91"/>
              <w:ind w:left="222"/>
              <w:rPr>
                <w:rFonts w:ascii="Times New Roman"/>
                <w:sz w:val="21"/>
              </w:rPr>
            </w:pPr>
            <w:r>
              <w:rPr>
                <w:rFonts w:ascii="Times New Roman"/>
                <w:w w:val="99"/>
                <w:sz w:val="21"/>
              </w:rPr>
              <w:t>0</w:t>
            </w:r>
          </w:p>
        </w:tc>
      </w:tr>
      <w:tr w14:paraId="1528E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02098F05">
            <w:pPr>
              <w:rPr>
                <w:sz w:val="2"/>
                <w:szCs w:val="2"/>
              </w:rPr>
            </w:pPr>
          </w:p>
        </w:tc>
        <w:tc>
          <w:tcPr>
            <w:tcW w:w="1027" w:type="dxa"/>
          </w:tcPr>
          <w:p w14:paraId="0A185B43">
            <w:pPr>
              <w:pStyle w:val="14"/>
              <w:spacing w:before="98"/>
              <w:ind w:left="71" w:right="63"/>
              <w:jc w:val="center"/>
              <w:rPr>
                <w:sz w:val="21"/>
              </w:rPr>
            </w:pPr>
            <w:r>
              <w:rPr>
                <w:sz w:val="21"/>
              </w:rPr>
              <w:t>钠离子</w:t>
            </w:r>
          </w:p>
        </w:tc>
        <w:tc>
          <w:tcPr>
            <w:tcW w:w="1236" w:type="dxa"/>
          </w:tcPr>
          <w:p w14:paraId="5589B573">
            <w:pPr>
              <w:pStyle w:val="14"/>
              <w:spacing w:before="90"/>
              <w:ind w:left="215" w:right="209"/>
              <w:jc w:val="center"/>
              <w:rPr>
                <w:rFonts w:ascii="Times New Roman"/>
                <w:sz w:val="21"/>
              </w:rPr>
            </w:pPr>
            <w:r>
              <w:rPr>
                <w:rFonts w:ascii="Times New Roman"/>
                <w:sz w:val="21"/>
              </w:rPr>
              <w:t>mg/L</w:t>
            </w:r>
          </w:p>
        </w:tc>
        <w:tc>
          <w:tcPr>
            <w:tcW w:w="1331" w:type="dxa"/>
          </w:tcPr>
          <w:p w14:paraId="33DF753C">
            <w:pPr>
              <w:pStyle w:val="14"/>
              <w:spacing w:before="112"/>
              <w:ind w:left="7"/>
              <w:jc w:val="center"/>
              <w:rPr>
                <w:rFonts w:ascii="Times New Roman"/>
                <w:sz w:val="21"/>
              </w:rPr>
            </w:pPr>
            <w:r>
              <w:rPr>
                <w:rFonts w:ascii="Times New Roman"/>
                <w:w w:val="99"/>
                <w:sz w:val="21"/>
              </w:rPr>
              <w:t>/</w:t>
            </w:r>
          </w:p>
        </w:tc>
        <w:tc>
          <w:tcPr>
            <w:tcW w:w="1022" w:type="dxa"/>
          </w:tcPr>
          <w:p w14:paraId="37EB71DD">
            <w:pPr>
              <w:pStyle w:val="14"/>
              <w:spacing w:before="112"/>
              <w:ind w:left="173" w:right="164"/>
              <w:jc w:val="center"/>
              <w:rPr>
                <w:rFonts w:ascii="Times New Roman"/>
                <w:sz w:val="21"/>
              </w:rPr>
            </w:pPr>
            <w:r>
              <w:rPr>
                <w:rFonts w:ascii="Times New Roman"/>
                <w:sz w:val="21"/>
              </w:rPr>
              <w:t>1.07</w:t>
            </w:r>
          </w:p>
        </w:tc>
        <w:tc>
          <w:tcPr>
            <w:tcW w:w="993" w:type="dxa"/>
          </w:tcPr>
          <w:p w14:paraId="76E2B8F6">
            <w:pPr>
              <w:pStyle w:val="14"/>
              <w:spacing w:before="112"/>
              <w:ind w:left="159" w:right="149"/>
              <w:jc w:val="center"/>
              <w:rPr>
                <w:rFonts w:ascii="Times New Roman"/>
                <w:sz w:val="21"/>
              </w:rPr>
            </w:pPr>
            <w:r>
              <w:rPr>
                <w:rFonts w:ascii="Times New Roman"/>
                <w:sz w:val="21"/>
              </w:rPr>
              <w:t>1.97</w:t>
            </w:r>
          </w:p>
        </w:tc>
        <w:tc>
          <w:tcPr>
            <w:tcW w:w="933" w:type="dxa"/>
          </w:tcPr>
          <w:p w14:paraId="7B3F0A22">
            <w:pPr>
              <w:pStyle w:val="14"/>
              <w:spacing w:before="112"/>
              <w:ind w:left="23" w:right="14"/>
              <w:jc w:val="center"/>
              <w:rPr>
                <w:rFonts w:ascii="Times New Roman"/>
                <w:sz w:val="21"/>
              </w:rPr>
            </w:pPr>
            <w:r>
              <w:rPr>
                <w:rFonts w:ascii="Times New Roman"/>
                <w:sz w:val="21"/>
              </w:rPr>
              <w:t>1.47</w:t>
            </w:r>
          </w:p>
        </w:tc>
        <w:tc>
          <w:tcPr>
            <w:tcW w:w="274" w:type="dxa"/>
          </w:tcPr>
          <w:p w14:paraId="642C213D">
            <w:pPr>
              <w:pStyle w:val="14"/>
              <w:spacing w:before="90"/>
              <w:ind w:left="83"/>
              <w:rPr>
                <w:rFonts w:ascii="Times New Roman"/>
                <w:sz w:val="21"/>
              </w:rPr>
            </w:pPr>
            <w:r>
              <w:rPr>
                <w:rFonts w:ascii="Times New Roman"/>
                <w:w w:val="99"/>
                <w:sz w:val="21"/>
              </w:rPr>
              <w:t>0</w:t>
            </w:r>
          </w:p>
        </w:tc>
        <w:tc>
          <w:tcPr>
            <w:tcW w:w="551" w:type="dxa"/>
          </w:tcPr>
          <w:p w14:paraId="2DDF15A2">
            <w:pPr>
              <w:pStyle w:val="14"/>
              <w:spacing w:before="90"/>
              <w:ind w:left="222"/>
              <w:rPr>
                <w:rFonts w:ascii="Times New Roman"/>
                <w:sz w:val="21"/>
              </w:rPr>
            </w:pPr>
            <w:r>
              <w:rPr>
                <w:rFonts w:ascii="Times New Roman"/>
                <w:w w:val="99"/>
                <w:sz w:val="21"/>
              </w:rPr>
              <w:t>0</w:t>
            </w:r>
          </w:p>
        </w:tc>
      </w:tr>
      <w:tr w14:paraId="7B53B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93DD1B0">
            <w:pPr>
              <w:rPr>
                <w:sz w:val="2"/>
                <w:szCs w:val="2"/>
              </w:rPr>
            </w:pPr>
          </w:p>
        </w:tc>
        <w:tc>
          <w:tcPr>
            <w:tcW w:w="1027" w:type="dxa"/>
          </w:tcPr>
          <w:p w14:paraId="48ED47E7">
            <w:pPr>
              <w:pStyle w:val="14"/>
              <w:spacing w:before="97"/>
              <w:ind w:left="71" w:right="63"/>
              <w:jc w:val="center"/>
              <w:rPr>
                <w:sz w:val="21"/>
              </w:rPr>
            </w:pPr>
            <w:r>
              <w:rPr>
                <w:sz w:val="21"/>
              </w:rPr>
              <w:t>钙离子</w:t>
            </w:r>
          </w:p>
        </w:tc>
        <w:tc>
          <w:tcPr>
            <w:tcW w:w="1236" w:type="dxa"/>
          </w:tcPr>
          <w:p w14:paraId="1C4F856F">
            <w:pPr>
              <w:pStyle w:val="14"/>
              <w:spacing w:before="92"/>
              <w:ind w:left="215" w:right="209"/>
              <w:jc w:val="center"/>
              <w:rPr>
                <w:rFonts w:ascii="Times New Roman"/>
                <w:sz w:val="21"/>
              </w:rPr>
            </w:pPr>
            <w:r>
              <w:rPr>
                <w:rFonts w:ascii="Times New Roman"/>
                <w:sz w:val="21"/>
              </w:rPr>
              <w:t>mg/L</w:t>
            </w:r>
          </w:p>
        </w:tc>
        <w:tc>
          <w:tcPr>
            <w:tcW w:w="1331" w:type="dxa"/>
          </w:tcPr>
          <w:p w14:paraId="00EC741B">
            <w:pPr>
              <w:pStyle w:val="14"/>
              <w:spacing w:before="111"/>
              <w:ind w:left="138" w:right="128"/>
              <w:jc w:val="center"/>
              <w:rPr>
                <w:rFonts w:ascii="Times New Roman"/>
                <w:sz w:val="21"/>
              </w:rPr>
            </w:pPr>
            <w:r>
              <w:rPr>
                <w:rFonts w:ascii="Times New Roman"/>
                <w:sz w:val="21"/>
              </w:rPr>
              <w:t>200</w:t>
            </w:r>
          </w:p>
        </w:tc>
        <w:tc>
          <w:tcPr>
            <w:tcW w:w="1022" w:type="dxa"/>
          </w:tcPr>
          <w:p w14:paraId="073E53E1">
            <w:pPr>
              <w:pStyle w:val="14"/>
              <w:spacing w:before="111"/>
              <w:ind w:left="173" w:right="164"/>
              <w:jc w:val="center"/>
              <w:rPr>
                <w:rFonts w:ascii="Times New Roman"/>
                <w:sz w:val="21"/>
              </w:rPr>
            </w:pPr>
            <w:r>
              <w:rPr>
                <w:rFonts w:ascii="Times New Roman"/>
                <w:sz w:val="21"/>
              </w:rPr>
              <w:t>1.67</w:t>
            </w:r>
          </w:p>
        </w:tc>
        <w:tc>
          <w:tcPr>
            <w:tcW w:w="993" w:type="dxa"/>
          </w:tcPr>
          <w:p w14:paraId="622438F4">
            <w:pPr>
              <w:pStyle w:val="14"/>
              <w:spacing w:before="111"/>
              <w:ind w:left="159" w:right="149"/>
              <w:jc w:val="center"/>
              <w:rPr>
                <w:rFonts w:ascii="Times New Roman"/>
                <w:sz w:val="21"/>
              </w:rPr>
            </w:pPr>
            <w:r>
              <w:rPr>
                <w:rFonts w:ascii="Times New Roman"/>
                <w:sz w:val="21"/>
              </w:rPr>
              <w:t>1.19</w:t>
            </w:r>
          </w:p>
        </w:tc>
        <w:tc>
          <w:tcPr>
            <w:tcW w:w="933" w:type="dxa"/>
          </w:tcPr>
          <w:p w14:paraId="4A9623A4">
            <w:pPr>
              <w:pStyle w:val="14"/>
              <w:spacing w:before="111"/>
              <w:ind w:left="23" w:right="14"/>
              <w:jc w:val="center"/>
              <w:rPr>
                <w:rFonts w:ascii="Times New Roman"/>
                <w:sz w:val="21"/>
              </w:rPr>
            </w:pPr>
            <w:r>
              <w:rPr>
                <w:rFonts w:ascii="Times New Roman"/>
                <w:sz w:val="21"/>
              </w:rPr>
              <w:t>1.56</w:t>
            </w:r>
          </w:p>
        </w:tc>
        <w:tc>
          <w:tcPr>
            <w:tcW w:w="274" w:type="dxa"/>
          </w:tcPr>
          <w:p w14:paraId="65EBBFE4">
            <w:pPr>
              <w:pStyle w:val="14"/>
              <w:spacing w:before="92"/>
              <w:ind w:left="107"/>
              <w:rPr>
                <w:rFonts w:ascii="Times New Roman"/>
                <w:sz w:val="21"/>
              </w:rPr>
            </w:pPr>
            <w:r>
              <w:rPr>
                <w:rFonts w:ascii="Times New Roman"/>
                <w:w w:val="99"/>
                <w:sz w:val="21"/>
              </w:rPr>
              <w:t>/</w:t>
            </w:r>
          </w:p>
        </w:tc>
        <w:tc>
          <w:tcPr>
            <w:tcW w:w="551" w:type="dxa"/>
          </w:tcPr>
          <w:p w14:paraId="24DF2D96">
            <w:pPr>
              <w:pStyle w:val="14"/>
              <w:spacing w:before="92"/>
              <w:ind w:left="246"/>
              <w:rPr>
                <w:rFonts w:ascii="Times New Roman"/>
                <w:sz w:val="21"/>
              </w:rPr>
            </w:pPr>
            <w:r>
              <w:rPr>
                <w:rFonts w:ascii="Times New Roman"/>
                <w:w w:val="99"/>
                <w:sz w:val="21"/>
              </w:rPr>
              <w:t>/</w:t>
            </w:r>
          </w:p>
        </w:tc>
      </w:tr>
      <w:tr w14:paraId="4FB70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949" w:type="dxa"/>
            <w:vMerge w:val="continue"/>
            <w:tcBorders>
              <w:top w:val="nil"/>
            </w:tcBorders>
          </w:tcPr>
          <w:p w14:paraId="2118598A">
            <w:pPr>
              <w:rPr>
                <w:sz w:val="2"/>
                <w:szCs w:val="2"/>
              </w:rPr>
            </w:pPr>
          </w:p>
        </w:tc>
        <w:tc>
          <w:tcPr>
            <w:tcW w:w="1027" w:type="dxa"/>
          </w:tcPr>
          <w:p w14:paraId="045F20D2">
            <w:pPr>
              <w:pStyle w:val="14"/>
              <w:spacing w:before="99"/>
              <w:ind w:left="71" w:right="63"/>
              <w:jc w:val="center"/>
              <w:rPr>
                <w:sz w:val="21"/>
              </w:rPr>
            </w:pPr>
            <w:r>
              <w:rPr>
                <w:sz w:val="21"/>
              </w:rPr>
              <w:t>镁离子</w:t>
            </w:r>
          </w:p>
        </w:tc>
        <w:tc>
          <w:tcPr>
            <w:tcW w:w="1236" w:type="dxa"/>
          </w:tcPr>
          <w:p w14:paraId="123B8F11">
            <w:pPr>
              <w:pStyle w:val="14"/>
              <w:spacing w:before="91"/>
              <w:ind w:left="215" w:right="209"/>
              <w:jc w:val="center"/>
              <w:rPr>
                <w:rFonts w:ascii="Times New Roman"/>
                <w:sz w:val="21"/>
              </w:rPr>
            </w:pPr>
            <w:r>
              <w:rPr>
                <w:rFonts w:ascii="Times New Roman"/>
                <w:sz w:val="21"/>
              </w:rPr>
              <w:t>mg/L</w:t>
            </w:r>
          </w:p>
        </w:tc>
        <w:tc>
          <w:tcPr>
            <w:tcW w:w="1331" w:type="dxa"/>
          </w:tcPr>
          <w:p w14:paraId="022576D3">
            <w:pPr>
              <w:pStyle w:val="14"/>
              <w:spacing w:before="113"/>
              <w:ind w:left="7"/>
              <w:jc w:val="center"/>
              <w:rPr>
                <w:rFonts w:ascii="Times New Roman"/>
                <w:sz w:val="21"/>
              </w:rPr>
            </w:pPr>
            <w:r>
              <w:rPr>
                <w:rFonts w:ascii="Times New Roman"/>
                <w:w w:val="99"/>
                <w:sz w:val="21"/>
              </w:rPr>
              <w:t>/</w:t>
            </w:r>
          </w:p>
        </w:tc>
        <w:tc>
          <w:tcPr>
            <w:tcW w:w="1022" w:type="dxa"/>
          </w:tcPr>
          <w:p w14:paraId="424E2714">
            <w:pPr>
              <w:pStyle w:val="14"/>
              <w:spacing w:before="113"/>
              <w:ind w:left="173" w:right="164"/>
              <w:jc w:val="center"/>
              <w:rPr>
                <w:rFonts w:ascii="Times New Roman"/>
                <w:sz w:val="21"/>
              </w:rPr>
            </w:pPr>
            <w:r>
              <w:rPr>
                <w:rFonts w:ascii="Times New Roman"/>
                <w:sz w:val="21"/>
              </w:rPr>
              <w:t>0.75</w:t>
            </w:r>
          </w:p>
        </w:tc>
        <w:tc>
          <w:tcPr>
            <w:tcW w:w="993" w:type="dxa"/>
          </w:tcPr>
          <w:p w14:paraId="0EAC1515">
            <w:pPr>
              <w:pStyle w:val="14"/>
              <w:spacing w:before="113"/>
              <w:ind w:left="159" w:right="149"/>
              <w:jc w:val="center"/>
              <w:rPr>
                <w:rFonts w:ascii="Times New Roman"/>
                <w:sz w:val="21"/>
              </w:rPr>
            </w:pPr>
            <w:r>
              <w:rPr>
                <w:rFonts w:ascii="Times New Roman"/>
                <w:sz w:val="21"/>
              </w:rPr>
              <w:t>1.01</w:t>
            </w:r>
          </w:p>
        </w:tc>
        <w:tc>
          <w:tcPr>
            <w:tcW w:w="933" w:type="dxa"/>
          </w:tcPr>
          <w:p w14:paraId="4568E96F">
            <w:pPr>
              <w:pStyle w:val="14"/>
              <w:spacing w:before="113"/>
              <w:ind w:left="23" w:right="14"/>
              <w:jc w:val="center"/>
              <w:rPr>
                <w:rFonts w:ascii="Times New Roman"/>
                <w:sz w:val="21"/>
              </w:rPr>
            </w:pPr>
            <w:r>
              <w:rPr>
                <w:rFonts w:ascii="Times New Roman"/>
                <w:sz w:val="21"/>
              </w:rPr>
              <w:t>1.20</w:t>
            </w:r>
          </w:p>
        </w:tc>
        <w:tc>
          <w:tcPr>
            <w:tcW w:w="274" w:type="dxa"/>
          </w:tcPr>
          <w:p w14:paraId="7F3598DD">
            <w:pPr>
              <w:pStyle w:val="14"/>
              <w:spacing w:before="91"/>
              <w:ind w:left="107"/>
              <w:rPr>
                <w:rFonts w:ascii="Times New Roman"/>
                <w:sz w:val="21"/>
              </w:rPr>
            </w:pPr>
            <w:r>
              <w:rPr>
                <w:rFonts w:ascii="Times New Roman"/>
                <w:w w:val="99"/>
                <w:sz w:val="21"/>
              </w:rPr>
              <w:t>/</w:t>
            </w:r>
          </w:p>
        </w:tc>
        <w:tc>
          <w:tcPr>
            <w:tcW w:w="551" w:type="dxa"/>
          </w:tcPr>
          <w:p w14:paraId="508542B2">
            <w:pPr>
              <w:pStyle w:val="14"/>
              <w:spacing w:before="91"/>
              <w:ind w:left="246"/>
              <w:rPr>
                <w:rFonts w:ascii="Times New Roman"/>
                <w:sz w:val="21"/>
              </w:rPr>
            </w:pPr>
            <w:r>
              <w:rPr>
                <w:rFonts w:ascii="Times New Roman"/>
                <w:w w:val="99"/>
                <w:sz w:val="21"/>
              </w:rPr>
              <w:t>/</w:t>
            </w:r>
          </w:p>
        </w:tc>
      </w:tr>
      <w:tr w14:paraId="27C97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126F393">
            <w:pPr>
              <w:rPr>
                <w:sz w:val="2"/>
                <w:szCs w:val="2"/>
              </w:rPr>
            </w:pPr>
          </w:p>
        </w:tc>
        <w:tc>
          <w:tcPr>
            <w:tcW w:w="1027" w:type="dxa"/>
          </w:tcPr>
          <w:p w14:paraId="38A125E0">
            <w:pPr>
              <w:pStyle w:val="14"/>
              <w:spacing w:before="77"/>
              <w:ind w:left="71" w:right="63"/>
              <w:jc w:val="center"/>
              <w:rPr>
                <w:sz w:val="21"/>
              </w:rPr>
            </w:pPr>
            <w:r>
              <w:rPr>
                <w:sz w:val="21"/>
              </w:rPr>
              <w:t>碳酸根</w:t>
            </w:r>
          </w:p>
        </w:tc>
        <w:tc>
          <w:tcPr>
            <w:tcW w:w="1236" w:type="dxa"/>
          </w:tcPr>
          <w:p w14:paraId="2DC21A63">
            <w:pPr>
              <w:pStyle w:val="14"/>
              <w:spacing w:before="91"/>
              <w:ind w:left="215" w:right="209"/>
              <w:jc w:val="center"/>
              <w:rPr>
                <w:rFonts w:ascii="Times New Roman"/>
                <w:sz w:val="21"/>
              </w:rPr>
            </w:pPr>
            <w:r>
              <w:rPr>
                <w:rFonts w:ascii="Times New Roman"/>
                <w:sz w:val="21"/>
              </w:rPr>
              <w:t>mg/L</w:t>
            </w:r>
          </w:p>
        </w:tc>
        <w:tc>
          <w:tcPr>
            <w:tcW w:w="1331" w:type="dxa"/>
          </w:tcPr>
          <w:p w14:paraId="0C569E64">
            <w:pPr>
              <w:pStyle w:val="14"/>
              <w:spacing w:before="112"/>
              <w:ind w:left="7"/>
              <w:jc w:val="center"/>
              <w:rPr>
                <w:rFonts w:ascii="Times New Roman"/>
                <w:sz w:val="21"/>
              </w:rPr>
            </w:pPr>
            <w:r>
              <w:rPr>
                <w:rFonts w:ascii="Times New Roman"/>
                <w:w w:val="99"/>
                <w:sz w:val="21"/>
              </w:rPr>
              <w:t>/</w:t>
            </w:r>
          </w:p>
        </w:tc>
        <w:tc>
          <w:tcPr>
            <w:tcW w:w="1022" w:type="dxa"/>
          </w:tcPr>
          <w:p w14:paraId="0138476F">
            <w:pPr>
              <w:pStyle w:val="14"/>
              <w:spacing w:before="112"/>
              <w:ind w:left="170" w:right="165"/>
              <w:jc w:val="center"/>
              <w:rPr>
                <w:rFonts w:ascii="Times New Roman"/>
                <w:sz w:val="21"/>
              </w:rPr>
            </w:pPr>
            <w:r>
              <w:rPr>
                <w:rFonts w:ascii="Times New Roman"/>
                <w:sz w:val="21"/>
              </w:rPr>
              <w:t>ND</w:t>
            </w:r>
          </w:p>
        </w:tc>
        <w:tc>
          <w:tcPr>
            <w:tcW w:w="993" w:type="dxa"/>
          </w:tcPr>
          <w:p w14:paraId="1D842FC0">
            <w:pPr>
              <w:pStyle w:val="14"/>
              <w:spacing w:before="112"/>
              <w:ind w:left="156" w:right="150"/>
              <w:jc w:val="center"/>
              <w:rPr>
                <w:rFonts w:ascii="Times New Roman"/>
                <w:sz w:val="21"/>
              </w:rPr>
            </w:pPr>
            <w:r>
              <w:rPr>
                <w:rFonts w:ascii="Times New Roman"/>
                <w:sz w:val="21"/>
              </w:rPr>
              <w:t>ND</w:t>
            </w:r>
          </w:p>
        </w:tc>
        <w:tc>
          <w:tcPr>
            <w:tcW w:w="933" w:type="dxa"/>
          </w:tcPr>
          <w:p w14:paraId="451D9DDE">
            <w:pPr>
              <w:pStyle w:val="14"/>
              <w:spacing w:before="112"/>
              <w:ind w:left="23" w:right="13"/>
              <w:jc w:val="center"/>
              <w:rPr>
                <w:rFonts w:ascii="Times New Roman"/>
                <w:sz w:val="21"/>
              </w:rPr>
            </w:pPr>
            <w:r>
              <w:rPr>
                <w:rFonts w:ascii="Times New Roman"/>
                <w:sz w:val="21"/>
              </w:rPr>
              <w:t>ND</w:t>
            </w:r>
          </w:p>
        </w:tc>
        <w:tc>
          <w:tcPr>
            <w:tcW w:w="274" w:type="dxa"/>
          </w:tcPr>
          <w:p w14:paraId="4898AD2B">
            <w:pPr>
              <w:pStyle w:val="14"/>
              <w:spacing w:before="91"/>
              <w:ind w:left="107"/>
              <w:rPr>
                <w:rFonts w:ascii="Times New Roman"/>
                <w:sz w:val="21"/>
              </w:rPr>
            </w:pPr>
            <w:r>
              <w:rPr>
                <w:rFonts w:ascii="Times New Roman"/>
                <w:w w:val="99"/>
                <w:sz w:val="21"/>
              </w:rPr>
              <w:t>/</w:t>
            </w:r>
          </w:p>
        </w:tc>
        <w:tc>
          <w:tcPr>
            <w:tcW w:w="551" w:type="dxa"/>
          </w:tcPr>
          <w:p w14:paraId="4E536733">
            <w:pPr>
              <w:pStyle w:val="14"/>
              <w:spacing w:before="91"/>
              <w:ind w:left="246"/>
              <w:rPr>
                <w:rFonts w:ascii="Times New Roman"/>
                <w:sz w:val="21"/>
              </w:rPr>
            </w:pPr>
            <w:r>
              <w:rPr>
                <w:rFonts w:ascii="Times New Roman"/>
                <w:w w:val="99"/>
                <w:sz w:val="21"/>
              </w:rPr>
              <w:t>/</w:t>
            </w:r>
          </w:p>
        </w:tc>
      </w:tr>
      <w:tr w14:paraId="73EE3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0C58B593">
            <w:pPr>
              <w:rPr>
                <w:sz w:val="2"/>
                <w:szCs w:val="2"/>
              </w:rPr>
            </w:pPr>
          </w:p>
        </w:tc>
        <w:tc>
          <w:tcPr>
            <w:tcW w:w="1027" w:type="dxa"/>
          </w:tcPr>
          <w:p w14:paraId="772133FA">
            <w:pPr>
              <w:pStyle w:val="14"/>
              <w:spacing w:before="76"/>
              <w:ind w:left="71" w:right="66"/>
              <w:jc w:val="center"/>
              <w:rPr>
                <w:sz w:val="21"/>
              </w:rPr>
            </w:pPr>
            <w:r>
              <w:rPr>
                <w:sz w:val="21"/>
              </w:rPr>
              <w:t>碳酸氢根</w:t>
            </w:r>
          </w:p>
        </w:tc>
        <w:tc>
          <w:tcPr>
            <w:tcW w:w="1236" w:type="dxa"/>
          </w:tcPr>
          <w:p w14:paraId="23909E40">
            <w:pPr>
              <w:pStyle w:val="14"/>
              <w:spacing w:before="90"/>
              <w:ind w:left="215" w:right="209"/>
              <w:jc w:val="center"/>
              <w:rPr>
                <w:rFonts w:ascii="Times New Roman"/>
                <w:sz w:val="21"/>
              </w:rPr>
            </w:pPr>
            <w:r>
              <w:rPr>
                <w:rFonts w:ascii="Times New Roman"/>
                <w:sz w:val="21"/>
              </w:rPr>
              <w:t>mg/L</w:t>
            </w:r>
          </w:p>
        </w:tc>
        <w:tc>
          <w:tcPr>
            <w:tcW w:w="1331" w:type="dxa"/>
          </w:tcPr>
          <w:p w14:paraId="061FD838">
            <w:pPr>
              <w:pStyle w:val="14"/>
              <w:spacing w:before="112"/>
              <w:ind w:left="7"/>
              <w:jc w:val="center"/>
              <w:rPr>
                <w:rFonts w:ascii="Times New Roman"/>
                <w:sz w:val="21"/>
              </w:rPr>
            </w:pPr>
            <w:r>
              <w:rPr>
                <w:rFonts w:ascii="Times New Roman"/>
                <w:w w:val="99"/>
                <w:sz w:val="21"/>
              </w:rPr>
              <w:t>/</w:t>
            </w:r>
          </w:p>
        </w:tc>
        <w:tc>
          <w:tcPr>
            <w:tcW w:w="1022" w:type="dxa"/>
          </w:tcPr>
          <w:p w14:paraId="2C5A872B">
            <w:pPr>
              <w:pStyle w:val="14"/>
              <w:spacing w:before="112"/>
              <w:ind w:left="173" w:right="164"/>
              <w:jc w:val="center"/>
              <w:rPr>
                <w:rFonts w:ascii="Times New Roman"/>
                <w:sz w:val="21"/>
              </w:rPr>
            </w:pPr>
            <w:r>
              <w:rPr>
                <w:rFonts w:ascii="Times New Roman"/>
                <w:sz w:val="21"/>
              </w:rPr>
              <w:t>1.76</w:t>
            </w:r>
          </w:p>
        </w:tc>
        <w:tc>
          <w:tcPr>
            <w:tcW w:w="993" w:type="dxa"/>
          </w:tcPr>
          <w:p w14:paraId="2C62BB39">
            <w:pPr>
              <w:pStyle w:val="14"/>
              <w:spacing w:before="112"/>
              <w:ind w:left="159" w:right="149"/>
              <w:jc w:val="center"/>
              <w:rPr>
                <w:rFonts w:ascii="Times New Roman"/>
                <w:sz w:val="21"/>
              </w:rPr>
            </w:pPr>
            <w:r>
              <w:rPr>
                <w:rFonts w:ascii="Times New Roman"/>
                <w:sz w:val="21"/>
              </w:rPr>
              <w:t>2.09</w:t>
            </w:r>
          </w:p>
        </w:tc>
        <w:tc>
          <w:tcPr>
            <w:tcW w:w="933" w:type="dxa"/>
          </w:tcPr>
          <w:p w14:paraId="470F3FA7">
            <w:pPr>
              <w:pStyle w:val="14"/>
              <w:spacing w:before="112"/>
              <w:ind w:left="23" w:right="14"/>
              <w:jc w:val="center"/>
              <w:rPr>
                <w:rFonts w:ascii="Times New Roman"/>
                <w:sz w:val="21"/>
              </w:rPr>
            </w:pPr>
            <w:r>
              <w:rPr>
                <w:rFonts w:ascii="Times New Roman"/>
                <w:sz w:val="21"/>
              </w:rPr>
              <w:t>2.17</w:t>
            </w:r>
          </w:p>
        </w:tc>
        <w:tc>
          <w:tcPr>
            <w:tcW w:w="274" w:type="dxa"/>
          </w:tcPr>
          <w:p w14:paraId="63571173">
            <w:pPr>
              <w:pStyle w:val="14"/>
              <w:spacing w:before="90"/>
              <w:ind w:left="107"/>
              <w:rPr>
                <w:rFonts w:ascii="Times New Roman"/>
                <w:sz w:val="21"/>
              </w:rPr>
            </w:pPr>
            <w:r>
              <w:rPr>
                <w:rFonts w:ascii="Times New Roman"/>
                <w:w w:val="99"/>
                <w:sz w:val="21"/>
              </w:rPr>
              <w:t>/</w:t>
            </w:r>
          </w:p>
        </w:tc>
        <w:tc>
          <w:tcPr>
            <w:tcW w:w="551" w:type="dxa"/>
          </w:tcPr>
          <w:p w14:paraId="610D0596">
            <w:pPr>
              <w:pStyle w:val="14"/>
              <w:spacing w:before="90"/>
              <w:ind w:left="246"/>
              <w:rPr>
                <w:rFonts w:ascii="Times New Roman"/>
                <w:sz w:val="21"/>
              </w:rPr>
            </w:pPr>
            <w:r>
              <w:rPr>
                <w:rFonts w:ascii="Times New Roman"/>
                <w:w w:val="99"/>
                <w:sz w:val="21"/>
              </w:rPr>
              <w:t>/</w:t>
            </w:r>
          </w:p>
        </w:tc>
      </w:tr>
      <w:tr w14:paraId="746F6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67B3F9E8">
            <w:pPr>
              <w:rPr>
                <w:sz w:val="2"/>
                <w:szCs w:val="2"/>
              </w:rPr>
            </w:pPr>
          </w:p>
        </w:tc>
        <w:tc>
          <w:tcPr>
            <w:tcW w:w="1027" w:type="dxa"/>
          </w:tcPr>
          <w:p w14:paraId="7E06D620">
            <w:pPr>
              <w:pStyle w:val="14"/>
              <w:spacing w:before="121"/>
              <w:ind w:left="71" w:right="63"/>
              <w:jc w:val="center"/>
              <w:rPr>
                <w:sz w:val="21"/>
              </w:rPr>
            </w:pPr>
            <w:r>
              <w:rPr>
                <w:sz w:val="21"/>
              </w:rPr>
              <w:t>氯离子</w:t>
            </w:r>
          </w:p>
        </w:tc>
        <w:tc>
          <w:tcPr>
            <w:tcW w:w="1236" w:type="dxa"/>
          </w:tcPr>
          <w:p w14:paraId="72FC69C2">
            <w:pPr>
              <w:pStyle w:val="14"/>
              <w:spacing w:before="92"/>
              <w:ind w:left="215" w:right="209"/>
              <w:jc w:val="center"/>
              <w:rPr>
                <w:rFonts w:ascii="Times New Roman"/>
                <w:sz w:val="21"/>
              </w:rPr>
            </w:pPr>
            <w:r>
              <w:rPr>
                <w:rFonts w:ascii="Times New Roman"/>
                <w:sz w:val="21"/>
              </w:rPr>
              <w:t>mg/L</w:t>
            </w:r>
          </w:p>
        </w:tc>
        <w:tc>
          <w:tcPr>
            <w:tcW w:w="1331" w:type="dxa"/>
          </w:tcPr>
          <w:p w14:paraId="0E4A17BF">
            <w:pPr>
              <w:pStyle w:val="14"/>
              <w:spacing w:before="111"/>
              <w:ind w:left="138" w:right="128"/>
              <w:jc w:val="center"/>
              <w:rPr>
                <w:rFonts w:ascii="Times New Roman"/>
                <w:sz w:val="21"/>
              </w:rPr>
            </w:pPr>
            <w:r>
              <w:rPr>
                <w:rFonts w:ascii="Times New Roman"/>
                <w:sz w:val="21"/>
              </w:rPr>
              <w:t>250</w:t>
            </w:r>
          </w:p>
        </w:tc>
        <w:tc>
          <w:tcPr>
            <w:tcW w:w="1022" w:type="dxa"/>
          </w:tcPr>
          <w:p w14:paraId="5C844503">
            <w:pPr>
              <w:pStyle w:val="14"/>
              <w:spacing w:before="111"/>
              <w:ind w:left="173" w:right="164"/>
              <w:jc w:val="center"/>
              <w:rPr>
                <w:rFonts w:ascii="Times New Roman"/>
                <w:sz w:val="21"/>
              </w:rPr>
            </w:pPr>
            <w:r>
              <w:rPr>
                <w:rFonts w:ascii="Times New Roman"/>
                <w:sz w:val="21"/>
              </w:rPr>
              <w:t>1.85</w:t>
            </w:r>
          </w:p>
        </w:tc>
        <w:tc>
          <w:tcPr>
            <w:tcW w:w="993" w:type="dxa"/>
          </w:tcPr>
          <w:p w14:paraId="066B7A50">
            <w:pPr>
              <w:pStyle w:val="14"/>
              <w:spacing w:before="111"/>
              <w:ind w:left="159" w:right="149"/>
              <w:jc w:val="center"/>
              <w:rPr>
                <w:rFonts w:ascii="Times New Roman"/>
                <w:sz w:val="21"/>
              </w:rPr>
            </w:pPr>
            <w:r>
              <w:rPr>
                <w:rFonts w:ascii="Times New Roman"/>
                <w:sz w:val="21"/>
              </w:rPr>
              <w:t>3.38</w:t>
            </w:r>
          </w:p>
        </w:tc>
        <w:tc>
          <w:tcPr>
            <w:tcW w:w="933" w:type="dxa"/>
          </w:tcPr>
          <w:p w14:paraId="4D8C7CAC">
            <w:pPr>
              <w:pStyle w:val="14"/>
              <w:spacing w:before="111"/>
              <w:ind w:left="23" w:right="14"/>
              <w:jc w:val="center"/>
              <w:rPr>
                <w:rFonts w:ascii="Times New Roman"/>
                <w:sz w:val="21"/>
              </w:rPr>
            </w:pPr>
            <w:r>
              <w:rPr>
                <w:rFonts w:ascii="Times New Roman"/>
                <w:sz w:val="21"/>
              </w:rPr>
              <w:t>1.40</w:t>
            </w:r>
          </w:p>
        </w:tc>
        <w:tc>
          <w:tcPr>
            <w:tcW w:w="274" w:type="dxa"/>
          </w:tcPr>
          <w:p w14:paraId="443A9A48">
            <w:pPr>
              <w:pStyle w:val="14"/>
              <w:spacing w:before="92"/>
              <w:ind w:left="83"/>
              <w:rPr>
                <w:rFonts w:ascii="Times New Roman"/>
                <w:sz w:val="21"/>
              </w:rPr>
            </w:pPr>
            <w:r>
              <w:rPr>
                <w:rFonts w:ascii="Times New Roman"/>
                <w:w w:val="99"/>
                <w:sz w:val="21"/>
              </w:rPr>
              <w:t>0</w:t>
            </w:r>
          </w:p>
        </w:tc>
        <w:tc>
          <w:tcPr>
            <w:tcW w:w="551" w:type="dxa"/>
          </w:tcPr>
          <w:p w14:paraId="787A0593">
            <w:pPr>
              <w:pStyle w:val="14"/>
              <w:spacing w:before="92"/>
              <w:ind w:left="222"/>
              <w:rPr>
                <w:rFonts w:ascii="Times New Roman"/>
                <w:sz w:val="21"/>
              </w:rPr>
            </w:pPr>
            <w:r>
              <w:rPr>
                <w:rFonts w:ascii="Times New Roman"/>
                <w:w w:val="99"/>
                <w:sz w:val="21"/>
              </w:rPr>
              <w:t>0</w:t>
            </w:r>
          </w:p>
        </w:tc>
      </w:tr>
      <w:tr w14:paraId="3F0D9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92A915C">
            <w:pPr>
              <w:rPr>
                <w:sz w:val="2"/>
                <w:szCs w:val="2"/>
              </w:rPr>
            </w:pPr>
          </w:p>
        </w:tc>
        <w:tc>
          <w:tcPr>
            <w:tcW w:w="1027" w:type="dxa"/>
          </w:tcPr>
          <w:p w14:paraId="2A30B4F4">
            <w:pPr>
              <w:pStyle w:val="14"/>
              <w:spacing w:before="99"/>
              <w:ind w:left="71" w:right="63"/>
              <w:jc w:val="center"/>
              <w:rPr>
                <w:sz w:val="21"/>
              </w:rPr>
            </w:pPr>
            <w:r>
              <w:rPr>
                <w:sz w:val="21"/>
              </w:rPr>
              <w:t>硫酸根</w:t>
            </w:r>
          </w:p>
        </w:tc>
        <w:tc>
          <w:tcPr>
            <w:tcW w:w="1236" w:type="dxa"/>
          </w:tcPr>
          <w:p w14:paraId="74207E17">
            <w:pPr>
              <w:pStyle w:val="14"/>
              <w:spacing w:before="91"/>
              <w:ind w:left="215" w:right="209"/>
              <w:jc w:val="center"/>
              <w:rPr>
                <w:rFonts w:ascii="Times New Roman"/>
                <w:sz w:val="21"/>
              </w:rPr>
            </w:pPr>
            <w:r>
              <w:rPr>
                <w:rFonts w:ascii="Times New Roman"/>
                <w:sz w:val="21"/>
              </w:rPr>
              <w:t>mg/L</w:t>
            </w:r>
          </w:p>
        </w:tc>
        <w:tc>
          <w:tcPr>
            <w:tcW w:w="1331" w:type="dxa"/>
          </w:tcPr>
          <w:p w14:paraId="00E0777E">
            <w:pPr>
              <w:pStyle w:val="14"/>
              <w:spacing w:before="113"/>
              <w:ind w:left="138" w:right="128"/>
              <w:jc w:val="center"/>
              <w:rPr>
                <w:rFonts w:ascii="Times New Roman"/>
                <w:sz w:val="21"/>
              </w:rPr>
            </w:pPr>
            <w:r>
              <w:rPr>
                <w:rFonts w:ascii="Times New Roman"/>
                <w:sz w:val="21"/>
              </w:rPr>
              <w:t>250</w:t>
            </w:r>
          </w:p>
        </w:tc>
        <w:tc>
          <w:tcPr>
            <w:tcW w:w="1022" w:type="dxa"/>
          </w:tcPr>
          <w:p w14:paraId="35A65854">
            <w:pPr>
              <w:pStyle w:val="14"/>
              <w:spacing w:before="113"/>
              <w:ind w:left="173" w:right="164"/>
              <w:jc w:val="center"/>
              <w:rPr>
                <w:rFonts w:ascii="Times New Roman"/>
                <w:sz w:val="21"/>
              </w:rPr>
            </w:pPr>
            <w:r>
              <w:rPr>
                <w:rFonts w:ascii="Times New Roman"/>
                <w:sz w:val="21"/>
              </w:rPr>
              <w:t>4.57</w:t>
            </w:r>
          </w:p>
        </w:tc>
        <w:tc>
          <w:tcPr>
            <w:tcW w:w="993" w:type="dxa"/>
          </w:tcPr>
          <w:p w14:paraId="67CEAB44">
            <w:pPr>
              <w:pStyle w:val="14"/>
              <w:spacing w:before="113"/>
              <w:ind w:left="159" w:right="149"/>
              <w:jc w:val="center"/>
              <w:rPr>
                <w:rFonts w:ascii="Times New Roman"/>
                <w:sz w:val="21"/>
              </w:rPr>
            </w:pPr>
            <w:r>
              <w:rPr>
                <w:rFonts w:ascii="Times New Roman"/>
                <w:sz w:val="21"/>
              </w:rPr>
              <w:t>5.11</w:t>
            </w:r>
          </w:p>
        </w:tc>
        <w:tc>
          <w:tcPr>
            <w:tcW w:w="933" w:type="dxa"/>
          </w:tcPr>
          <w:p w14:paraId="35D538C2">
            <w:pPr>
              <w:pStyle w:val="14"/>
              <w:spacing w:before="113"/>
              <w:ind w:left="23" w:right="14"/>
              <w:jc w:val="center"/>
              <w:rPr>
                <w:rFonts w:ascii="Times New Roman"/>
                <w:sz w:val="21"/>
              </w:rPr>
            </w:pPr>
            <w:r>
              <w:rPr>
                <w:rFonts w:ascii="Times New Roman"/>
                <w:sz w:val="21"/>
              </w:rPr>
              <w:t>8.7</w:t>
            </w:r>
          </w:p>
        </w:tc>
        <w:tc>
          <w:tcPr>
            <w:tcW w:w="274" w:type="dxa"/>
          </w:tcPr>
          <w:p w14:paraId="6065924B">
            <w:pPr>
              <w:pStyle w:val="14"/>
              <w:spacing w:before="91"/>
              <w:ind w:left="83"/>
              <w:rPr>
                <w:rFonts w:ascii="Times New Roman"/>
                <w:sz w:val="21"/>
              </w:rPr>
            </w:pPr>
            <w:r>
              <w:rPr>
                <w:rFonts w:ascii="Times New Roman"/>
                <w:w w:val="99"/>
                <w:sz w:val="21"/>
              </w:rPr>
              <w:t>0</w:t>
            </w:r>
          </w:p>
        </w:tc>
        <w:tc>
          <w:tcPr>
            <w:tcW w:w="551" w:type="dxa"/>
          </w:tcPr>
          <w:p w14:paraId="1EC00A8B">
            <w:pPr>
              <w:pStyle w:val="14"/>
              <w:spacing w:before="91"/>
              <w:ind w:left="222"/>
              <w:rPr>
                <w:rFonts w:ascii="Times New Roman"/>
                <w:sz w:val="21"/>
              </w:rPr>
            </w:pPr>
            <w:r>
              <w:rPr>
                <w:rFonts w:ascii="Times New Roman"/>
                <w:w w:val="99"/>
                <w:sz w:val="21"/>
              </w:rPr>
              <w:t>0</w:t>
            </w:r>
          </w:p>
        </w:tc>
      </w:tr>
      <w:tr w14:paraId="279C3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C2C8432">
            <w:pPr>
              <w:rPr>
                <w:sz w:val="2"/>
                <w:szCs w:val="2"/>
              </w:rPr>
            </w:pPr>
          </w:p>
        </w:tc>
        <w:tc>
          <w:tcPr>
            <w:tcW w:w="1027" w:type="dxa"/>
          </w:tcPr>
          <w:p w14:paraId="33533BB3">
            <w:pPr>
              <w:pStyle w:val="14"/>
              <w:spacing w:before="91"/>
              <w:ind w:left="71" w:right="63"/>
              <w:jc w:val="center"/>
              <w:rPr>
                <w:sz w:val="21"/>
              </w:rPr>
            </w:pPr>
            <w:r>
              <w:rPr>
                <w:sz w:val="21"/>
              </w:rPr>
              <w:t>氨氮</w:t>
            </w:r>
          </w:p>
        </w:tc>
        <w:tc>
          <w:tcPr>
            <w:tcW w:w="1236" w:type="dxa"/>
          </w:tcPr>
          <w:p w14:paraId="53D79A82">
            <w:pPr>
              <w:pStyle w:val="14"/>
              <w:spacing w:before="91"/>
              <w:ind w:left="215" w:right="209"/>
              <w:jc w:val="center"/>
              <w:rPr>
                <w:rFonts w:ascii="Times New Roman"/>
                <w:sz w:val="21"/>
              </w:rPr>
            </w:pPr>
            <w:r>
              <w:rPr>
                <w:rFonts w:ascii="Times New Roman"/>
                <w:sz w:val="21"/>
              </w:rPr>
              <w:t>mg/L</w:t>
            </w:r>
          </w:p>
        </w:tc>
        <w:tc>
          <w:tcPr>
            <w:tcW w:w="1331" w:type="dxa"/>
          </w:tcPr>
          <w:p w14:paraId="777FED24">
            <w:pPr>
              <w:pStyle w:val="14"/>
              <w:spacing w:before="112"/>
              <w:ind w:left="138" w:right="128"/>
              <w:jc w:val="center"/>
              <w:rPr>
                <w:rFonts w:ascii="Times New Roman"/>
                <w:sz w:val="21"/>
              </w:rPr>
            </w:pPr>
            <w:r>
              <w:rPr>
                <w:rFonts w:ascii="Times New Roman"/>
                <w:sz w:val="21"/>
              </w:rPr>
              <w:t>0.50</w:t>
            </w:r>
          </w:p>
        </w:tc>
        <w:tc>
          <w:tcPr>
            <w:tcW w:w="1022" w:type="dxa"/>
          </w:tcPr>
          <w:p w14:paraId="5FDCBDC1">
            <w:pPr>
              <w:pStyle w:val="14"/>
              <w:spacing w:before="112"/>
              <w:ind w:left="173" w:right="164"/>
              <w:jc w:val="center"/>
              <w:rPr>
                <w:rFonts w:ascii="Times New Roman"/>
                <w:sz w:val="21"/>
              </w:rPr>
            </w:pPr>
            <w:r>
              <w:rPr>
                <w:rFonts w:ascii="Times New Roman"/>
                <w:sz w:val="21"/>
              </w:rPr>
              <w:t>0.045</w:t>
            </w:r>
          </w:p>
        </w:tc>
        <w:tc>
          <w:tcPr>
            <w:tcW w:w="993" w:type="dxa"/>
          </w:tcPr>
          <w:p w14:paraId="389E1008">
            <w:pPr>
              <w:pStyle w:val="14"/>
              <w:spacing w:before="112"/>
              <w:ind w:left="159" w:right="149"/>
              <w:jc w:val="center"/>
              <w:rPr>
                <w:rFonts w:ascii="Times New Roman"/>
                <w:sz w:val="21"/>
              </w:rPr>
            </w:pPr>
            <w:r>
              <w:rPr>
                <w:rFonts w:ascii="Times New Roman"/>
                <w:sz w:val="21"/>
              </w:rPr>
              <w:t>0.051</w:t>
            </w:r>
          </w:p>
        </w:tc>
        <w:tc>
          <w:tcPr>
            <w:tcW w:w="933" w:type="dxa"/>
          </w:tcPr>
          <w:p w14:paraId="39592168">
            <w:pPr>
              <w:pStyle w:val="14"/>
              <w:spacing w:before="112"/>
              <w:ind w:left="23" w:right="14"/>
              <w:jc w:val="center"/>
              <w:rPr>
                <w:rFonts w:ascii="Times New Roman"/>
                <w:sz w:val="21"/>
              </w:rPr>
            </w:pPr>
            <w:r>
              <w:rPr>
                <w:rFonts w:ascii="Times New Roman"/>
                <w:sz w:val="21"/>
              </w:rPr>
              <w:t>0.051</w:t>
            </w:r>
          </w:p>
        </w:tc>
        <w:tc>
          <w:tcPr>
            <w:tcW w:w="274" w:type="dxa"/>
          </w:tcPr>
          <w:p w14:paraId="094E82D2">
            <w:pPr>
              <w:pStyle w:val="14"/>
              <w:spacing w:before="91"/>
              <w:ind w:left="83"/>
              <w:rPr>
                <w:rFonts w:ascii="Times New Roman"/>
                <w:sz w:val="21"/>
              </w:rPr>
            </w:pPr>
            <w:r>
              <w:rPr>
                <w:rFonts w:ascii="Times New Roman"/>
                <w:w w:val="99"/>
                <w:sz w:val="21"/>
              </w:rPr>
              <w:t>0</w:t>
            </w:r>
          </w:p>
        </w:tc>
        <w:tc>
          <w:tcPr>
            <w:tcW w:w="551" w:type="dxa"/>
          </w:tcPr>
          <w:p w14:paraId="2F23DCE5">
            <w:pPr>
              <w:pStyle w:val="14"/>
              <w:spacing w:before="91"/>
              <w:ind w:left="222"/>
              <w:rPr>
                <w:rFonts w:ascii="Times New Roman"/>
                <w:sz w:val="21"/>
              </w:rPr>
            </w:pPr>
            <w:r>
              <w:rPr>
                <w:rFonts w:ascii="Times New Roman"/>
                <w:w w:val="99"/>
                <w:sz w:val="21"/>
              </w:rPr>
              <w:t>0</w:t>
            </w:r>
          </w:p>
        </w:tc>
      </w:tr>
      <w:tr w14:paraId="1882F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E30D0EE">
            <w:pPr>
              <w:rPr>
                <w:sz w:val="2"/>
                <w:szCs w:val="2"/>
              </w:rPr>
            </w:pPr>
          </w:p>
        </w:tc>
        <w:tc>
          <w:tcPr>
            <w:tcW w:w="1027" w:type="dxa"/>
          </w:tcPr>
          <w:p w14:paraId="7895EC45">
            <w:pPr>
              <w:pStyle w:val="14"/>
              <w:spacing w:before="74"/>
              <w:ind w:left="71" w:right="63"/>
              <w:jc w:val="center"/>
              <w:rPr>
                <w:sz w:val="21"/>
              </w:rPr>
            </w:pPr>
            <w:r>
              <w:rPr>
                <w:sz w:val="21"/>
              </w:rPr>
              <w:t>硝酸盐</w:t>
            </w:r>
          </w:p>
        </w:tc>
        <w:tc>
          <w:tcPr>
            <w:tcW w:w="1236" w:type="dxa"/>
          </w:tcPr>
          <w:p w14:paraId="7D9F0753">
            <w:pPr>
              <w:pStyle w:val="14"/>
              <w:spacing w:before="90"/>
              <w:ind w:left="215" w:right="209"/>
              <w:jc w:val="center"/>
              <w:rPr>
                <w:rFonts w:ascii="Times New Roman"/>
                <w:sz w:val="21"/>
              </w:rPr>
            </w:pPr>
            <w:r>
              <w:rPr>
                <w:rFonts w:ascii="Times New Roman"/>
                <w:sz w:val="21"/>
              </w:rPr>
              <w:t>mg/L</w:t>
            </w:r>
          </w:p>
        </w:tc>
        <w:tc>
          <w:tcPr>
            <w:tcW w:w="1331" w:type="dxa"/>
          </w:tcPr>
          <w:p w14:paraId="7BB2D488">
            <w:pPr>
              <w:pStyle w:val="14"/>
              <w:spacing w:before="112"/>
              <w:ind w:left="138" w:right="128"/>
              <w:jc w:val="center"/>
              <w:rPr>
                <w:rFonts w:ascii="Times New Roman"/>
                <w:sz w:val="21"/>
              </w:rPr>
            </w:pPr>
            <w:r>
              <w:rPr>
                <w:rFonts w:ascii="Times New Roman"/>
                <w:sz w:val="21"/>
              </w:rPr>
              <w:t>20.0</w:t>
            </w:r>
          </w:p>
        </w:tc>
        <w:tc>
          <w:tcPr>
            <w:tcW w:w="1022" w:type="dxa"/>
          </w:tcPr>
          <w:p w14:paraId="60AEEE4F">
            <w:pPr>
              <w:pStyle w:val="14"/>
              <w:spacing w:before="112"/>
              <w:ind w:left="173" w:right="164"/>
              <w:jc w:val="center"/>
              <w:rPr>
                <w:rFonts w:ascii="Times New Roman"/>
                <w:sz w:val="21"/>
              </w:rPr>
            </w:pPr>
            <w:r>
              <w:rPr>
                <w:rFonts w:ascii="Times New Roman"/>
                <w:sz w:val="21"/>
              </w:rPr>
              <w:t>3.36</w:t>
            </w:r>
          </w:p>
        </w:tc>
        <w:tc>
          <w:tcPr>
            <w:tcW w:w="993" w:type="dxa"/>
          </w:tcPr>
          <w:p w14:paraId="40F2B8F4">
            <w:pPr>
              <w:pStyle w:val="14"/>
              <w:spacing w:before="112"/>
              <w:ind w:left="159" w:right="149"/>
              <w:jc w:val="center"/>
              <w:rPr>
                <w:rFonts w:ascii="Times New Roman"/>
                <w:sz w:val="21"/>
              </w:rPr>
            </w:pPr>
            <w:r>
              <w:rPr>
                <w:rFonts w:ascii="Times New Roman"/>
                <w:sz w:val="21"/>
              </w:rPr>
              <w:t>7.76</w:t>
            </w:r>
          </w:p>
        </w:tc>
        <w:tc>
          <w:tcPr>
            <w:tcW w:w="933" w:type="dxa"/>
          </w:tcPr>
          <w:p w14:paraId="2AB2CC3B">
            <w:pPr>
              <w:pStyle w:val="14"/>
              <w:spacing w:before="112"/>
              <w:ind w:left="23" w:right="14"/>
              <w:jc w:val="center"/>
              <w:rPr>
                <w:rFonts w:ascii="Times New Roman"/>
                <w:sz w:val="21"/>
              </w:rPr>
            </w:pPr>
            <w:r>
              <w:rPr>
                <w:rFonts w:ascii="Times New Roman"/>
                <w:sz w:val="21"/>
              </w:rPr>
              <w:t>2.92</w:t>
            </w:r>
          </w:p>
        </w:tc>
        <w:tc>
          <w:tcPr>
            <w:tcW w:w="274" w:type="dxa"/>
          </w:tcPr>
          <w:p w14:paraId="1B46F2B8">
            <w:pPr>
              <w:pStyle w:val="14"/>
              <w:spacing w:before="90"/>
              <w:ind w:left="83"/>
              <w:rPr>
                <w:rFonts w:ascii="Times New Roman"/>
                <w:sz w:val="21"/>
              </w:rPr>
            </w:pPr>
            <w:r>
              <w:rPr>
                <w:rFonts w:ascii="Times New Roman"/>
                <w:w w:val="99"/>
                <w:sz w:val="21"/>
              </w:rPr>
              <w:t>0</w:t>
            </w:r>
          </w:p>
        </w:tc>
        <w:tc>
          <w:tcPr>
            <w:tcW w:w="551" w:type="dxa"/>
          </w:tcPr>
          <w:p w14:paraId="757D7E59">
            <w:pPr>
              <w:pStyle w:val="14"/>
              <w:spacing w:before="90"/>
              <w:ind w:left="222"/>
              <w:rPr>
                <w:rFonts w:ascii="Times New Roman"/>
                <w:sz w:val="21"/>
              </w:rPr>
            </w:pPr>
            <w:r>
              <w:rPr>
                <w:rFonts w:ascii="Times New Roman"/>
                <w:w w:val="99"/>
                <w:sz w:val="21"/>
              </w:rPr>
              <w:t>0</w:t>
            </w:r>
          </w:p>
        </w:tc>
      </w:tr>
      <w:tr w14:paraId="6F3B8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A5414C3">
            <w:pPr>
              <w:rPr>
                <w:sz w:val="2"/>
                <w:szCs w:val="2"/>
              </w:rPr>
            </w:pPr>
          </w:p>
        </w:tc>
        <w:tc>
          <w:tcPr>
            <w:tcW w:w="1027" w:type="dxa"/>
          </w:tcPr>
          <w:p w14:paraId="1E499437">
            <w:pPr>
              <w:pStyle w:val="14"/>
              <w:spacing w:before="73"/>
              <w:ind w:left="71" w:right="66"/>
              <w:jc w:val="center"/>
              <w:rPr>
                <w:sz w:val="21"/>
              </w:rPr>
            </w:pPr>
            <w:r>
              <w:rPr>
                <w:sz w:val="21"/>
              </w:rPr>
              <w:t>亚硝酸盐</w:t>
            </w:r>
          </w:p>
        </w:tc>
        <w:tc>
          <w:tcPr>
            <w:tcW w:w="1236" w:type="dxa"/>
          </w:tcPr>
          <w:p w14:paraId="0375C4B6">
            <w:pPr>
              <w:pStyle w:val="14"/>
              <w:spacing w:before="92"/>
              <w:ind w:left="215" w:right="209"/>
              <w:jc w:val="center"/>
              <w:rPr>
                <w:rFonts w:ascii="Times New Roman"/>
                <w:sz w:val="21"/>
              </w:rPr>
            </w:pPr>
            <w:r>
              <w:rPr>
                <w:rFonts w:ascii="Times New Roman"/>
                <w:sz w:val="21"/>
              </w:rPr>
              <w:t>mg/L</w:t>
            </w:r>
          </w:p>
        </w:tc>
        <w:tc>
          <w:tcPr>
            <w:tcW w:w="1331" w:type="dxa"/>
          </w:tcPr>
          <w:p w14:paraId="4E87561C">
            <w:pPr>
              <w:pStyle w:val="14"/>
              <w:spacing w:before="111"/>
              <w:ind w:left="138" w:right="128"/>
              <w:jc w:val="center"/>
              <w:rPr>
                <w:rFonts w:ascii="Times New Roman"/>
                <w:sz w:val="21"/>
              </w:rPr>
            </w:pPr>
            <w:r>
              <w:rPr>
                <w:rFonts w:ascii="Times New Roman"/>
                <w:sz w:val="21"/>
              </w:rPr>
              <w:t>1.00</w:t>
            </w:r>
          </w:p>
        </w:tc>
        <w:tc>
          <w:tcPr>
            <w:tcW w:w="1022" w:type="dxa"/>
          </w:tcPr>
          <w:p w14:paraId="2D19CD77">
            <w:pPr>
              <w:pStyle w:val="14"/>
              <w:spacing w:before="111"/>
              <w:ind w:left="170" w:right="165"/>
              <w:jc w:val="center"/>
              <w:rPr>
                <w:rFonts w:ascii="Times New Roman"/>
                <w:sz w:val="21"/>
              </w:rPr>
            </w:pPr>
            <w:r>
              <w:rPr>
                <w:rFonts w:ascii="Times New Roman"/>
                <w:sz w:val="21"/>
              </w:rPr>
              <w:t>ND</w:t>
            </w:r>
          </w:p>
        </w:tc>
        <w:tc>
          <w:tcPr>
            <w:tcW w:w="993" w:type="dxa"/>
          </w:tcPr>
          <w:p w14:paraId="1C8A8F66">
            <w:pPr>
              <w:pStyle w:val="14"/>
              <w:spacing w:before="111"/>
              <w:ind w:left="156" w:right="150"/>
              <w:jc w:val="center"/>
              <w:rPr>
                <w:rFonts w:ascii="Times New Roman"/>
                <w:sz w:val="21"/>
              </w:rPr>
            </w:pPr>
            <w:r>
              <w:rPr>
                <w:rFonts w:ascii="Times New Roman"/>
                <w:sz w:val="21"/>
              </w:rPr>
              <w:t>ND</w:t>
            </w:r>
          </w:p>
        </w:tc>
        <w:tc>
          <w:tcPr>
            <w:tcW w:w="933" w:type="dxa"/>
          </w:tcPr>
          <w:p w14:paraId="3BF62EF1">
            <w:pPr>
              <w:pStyle w:val="14"/>
              <w:spacing w:before="111"/>
              <w:ind w:left="23" w:right="13"/>
              <w:jc w:val="center"/>
              <w:rPr>
                <w:rFonts w:ascii="Times New Roman"/>
                <w:sz w:val="21"/>
              </w:rPr>
            </w:pPr>
            <w:r>
              <w:rPr>
                <w:rFonts w:ascii="Times New Roman"/>
                <w:sz w:val="21"/>
              </w:rPr>
              <w:t>ND</w:t>
            </w:r>
          </w:p>
        </w:tc>
        <w:tc>
          <w:tcPr>
            <w:tcW w:w="274" w:type="dxa"/>
          </w:tcPr>
          <w:p w14:paraId="2CA120FD">
            <w:pPr>
              <w:pStyle w:val="14"/>
              <w:spacing w:before="92"/>
              <w:ind w:left="83"/>
              <w:rPr>
                <w:rFonts w:ascii="Times New Roman"/>
                <w:sz w:val="21"/>
              </w:rPr>
            </w:pPr>
            <w:r>
              <w:rPr>
                <w:rFonts w:ascii="Times New Roman"/>
                <w:w w:val="99"/>
                <w:sz w:val="21"/>
              </w:rPr>
              <w:t>0</w:t>
            </w:r>
          </w:p>
        </w:tc>
        <w:tc>
          <w:tcPr>
            <w:tcW w:w="551" w:type="dxa"/>
          </w:tcPr>
          <w:p w14:paraId="6C30EC55">
            <w:pPr>
              <w:pStyle w:val="14"/>
              <w:spacing w:before="92"/>
              <w:ind w:left="222"/>
              <w:rPr>
                <w:rFonts w:ascii="Times New Roman"/>
                <w:sz w:val="21"/>
              </w:rPr>
            </w:pPr>
            <w:r>
              <w:rPr>
                <w:rFonts w:ascii="Times New Roman"/>
                <w:w w:val="99"/>
                <w:sz w:val="21"/>
              </w:rPr>
              <w:t>0</w:t>
            </w:r>
          </w:p>
        </w:tc>
      </w:tr>
      <w:tr w14:paraId="6DEF5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08A9461">
            <w:pPr>
              <w:rPr>
                <w:sz w:val="2"/>
                <w:szCs w:val="2"/>
              </w:rPr>
            </w:pPr>
          </w:p>
        </w:tc>
        <w:tc>
          <w:tcPr>
            <w:tcW w:w="1027" w:type="dxa"/>
          </w:tcPr>
          <w:p w14:paraId="203CFB50">
            <w:pPr>
              <w:pStyle w:val="14"/>
              <w:spacing w:before="99"/>
              <w:ind w:left="71" w:right="63"/>
              <w:jc w:val="center"/>
              <w:rPr>
                <w:sz w:val="21"/>
              </w:rPr>
            </w:pPr>
            <w:r>
              <w:rPr>
                <w:sz w:val="21"/>
              </w:rPr>
              <w:t>耗氧量</w:t>
            </w:r>
          </w:p>
        </w:tc>
        <w:tc>
          <w:tcPr>
            <w:tcW w:w="1236" w:type="dxa"/>
          </w:tcPr>
          <w:p w14:paraId="199DBA58">
            <w:pPr>
              <w:pStyle w:val="14"/>
              <w:spacing w:before="91"/>
              <w:ind w:left="215" w:right="209"/>
              <w:jc w:val="center"/>
              <w:rPr>
                <w:rFonts w:ascii="Times New Roman"/>
                <w:sz w:val="21"/>
              </w:rPr>
            </w:pPr>
            <w:r>
              <w:rPr>
                <w:rFonts w:ascii="Times New Roman"/>
                <w:sz w:val="21"/>
              </w:rPr>
              <w:t>mg/L</w:t>
            </w:r>
          </w:p>
        </w:tc>
        <w:tc>
          <w:tcPr>
            <w:tcW w:w="1331" w:type="dxa"/>
          </w:tcPr>
          <w:p w14:paraId="49B0752F">
            <w:pPr>
              <w:pStyle w:val="14"/>
              <w:spacing w:before="106"/>
              <w:ind w:left="138" w:right="128"/>
              <w:jc w:val="center"/>
              <w:rPr>
                <w:rFonts w:ascii="Times New Roman"/>
                <w:sz w:val="21"/>
              </w:rPr>
            </w:pPr>
            <w:r>
              <w:rPr>
                <w:rFonts w:ascii="Times New Roman"/>
                <w:sz w:val="21"/>
              </w:rPr>
              <w:t>3.0</w:t>
            </w:r>
          </w:p>
        </w:tc>
        <w:tc>
          <w:tcPr>
            <w:tcW w:w="1022" w:type="dxa"/>
          </w:tcPr>
          <w:p w14:paraId="6D1037C2">
            <w:pPr>
              <w:pStyle w:val="14"/>
              <w:spacing w:before="89"/>
              <w:ind w:left="173" w:right="164"/>
              <w:jc w:val="center"/>
              <w:rPr>
                <w:rFonts w:ascii="Times New Roman"/>
                <w:sz w:val="21"/>
              </w:rPr>
            </w:pPr>
            <w:r>
              <w:rPr>
                <w:rFonts w:ascii="Times New Roman"/>
                <w:sz w:val="21"/>
              </w:rPr>
              <w:t>0.72</w:t>
            </w:r>
          </w:p>
        </w:tc>
        <w:tc>
          <w:tcPr>
            <w:tcW w:w="993" w:type="dxa"/>
          </w:tcPr>
          <w:p w14:paraId="66FD6E21">
            <w:pPr>
              <w:pStyle w:val="14"/>
              <w:spacing w:before="89"/>
              <w:ind w:left="159" w:right="149"/>
              <w:jc w:val="center"/>
              <w:rPr>
                <w:rFonts w:ascii="Times New Roman"/>
                <w:sz w:val="21"/>
              </w:rPr>
            </w:pPr>
            <w:r>
              <w:rPr>
                <w:rFonts w:ascii="Times New Roman"/>
                <w:sz w:val="21"/>
              </w:rPr>
              <w:t>1.14</w:t>
            </w:r>
          </w:p>
        </w:tc>
        <w:tc>
          <w:tcPr>
            <w:tcW w:w="933" w:type="dxa"/>
          </w:tcPr>
          <w:p w14:paraId="1772046C">
            <w:pPr>
              <w:pStyle w:val="14"/>
              <w:spacing w:before="89"/>
              <w:ind w:left="23" w:right="14"/>
              <w:jc w:val="center"/>
              <w:rPr>
                <w:rFonts w:ascii="Times New Roman"/>
                <w:sz w:val="21"/>
              </w:rPr>
            </w:pPr>
            <w:r>
              <w:rPr>
                <w:rFonts w:ascii="Times New Roman"/>
                <w:sz w:val="21"/>
              </w:rPr>
              <w:t>1.03</w:t>
            </w:r>
          </w:p>
        </w:tc>
        <w:tc>
          <w:tcPr>
            <w:tcW w:w="274" w:type="dxa"/>
          </w:tcPr>
          <w:p w14:paraId="000D35E9">
            <w:pPr>
              <w:pStyle w:val="14"/>
              <w:spacing w:before="91"/>
              <w:ind w:left="83"/>
              <w:rPr>
                <w:rFonts w:ascii="Times New Roman"/>
                <w:sz w:val="21"/>
              </w:rPr>
            </w:pPr>
            <w:r>
              <w:rPr>
                <w:rFonts w:ascii="Times New Roman"/>
                <w:w w:val="99"/>
                <w:sz w:val="21"/>
              </w:rPr>
              <w:t>0</w:t>
            </w:r>
          </w:p>
        </w:tc>
        <w:tc>
          <w:tcPr>
            <w:tcW w:w="551" w:type="dxa"/>
          </w:tcPr>
          <w:p w14:paraId="2ACCC83B">
            <w:pPr>
              <w:pStyle w:val="14"/>
              <w:spacing w:before="91"/>
              <w:ind w:left="222"/>
              <w:rPr>
                <w:rFonts w:ascii="Times New Roman"/>
                <w:sz w:val="21"/>
              </w:rPr>
            </w:pPr>
            <w:r>
              <w:rPr>
                <w:rFonts w:ascii="Times New Roman"/>
                <w:w w:val="99"/>
                <w:sz w:val="21"/>
              </w:rPr>
              <w:t>0</w:t>
            </w:r>
          </w:p>
        </w:tc>
      </w:tr>
      <w:tr w14:paraId="02B75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366E23A">
            <w:pPr>
              <w:rPr>
                <w:sz w:val="2"/>
                <w:szCs w:val="2"/>
              </w:rPr>
            </w:pPr>
          </w:p>
        </w:tc>
        <w:tc>
          <w:tcPr>
            <w:tcW w:w="1027" w:type="dxa"/>
          </w:tcPr>
          <w:p w14:paraId="40F86E6A">
            <w:pPr>
              <w:pStyle w:val="14"/>
              <w:spacing w:before="91"/>
              <w:ind w:left="5"/>
              <w:jc w:val="center"/>
              <w:rPr>
                <w:sz w:val="21"/>
              </w:rPr>
            </w:pPr>
            <w:r>
              <w:rPr>
                <w:w w:val="99"/>
                <w:sz w:val="21"/>
              </w:rPr>
              <w:t>砷</w:t>
            </w:r>
          </w:p>
        </w:tc>
        <w:tc>
          <w:tcPr>
            <w:tcW w:w="1236" w:type="dxa"/>
          </w:tcPr>
          <w:p w14:paraId="24497B29">
            <w:pPr>
              <w:pStyle w:val="14"/>
              <w:spacing w:before="91"/>
              <w:ind w:left="215" w:right="209"/>
              <w:jc w:val="center"/>
              <w:rPr>
                <w:rFonts w:ascii="Times New Roman"/>
                <w:sz w:val="21"/>
              </w:rPr>
            </w:pPr>
            <w:r>
              <w:rPr>
                <w:rFonts w:ascii="Times New Roman"/>
                <w:sz w:val="21"/>
              </w:rPr>
              <w:t>mg/L</w:t>
            </w:r>
          </w:p>
        </w:tc>
        <w:tc>
          <w:tcPr>
            <w:tcW w:w="1331" w:type="dxa"/>
          </w:tcPr>
          <w:p w14:paraId="10258120">
            <w:pPr>
              <w:pStyle w:val="14"/>
              <w:spacing w:before="112"/>
              <w:ind w:left="138" w:right="128"/>
              <w:jc w:val="center"/>
              <w:rPr>
                <w:rFonts w:ascii="Times New Roman"/>
                <w:sz w:val="21"/>
              </w:rPr>
            </w:pPr>
            <w:r>
              <w:rPr>
                <w:rFonts w:ascii="Times New Roman"/>
                <w:sz w:val="21"/>
              </w:rPr>
              <w:t>0.01</w:t>
            </w:r>
          </w:p>
        </w:tc>
        <w:tc>
          <w:tcPr>
            <w:tcW w:w="1022" w:type="dxa"/>
          </w:tcPr>
          <w:p w14:paraId="7290A748">
            <w:pPr>
              <w:pStyle w:val="14"/>
              <w:spacing w:before="112"/>
              <w:ind w:left="170" w:right="165"/>
              <w:jc w:val="center"/>
              <w:rPr>
                <w:rFonts w:ascii="Times New Roman"/>
                <w:sz w:val="21"/>
              </w:rPr>
            </w:pPr>
            <w:r>
              <w:rPr>
                <w:rFonts w:ascii="Times New Roman"/>
                <w:sz w:val="21"/>
              </w:rPr>
              <w:t>ND</w:t>
            </w:r>
          </w:p>
        </w:tc>
        <w:tc>
          <w:tcPr>
            <w:tcW w:w="993" w:type="dxa"/>
          </w:tcPr>
          <w:p w14:paraId="66739EBE">
            <w:pPr>
              <w:pStyle w:val="14"/>
              <w:spacing w:before="112"/>
              <w:ind w:left="156" w:right="150"/>
              <w:jc w:val="center"/>
              <w:rPr>
                <w:rFonts w:ascii="Times New Roman"/>
                <w:sz w:val="21"/>
              </w:rPr>
            </w:pPr>
            <w:r>
              <w:rPr>
                <w:rFonts w:ascii="Times New Roman"/>
                <w:sz w:val="21"/>
              </w:rPr>
              <w:t>ND</w:t>
            </w:r>
          </w:p>
        </w:tc>
        <w:tc>
          <w:tcPr>
            <w:tcW w:w="933" w:type="dxa"/>
          </w:tcPr>
          <w:p w14:paraId="3B9746E8">
            <w:pPr>
              <w:pStyle w:val="14"/>
              <w:spacing w:before="112"/>
              <w:ind w:left="23" w:right="13"/>
              <w:jc w:val="center"/>
              <w:rPr>
                <w:rFonts w:ascii="Times New Roman"/>
                <w:sz w:val="21"/>
              </w:rPr>
            </w:pPr>
            <w:r>
              <w:rPr>
                <w:rFonts w:ascii="Times New Roman"/>
                <w:sz w:val="21"/>
              </w:rPr>
              <w:t>ND</w:t>
            </w:r>
          </w:p>
        </w:tc>
        <w:tc>
          <w:tcPr>
            <w:tcW w:w="274" w:type="dxa"/>
          </w:tcPr>
          <w:p w14:paraId="1B2218B6">
            <w:pPr>
              <w:pStyle w:val="14"/>
              <w:spacing w:before="91"/>
              <w:ind w:left="83"/>
              <w:rPr>
                <w:rFonts w:ascii="Times New Roman"/>
                <w:sz w:val="21"/>
              </w:rPr>
            </w:pPr>
            <w:r>
              <w:rPr>
                <w:rFonts w:ascii="Times New Roman"/>
                <w:w w:val="99"/>
                <w:sz w:val="21"/>
              </w:rPr>
              <w:t>0</w:t>
            </w:r>
          </w:p>
        </w:tc>
        <w:tc>
          <w:tcPr>
            <w:tcW w:w="551" w:type="dxa"/>
          </w:tcPr>
          <w:p w14:paraId="23F3D3A7">
            <w:pPr>
              <w:pStyle w:val="14"/>
              <w:spacing w:before="91"/>
              <w:ind w:left="222"/>
              <w:rPr>
                <w:rFonts w:ascii="Times New Roman"/>
                <w:sz w:val="21"/>
              </w:rPr>
            </w:pPr>
            <w:r>
              <w:rPr>
                <w:rFonts w:ascii="Times New Roman"/>
                <w:w w:val="99"/>
                <w:sz w:val="21"/>
              </w:rPr>
              <w:t>0</w:t>
            </w:r>
          </w:p>
        </w:tc>
      </w:tr>
      <w:tr w14:paraId="32D77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1C345AA">
            <w:pPr>
              <w:rPr>
                <w:sz w:val="2"/>
                <w:szCs w:val="2"/>
              </w:rPr>
            </w:pPr>
          </w:p>
        </w:tc>
        <w:tc>
          <w:tcPr>
            <w:tcW w:w="1027" w:type="dxa"/>
          </w:tcPr>
          <w:p w14:paraId="78867192">
            <w:pPr>
              <w:pStyle w:val="14"/>
              <w:spacing w:before="98"/>
              <w:ind w:left="5"/>
              <w:jc w:val="center"/>
              <w:rPr>
                <w:sz w:val="21"/>
              </w:rPr>
            </w:pPr>
            <w:r>
              <w:rPr>
                <w:w w:val="99"/>
                <w:sz w:val="21"/>
              </w:rPr>
              <w:t>铅</w:t>
            </w:r>
          </w:p>
        </w:tc>
        <w:tc>
          <w:tcPr>
            <w:tcW w:w="1236" w:type="dxa"/>
          </w:tcPr>
          <w:p w14:paraId="0335C70C">
            <w:pPr>
              <w:pStyle w:val="14"/>
              <w:spacing w:before="90"/>
              <w:ind w:left="215" w:right="209"/>
              <w:jc w:val="center"/>
              <w:rPr>
                <w:rFonts w:ascii="Times New Roman"/>
                <w:sz w:val="21"/>
              </w:rPr>
            </w:pPr>
            <w:r>
              <w:rPr>
                <w:rFonts w:ascii="Times New Roman"/>
                <w:sz w:val="21"/>
              </w:rPr>
              <w:t>mg/L</w:t>
            </w:r>
          </w:p>
        </w:tc>
        <w:tc>
          <w:tcPr>
            <w:tcW w:w="1331" w:type="dxa"/>
          </w:tcPr>
          <w:p w14:paraId="52623AD3">
            <w:pPr>
              <w:pStyle w:val="14"/>
              <w:spacing w:before="112"/>
              <w:ind w:left="138" w:right="128"/>
              <w:jc w:val="center"/>
              <w:rPr>
                <w:rFonts w:ascii="Times New Roman"/>
                <w:sz w:val="21"/>
              </w:rPr>
            </w:pPr>
            <w:r>
              <w:rPr>
                <w:rFonts w:ascii="Times New Roman"/>
                <w:sz w:val="21"/>
              </w:rPr>
              <w:t>0.01</w:t>
            </w:r>
          </w:p>
        </w:tc>
        <w:tc>
          <w:tcPr>
            <w:tcW w:w="1022" w:type="dxa"/>
          </w:tcPr>
          <w:p w14:paraId="594061CE">
            <w:pPr>
              <w:pStyle w:val="14"/>
              <w:spacing w:before="112"/>
              <w:ind w:left="170" w:right="165"/>
              <w:jc w:val="center"/>
              <w:rPr>
                <w:rFonts w:ascii="Times New Roman"/>
                <w:sz w:val="21"/>
              </w:rPr>
            </w:pPr>
            <w:r>
              <w:rPr>
                <w:rFonts w:ascii="Times New Roman"/>
                <w:sz w:val="21"/>
              </w:rPr>
              <w:t>ND</w:t>
            </w:r>
          </w:p>
        </w:tc>
        <w:tc>
          <w:tcPr>
            <w:tcW w:w="993" w:type="dxa"/>
          </w:tcPr>
          <w:p w14:paraId="36F8E701">
            <w:pPr>
              <w:pStyle w:val="14"/>
              <w:spacing w:before="112"/>
              <w:ind w:left="156" w:right="150"/>
              <w:jc w:val="center"/>
              <w:rPr>
                <w:rFonts w:ascii="Times New Roman"/>
                <w:sz w:val="21"/>
              </w:rPr>
            </w:pPr>
            <w:r>
              <w:rPr>
                <w:rFonts w:ascii="Times New Roman"/>
                <w:sz w:val="21"/>
              </w:rPr>
              <w:t>ND</w:t>
            </w:r>
          </w:p>
        </w:tc>
        <w:tc>
          <w:tcPr>
            <w:tcW w:w="933" w:type="dxa"/>
          </w:tcPr>
          <w:p w14:paraId="01F97118">
            <w:pPr>
              <w:pStyle w:val="14"/>
              <w:spacing w:before="112"/>
              <w:ind w:left="23" w:right="13"/>
              <w:jc w:val="center"/>
              <w:rPr>
                <w:rFonts w:ascii="Times New Roman"/>
                <w:sz w:val="21"/>
              </w:rPr>
            </w:pPr>
            <w:r>
              <w:rPr>
                <w:rFonts w:ascii="Times New Roman"/>
                <w:sz w:val="21"/>
              </w:rPr>
              <w:t>ND</w:t>
            </w:r>
          </w:p>
        </w:tc>
        <w:tc>
          <w:tcPr>
            <w:tcW w:w="274" w:type="dxa"/>
          </w:tcPr>
          <w:p w14:paraId="2C12D848">
            <w:pPr>
              <w:pStyle w:val="14"/>
              <w:spacing w:before="90"/>
              <w:ind w:left="83"/>
              <w:rPr>
                <w:rFonts w:ascii="Times New Roman"/>
                <w:sz w:val="21"/>
              </w:rPr>
            </w:pPr>
            <w:r>
              <w:rPr>
                <w:rFonts w:ascii="Times New Roman"/>
                <w:w w:val="99"/>
                <w:sz w:val="21"/>
              </w:rPr>
              <w:t>0</w:t>
            </w:r>
          </w:p>
        </w:tc>
        <w:tc>
          <w:tcPr>
            <w:tcW w:w="551" w:type="dxa"/>
          </w:tcPr>
          <w:p w14:paraId="339D2337">
            <w:pPr>
              <w:pStyle w:val="14"/>
              <w:spacing w:before="90"/>
              <w:ind w:left="222"/>
              <w:rPr>
                <w:rFonts w:ascii="Times New Roman"/>
                <w:sz w:val="21"/>
              </w:rPr>
            </w:pPr>
            <w:r>
              <w:rPr>
                <w:rFonts w:ascii="Times New Roman"/>
                <w:w w:val="99"/>
                <w:sz w:val="21"/>
              </w:rPr>
              <w:t>0</w:t>
            </w:r>
          </w:p>
        </w:tc>
      </w:tr>
      <w:tr w14:paraId="61B06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5FC3321">
            <w:pPr>
              <w:rPr>
                <w:sz w:val="2"/>
                <w:szCs w:val="2"/>
              </w:rPr>
            </w:pPr>
          </w:p>
        </w:tc>
        <w:tc>
          <w:tcPr>
            <w:tcW w:w="1027" w:type="dxa"/>
          </w:tcPr>
          <w:p w14:paraId="70C0F328">
            <w:pPr>
              <w:pStyle w:val="14"/>
              <w:spacing w:before="92"/>
              <w:ind w:left="71" w:right="63"/>
              <w:jc w:val="center"/>
              <w:rPr>
                <w:sz w:val="21"/>
              </w:rPr>
            </w:pPr>
            <w:r>
              <w:rPr>
                <w:sz w:val="21"/>
              </w:rPr>
              <w:t>六价铬</w:t>
            </w:r>
          </w:p>
        </w:tc>
        <w:tc>
          <w:tcPr>
            <w:tcW w:w="1236" w:type="dxa"/>
          </w:tcPr>
          <w:p w14:paraId="216362D6">
            <w:pPr>
              <w:pStyle w:val="14"/>
              <w:spacing w:before="92"/>
              <w:ind w:left="215" w:right="209"/>
              <w:jc w:val="center"/>
              <w:rPr>
                <w:rFonts w:ascii="Times New Roman"/>
                <w:sz w:val="21"/>
              </w:rPr>
            </w:pPr>
            <w:r>
              <w:rPr>
                <w:rFonts w:ascii="Times New Roman"/>
                <w:sz w:val="21"/>
              </w:rPr>
              <w:t>mg/L</w:t>
            </w:r>
          </w:p>
        </w:tc>
        <w:tc>
          <w:tcPr>
            <w:tcW w:w="1331" w:type="dxa"/>
          </w:tcPr>
          <w:p w14:paraId="450F7431">
            <w:pPr>
              <w:pStyle w:val="14"/>
              <w:spacing w:before="111"/>
              <w:ind w:left="138" w:right="128"/>
              <w:jc w:val="center"/>
              <w:rPr>
                <w:rFonts w:ascii="Times New Roman"/>
                <w:sz w:val="21"/>
              </w:rPr>
            </w:pPr>
            <w:r>
              <w:rPr>
                <w:rFonts w:ascii="Times New Roman"/>
                <w:sz w:val="21"/>
              </w:rPr>
              <w:t>0.05</w:t>
            </w:r>
          </w:p>
        </w:tc>
        <w:tc>
          <w:tcPr>
            <w:tcW w:w="1022" w:type="dxa"/>
          </w:tcPr>
          <w:p w14:paraId="7BD6CB45">
            <w:pPr>
              <w:pStyle w:val="14"/>
              <w:spacing w:before="111"/>
              <w:ind w:left="170" w:right="165"/>
              <w:jc w:val="center"/>
              <w:rPr>
                <w:rFonts w:ascii="Times New Roman"/>
                <w:sz w:val="21"/>
              </w:rPr>
            </w:pPr>
            <w:r>
              <w:rPr>
                <w:rFonts w:ascii="Times New Roman"/>
                <w:sz w:val="21"/>
              </w:rPr>
              <w:t>ND</w:t>
            </w:r>
          </w:p>
        </w:tc>
        <w:tc>
          <w:tcPr>
            <w:tcW w:w="993" w:type="dxa"/>
          </w:tcPr>
          <w:p w14:paraId="5FC51DF2">
            <w:pPr>
              <w:pStyle w:val="14"/>
              <w:spacing w:before="111"/>
              <w:ind w:left="156" w:right="150"/>
              <w:jc w:val="center"/>
              <w:rPr>
                <w:rFonts w:ascii="Times New Roman"/>
                <w:sz w:val="21"/>
              </w:rPr>
            </w:pPr>
            <w:r>
              <w:rPr>
                <w:rFonts w:ascii="Times New Roman"/>
                <w:sz w:val="21"/>
              </w:rPr>
              <w:t>ND</w:t>
            </w:r>
          </w:p>
        </w:tc>
        <w:tc>
          <w:tcPr>
            <w:tcW w:w="933" w:type="dxa"/>
          </w:tcPr>
          <w:p w14:paraId="0BCE200B">
            <w:pPr>
              <w:pStyle w:val="14"/>
              <w:spacing w:before="111"/>
              <w:ind w:left="23" w:right="13"/>
              <w:jc w:val="center"/>
              <w:rPr>
                <w:rFonts w:ascii="Times New Roman"/>
                <w:sz w:val="21"/>
              </w:rPr>
            </w:pPr>
            <w:r>
              <w:rPr>
                <w:rFonts w:ascii="Times New Roman"/>
                <w:sz w:val="21"/>
              </w:rPr>
              <w:t>ND</w:t>
            </w:r>
          </w:p>
        </w:tc>
        <w:tc>
          <w:tcPr>
            <w:tcW w:w="274" w:type="dxa"/>
          </w:tcPr>
          <w:p w14:paraId="2CED099E">
            <w:pPr>
              <w:pStyle w:val="14"/>
              <w:spacing w:before="92"/>
              <w:ind w:left="83"/>
              <w:rPr>
                <w:rFonts w:ascii="Times New Roman"/>
                <w:sz w:val="21"/>
              </w:rPr>
            </w:pPr>
            <w:r>
              <w:rPr>
                <w:rFonts w:ascii="Times New Roman"/>
                <w:w w:val="99"/>
                <w:sz w:val="21"/>
              </w:rPr>
              <w:t>0</w:t>
            </w:r>
          </w:p>
        </w:tc>
        <w:tc>
          <w:tcPr>
            <w:tcW w:w="551" w:type="dxa"/>
          </w:tcPr>
          <w:p w14:paraId="2063A37D">
            <w:pPr>
              <w:pStyle w:val="14"/>
              <w:spacing w:before="92"/>
              <w:ind w:left="222"/>
              <w:rPr>
                <w:rFonts w:ascii="Times New Roman"/>
                <w:sz w:val="21"/>
              </w:rPr>
            </w:pPr>
            <w:r>
              <w:rPr>
                <w:rFonts w:ascii="Times New Roman"/>
                <w:w w:val="99"/>
                <w:sz w:val="21"/>
              </w:rPr>
              <w:t>0</w:t>
            </w:r>
          </w:p>
        </w:tc>
      </w:tr>
      <w:tr w14:paraId="2D989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C9657E2">
            <w:pPr>
              <w:rPr>
                <w:sz w:val="2"/>
                <w:szCs w:val="2"/>
              </w:rPr>
            </w:pPr>
          </w:p>
        </w:tc>
        <w:tc>
          <w:tcPr>
            <w:tcW w:w="1027" w:type="dxa"/>
          </w:tcPr>
          <w:p w14:paraId="63B3CC0D">
            <w:pPr>
              <w:pStyle w:val="14"/>
              <w:spacing w:before="92"/>
              <w:ind w:left="5"/>
              <w:jc w:val="center"/>
              <w:rPr>
                <w:sz w:val="21"/>
              </w:rPr>
            </w:pPr>
            <w:r>
              <w:rPr>
                <w:w w:val="99"/>
                <w:sz w:val="21"/>
              </w:rPr>
              <w:t>镉</w:t>
            </w:r>
          </w:p>
        </w:tc>
        <w:tc>
          <w:tcPr>
            <w:tcW w:w="1236" w:type="dxa"/>
          </w:tcPr>
          <w:p w14:paraId="69B11E9B">
            <w:pPr>
              <w:pStyle w:val="14"/>
              <w:spacing w:before="91"/>
              <w:ind w:left="215" w:right="209"/>
              <w:jc w:val="center"/>
              <w:rPr>
                <w:rFonts w:ascii="Times New Roman"/>
                <w:sz w:val="21"/>
              </w:rPr>
            </w:pPr>
            <w:r>
              <w:rPr>
                <w:rFonts w:ascii="Times New Roman"/>
                <w:sz w:val="21"/>
              </w:rPr>
              <w:t>mg/L</w:t>
            </w:r>
          </w:p>
        </w:tc>
        <w:tc>
          <w:tcPr>
            <w:tcW w:w="1331" w:type="dxa"/>
          </w:tcPr>
          <w:p w14:paraId="641ECF7A">
            <w:pPr>
              <w:pStyle w:val="14"/>
              <w:spacing w:before="113"/>
              <w:ind w:left="138" w:right="128"/>
              <w:jc w:val="center"/>
              <w:rPr>
                <w:rFonts w:ascii="Times New Roman"/>
                <w:sz w:val="21"/>
              </w:rPr>
            </w:pPr>
            <w:r>
              <w:rPr>
                <w:rFonts w:ascii="Times New Roman"/>
                <w:sz w:val="21"/>
              </w:rPr>
              <w:t>0.005</w:t>
            </w:r>
          </w:p>
        </w:tc>
        <w:tc>
          <w:tcPr>
            <w:tcW w:w="1022" w:type="dxa"/>
          </w:tcPr>
          <w:p w14:paraId="485F256B">
            <w:pPr>
              <w:pStyle w:val="14"/>
              <w:spacing w:before="113"/>
              <w:ind w:left="170" w:right="165"/>
              <w:jc w:val="center"/>
              <w:rPr>
                <w:rFonts w:ascii="Times New Roman"/>
                <w:sz w:val="21"/>
              </w:rPr>
            </w:pPr>
            <w:r>
              <w:rPr>
                <w:rFonts w:ascii="Times New Roman"/>
                <w:sz w:val="21"/>
              </w:rPr>
              <w:t>ND</w:t>
            </w:r>
          </w:p>
        </w:tc>
        <w:tc>
          <w:tcPr>
            <w:tcW w:w="993" w:type="dxa"/>
          </w:tcPr>
          <w:p w14:paraId="72338FEA">
            <w:pPr>
              <w:pStyle w:val="14"/>
              <w:spacing w:before="113"/>
              <w:ind w:left="156" w:right="150"/>
              <w:jc w:val="center"/>
              <w:rPr>
                <w:rFonts w:ascii="Times New Roman"/>
                <w:sz w:val="21"/>
              </w:rPr>
            </w:pPr>
            <w:r>
              <w:rPr>
                <w:rFonts w:ascii="Times New Roman"/>
                <w:sz w:val="21"/>
              </w:rPr>
              <w:t>ND</w:t>
            </w:r>
          </w:p>
        </w:tc>
        <w:tc>
          <w:tcPr>
            <w:tcW w:w="933" w:type="dxa"/>
          </w:tcPr>
          <w:p w14:paraId="50DEE978">
            <w:pPr>
              <w:pStyle w:val="14"/>
              <w:spacing w:before="113"/>
              <w:ind w:left="23" w:right="13"/>
              <w:jc w:val="center"/>
              <w:rPr>
                <w:rFonts w:ascii="Times New Roman"/>
                <w:sz w:val="21"/>
              </w:rPr>
            </w:pPr>
            <w:r>
              <w:rPr>
                <w:rFonts w:ascii="Times New Roman"/>
                <w:sz w:val="21"/>
              </w:rPr>
              <w:t>ND</w:t>
            </w:r>
          </w:p>
        </w:tc>
        <w:tc>
          <w:tcPr>
            <w:tcW w:w="274" w:type="dxa"/>
          </w:tcPr>
          <w:p w14:paraId="1BF9259A">
            <w:pPr>
              <w:pStyle w:val="14"/>
              <w:spacing w:before="91"/>
              <w:ind w:left="83"/>
              <w:rPr>
                <w:rFonts w:ascii="Times New Roman"/>
                <w:sz w:val="21"/>
              </w:rPr>
            </w:pPr>
            <w:r>
              <w:rPr>
                <w:rFonts w:ascii="Times New Roman"/>
                <w:w w:val="99"/>
                <w:sz w:val="21"/>
              </w:rPr>
              <w:t>0</w:t>
            </w:r>
          </w:p>
        </w:tc>
        <w:tc>
          <w:tcPr>
            <w:tcW w:w="551" w:type="dxa"/>
          </w:tcPr>
          <w:p w14:paraId="4B6DA384">
            <w:pPr>
              <w:pStyle w:val="14"/>
              <w:spacing w:before="91"/>
              <w:ind w:left="222"/>
              <w:rPr>
                <w:rFonts w:ascii="Times New Roman"/>
                <w:sz w:val="21"/>
              </w:rPr>
            </w:pPr>
            <w:r>
              <w:rPr>
                <w:rFonts w:ascii="Times New Roman"/>
                <w:w w:val="99"/>
                <w:sz w:val="21"/>
              </w:rPr>
              <w:t>0</w:t>
            </w:r>
          </w:p>
        </w:tc>
      </w:tr>
      <w:tr w14:paraId="52B1E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BE6FB9A">
            <w:pPr>
              <w:rPr>
                <w:sz w:val="2"/>
                <w:szCs w:val="2"/>
              </w:rPr>
            </w:pPr>
          </w:p>
        </w:tc>
        <w:tc>
          <w:tcPr>
            <w:tcW w:w="1027" w:type="dxa"/>
          </w:tcPr>
          <w:p w14:paraId="175663BD">
            <w:pPr>
              <w:pStyle w:val="14"/>
              <w:spacing w:before="77"/>
              <w:ind w:left="5"/>
              <w:jc w:val="center"/>
              <w:rPr>
                <w:sz w:val="21"/>
              </w:rPr>
            </w:pPr>
            <w:r>
              <w:rPr>
                <w:w w:val="99"/>
                <w:sz w:val="21"/>
              </w:rPr>
              <w:t>铁</w:t>
            </w:r>
          </w:p>
        </w:tc>
        <w:tc>
          <w:tcPr>
            <w:tcW w:w="1236" w:type="dxa"/>
          </w:tcPr>
          <w:p w14:paraId="2D1796CF">
            <w:pPr>
              <w:pStyle w:val="14"/>
              <w:spacing w:before="91"/>
              <w:ind w:left="215" w:right="209"/>
              <w:jc w:val="center"/>
              <w:rPr>
                <w:rFonts w:ascii="Times New Roman"/>
                <w:sz w:val="21"/>
              </w:rPr>
            </w:pPr>
            <w:r>
              <w:rPr>
                <w:rFonts w:ascii="Times New Roman"/>
                <w:sz w:val="21"/>
              </w:rPr>
              <w:t>mg/L</w:t>
            </w:r>
          </w:p>
        </w:tc>
        <w:tc>
          <w:tcPr>
            <w:tcW w:w="1331" w:type="dxa"/>
          </w:tcPr>
          <w:p w14:paraId="79303580">
            <w:pPr>
              <w:pStyle w:val="14"/>
              <w:spacing w:before="112"/>
              <w:ind w:left="138" w:right="128"/>
              <w:jc w:val="center"/>
              <w:rPr>
                <w:rFonts w:ascii="Times New Roman"/>
                <w:sz w:val="21"/>
              </w:rPr>
            </w:pPr>
            <w:r>
              <w:rPr>
                <w:rFonts w:ascii="Times New Roman"/>
                <w:sz w:val="21"/>
              </w:rPr>
              <w:t>0.3</w:t>
            </w:r>
          </w:p>
        </w:tc>
        <w:tc>
          <w:tcPr>
            <w:tcW w:w="1022" w:type="dxa"/>
          </w:tcPr>
          <w:p w14:paraId="5D117063">
            <w:pPr>
              <w:pStyle w:val="14"/>
              <w:spacing w:before="112"/>
              <w:ind w:left="170" w:right="165"/>
              <w:jc w:val="center"/>
              <w:rPr>
                <w:rFonts w:ascii="Times New Roman"/>
                <w:sz w:val="21"/>
              </w:rPr>
            </w:pPr>
            <w:r>
              <w:rPr>
                <w:rFonts w:ascii="Times New Roman"/>
                <w:sz w:val="21"/>
              </w:rPr>
              <w:t>ND</w:t>
            </w:r>
          </w:p>
        </w:tc>
        <w:tc>
          <w:tcPr>
            <w:tcW w:w="993" w:type="dxa"/>
          </w:tcPr>
          <w:p w14:paraId="003DC0CF">
            <w:pPr>
              <w:pStyle w:val="14"/>
              <w:spacing w:before="112"/>
              <w:ind w:left="156" w:right="150"/>
              <w:jc w:val="center"/>
              <w:rPr>
                <w:rFonts w:ascii="Times New Roman"/>
                <w:sz w:val="21"/>
              </w:rPr>
            </w:pPr>
            <w:r>
              <w:rPr>
                <w:rFonts w:ascii="Times New Roman"/>
                <w:sz w:val="21"/>
              </w:rPr>
              <w:t>ND</w:t>
            </w:r>
          </w:p>
        </w:tc>
        <w:tc>
          <w:tcPr>
            <w:tcW w:w="933" w:type="dxa"/>
          </w:tcPr>
          <w:p w14:paraId="76973F31">
            <w:pPr>
              <w:pStyle w:val="14"/>
              <w:spacing w:before="112"/>
              <w:ind w:left="23" w:right="13"/>
              <w:jc w:val="center"/>
              <w:rPr>
                <w:rFonts w:ascii="Times New Roman"/>
                <w:sz w:val="21"/>
              </w:rPr>
            </w:pPr>
            <w:r>
              <w:rPr>
                <w:rFonts w:ascii="Times New Roman"/>
                <w:sz w:val="21"/>
              </w:rPr>
              <w:t>ND</w:t>
            </w:r>
          </w:p>
        </w:tc>
        <w:tc>
          <w:tcPr>
            <w:tcW w:w="274" w:type="dxa"/>
          </w:tcPr>
          <w:p w14:paraId="6A046871">
            <w:pPr>
              <w:pStyle w:val="14"/>
              <w:spacing w:before="91"/>
              <w:ind w:left="83"/>
              <w:rPr>
                <w:rFonts w:ascii="Times New Roman"/>
                <w:sz w:val="21"/>
              </w:rPr>
            </w:pPr>
            <w:r>
              <w:rPr>
                <w:rFonts w:ascii="Times New Roman"/>
                <w:w w:val="99"/>
                <w:sz w:val="21"/>
              </w:rPr>
              <w:t>0</w:t>
            </w:r>
          </w:p>
        </w:tc>
        <w:tc>
          <w:tcPr>
            <w:tcW w:w="551" w:type="dxa"/>
          </w:tcPr>
          <w:p w14:paraId="505F18BD">
            <w:pPr>
              <w:pStyle w:val="14"/>
              <w:spacing w:before="91"/>
              <w:ind w:left="222"/>
              <w:rPr>
                <w:rFonts w:ascii="Times New Roman"/>
                <w:sz w:val="21"/>
              </w:rPr>
            </w:pPr>
            <w:r>
              <w:rPr>
                <w:rFonts w:ascii="Times New Roman"/>
                <w:w w:val="99"/>
                <w:sz w:val="21"/>
              </w:rPr>
              <w:t>0</w:t>
            </w:r>
          </w:p>
        </w:tc>
      </w:tr>
      <w:tr w14:paraId="1C149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1C9DAE35">
            <w:pPr>
              <w:rPr>
                <w:sz w:val="2"/>
                <w:szCs w:val="2"/>
              </w:rPr>
            </w:pPr>
          </w:p>
        </w:tc>
        <w:tc>
          <w:tcPr>
            <w:tcW w:w="1027" w:type="dxa"/>
          </w:tcPr>
          <w:p w14:paraId="605DAFDF">
            <w:pPr>
              <w:pStyle w:val="14"/>
              <w:spacing w:before="76"/>
              <w:ind w:left="5"/>
              <w:jc w:val="center"/>
              <w:rPr>
                <w:sz w:val="21"/>
              </w:rPr>
            </w:pPr>
            <w:r>
              <w:rPr>
                <w:w w:val="99"/>
                <w:sz w:val="21"/>
              </w:rPr>
              <w:t>锰</w:t>
            </w:r>
          </w:p>
        </w:tc>
        <w:tc>
          <w:tcPr>
            <w:tcW w:w="1236" w:type="dxa"/>
          </w:tcPr>
          <w:p w14:paraId="7F3481CD">
            <w:pPr>
              <w:pStyle w:val="14"/>
              <w:spacing w:before="90"/>
              <w:ind w:left="215" w:right="209"/>
              <w:jc w:val="center"/>
              <w:rPr>
                <w:rFonts w:ascii="Times New Roman"/>
                <w:sz w:val="21"/>
              </w:rPr>
            </w:pPr>
            <w:r>
              <w:rPr>
                <w:rFonts w:ascii="Times New Roman"/>
                <w:sz w:val="21"/>
              </w:rPr>
              <w:t>mg/L</w:t>
            </w:r>
          </w:p>
        </w:tc>
        <w:tc>
          <w:tcPr>
            <w:tcW w:w="1331" w:type="dxa"/>
          </w:tcPr>
          <w:p w14:paraId="36EFDB74">
            <w:pPr>
              <w:pStyle w:val="14"/>
              <w:spacing w:before="112"/>
              <w:ind w:left="138" w:right="128"/>
              <w:jc w:val="center"/>
              <w:rPr>
                <w:rFonts w:ascii="Times New Roman"/>
                <w:sz w:val="21"/>
              </w:rPr>
            </w:pPr>
            <w:r>
              <w:rPr>
                <w:rFonts w:ascii="Times New Roman"/>
                <w:sz w:val="21"/>
              </w:rPr>
              <w:t>0.10</w:t>
            </w:r>
          </w:p>
        </w:tc>
        <w:tc>
          <w:tcPr>
            <w:tcW w:w="1022" w:type="dxa"/>
          </w:tcPr>
          <w:p w14:paraId="5A3FA378">
            <w:pPr>
              <w:pStyle w:val="14"/>
              <w:spacing w:before="112"/>
              <w:ind w:left="170" w:right="165"/>
              <w:jc w:val="center"/>
              <w:rPr>
                <w:rFonts w:ascii="Times New Roman"/>
                <w:sz w:val="21"/>
              </w:rPr>
            </w:pPr>
            <w:r>
              <w:rPr>
                <w:rFonts w:ascii="Times New Roman"/>
                <w:sz w:val="21"/>
              </w:rPr>
              <w:t>ND</w:t>
            </w:r>
          </w:p>
        </w:tc>
        <w:tc>
          <w:tcPr>
            <w:tcW w:w="993" w:type="dxa"/>
          </w:tcPr>
          <w:p w14:paraId="10C28093">
            <w:pPr>
              <w:pStyle w:val="14"/>
              <w:spacing w:before="112"/>
              <w:ind w:left="156" w:right="150"/>
              <w:jc w:val="center"/>
              <w:rPr>
                <w:rFonts w:ascii="Times New Roman"/>
                <w:sz w:val="21"/>
              </w:rPr>
            </w:pPr>
            <w:r>
              <w:rPr>
                <w:rFonts w:ascii="Times New Roman"/>
                <w:sz w:val="21"/>
              </w:rPr>
              <w:t>ND</w:t>
            </w:r>
          </w:p>
        </w:tc>
        <w:tc>
          <w:tcPr>
            <w:tcW w:w="933" w:type="dxa"/>
          </w:tcPr>
          <w:p w14:paraId="4BE1B1A3">
            <w:pPr>
              <w:pStyle w:val="14"/>
              <w:spacing w:before="112"/>
              <w:ind w:left="23" w:right="13"/>
              <w:jc w:val="center"/>
              <w:rPr>
                <w:rFonts w:ascii="Times New Roman"/>
                <w:sz w:val="21"/>
              </w:rPr>
            </w:pPr>
            <w:r>
              <w:rPr>
                <w:rFonts w:ascii="Times New Roman"/>
                <w:sz w:val="21"/>
              </w:rPr>
              <w:t>ND</w:t>
            </w:r>
          </w:p>
        </w:tc>
        <w:tc>
          <w:tcPr>
            <w:tcW w:w="274" w:type="dxa"/>
          </w:tcPr>
          <w:p w14:paraId="74BB2769">
            <w:pPr>
              <w:pStyle w:val="14"/>
              <w:spacing w:before="90"/>
              <w:ind w:left="83"/>
              <w:rPr>
                <w:rFonts w:ascii="Times New Roman"/>
                <w:sz w:val="21"/>
              </w:rPr>
            </w:pPr>
            <w:r>
              <w:rPr>
                <w:rFonts w:ascii="Times New Roman"/>
                <w:w w:val="99"/>
                <w:sz w:val="21"/>
              </w:rPr>
              <w:t>0</w:t>
            </w:r>
          </w:p>
        </w:tc>
        <w:tc>
          <w:tcPr>
            <w:tcW w:w="551" w:type="dxa"/>
          </w:tcPr>
          <w:p w14:paraId="44D66697">
            <w:pPr>
              <w:pStyle w:val="14"/>
              <w:spacing w:before="90"/>
              <w:ind w:left="222"/>
              <w:rPr>
                <w:rFonts w:ascii="Times New Roman"/>
                <w:sz w:val="21"/>
              </w:rPr>
            </w:pPr>
            <w:r>
              <w:rPr>
                <w:rFonts w:ascii="Times New Roman"/>
                <w:w w:val="99"/>
                <w:sz w:val="21"/>
              </w:rPr>
              <w:t>0</w:t>
            </w:r>
          </w:p>
        </w:tc>
      </w:tr>
      <w:tr w14:paraId="3CFA3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49" w:type="dxa"/>
            <w:vMerge w:val="continue"/>
            <w:tcBorders>
              <w:top w:val="nil"/>
            </w:tcBorders>
          </w:tcPr>
          <w:p w14:paraId="686AC9C9">
            <w:pPr>
              <w:rPr>
                <w:sz w:val="2"/>
                <w:szCs w:val="2"/>
              </w:rPr>
            </w:pPr>
          </w:p>
        </w:tc>
        <w:tc>
          <w:tcPr>
            <w:tcW w:w="1027" w:type="dxa"/>
          </w:tcPr>
          <w:p w14:paraId="237A351B">
            <w:pPr>
              <w:pStyle w:val="14"/>
              <w:spacing w:line="300" w:lineRule="exact"/>
              <w:ind w:left="406" w:right="84" w:hanging="315"/>
              <w:rPr>
                <w:sz w:val="21"/>
              </w:rPr>
            </w:pPr>
            <w:r>
              <w:rPr>
                <w:w w:val="95"/>
                <w:sz w:val="21"/>
              </w:rPr>
              <w:t>总大肠菌</w:t>
            </w:r>
            <w:r>
              <w:rPr>
                <w:sz w:val="21"/>
              </w:rPr>
              <w:t>群</w:t>
            </w:r>
          </w:p>
        </w:tc>
        <w:tc>
          <w:tcPr>
            <w:tcW w:w="1236" w:type="dxa"/>
          </w:tcPr>
          <w:p w14:paraId="46DDA17E">
            <w:pPr>
              <w:pStyle w:val="14"/>
              <w:spacing w:before="178"/>
              <w:ind w:left="3" w:right="-15"/>
              <w:jc w:val="center"/>
              <w:rPr>
                <w:rFonts w:ascii="Times New Roman"/>
                <w:sz w:val="21"/>
              </w:rPr>
            </w:pPr>
            <w:r>
              <w:rPr>
                <w:rFonts w:ascii="Times New Roman"/>
                <w:sz w:val="21"/>
              </w:rPr>
              <w:t>MPNb/100mL</w:t>
            </w:r>
          </w:p>
        </w:tc>
        <w:tc>
          <w:tcPr>
            <w:tcW w:w="1331" w:type="dxa"/>
          </w:tcPr>
          <w:p w14:paraId="624C79CD">
            <w:pPr>
              <w:pStyle w:val="14"/>
              <w:spacing w:before="4"/>
              <w:rPr>
                <w:rFonts w:ascii="Times New Roman"/>
                <w:sz w:val="17"/>
              </w:rPr>
            </w:pPr>
          </w:p>
          <w:p w14:paraId="7885AC60">
            <w:pPr>
              <w:pStyle w:val="14"/>
              <w:ind w:left="138" w:right="128"/>
              <w:jc w:val="center"/>
              <w:rPr>
                <w:rFonts w:ascii="Times New Roman"/>
                <w:sz w:val="21"/>
              </w:rPr>
            </w:pPr>
            <w:r>
              <w:rPr>
                <w:rFonts w:ascii="Times New Roman"/>
                <w:sz w:val="21"/>
              </w:rPr>
              <w:t>3.0</w:t>
            </w:r>
          </w:p>
        </w:tc>
        <w:tc>
          <w:tcPr>
            <w:tcW w:w="1022" w:type="dxa"/>
          </w:tcPr>
          <w:p w14:paraId="54F1FA86">
            <w:pPr>
              <w:pStyle w:val="14"/>
              <w:spacing w:before="186"/>
              <w:ind w:left="172" w:right="165"/>
              <w:jc w:val="center"/>
              <w:rPr>
                <w:rFonts w:ascii="Times New Roman" w:eastAsia="Times New Roman"/>
                <w:sz w:val="21"/>
              </w:rPr>
            </w:pPr>
            <w:r>
              <w:rPr>
                <w:sz w:val="21"/>
              </w:rPr>
              <w:t>＜</w:t>
            </w:r>
            <w:r>
              <w:rPr>
                <w:rFonts w:ascii="Times New Roman" w:eastAsia="Times New Roman"/>
                <w:sz w:val="21"/>
              </w:rPr>
              <w:t>2</w:t>
            </w:r>
          </w:p>
        </w:tc>
        <w:tc>
          <w:tcPr>
            <w:tcW w:w="993" w:type="dxa"/>
          </w:tcPr>
          <w:p w14:paraId="2F79D560">
            <w:pPr>
              <w:pStyle w:val="14"/>
              <w:spacing w:before="186"/>
              <w:ind w:left="158" w:right="150"/>
              <w:jc w:val="center"/>
              <w:rPr>
                <w:rFonts w:ascii="Times New Roman" w:eastAsia="Times New Roman"/>
                <w:sz w:val="21"/>
              </w:rPr>
            </w:pPr>
            <w:r>
              <w:rPr>
                <w:sz w:val="21"/>
              </w:rPr>
              <w:t>＜</w:t>
            </w:r>
            <w:r>
              <w:rPr>
                <w:rFonts w:ascii="Times New Roman" w:eastAsia="Times New Roman"/>
                <w:sz w:val="21"/>
              </w:rPr>
              <w:t>2</w:t>
            </w:r>
          </w:p>
        </w:tc>
        <w:tc>
          <w:tcPr>
            <w:tcW w:w="933" w:type="dxa"/>
          </w:tcPr>
          <w:p w14:paraId="21566564">
            <w:pPr>
              <w:pStyle w:val="14"/>
              <w:spacing w:before="186"/>
              <w:ind w:left="23" w:right="14"/>
              <w:jc w:val="center"/>
              <w:rPr>
                <w:rFonts w:ascii="Times New Roman" w:eastAsia="Times New Roman"/>
                <w:sz w:val="21"/>
              </w:rPr>
            </w:pPr>
            <w:r>
              <w:rPr>
                <w:sz w:val="21"/>
              </w:rPr>
              <w:t>＜</w:t>
            </w:r>
            <w:r>
              <w:rPr>
                <w:rFonts w:ascii="Times New Roman" w:eastAsia="Times New Roman"/>
                <w:sz w:val="21"/>
              </w:rPr>
              <w:t>2</w:t>
            </w:r>
          </w:p>
        </w:tc>
        <w:tc>
          <w:tcPr>
            <w:tcW w:w="274" w:type="dxa"/>
          </w:tcPr>
          <w:p w14:paraId="1E0762C6">
            <w:pPr>
              <w:pStyle w:val="14"/>
              <w:spacing w:before="178"/>
              <w:ind w:left="83"/>
              <w:rPr>
                <w:rFonts w:ascii="Times New Roman"/>
                <w:sz w:val="21"/>
              </w:rPr>
            </w:pPr>
            <w:r>
              <w:rPr>
                <w:rFonts w:ascii="Times New Roman"/>
                <w:w w:val="99"/>
                <w:sz w:val="21"/>
              </w:rPr>
              <w:t>0</w:t>
            </w:r>
          </w:p>
        </w:tc>
        <w:tc>
          <w:tcPr>
            <w:tcW w:w="551" w:type="dxa"/>
          </w:tcPr>
          <w:p w14:paraId="0AECDFFD">
            <w:pPr>
              <w:pStyle w:val="14"/>
              <w:spacing w:before="178"/>
              <w:ind w:left="222"/>
              <w:rPr>
                <w:rFonts w:ascii="Times New Roman"/>
                <w:sz w:val="21"/>
              </w:rPr>
            </w:pPr>
            <w:r>
              <w:rPr>
                <w:rFonts w:ascii="Times New Roman"/>
                <w:w w:val="99"/>
                <w:sz w:val="21"/>
              </w:rPr>
              <w:t>0</w:t>
            </w:r>
          </w:p>
        </w:tc>
      </w:tr>
      <w:tr w14:paraId="3603B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4781C82">
            <w:pPr>
              <w:rPr>
                <w:sz w:val="2"/>
                <w:szCs w:val="2"/>
              </w:rPr>
            </w:pPr>
          </w:p>
        </w:tc>
        <w:tc>
          <w:tcPr>
            <w:tcW w:w="1027" w:type="dxa"/>
          </w:tcPr>
          <w:p w14:paraId="67E727BE">
            <w:pPr>
              <w:pStyle w:val="14"/>
              <w:spacing w:before="92"/>
              <w:ind w:left="71" w:right="63"/>
              <w:jc w:val="center"/>
              <w:rPr>
                <w:sz w:val="21"/>
              </w:rPr>
            </w:pPr>
            <w:r>
              <w:rPr>
                <w:sz w:val="21"/>
              </w:rPr>
              <w:t>总硬度</w:t>
            </w:r>
          </w:p>
        </w:tc>
        <w:tc>
          <w:tcPr>
            <w:tcW w:w="1236" w:type="dxa"/>
          </w:tcPr>
          <w:p w14:paraId="0424EA33">
            <w:pPr>
              <w:pStyle w:val="14"/>
              <w:spacing w:before="91"/>
              <w:ind w:left="215" w:right="209"/>
              <w:jc w:val="center"/>
              <w:rPr>
                <w:rFonts w:ascii="Times New Roman"/>
                <w:sz w:val="21"/>
              </w:rPr>
            </w:pPr>
            <w:r>
              <w:rPr>
                <w:rFonts w:ascii="Times New Roman"/>
                <w:sz w:val="21"/>
              </w:rPr>
              <w:t>mg/L</w:t>
            </w:r>
          </w:p>
        </w:tc>
        <w:tc>
          <w:tcPr>
            <w:tcW w:w="1331" w:type="dxa"/>
          </w:tcPr>
          <w:p w14:paraId="628AB69D">
            <w:pPr>
              <w:pStyle w:val="14"/>
              <w:spacing w:before="111"/>
              <w:ind w:left="138" w:right="128"/>
              <w:jc w:val="center"/>
              <w:rPr>
                <w:rFonts w:ascii="Times New Roman"/>
                <w:sz w:val="21"/>
              </w:rPr>
            </w:pPr>
            <w:r>
              <w:rPr>
                <w:rFonts w:ascii="Times New Roman"/>
                <w:sz w:val="21"/>
              </w:rPr>
              <w:t>450</w:t>
            </w:r>
          </w:p>
        </w:tc>
        <w:tc>
          <w:tcPr>
            <w:tcW w:w="1022" w:type="dxa"/>
          </w:tcPr>
          <w:p w14:paraId="70BBB3C5">
            <w:pPr>
              <w:pStyle w:val="14"/>
              <w:spacing w:before="111"/>
              <w:ind w:left="173" w:right="164"/>
              <w:jc w:val="center"/>
              <w:rPr>
                <w:rFonts w:ascii="Times New Roman"/>
                <w:sz w:val="21"/>
              </w:rPr>
            </w:pPr>
            <w:r>
              <w:rPr>
                <w:rFonts w:ascii="Times New Roman"/>
                <w:sz w:val="21"/>
              </w:rPr>
              <w:t>245</w:t>
            </w:r>
          </w:p>
        </w:tc>
        <w:tc>
          <w:tcPr>
            <w:tcW w:w="993" w:type="dxa"/>
          </w:tcPr>
          <w:p w14:paraId="5B7B44C3">
            <w:pPr>
              <w:pStyle w:val="14"/>
              <w:spacing w:before="111"/>
              <w:ind w:left="159" w:right="149"/>
              <w:jc w:val="center"/>
              <w:rPr>
                <w:rFonts w:ascii="Times New Roman"/>
                <w:sz w:val="21"/>
              </w:rPr>
            </w:pPr>
            <w:r>
              <w:rPr>
                <w:rFonts w:ascii="Times New Roman"/>
                <w:sz w:val="21"/>
              </w:rPr>
              <w:t>238</w:t>
            </w:r>
          </w:p>
        </w:tc>
        <w:tc>
          <w:tcPr>
            <w:tcW w:w="933" w:type="dxa"/>
          </w:tcPr>
          <w:p w14:paraId="5F441202">
            <w:pPr>
              <w:pStyle w:val="14"/>
              <w:spacing w:before="111"/>
              <w:ind w:left="23" w:right="14"/>
              <w:jc w:val="center"/>
              <w:rPr>
                <w:rFonts w:ascii="Times New Roman"/>
                <w:sz w:val="21"/>
              </w:rPr>
            </w:pPr>
            <w:r>
              <w:rPr>
                <w:rFonts w:ascii="Times New Roman"/>
                <w:sz w:val="21"/>
              </w:rPr>
              <w:t>261</w:t>
            </w:r>
          </w:p>
        </w:tc>
        <w:tc>
          <w:tcPr>
            <w:tcW w:w="274" w:type="dxa"/>
          </w:tcPr>
          <w:p w14:paraId="13DFD29B">
            <w:pPr>
              <w:pStyle w:val="14"/>
              <w:spacing w:before="91"/>
              <w:ind w:left="83"/>
              <w:rPr>
                <w:rFonts w:ascii="Times New Roman"/>
                <w:sz w:val="21"/>
              </w:rPr>
            </w:pPr>
            <w:r>
              <w:rPr>
                <w:rFonts w:ascii="Times New Roman"/>
                <w:w w:val="99"/>
                <w:sz w:val="21"/>
              </w:rPr>
              <w:t>0</w:t>
            </w:r>
          </w:p>
        </w:tc>
        <w:tc>
          <w:tcPr>
            <w:tcW w:w="551" w:type="dxa"/>
          </w:tcPr>
          <w:p w14:paraId="1D23968B">
            <w:pPr>
              <w:pStyle w:val="14"/>
              <w:spacing w:before="91"/>
              <w:ind w:left="222"/>
              <w:rPr>
                <w:rFonts w:ascii="Times New Roman"/>
                <w:sz w:val="21"/>
              </w:rPr>
            </w:pPr>
            <w:r>
              <w:rPr>
                <w:rFonts w:ascii="Times New Roman"/>
                <w:w w:val="99"/>
                <w:sz w:val="21"/>
              </w:rPr>
              <w:t>0</w:t>
            </w:r>
          </w:p>
        </w:tc>
      </w:tr>
      <w:tr w14:paraId="3A275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638C580">
            <w:pPr>
              <w:rPr>
                <w:sz w:val="2"/>
                <w:szCs w:val="2"/>
              </w:rPr>
            </w:pPr>
          </w:p>
        </w:tc>
        <w:tc>
          <w:tcPr>
            <w:tcW w:w="1027" w:type="dxa"/>
          </w:tcPr>
          <w:p w14:paraId="34CB7B87">
            <w:pPr>
              <w:pStyle w:val="14"/>
              <w:spacing w:before="77"/>
              <w:ind w:left="71" w:right="63"/>
              <w:jc w:val="center"/>
              <w:rPr>
                <w:sz w:val="21"/>
              </w:rPr>
            </w:pPr>
            <w:r>
              <w:rPr>
                <w:sz w:val="21"/>
              </w:rPr>
              <w:t>氰化物</w:t>
            </w:r>
          </w:p>
        </w:tc>
        <w:tc>
          <w:tcPr>
            <w:tcW w:w="1236" w:type="dxa"/>
          </w:tcPr>
          <w:p w14:paraId="2DEDC67A">
            <w:pPr>
              <w:pStyle w:val="14"/>
              <w:spacing w:before="91"/>
              <w:ind w:left="215" w:right="209"/>
              <w:jc w:val="center"/>
              <w:rPr>
                <w:rFonts w:ascii="Times New Roman"/>
                <w:sz w:val="21"/>
              </w:rPr>
            </w:pPr>
            <w:r>
              <w:rPr>
                <w:rFonts w:ascii="Times New Roman"/>
                <w:sz w:val="21"/>
              </w:rPr>
              <w:t>mg/L</w:t>
            </w:r>
          </w:p>
        </w:tc>
        <w:tc>
          <w:tcPr>
            <w:tcW w:w="1331" w:type="dxa"/>
          </w:tcPr>
          <w:p w14:paraId="6F8981D0">
            <w:pPr>
              <w:pStyle w:val="14"/>
              <w:spacing w:before="112"/>
              <w:ind w:left="138" w:right="128"/>
              <w:jc w:val="center"/>
              <w:rPr>
                <w:rFonts w:ascii="Times New Roman"/>
                <w:sz w:val="21"/>
              </w:rPr>
            </w:pPr>
            <w:r>
              <w:rPr>
                <w:rFonts w:ascii="Times New Roman"/>
                <w:sz w:val="21"/>
              </w:rPr>
              <w:t>0.05</w:t>
            </w:r>
          </w:p>
        </w:tc>
        <w:tc>
          <w:tcPr>
            <w:tcW w:w="1022" w:type="dxa"/>
          </w:tcPr>
          <w:p w14:paraId="654AC1D6">
            <w:pPr>
              <w:pStyle w:val="14"/>
              <w:spacing w:before="112"/>
              <w:ind w:left="170" w:right="165"/>
              <w:jc w:val="center"/>
              <w:rPr>
                <w:rFonts w:ascii="Times New Roman"/>
                <w:sz w:val="21"/>
              </w:rPr>
            </w:pPr>
            <w:r>
              <w:rPr>
                <w:rFonts w:ascii="Times New Roman"/>
                <w:sz w:val="21"/>
              </w:rPr>
              <w:t>ND</w:t>
            </w:r>
          </w:p>
        </w:tc>
        <w:tc>
          <w:tcPr>
            <w:tcW w:w="993" w:type="dxa"/>
          </w:tcPr>
          <w:p w14:paraId="36800133">
            <w:pPr>
              <w:pStyle w:val="14"/>
              <w:spacing w:before="112"/>
              <w:ind w:left="156" w:right="150"/>
              <w:jc w:val="center"/>
              <w:rPr>
                <w:rFonts w:ascii="Times New Roman"/>
                <w:sz w:val="21"/>
              </w:rPr>
            </w:pPr>
            <w:r>
              <w:rPr>
                <w:rFonts w:ascii="Times New Roman"/>
                <w:sz w:val="21"/>
              </w:rPr>
              <w:t>ND</w:t>
            </w:r>
          </w:p>
        </w:tc>
        <w:tc>
          <w:tcPr>
            <w:tcW w:w="933" w:type="dxa"/>
          </w:tcPr>
          <w:p w14:paraId="1BE32A70">
            <w:pPr>
              <w:pStyle w:val="14"/>
              <w:spacing w:before="112"/>
              <w:ind w:left="23" w:right="13"/>
              <w:jc w:val="center"/>
              <w:rPr>
                <w:rFonts w:ascii="Times New Roman"/>
                <w:sz w:val="21"/>
              </w:rPr>
            </w:pPr>
            <w:r>
              <w:rPr>
                <w:rFonts w:ascii="Times New Roman"/>
                <w:sz w:val="21"/>
              </w:rPr>
              <w:t>ND</w:t>
            </w:r>
          </w:p>
        </w:tc>
        <w:tc>
          <w:tcPr>
            <w:tcW w:w="274" w:type="dxa"/>
          </w:tcPr>
          <w:p w14:paraId="124B7A87">
            <w:pPr>
              <w:pStyle w:val="14"/>
              <w:spacing w:before="91"/>
              <w:ind w:left="83"/>
              <w:rPr>
                <w:rFonts w:ascii="Times New Roman"/>
                <w:sz w:val="21"/>
              </w:rPr>
            </w:pPr>
            <w:r>
              <w:rPr>
                <w:rFonts w:ascii="Times New Roman"/>
                <w:w w:val="99"/>
                <w:sz w:val="21"/>
              </w:rPr>
              <w:t>0</w:t>
            </w:r>
          </w:p>
        </w:tc>
        <w:tc>
          <w:tcPr>
            <w:tcW w:w="551" w:type="dxa"/>
          </w:tcPr>
          <w:p w14:paraId="6ECF013C">
            <w:pPr>
              <w:pStyle w:val="14"/>
              <w:spacing w:before="91"/>
              <w:ind w:left="222"/>
              <w:rPr>
                <w:rFonts w:ascii="Times New Roman"/>
                <w:sz w:val="21"/>
              </w:rPr>
            </w:pPr>
            <w:r>
              <w:rPr>
                <w:rFonts w:ascii="Times New Roman"/>
                <w:w w:val="99"/>
                <w:sz w:val="21"/>
              </w:rPr>
              <w:t>0</w:t>
            </w:r>
          </w:p>
        </w:tc>
      </w:tr>
      <w:tr w14:paraId="2DCC6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DE82951">
            <w:pPr>
              <w:rPr>
                <w:sz w:val="2"/>
                <w:szCs w:val="2"/>
              </w:rPr>
            </w:pPr>
          </w:p>
        </w:tc>
        <w:tc>
          <w:tcPr>
            <w:tcW w:w="1027" w:type="dxa"/>
          </w:tcPr>
          <w:p w14:paraId="70A0E250">
            <w:pPr>
              <w:pStyle w:val="14"/>
              <w:spacing w:before="76"/>
              <w:ind w:left="71" w:right="63"/>
              <w:jc w:val="center"/>
              <w:rPr>
                <w:sz w:val="21"/>
              </w:rPr>
            </w:pPr>
            <w:r>
              <w:rPr>
                <w:sz w:val="21"/>
              </w:rPr>
              <w:t>氟化物</w:t>
            </w:r>
          </w:p>
        </w:tc>
        <w:tc>
          <w:tcPr>
            <w:tcW w:w="1236" w:type="dxa"/>
          </w:tcPr>
          <w:p w14:paraId="2901EFEF">
            <w:pPr>
              <w:pStyle w:val="14"/>
              <w:spacing w:before="90"/>
              <w:ind w:left="215" w:right="209"/>
              <w:jc w:val="center"/>
              <w:rPr>
                <w:rFonts w:ascii="Times New Roman"/>
                <w:sz w:val="21"/>
              </w:rPr>
            </w:pPr>
            <w:r>
              <w:rPr>
                <w:rFonts w:ascii="Times New Roman"/>
                <w:sz w:val="21"/>
              </w:rPr>
              <w:t>mg/L</w:t>
            </w:r>
          </w:p>
        </w:tc>
        <w:tc>
          <w:tcPr>
            <w:tcW w:w="1331" w:type="dxa"/>
          </w:tcPr>
          <w:p w14:paraId="0C37569E">
            <w:pPr>
              <w:pStyle w:val="14"/>
              <w:spacing w:before="112"/>
              <w:ind w:left="138" w:right="128"/>
              <w:jc w:val="center"/>
              <w:rPr>
                <w:rFonts w:ascii="Times New Roman"/>
                <w:sz w:val="21"/>
              </w:rPr>
            </w:pPr>
            <w:r>
              <w:rPr>
                <w:rFonts w:ascii="Times New Roman"/>
                <w:sz w:val="21"/>
              </w:rPr>
              <w:t>1.0</w:t>
            </w:r>
          </w:p>
        </w:tc>
        <w:tc>
          <w:tcPr>
            <w:tcW w:w="1022" w:type="dxa"/>
          </w:tcPr>
          <w:p w14:paraId="213CFA9B">
            <w:pPr>
              <w:pStyle w:val="14"/>
              <w:spacing w:before="112"/>
              <w:ind w:left="173" w:right="164"/>
              <w:jc w:val="center"/>
              <w:rPr>
                <w:rFonts w:ascii="Times New Roman"/>
                <w:sz w:val="21"/>
              </w:rPr>
            </w:pPr>
            <w:r>
              <w:rPr>
                <w:rFonts w:ascii="Times New Roman"/>
                <w:sz w:val="21"/>
              </w:rPr>
              <w:t>0.034</w:t>
            </w:r>
          </w:p>
        </w:tc>
        <w:tc>
          <w:tcPr>
            <w:tcW w:w="993" w:type="dxa"/>
          </w:tcPr>
          <w:p w14:paraId="1222D7FA">
            <w:pPr>
              <w:pStyle w:val="14"/>
              <w:spacing w:before="112"/>
              <w:ind w:left="159" w:right="149"/>
              <w:jc w:val="center"/>
              <w:rPr>
                <w:rFonts w:ascii="Times New Roman"/>
                <w:sz w:val="21"/>
              </w:rPr>
            </w:pPr>
            <w:r>
              <w:rPr>
                <w:rFonts w:ascii="Times New Roman"/>
                <w:sz w:val="21"/>
              </w:rPr>
              <w:t>0.076</w:t>
            </w:r>
          </w:p>
        </w:tc>
        <w:tc>
          <w:tcPr>
            <w:tcW w:w="933" w:type="dxa"/>
          </w:tcPr>
          <w:p w14:paraId="7A519A8F">
            <w:pPr>
              <w:pStyle w:val="14"/>
              <w:spacing w:before="112"/>
              <w:ind w:left="23" w:right="14"/>
              <w:jc w:val="center"/>
              <w:rPr>
                <w:rFonts w:ascii="Times New Roman"/>
                <w:sz w:val="21"/>
              </w:rPr>
            </w:pPr>
            <w:r>
              <w:rPr>
                <w:rFonts w:ascii="Times New Roman"/>
                <w:sz w:val="21"/>
              </w:rPr>
              <w:t>0.106</w:t>
            </w:r>
          </w:p>
        </w:tc>
        <w:tc>
          <w:tcPr>
            <w:tcW w:w="274" w:type="dxa"/>
          </w:tcPr>
          <w:p w14:paraId="6805419E">
            <w:pPr>
              <w:pStyle w:val="14"/>
              <w:spacing w:before="90"/>
              <w:ind w:left="83"/>
              <w:rPr>
                <w:rFonts w:ascii="Times New Roman"/>
                <w:sz w:val="21"/>
              </w:rPr>
            </w:pPr>
            <w:r>
              <w:rPr>
                <w:rFonts w:ascii="Times New Roman"/>
                <w:w w:val="99"/>
                <w:sz w:val="21"/>
              </w:rPr>
              <w:t>0</w:t>
            </w:r>
          </w:p>
        </w:tc>
        <w:tc>
          <w:tcPr>
            <w:tcW w:w="551" w:type="dxa"/>
          </w:tcPr>
          <w:p w14:paraId="4BB0D118">
            <w:pPr>
              <w:pStyle w:val="14"/>
              <w:spacing w:before="90"/>
              <w:ind w:left="222"/>
              <w:rPr>
                <w:rFonts w:ascii="Times New Roman"/>
                <w:sz w:val="21"/>
              </w:rPr>
            </w:pPr>
            <w:r>
              <w:rPr>
                <w:rFonts w:ascii="Times New Roman"/>
                <w:w w:val="99"/>
                <w:sz w:val="21"/>
              </w:rPr>
              <w:t>0</w:t>
            </w:r>
          </w:p>
        </w:tc>
      </w:tr>
      <w:tr w14:paraId="655BA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26CC7AEE">
            <w:pPr>
              <w:rPr>
                <w:sz w:val="2"/>
                <w:szCs w:val="2"/>
              </w:rPr>
            </w:pPr>
          </w:p>
        </w:tc>
        <w:tc>
          <w:tcPr>
            <w:tcW w:w="1027" w:type="dxa"/>
          </w:tcPr>
          <w:p w14:paraId="540A7D79">
            <w:pPr>
              <w:pStyle w:val="14"/>
              <w:spacing w:before="76"/>
              <w:ind w:left="71" w:right="63"/>
              <w:jc w:val="center"/>
              <w:rPr>
                <w:sz w:val="21"/>
              </w:rPr>
            </w:pPr>
            <w:r>
              <w:rPr>
                <w:sz w:val="21"/>
              </w:rPr>
              <w:t>硫酸盐</w:t>
            </w:r>
          </w:p>
        </w:tc>
        <w:tc>
          <w:tcPr>
            <w:tcW w:w="1236" w:type="dxa"/>
          </w:tcPr>
          <w:p w14:paraId="5EC728CE">
            <w:pPr>
              <w:pStyle w:val="14"/>
              <w:spacing w:before="90"/>
              <w:ind w:left="215" w:right="209"/>
              <w:jc w:val="center"/>
              <w:rPr>
                <w:rFonts w:ascii="Times New Roman"/>
                <w:sz w:val="21"/>
              </w:rPr>
            </w:pPr>
            <w:r>
              <w:rPr>
                <w:rFonts w:ascii="Times New Roman"/>
                <w:sz w:val="21"/>
              </w:rPr>
              <w:t>mg/L</w:t>
            </w:r>
          </w:p>
        </w:tc>
        <w:tc>
          <w:tcPr>
            <w:tcW w:w="1331" w:type="dxa"/>
          </w:tcPr>
          <w:p w14:paraId="3CBFCCAE">
            <w:pPr>
              <w:pStyle w:val="14"/>
              <w:spacing w:before="111"/>
              <w:ind w:left="138" w:right="128"/>
              <w:jc w:val="center"/>
              <w:rPr>
                <w:rFonts w:ascii="Times New Roman"/>
                <w:sz w:val="21"/>
              </w:rPr>
            </w:pPr>
            <w:r>
              <w:rPr>
                <w:rFonts w:ascii="Times New Roman"/>
                <w:sz w:val="21"/>
              </w:rPr>
              <w:t>250</w:t>
            </w:r>
          </w:p>
        </w:tc>
        <w:tc>
          <w:tcPr>
            <w:tcW w:w="1022" w:type="dxa"/>
          </w:tcPr>
          <w:p w14:paraId="728D07A4">
            <w:pPr>
              <w:pStyle w:val="14"/>
              <w:spacing w:before="111"/>
              <w:ind w:left="173" w:right="164"/>
              <w:jc w:val="center"/>
              <w:rPr>
                <w:rFonts w:ascii="Times New Roman"/>
                <w:sz w:val="21"/>
              </w:rPr>
            </w:pPr>
            <w:r>
              <w:rPr>
                <w:rFonts w:ascii="Times New Roman"/>
                <w:sz w:val="21"/>
              </w:rPr>
              <w:t>4.57</w:t>
            </w:r>
          </w:p>
        </w:tc>
        <w:tc>
          <w:tcPr>
            <w:tcW w:w="993" w:type="dxa"/>
          </w:tcPr>
          <w:p w14:paraId="6BD5B638">
            <w:pPr>
              <w:pStyle w:val="14"/>
              <w:spacing w:before="111"/>
              <w:ind w:left="159" w:right="149"/>
              <w:jc w:val="center"/>
              <w:rPr>
                <w:rFonts w:ascii="Times New Roman"/>
                <w:sz w:val="21"/>
              </w:rPr>
            </w:pPr>
            <w:r>
              <w:rPr>
                <w:rFonts w:ascii="Times New Roman"/>
                <w:sz w:val="21"/>
              </w:rPr>
              <w:t>5.11</w:t>
            </w:r>
          </w:p>
        </w:tc>
        <w:tc>
          <w:tcPr>
            <w:tcW w:w="933" w:type="dxa"/>
          </w:tcPr>
          <w:p w14:paraId="04EC0D1A">
            <w:pPr>
              <w:pStyle w:val="14"/>
              <w:spacing w:before="111"/>
              <w:ind w:left="23" w:right="14"/>
              <w:jc w:val="center"/>
              <w:rPr>
                <w:rFonts w:ascii="Times New Roman"/>
                <w:sz w:val="21"/>
              </w:rPr>
            </w:pPr>
            <w:r>
              <w:rPr>
                <w:rFonts w:ascii="Times New Roman"/>
                <w:sz w:val="21"/>
              </w:rPr>
              <w:t>8.7</w:t>
            </w:r>
          </w:p>
        </w:tc>
        <w:tc>
          <w:tcPr>
            <w:tcW w:w="274" w:type="dxa"/>
          </w:tcPr>
          <w:p w14:paraId="4E093901">
            <w:pPr>
              <w:pStyle w:val="14"/>
              <w:spacing w:before="90"/>
              <w:ind w:left="83"/>
              <w:rPr>
                <w:rFonts w:ascii="Times New Roman"/>
                <w:sz w:val="21"/>
              </w:rPr>
            </w:pPr>
            <w:r>
              <w:rPr>
                <w:rFonts w:ascii="Times New Roman"/>
                <w:w w:val="99"/>
                <w:sz w:val="21"/>
              </w:rPr>
              <w:t>0</w:t>
            </w:r>
          </w:p>
        </w:tc>
        <w:tc>
          <w:tcPr>
            <w:tcW w:w="551" w:type="dxa"/>
          </w:tcPr>
          <w:p w14:paraId="477A2F8F">
            <w:pPr>
              <w:pStyle w:val="14"/>
              <w:spacing w:before="90"/>
              <w:ind w:left="222"/>
              <w:rPr>
                <w:rFonts w:ascii="Times New Roman"/>
                <w:sz w:val="21"/>
              </w:rPr>
            </w:pPr>
            <w:r>
              <w:rPr>
                <w:rFonts w:ascii="Times New Roman"/>
                <w:w w:val="99"/>
                <w:sz w:val="21"/>
              </w:rPr>
              <w:t>0</w:t>
            </w:r>
          </w:p>
        </w:tc>
      </w:tr>
      <w:tr w14:paraId="44ABE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01B79C03">
            <w:pPr>
              <w:rPr>
                <w:sz w:val="2"/>
                <w:szCs w:val="2"/>
              </w:rPr>
            </w:pPr>
          </w:p>
        </w:tc>
        <w:tc>
          <w:tcPr>
            <w:tcW w:w="1027" w:type="dxa"/>
          </w:tcPr>
          <w:p w14:paraId="5D9939F7">
            <w:pPr>
              <w:pStyle w:val="14"/>
              <w:spacing w:before="77"/>
              <w:ind w:left="71" w:right="63"/>
              <w:jc w:val="center"/>
              <w:rPr>
                <w:sz w:val="21"/>
              </w:rPr>
            </w:pPr>
            <w:r>
              <w:rPr>
                <w:sz w:val="21"/>
              </w:rPr>
              <w:t>氯化物</w:t>
            </w:r>
          </w:p>
        </w:tc>
        <w:tc>
          <w:tcPr>
            <w:tcW w:w="1236" w:type="dxa"/>
          </w:tcPr>
          <w:p w14:paraId="31B22979">
            <w:pPr>
              <w:pStyle w:val="14"/>
              <w:spacing w:before="91"/>
              <w:ind w:left="215" w:right="209"/>
              <w:jc w:val="center"/>
              <w:rPr>
                <w:rFonts w:ascii="Times New Roman"/>
                <w:sz w:val="21"/>
              </w:rPr>
            </w:pPr>
            <w:r>
              <w:rPr>
                <w:rFonts w:ascii="Times New Roman"/>
                <w:sz w:val="21"/>
              </w:rPr>
              <w:t>mg/L</w:t>
            </w:r>
          </w:p>
        </w:tc>
        <w:tc>
          <w:tcPr>
            <w:tcW w:w="1331" w:type="dxa"/>
          </w:tcPr>
          <w:p w14:paraId="64C7EA12">
            <w:pPr>
              <w:pStyle w:val="14"/>
              <w:spacing w:before="111"/>
              <w:ind w:left="138" w:right="128"/>
              <w:jc w:val="center"/>
              <w:rPr>
                <w:rFonts w:ascii="Times New Roman"/>
                <w:sz w:val="21"/>
              </w:rPr>
            </w:pPr>
            <w:r>
              <w:rPr>
                <w:rFonts w:ascii="Times New Roman"/>
                <w:sz w:val="21"/>
              </w:rPr>
              <w:t>250</w:t>
            </w:r>
          </w:p>
        </w:tc>
        <w:tc>
          <w:tcPr>
            <w:tcW w:w="1022" w:type="dxa"/>
          </w:tcPr>
          <w:p w14:paraId="3ACC613F">
            <w:pPr>
              <w:pStyle w:val="14"/>
              <w:spacing w:before="111"/>
              <w:ind w:left="173" w:right="164"/>
              <w:jc w:val="center"/>
              <w:rPr>
                <w:rFonts w:ascii="Times New Roman"/>
                <w:sz w:val="21"/>
              </w:rPr>
            </w:pPr>
            <w:r>
              <w:rPr>
                <w:rFonts w:ascii="Times New Roman"/>
                <w:sz w:val="21"/>
              </w:rPr>
              <w:t>1.85</w:t>
            </w:r>
          </w:p>
        </w:tc>
        <w:tc>
          <w:tcPr>
            <w:tcW w:w="993" w:type="dxa"/>
          </w:tcPr>
          <w:p w14:paraId="3F1E8809">
            <w:pPr>
              <w:pStyle w:val="14"/>
              <w:spacing w:before="111"/>
              <w:ind w:left="159" w:right="149"/>
              <w:jc w:val="center"/>
              <w:rPr>
                <w:rFonts w:ascii="Times New Roman"/>
                <w:sz w:val="21"/>
              </w:rPr>
            </w:pPr>
            <w:r>
              <w:rPr>
                <w:rFonts w:ascii="Times New Roman"/>
                <w:sz w:val="21"/>
              </w:rPr>
              <w:t>3.38</w:t>
            </w:r>
          </w:p>
        </w:tc>
        <w:tc>
          <w:tcPr>
            <w:tcW w:w="933" w:type="dxa"/>
          </w:tcPr>
          <w:p w14:paraId="765A665F">
            <w:pPr>
              <w:pStyle w:val="14"/>
              <w:spacing w:before="111"/>
              <w:ind w:left="23" w:right="14"/>
              <w:jc w:val="center"/>
              <w:rPr>
                <w:rFonts w:ascii="Times New Roman"/>
                <w:sz w:val="21"/>
              </w:rPr>
            </w:pPr>
            <w:r>
              <w:rPr>
                <w:rFonts w:ascii="Times New Roman"/>
                <w:sz w:val="21"/>
              </w:rPr>
              <w:t>1.40</w:t>
            </w:r>
          </w:p>
        </w:tc>
        <w:tc>
          <w:tcPr>
            <w:tcW w:w="274" w:type="dxa"/>
          </w:tcPr>
          <w:p w14:paraId="370509E5">
            <w:pPr>
              <w:pStyle w:val="14"/>
              <w:spacing w:before="91"/>
              <w:ind w:left="83"/>
              <w:rPr>
                <w:rFonts w:ascii="Times New Roman"/>
                <w:sz w:val="21"/>
              </w:rPr>
            </w:pPr>
            <w:r>
              <w:rPr>
                <w:rFonts w:ascii="Times New Roman"/>
                <w:w w:val="99"/>
                <w:sz w:val="21"/>
              </w:rPr>
              <w:t>0</w:t>
            </w:r>
          </w:p>
        </w:tc>
        <w:tc>
          <w:tcPr>
            <w:tcW w:w="551" w:type="dxa"/>
          </w:tcPr>
          <w:p w14:paraId="075C24A4">
            <w:pPr>
              <w:pStyle w:val="14"/>
              <w:spacing w:before="91"/>
              <w:ind w:left="222"/>
              <w:rPr>
                <w:rFonts w:ascii="Times New Roman"/>
                <w:sz w:val="21"/>
              </w:rPr>
            </w:pPr>
            <w:r>
              <w:rPr>
                <w:rFonts w:ascii="Times New Roman"/>
                <w:w w:val="99"/>
                <w:sz w:val="21"/>
              </w:rPr>
              <w:t>0</w:t>
            </w:r>
          </w:p>
        </w:tc>
      </w:tr>
      <w:tr w14:paraId="58E9A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5E9FA6D">
            <w:pPr>
              <w:rPr>
                <w:sz w:val="2"/>
                <w:szCs w:val="2"/>
              </w:rPr>
            </w:pPr>
          </w:p>
        </w:tc>
        <w:tc>
          <w:tcPr>
            <w:tcW w:w="1027" w:type="dxa"/>
          </w:tcPr>
          <w:p w14:paraId="0532DD8A">
            <w:pPr>
              <w:pStyle w:val="14"/>
              <w:spacing w:before="77"/>
              <w:ind w:left="5"/>
              <w:jc w:val="center"/>
              <w:rPr>
                <w:sz w:val="21"/>
              </w:rPr>
            </w:pPr>
            <w:r>
              <w:rPr>
                <w:w w:val="99"/>
                <w:sz w:val="21"/>
              </w:rPr>
              <w:t>汞</w:t>
            </w:r>
          </w:p>
        </w:tc>
        <w:tc>
          <w:tcPr>
            <w:tcW w:w="1236" w:type="dxa"/>
          </w:tcPr>
          <w:p w14:paraId="435C170D">
            <w:pPr>
              <w:pStyle w:val="14"/>
              <w:spacing w:before="91"/>
              <w:ind w:left="215" w:right="209"/>
              <w:jc w:val="center"/>
              <w:rPr>
                <w:rFonts w:ascii="Times New Roman"/>
                <w:sz w:val="21"/>
              </w:rPr>
            </w:pPr>
            <w:r>
              <w:rPr>
                <w:rFonts w:ascii="Times New Roman"/>
                <w:sz w:val="21"/>
              </w:rPr>
              <w:t>mg/L</w:t>
            </w:r>
          </w:p>
        </w:tc>
        <w:tc>
          <w:tcPr>
            <w:tcW w:w="1331" w:type="dxa"/>
          </w:tcPr>
          <w:p w14:paraId="43C0EA8C">
            <w:pPr>
              <w:pStyle w:val="14"/>
              <w:spacing w:before="112"/>
              <w:ind w:left="138" w:right="128"/>
              <w:jc w:val="center"/>
              <w:rPr>
                <w:rFonts w:ascii="Times New Roman"/>
                <w:sz w:val="21"/>
              </w:rPr>
            </w:pPr>
            <w:r>
              <w:rPr>
                <w:rFonts w:ascii="Times New Roman"/>
                <w:sz w:val="21"/>
              </w:rPr>
              <w:t>0.001</w:t>
            </w:r>
          </w:p>
        </w:tc>
        <w:tc>
          <w:tcPr>
            <w:tcW w:w="1022" w:type="dxa"/>
          </w:tcPr>
          <w:p w14:paraId="21BDE3CB">
            <w:pPr>
              <w:pStyle w:val="14"/>
              <w:spacing w:before="112"/>
              <w:ind w:left="170" w:right="165"/>
              <w:jc w:val="center"/>
              <w:rPr>
                <w:rFonts w:ascii="Times New Roman"/>
                <w:sz w:val="21"/>
              </w:rPr>
            </w:pPr>
            <w:r>
              <w:rPr>
                <w:rFonts w:ascii="Times New Roman"/>
                <w:sz w:val="21"/>
              </w:rPr>
              <w:t>ND</w:t>
            </w:r>
          </w:p>
        </w:tc>
        <w:tc>
          <w:tcPr>
            <w:tcW w:w="993" w:type="dxa"/>
          </w:tcPr>
          <w:p w14:paraId="73298518">
            <w:pPr>
              <w:pStyle w:val="14"/>
              <w:spacing w:before="112"/>
              <w:ind w:left="156" w:right="150"/>
              <w:jc w:val="center"/>
              <w:rPr>
                <w:rFonts w:ascii="Times New Roman"/>
                <w:sz w:val="21"/>
              </w:rPr>
            </w:pPr>
            <w:r>
              <w:rPr>
                <w:rFonts w:ascii="Times New Roman"/>
                <w:sz w:val="21"/>
              </w:rPr>
              <w:t>ND</w:t>
            </w:r>
          </w:p>
        </w:tc>
        <w:tc>
          <w:tcPr>
            <w:tcW w:w="933" w:type="dxa"/>
          </w:tcPr>
          <w:p w14:paraId="2F1D6455">
            <w:pPr>
              <w:pStyle w:val="14"/>
              <w:spacing w:before="112"/>
              <w:ind w:left="23" w:right="13"/>
              <w:jc w:val="center"/>
              <w:rPr>
                <w:rFonts w:ascii="Times New Roman"/>
                <w:sz w:val="21"/>
              </w:rPr>
            </w:pPr>
            <w:r>
              <w:rPr>
                <w:rFonts w:ascii="Times New Roman"/>
                <w:sz w:val="21"/>
              </w:rPr>
              <w:t>ND</w:t>
            </w:r>
          </w:p>
        </w:tc>
        <w:tc>
          <w:tcPr>
            <w:tcW w:w="274" w:type="dxa"/>
          </w:tcPr>
          <w:p w14:paraId="27220D98">
            <w:pPr>
              <w:pStyle w:val="14"/>
              <w:spacing w:before="91"/>
              <w:ind w:left="83"/>
              <w:rPr>
                <w:rFonts w:ascii="Times New Roman"/>
                <w:sz w:val="21"/>
              </w:rPr>
            </w:pPr>
            <w:r>
              <w:rPr>
                <w:rFonts w:ascii="Times New Roman"/>
                <w:w w:val="99"/>
                <w:sz w:val="21"/>
              </w:rPr>
              <w:t>0</w:t>
            </w:r>
          </w:p>
        </w:tc>
        <w:tc>
          <w:tcPr>
            <w:tcW w:w="551" w:type="dxa"/>
          </w:tcPr>
          <w:p w14:paraId="78BDCB37">
            <w:pPr>
              <w:pStyle w:val="14"/>
              <w:spacing w:before="91"/>
              <w:ind w:left="222"/>
              <w:rPr>
                <w:rFonts w:ascii="Times New Roman"/>
                <w:sz w:val="21"/>
              </w:rPr>
            </w:pPr>
            <w:r>
              <w:rPr>
                <w:rFonts w:ascii="Times New Roman"/>
                <w:w w:val="99"/>
                <w:sz w:val="21"/>
              </w:rPr>
              <w:t>0</w:t>
            </w:r>
          </w:p>
        </w:tc>
      </w:tr>
      <w:tr w14:paraId="2E6DB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02A2D1C0">
            <w:pPr>
              <w:rPr>
                <w:sz w:val="2"/>
                <w:szCs w:val="2"/>
              </w:rPr>
            </w:pPr>
          </w:p>
        </w:tc>
        <w:tc>
          <w:tcPr>
            <w:tcW w:w="1027" w:type="dxa"/>
          </w:tcPr>
          <w:p w14:paraId="1DE0AEC9">
            <w:pPr>
              <w:pStyle w:val="14"/>
              <w:spacing w:before="76"/>
              <w:ind w:left="71" w:right="66"/>
              <w:jc w:val="center"/>
              <w:rPr>
                <w:sz w:val="21"/>
              </w:rPr>
            </w:pPr>
            <w:r>
              <w:rPr>
                <w:sz w:val="21"/>
              </w:rPr>
              <w:t>细菌总数</w:t>
            </w:r>
          </w:p>
        </w:tc>
        <w:tc>
          <w:tcPr>
            <w:tcW w:w="1236" w:type="dxa"/>
          </w:tcPr>
          <w:p w14:paraId="2D2480F2">
            <w:pPr>
              <w:pStyle w:val="14"/>
              <w:spacing w:before="90"/>
              <w:ind w:left="217" w:right="209"/>
              <w:jc w:val="center"/>
              <w:rPr>
                <w:rFonts w:ascii="Times New Roman"/>
                <w:sz w:val="21"/>
              </w:rPr>
            </w:pPr>
            <w:r>
              <w:rPr>
                <w:rFonts w:ascii="Times New Roman"/>
                <w:sz w:val="21"/>
              </w:rPr>
              <w:t>CFU/mL</w:t>
            </w:r>
          </w:p>
        </w:tc>
        <w:tc>
          <w:tcPr>
            <w:tcW w:w="1331" w:type="dxa"/>
          </w:tcPr>
          <w:p w14:paraId="2A8E09E3">
            <w:pPr>
              <w:pStyle w:val="14"/>
              <w:spacing w:before="112"/>
              <w:ind w:left="138" w:right="128"/>
              <w:jc w:val="center"/>
              <w:rPr>
                <w:rFonts w:ascii="Times New Roman"/>
                <w:sz w:val="21"/>
              </w:rPr>
            </w:pPr>
            <w:r>
              <w:rPr>
                <w:rFonts w:ascii="Times New Roman"/>
                <w:sz w:val="21"/>
              </w:rPr>
              <w:t>100</w:t>
            </w:r>
          </w:p>
        </w:tc>
        <w:tc>
          <w:tcPr>
            <w:tcW w:w="1022" w:type="dxa"/>
          </w:tcPr>
          <w:p w14:paraId="6A492B1F">
            <w:pPr>
              <w:pStyle w:val="14"/>
              <w:spacing w:before="112"/>
              <w:ind w:left="173" w:right="164"/>
              <w:jc w:val="center"/>
              <w:rPr>
                <w:rFonts w:ascii="Times New Roman"/>
                <w:sz w:val="21"/>
              </w:rPr>
            </w:pPr>
            <w:r>
              <w:rPr>
                <w:rFonts w:ascii="Times New Roman"/>
                <w:sz w:val="21"/>
              </w:rPr>
              <w:t>14</w:t>
            </w:r>
          </w:p>
        </w:tc>
        <w:tc>
          <w:tcPr>
            <w:tcW w:w="993" w:type="dxa"/>
          </w:tcPr>
          <w:p w14:paraId="2B1AACBE">
            <w:pPr>
              <w:pStyle w:val="14"/>
              <w:spacing w:before="112"/>
              <w:ind w:left="159" w:right="149"/>
              <w:jc w:val="center"/>
              <w:rPr>
                <w:rFonts w:ascii="Times New Roman"/>
                <w:sz w:val="21"/>
              </w:rPr>
            </w:pPr>
            <w:r>
              <w:rPr>
                <w:rFonts w:ascii="Times New Roman"/>
                <w:sz w:val="21"/>
              </w:rPr>
              <w:t>12</w:t>
            </w:r>
          </w:p>
        </w:tc>
        <w:tc>
          <w:tcPr>
            <w:tcW w:w="933" w:type="dxa"/>
          </w:tcPr>
          <w:p w14:paraId="69784510">
            <w:pPr>
              <w:pStyle w:val="14"/>
              <w:spacing w:before="112"/>
              <w:ind w:left="23" w:right="14"/>
              <w:jc w:val="center"/>
              <w:rPr>
                <w:rFonts w:ascii="Times New Roman"/>
                <w:sz w:val="21"/>
              </w:rPr>
            </w:pPr>
            <w:r>
              <w:rPr>
                <w:rFonts w:ascii="Times New Roman"/>
                <w:sz w:val="21"/>
              </w:rPr>
              <w:t>15</w:t>
            </w:r>
          </w:p>
        </w:tc>
        <w:tc>
          <w:tcPr>
            <w:tcW w:w="274" w:type="dxa"/>
          </w:tcPr>
          <w:p w14:paraId="46D04D6D">
            <w:pPr>
              <w:pStyle w:val="14"/>
              <w:spacing w:before="90"/>
              <w:ind w:left="83"/>
              <w:rPr>
                <w:rFonts w:ascii="Times New Roman"/>
                <w:sz w:val="21"/>
              </w:rPr>
            </w:pPr>
            <w:r>
              <w:rPr>
                <w:rFonts w:ascii="Times New Roman"/>
                <w:w w:val="99"/>
                <w:sz w:val="21"/>
              </w:rPr>
              <w:t>0</w:t>
            </w:r>
          </w:p>
        </w:tc>
        <w:tc>
          <w:tcPr>
            <w:tcW w:w="551" w:type="dxa"/>
          </w:tcPr>
          <w:p w14:paraId="246269C7">
            <w:pPr>
              <w:pStyle w:val="14"/>
              <w:spacing w:before="90"/>
              <w:ind w:left="222"/>
              <w:rPr>
                <w:rFonts w:ascii="Times New Roman"/>
                <w:sz w:val="21"/>
              </w:rPr>
            </w:pPr>
            <w:r>
              <w:rPr>
                <w:rFonts w:ascii="Times New Roman"/>
                <w:w w:val="99"/>
                <w:sz w:val="21"/>
              </w:rPr>
              <w:t>0</w:t>
            </w:r>
          </w:p>
        </w:tc>
      </w:tr>
      <w:tr w14:paraId="11AEA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40128AD">
            <w:pPr>
              <w:rPr>
                <w:sz w:val="2"/>
                <w:szCs w:val="2"/>
              </w:rPr>
            </w:pPr>
          </w:p>
        </w:tc>
        <w:tc>
          <w:tcPr>
            <w:tcW w:w="1027" w:type="dxa"/>
          </w:tcPr>
          <w:p w14:paraId="68CAC28E">
            <w:pPr>
              <w:pStyle w:val="14"/>
              <w:spacing w:before="76"/>
              <w:ind w:left="71" w:right="63"/>
              <w:jc w:val="center"/>
              <w:rPr>
                <w:sz w:val="21"/>
              </w:rPr>
            </w:pPr>
            <w:r>
              <w:rPr>
                <w:sz w:val="21"/>
              </w:rPr>
              <w:t>挥发酚</w:t>
            </w:r>
          </w:p>
        </w:tc>
        <w:tc>
          <w:tcPr>
            <w:tcW w:w="1236" w:type="dxa"/>
          </w:tcPr>
          <w:p w14:paraId="7DDCD8B8">
            <w:pPr>
              <w:pStyle w:val="14"/>
              <w:spacing w:before="90"/>
              <w:ind w:left="215" w:right="209"/>
              <w:jc w:val="center"/>
              <w:rPr>
                <w:rFonts w:ascii="Times New Roman"/>
                <w:sz w:val="21"/>
              </w:rPr>
            </w:pPr>
            <w:r>
              <w:rPr>
                <w:rFonts w:ascii="Times New Roman"/>
                <w:sz w:val="21"/>
              </w:rPr>
              <w:t>mg/L</w:t>
            </w:r>
          </w:p>
        </w:tc>
        <w:tc>
          <w:tcPr>
            <w:tcW w:w="1331" w:type="dxa"/>
          </w:tcPr>
          <w:p w14:paraId="6F53A2E6">
            <w:pPr>
              <w:pStyle w:val="14"/>
              <w:spacing w:before="111"/>
              <w:ind w:left="138" w:right="128"/>
              <w:jc w:val="center"/>
              <w:rPr>
                <w:rFonts w:ascii="Times New Roman"/>
                <w:sz w:val="21"/>
              </w:rPr>
            </w:pPr>
            <w:r>
              <w:rPr>
                <w:rFonts w:ascii="Times New Roman"/>
                <w:sz w:val="21"/>
              </w:rPr>
              <w:t>0.002</w:t>
            </w:r>
          </w:p>
        </w:tc>
        <w:tc>
          <w:tcPr>
            <w:tcW w:w="1022" w:type="dxa"/>
          </w:tcPr>
          <w:p w14:paraId="03357196">
            <w:pPr>
              <w:pStyle w:val="14"/>
              <w:spacing w:before="111"/>
              <w:ind w:left="170" w:right="165"/>
              <w:jc w:val="center"/>
              <w:rPr>
                <w:rFonts w:ascii="Times New Roman"/>
                <w:sz w:val="21"/>
              </w:rPr>
            </w:pPr>
            <w:r>
              <w:rPr>
                <w:rFonts w:ascii="Times New Roman"/>
                <w:sz w:val="21"/>
              </w:rPr>
              <w:t>ND</w:t>
            </w:r>
          </w:p>
        </w:tc>
        <w:tc>
          <w:tcPr>
            <w:tcW w:w="993" w:type="dxa"/>
          </w:tcPr>
          <w:p w14:paraId="49850351">
            <w:pPr>
              <w:pStyle w:val="14"/>
              <w:spacing w:before="111"/>
              <w:ind w:left="156" w:right="150"/>
              <w:jc w:val="center"/>
              <w:rPr>
                <w:rFonts w:ascii="Times New Roman"/>
                <w:sz w:val="21"/>
              </w:rPr>
            </w:pPr>
            <w:r>
              <w:rPr>
                <w:rFonts w:ascii="Times New Roman"/>
                <w:sz w:val="21"/>
              </w:rPr>
              <w:t>ND</w:t>
            </w:r>
          </w:p>
        </w:tc>
        <w:tc>
          <w:tcPr>
            <w:tcW w:w="933" w:type="dxa"/>
          </w:tcPr>
          <w:p w14:paraId="59F4CBD8">
            <w:pPr>
              <w:pStyle w:val="14"/>
              <w:spacing w:before="111"/>
              <w:ind w:left="23" w:right="13"/>
              <w:jc w:val="center"/>
              <w:rPr>
                <w:rFonts w:ascii="Times New Roman"/>
                <w:sz w:val="21"/>
              </w:rPr>
            </w:pPr>
            <w:r>
              <w:rPr>
                <w:rFonts w:ascii="Times New Roman"/>
                <w:sz w:val="21"/>
              </w:rPr>
              <w:t>ND</w:t>
            </w:r>
          </w:p>
        </w:tc>
        <w:tc>
          <w:tcPr>
            <w:tcW w:w="274" w:type="dxa"/>
          </w:tcPr>
          <w:p w14:paraId="6655AE77">
            <w:pPr>
              <w:pStyle w:val="14"/>
              <w:spacing w:before="90"/>
              <w:ind w:left="83"/>
              <w:rPr>
                <w:rFonts w:ascii="Times New Roman"/>
                <w:sz w:val="21"/>
              </w:rPr>
            </w:pPr>
            <w:r>
              <w:rPr>
                <w:rFonts w:ascii="Times New Roman"/>
                <w:w w:val="99"/>
                <w:sz w:val="21"/>
              </w:rPr>
              <w:t>0</w:t>
            </w:r>
          </w:p>
        </w:tc>
        <w:tc>
          <w:tcPr>
            <w:tcW w:w="551" w:type="dxa"/>
          </w:tcPr>
          <w:p w14:paraId="123C6B34">
            <w:pPr>
              <w:pStyle w:val="14"/>
              <w:spacing w:before="90"/>
              <w:ind w:left="222"/>
              <w:rPr>
                <w:rFonts w:ascii="Times New Roman"/>
                <w:sz w:val="21"/>
              </w:rPr>
            </w:pPr>
            <w:r>
              <w:rPr>
                <w:rFonts w:ascii="Times New Roman"/>
                <w:w w:val="99"/>
                <w:sz w:val="21"/>
              </w:rPr>
              <w:t>0</w:t>
            </w:r>
          </w:p>
        </w:tc>
      </w:tr>
      <w:tr w14:paraId="117F1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949" w:type="dxa"/>
            <w:vMerge w:val="continue"/>
            <w:tcBorders>
              <w:top w:val="nil"/>
            </w:tcBorders>
          </w:tcPr>
          <w:p w14:paraId="7ED476C0">
            <w:pPr>
              <w:rPr>
                <w:sz w:val="2"/>
                <w:szCs w:val="2"/>
              </w:rPr>
            </w:pPr>
          </w:p>
        </w:tc>
        <w:tc>
          <w:tcPr>
            <w:tcW w:w="1027" w:type="dxa"/>
          </w:tcPr>
          <w:p w14:paraId="2F9ED72C">
            <w:pPr>
              <w:pStyle w:val="14"/>
              <w:spacing w:before="1"/>
              <w:ind w:left="71" w:right="66"/>
              <w:jc w:val="center"/>
              <w:rPr>
                <w:sz w:val="21"/>
              </w:rPr>
            </w:pPr>
            <w:r>
              <w:rPr>
                <w:sz w:val="21"/>
              </w:rPr>
              <w:t>溶解性固</w:t>
            </w:r>
          </w:p>
          <w:p w14:paraId="4589690A">
            <w:pPr>
              <w:pStyle w:val="14"/>
              <w:spacing w:before="2" w:line="251" w:lineRule="exact"/>
              <w:ind w:left="5"/>
              <w:jc w:val="center"/>
              <w:rPr>
                <w:sz w:val="21"/>
              </w:rPr>
            </w:pPr>
            <w:r>
              <w:rPr>
                <w:w w:val="99"/>
                <w:sz w:val="21"/>
              </w:rPr>
              <w:t>体</w:t>
            </w:r>
          </w:p>
        </w:tc>
        <w:tc>
          <w:tcPr>
            <w:tcW w:w="1236" w:type="dxa"/>
          </w:tcPr>
          <w:p w14:paraId="61859703">
            <w:pPr>
              <w:pStyle w:val="14"/>
              <w:spacing w:before="151"/>
              <w:ind w:left="215" w:right="209"/>
              <w:jc w:val="center"/>
              <w:rPr>
                <w:rFonts w:ascii="Times New Roman"/>
                <w:sz w:val="21"/>
              </w:rPr>
            </w:pPr>
            <w:r>
              <w:rPr>
                <w:rFonts w:ascii="Times New Roman"/>
                <w:sz w:val="21"/>
              </w:rPr>
              <w:t>mg/L</w:t>
            </w:r>
          </w:p>
        </w:tc>
        <w:tc>
          <w:tcPr>
            <w:tcW w:w="1331" w:type="dxa"/>
          </w:tcPr>
          <w:p w14:paraId="69583938">
            <w:pPr>
              <w:pStyle w:val="14"/>
              <w:spacing w:before="171"/>
              <w:ind w:left="138" w:right="128"/>
              <w:jc w:val="center"/>
              <w:rPr>
                <w:rFonts w:ascii="Times New Roman"/>
                <w:sz w:val="21"/>
              </w:rPr>
            </w:pPr>
            <w:r>
              <w:rPr>
                <w:rFonts w:ascii="Times New Roman"/>
                <w:sz w:val="21"/>
              </w:rPr>
              <w:t>1000</w:t>
            </w:r>
          </w:p>
        </w:tc>
        <w:tc>
          <w:tcPr>
            <w:tcW w:w="1022" w:type="dxa"/>
          </w:tcPr>
          <w:p w14:paraId="180F0219">
            <w:pPr>
              <w:pStyle w:val="14"/>
              <w:spacing w:before="171"/>
              <w:ind w:left="173" w:right="164"/>
              <w:jc w:val="center"/>
              <w:rPr>
                <w:rFonts w:ascii="Times New Roman"/>
                <w:sz w:val="21"/>
              </w:rPr>
            </w:pPr>
            <w:r>
              <w:rPr>
                <w:rFonts w:ascii="Times New Roman"/>
                <w:sz w:val="21"/>
              </w:rPr>
              <w:t>136</w:t>
            </w:r>
          </w:p>
        </w:tc>
        <w:tc>
          <w:tcPr>
            <w:tcW w:w="993" w:type="dxa"/>
          </w:tcPr>
          <w:p w14:paraId="48DE7ECD">
            <w:pPr>
              <w:pStyle w:val="14"/>
              <w:spacing w:before="171"/>
              <w:ind w:left="159" w:right="149"/>
              <w:jc w:val="center"/>
              <w:rPr>
                <w:rFonts w:ascii="Times New Roman"/>
                <w:sz w:val="21"/>
              </w:rPr>
            </w:pPr>
            <w:r>
              <w:rPr>
                <w:rFonts w:ascii="Times New Roman"/>
                <w:sz w:val="21"/>
              </w:rPr>
              <w:t>124</w:t>
            </w:r>
          </w:p>
        </w:tc>
        <w:tc>
          <w:tcPr>
            <w:tcW w:w="933" w:type="dxa"/>
          </w:tcPr>
          <w:p w14:paraId="143F8D62">
            <w:pPr>
              <w:pStyle w:val="14"/>
              <w:spacing w:before="171"/>
              <w:ind w:left="23" w:right="12"/>
              <w:jc w:val="center"/>
              <w:rPr>
                <w:rFonts w:ascii="Times New Roman"/>
                <w:sz w:val="21"/>
              </w:rPr>
            </w:pPr>
            <w:r>
              <w:rPr>
                <w:rFonts w:ascii="Times New Roman"/>
                <w:sz w:val="21"/>
              </w:rPr>
              <w:t>116</w:t>
            </w:r>
          </w:p>
        </w:tc>
        <w:tc>
          <w:tcPr>
            <w:tcW w:w="274" w:type="dxa"/>
          </w:tcPr>
          <w:p w14:paraId="0895C0BF">
            <w:pPr>
              <w:pStyle w:val="14"/>
              <w:spacing w:before="151"/>
              <w:ind w:left="83"/>
              <w:rPr>
                <w:rFonts w:ascii="Times New Roman"/>
                <w:sz w:val="21"/>
              </w:rPr>
            </w:pPr>
            <w:r>
              <w:rPr>
                <w:rFonts w:ascii="Times New Roman"/>
                <w:w w:val="99"/>
                <w:sz w:val="21"/>
              </w:rPr>
              <w:t>0</w:t>
            </w:r>
          </w:p>
        </w:tc>
        <w:tc>
          <w:tcPr>
            <w:tcW w:w="551" w:type="dxa"/>
          </w:tcPr>
          <w:p w14:paraId="25FCCBC6">
            <w:pPr>
              <w:pStyle w:val="14"/>
              <w:spacing w:before="151"/>
              <w:ind w:left="222"/>
              <w:rPr>
                <w:rFonts w:ascii="Times New Roman"/>
                <w:sz w:val="21"/>
              </w:rPr>
            </w:pPr>
            <w:r>
              <w:rPr>
                <w:rFonts w:ascii="Times New Roman"/>
                <w:w w:val="99"/>
                <w:sz w:val="21"/>
              </w:rPr>
              <w:t>0</w:t>
            </w:r>
          </w:p>
        </w:tc>
      </w:tr>
    </w:tbl>
    <w:p w14:paraId="4D3D4E1C">
      <w:pPr>
        <w:spacing w:after="0"/>
        <w:rPr>
          <w:rFonts w:ascii="Times New Roman"/>
          <w:sz w:val="21"/>
        </w:rPr>
        <w:sectPr>
          <w:pgSz w:w="11910" w:h="16840"/>
          <w:pgMar w:top="1360" w:right="1320" w:bottom="1400" w:left="1340" w:header="878" w:footer="1204" w:gutter="0"/>
          <w:cols w:space="720" w:num="1"/>
        </w:sectPr>
      </w:pPr>
    </w:p>
    <w:p w14:paraId="592B6089">
      <w:pPr>
        <w:pStyle w:val="7"/>
        <w:spacing w:before="9"/>
        <w:rPr>
          <w:rFonts w:ascii="Times New Roman"/>
          <w:sz w:val="5"/>
        </w:rPr>
      </w:pPr>
    </w:p>
    <w:tbl>
      <w:tblPr>
        <w:tblStyle w:val="10"/>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027"/>
        <w:gridCol w:w="1201"/>
        <w:gridCol w:w="1336"/>
        <w:gridCol w:w="1025"/>
        <w:gridCol w:w="997"/>
        <w:gridCol w:w="936"/>
        <w:gridCol w:w="294"/>
        <w:gridCol w:w="551"/>
      </w:tblGrid>
      <w:tr w14:paraId="0DAE8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restart"/>
          </w:tcPr>
          <w:p w14:paraId="2F32F8BB">
            <w:pPr>
              <w:pStyle w:val="14"/>
              <w:spacing w:before="7"/>
              <w:rPr>
                <w:rFonts w:ascii="Times New Roman"/>
                <w:sz w:val="25"/>
              </w:rPr>
            </w:pPr>
          </w:p>
          <w:p w14:paraId="56D0E0C0">
            <w:pPr>
              <w:pStyle w:val="14"/>
              <w:ind w:left="52"/>
              <w:rPr>
                <w:b/>
                <w:sz w:val="21"/>
              </w:rPr>
            </w:pPr>
            <w:r>
              <w:rPr>
                <w:b/>
                <w:sz w:val="21"/>
              </w:rPr>
              <w:t>采样时间</w:t>
            </w:r>
          </w:p>
        </w:tc>
        <w:tc>
          <w:tcPr>
            <w:tcW w:w="1027" w:type="dxa"/>
            <w:vMerge w:val="restart"/>
          </w:tcPr>
          <w:p w14:paraId="6C34EA51">
            <w:pPr>
              <w:pStyle w:val="14"/>
              <w:spacing w:before="7"/>
              <w:rPr>
                <w:rFonts w:ascii="Times New Roman"/>
                <w:sz w:val="25"/>
              </w:rPr>
            </w:pPr>
          </w:p>
          <w:p w14:paraId="42E03362">
            <w:pPr>
              <w:pStyle w:val="14"/>
              <w:ind w:left="92"/>
              <w:rPr>
                <w:b/>
                <w:sz w:val="21"/>
              </w:rPr>
            </w:pPr>
            <w:r>
              <w:rPr>
                <w:b/>
                <w:sz w:val="21"/>
              </w:rPr>
              <w:t>检测项目</w:t>
            </w:r>
          </w:p>
        </w:tc>
        <w:tc>
          <w:tcPr>
            <w:tcW w:w="1201" w:type="dxa"/>
            <w:vMerge w:val="restart"/>
          </w:tcPr>
          <w:p w14:paraId="39896D3C">
            <w:pPr>
              <w:pStyle w:val="14"/>
              <w:spacing w:before="7"/>
              <w:rPr>
                <w:rFonts w:ascii="Times New Roman"/>
                <w:sz w:val="25"/>
              </w:rPr>
            </w:pPr>
          </w:p>
          <w:p w14:paraId="5AFDAAD1">
            <w:pPr>
              <w:pStyle w:val="14"/>
              <w:ind w:left="387"/>
              <w:rPr>
                <w:b/>
                <w:sz w:val="21"/>
              </w:rPr>
            </w:pPr>
            <w:r>
              <w:rPr>
                <w:b/>
                <w:sz w:val="21"/>
              </w:rPr>
              <w:t>单位</w:t>
            </w:r>
          </w:p>
        </w:tc>
        <w:tc>
          <w:tcPr>
            <w:tcW w:w="1336" w:type="dxa"/>
            <w:vMerge w:val="restart"/>
          </w:tcPr>
          <w:p w14:paraId="36CFF65F">
            <w:pPr>
              <w:pStyle w:val="14"/>
              <w:spacing w:before="21" w:line="242" w:lineRule="auto"/>
              <w:ind w:left="34" w:right="27" w:hanging="1"/>
              <w:jc w:val="center"/>
              <w:rPr>
                <w:b/>
                <w:sz w:val="21"/>
              </w:rPr>
            </w:pPr>
            <w:r>
              <w:rPr>
                <w:b/>
                <w:w w:val="95"/>
                <w:sz w:val="21"/>
              </w:rPr>
              <w:t>《地下水质量标准》Ⅲ类标</w:t>
            </w:r>
            <w:r>
              <w:rPr>
                <w:b/>
                <w:sz w:val="21"/>
              </w:rPr>
              <w:t>准限值</w:t>
            </w:r>
          </w:p>
        </w:tc>
        <w:tc>
          <w:tcPr>
            <w:tcW w:w="2958" w:type="dxa"/>
            <w:gridSpan w:val="3"/>
          </w:tcPr>
          <w:p w14:paraId="79B914F3">
            <w:pPr>
              <w:pStyle w:val="14"/>
              <w:spacing w:before="76"/>
              <w:ind w:left="529"/>
              <w:rPr>
                <w:b/>
                <w:sz w:val="21"/>
              </w:rPr>
            </w:pPr>
            <w:r>
              <w:rPr>
                <w:b/>
                <w:sz w:val="21"/>
              </w:rPr>
              <w:t>采样点位和检测结果</w:t>
            </w:r>
          </w:p>
        </w:tc>
        <w:tc>
          <w:tcPr>
            <w:tcW w:w="294" w:type="dxa"/>
            <w:vMerge w:val="restart"/>
          </w:tcPr>
          <w:p w14:paraId="6AB6297E">
            <w:pPr>
              <w:pStyle w:val="14"/>
              <w:spacing w:before="21" w:line="242" w:lineRule="auto"/>
              <w:ind w:left="40" w:right="32"/>
              <w:jc w:val="both"/>
              <w:rPr>
                <w:b/>
                <w:sz w:val="21"/>
              </w:rPr>
            </w:pPr>
            <w:r>
              <w:rPr>
                <w:b/>
                <w:sz w:val="21"/>
              </w:rPr>
              <w:t>超标率</w:t>
            </w:r>
          </w:p>
        </w:tc>
        <w:tc>
          <w:tcPr>
            <w:tcW w:w="551" w:type="dxa"/>
            <w:vMerge w:val="restart"/>
          </w:tcPr>
          <w:p w14:paraId="063BC380">
            <w:pPr>
              <w:pStyle w:val="14"/>
              <w:spacing w:before="21" w:line="242" w:lineRule="auto"/>
              <w:ind w:left="63" w:right="55"/>
              <w:jc w:val="both"/>
              <w:rPr>
                <w:b/>
                <w:sz w:val="21"/>
              </w:rPr>
            </w:pPr>
            <w:r>
              <w:rPr>
                <w:b/>
                <w:sz w:val="21"/>
              </w:rPr>
              <w:t>最大超标倍数</w:t>
            </w:r>
          </w:p>
        </w:tc>
      </w:tr>
      <w:tr w14:paraId="02031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7422C43">
            <w:pPr>
              <w:rPr>
                <w:sz w:val="2"/>
                <w:szCs w:val="2"/>
              </w:rPr>
            </w:pPr>
          </w:p>
        </w:tc>
        <w:tc>
          <w:tcPr>
            <w:tcW w:w="1027" w:type="dxa"/>
            <w:vMerge w:val="continue"/>
            <w:tcBorders>
              <w:top w:val="nil"/>
            </w:tcBorders>
          </w:tcPr>
          <w:p w14:paraId="64690243">
            <w:pPr>
              <w:rPr>
                <w:sz w:val="2"/>
                <w:szCs w:val="2"/>
              </w:rPr>
            </w:pPr>
          </w:p>
        </w:tc>
        <w:tc>
          <w:tcPr>
            <w:tcW w:w="1201" w:type="dxa"/>
            <w:vMerge w:val="continue"/>
            <w:tcBorders>
              <w:top w:val="nil"/>
            </w:tcBorders>
          </w:tcPr>
          <w:p w14:paraId="452FBBFE">
            <w:pPr>
              <w:rPr>
                <w:sz w:val="2"/>
                <w:szCs w:val="2"/>
              </w:rPr>
            </w:pPr>
          </w:p>
        </w:tc>
        <w:tc>
          <w:tcPr>
            <w:tcW w:w="1336" w:type="dxa"/>
            <w:vMerge w:val="continue"/>
            <w:tcBorders>
              <w:top w:val="nil"/>
            </w:tcBorders>
          </w:tcPr>
          <w:p w14:paraId="7A248B85">
            <w:pPr>
              <w:rPr>
                <w:sz w:val="2"/>
                <w:szCs w:val="2"/>
              </w:rPr>
            </w:pPr>
          </w:p>
        </w:tc>
        <w:tc>
          <w:tcPr>
            <w:tcW w:w="1025" w:type="dxa"/>
          </w:tcPr>
          <w:p w14:paraId="1B873B0E">
            <w:pPr>
              <w:pStyle w:val="14"/>
              <w:spacing w:before="73"/>
              <w:ind w:left="174" w:right="167"/>
              <w:jc w:val="center"/>
              <w:rPr>
                <w:b/>
                <w:sz w:val="21"/>
              </w:rPr>
            </w:pPr>
            <w:r>
              <w:rPr>
                <w:b/>
                <w:sz w:val="21"/>
              </w:rPr>
              <w:t>隋家湾</w:t>
            </w:r>
          </w:p>
        </w:tc>
        <w:tc>
          <w:tcPr>
            <w:tcW w:w="997" w:type="dxa"/>
          </w:tcPr>
          <w:p w14:paraId="0DAB02B6">
            <w:pPr>
              <w:pStyle w:val="14"/>
              <w:spacing w:before="73"/>
              <w:ind w:right="278"/>
              <w:jc w:val="right"/>
              <w:rPr>
                <w:b/>
                <w:sz w:val="21"/>
              </w:rPr>
            </w:pPr>
            <w:r>
              <w:rPr>
                <w:b/>
                <w:w w:val="95"/>
                <w:sz w:val="21"/>
              </w:rPr>
              <w:t>王坡</w:t>
            </w:r>
          </w:p>
        </w:tc>
        <w:tc>
          <w:tcPr>
            <w:tcW w:w="936" w:type="dxa"/>
          </w:tcPr>
          <w:p w14:paraId="488F452C">
            <w:pPr>
              <w:pStyle w:val="14"/>
              <w:spacing w:before="73"/>
              <w:ind w:left="130" w:right="122"/>
              <w:jc w:val="center"/>
              <w:rPr>
                <w:b/>
                <w:sz w:val="21"/>
              </w:rPr>
            </w:pPr>
            <w:r>
              <w:rPr>
                <w:b/>
                <w:sz w:val="21"/>
              </w:rPr>
              <w:t>屈家冲</w:t>
            </w:r>
          </w:p>
        </w:tc>
        <w:tc>
          <w:tcPr>
            <w:tcW w:w="294" w:type="dxa"/>
            <w:vMerge w:val="continue"/>
            <w:tcBorders>
              <w:top w:val="nil"/>
            </w:tcBorders>
          </w:tcPr>
          <w:p w14:paraId="0482606C">
            <w:pPr>
              <w:rPr>
                <w:sz w:val="2"/>
                <w:szCs w:val="2"/>
              </w:rPr>
            </w:pPr>
          </w:p>
        </w:tc>
        <w:tc>
          <w:tcPr>
            <w:tcW w:w="551" w:type="dxa"/>
            <w:vMerge w:val="continue"/>
            <w:tcBorders>
              <w:top w:val="nil"/>
            </w:tcBorders>
          </w:tcPr>
          <w:p w14:paraId="3859740B">
            <w:pPr>
              <w:rPr>
                <w:sz w:val="2"/>
                <w:szCs w:val="2"/>
              </w:rPr>
            </w:pPr>
          </w:p>
        </w:tc>
      </w:tr>
      <w:tr w14:paraId="2A4E1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restart"/>
          </w:tcPr>
          <w:p w14:paraId="7F58EFFD">
            <w:pPr>
              <w:pStyle w:val="14"/>
              <w:rPr>
                <w:rFonts w:ascii="Times New Roman"/>
                <w:sz w:val="22"/>
              </w:rPr>
            </w:pPr>
          </w:p>
          <w:p w14:paraId="22164F37">
            <w:pPr>
              <w:pStyle w:val="14"/>
              <w:rPr>
                <w:rFonts w:ascii="Times New Roman"/>
                <w:sz w:val="22"/>
              </w:rPr>
            </w:pPr>
          </w:p>
          <w:p w14:paraId="0935D50B">
            <w:pPr>
              <w:pStyle w:val="14"/>
              <w:rPr>
                <w:rFonts w:ascii="Times New Roman"/>
                <w:sz w:val="22"/>
              </w:rPr>
            </w:pPr>
          </w:p>
          <w:p w14:paraId="36D17E4D">
            <w:pPr>
              <w:pStyle w:val="14"/>
              <w:rPr>
                <w:rFonts w:ascii="Times New Roman"/>
                <w:sz w:val="22"/>
              </w:rPr>
            </w:pPr>
          </w:p>
          <w:p w14:paraId="0191CB68">
            <w:pPr>
              <w:pStyle w:val="14"/>
              <w:rPr>
                <w:rFonts w:ascii="Times New Roman"/>
                <w:sz w:val="22"/>
              </w:rPr>
            </w:pPr>
          </w:p>
          <w:p w14:paraId="07E92210">
            <w:pPr>
              <w:pStyle w:val="14"/>
              <w:rPr>
                <w:rFonts w:ascii="Times New Roman"/>
                <w:sz w:val="22"/>
              </w:rPr>
            </w:pPr>
          </w:p>
          <w:p w14:paraId="4431DCAB">
            <w:pPr>
              <w:pStyle w:val="14"/>
              <w:rPr>
                <w:rFonts w:ascii="Times New Roman"/>
                <w:sz w:val="22"/>
              </w:rPr>
            </w:pPr>
          </w:p>
          <w:p w14:paraId="6F92136C">
            <w:pPr>
              <w:pStyle w:val="14"/>
              <w:rPr>
                <w:rFonts w:ascii="Times New Roman"/>
                <w:sz w:val="22"/>
              </w:rPr>
            </w:pPr>
          </w:p>
          <w:p w14:paraId="2D972236">
            <w:pPr>
              <w:pStyle w:val="14"/>
              <w:rPr>
                <w:rFonts w:ascii="Times New Roman"/>
                <w:sz w:val="22"/>
              </w:rPr>
            </w:pPr>
          </w:p>
          <w:p w14:paraId="5D1BF6E3">
            <w:pPr>
              <w:pStyle w:val="14"/>
              <w:rPr>
                <w:rFonts w:ascii="Times New Roman"/>
                <w:sz w:val="22"/>
              </w:rPr>
            </w:pPr>
          </w:p>
          <w:p w14:paraId="7E26B2A0">
            <w:pPr>
              <w:pStyle w:val="14"/>
              <w:rPr>
                <w:rFonts w:ascii="Times New Roman"/>
                <w:sz w:val="22"/>
              </w:rPr>
            </w:pPr>
          </w:p>
          <w:p w14:paraId="7154C09D">
            <w:pPr>
              <w:pStyle w:val="14"/>
              <w:rPr>
                <w:rFonts w:ascii="Times New Roman"/>
                <w:sz w:val="22"/>
              </w:rPr>
            </w:pPr>
          </w:p>
          <w:p w14:paraId="2C798007">
            <w:pPr>
              <w:pStyle w:val="14"/>
              <w:rPr>
                <w:rFonts w:ascii="Times New Roman"/>
                <w:sz w:val="22"/>
              </w:rPr>
            </w:pPr>
          </w:p>
          <w:p w14:paraId="7B5C41D0">
            <w:pPr>
              <w:pStyle w:val="14"/>
              <w:rPr>
                <w:rFonts w:ascii="Times New Roman"/>
                <w:sz w:val="22"/>
              </w:rPr>
            </w:pPr>
          </w:p>
          <w:p w14:paraId="689959EA">
            <w:pPr>
              <w:pStyle w:val="14"/>
              <w:rPr>
                <w:rFonts w:ascii="Times New Roman"/>
                <w:sz w:val="22"/>
              </w:rPr>
            </w:pPr>
          </w:p>
          <w:p w14:paraId="3081608E">
            <w:pPr>
              <w:pStyle w:val="14"/>
              <w:rPr>
                <w:rFonts w:ascii="Times New Roman"/>
                <w:sz w:val="22"/>
              </w:rPr>
            </w:pPr>
          </w:p>
          <w:p w14:paraId="57B88C8F">
            <w:pPr>
              <w:pStyle w:val="14"/>
              <w:rPr>
                <w:rFonts w:ascii="Times New Roman"/>
                <w:sz w:val="22"/>
              </w:rPr>
            </w:pPr>
          </w:p>
          <w:p w14:paraId="4E3D8A7F">
            <w:pPr>
              <w:pStyle w:val="14"/>
              <w:rPr>
                <w:rFonts w:ascii="Times New Roman"/>
                <w:sz w:val="22"/>
              </w:rPr>
            </w:pPr>
          </w:p>
          <w:p w14:paraId="568475C0">
            <w:pPr>
              <w:pStyle w:val="14"/>
              <w:rPr>
                <w:rFonts w:ascii="Times New Roman"/>
                <w:sz w:val="22"/>
              </w:rPr>
            </w:pPr>
          </w:p>
          <w:p w14:paraId="72354D14">
            <w:pPr>
              <w:pStyle w:val="14"/>
              <w:rPr>
                <w:rFonts w:ascii="Times New Roman"/>
                <w:sz w:val="22"/>
              </w:rPr>
            </w:pPr>
          </w:p>
          <w:p w14:paraId="6A7063F5">
            <w:pPr>
              <w:pStyle w:val="14"/>
              <w:rPr>
                <w:rFonts w:ascii="Times New Roman"/>
                <w:sz w:val="22"/>
              </w:rPr>
            </w:pPr>
          </w:p>
          <w:p w14:paraId="3EFC8885">
            <w:pPr>
              <w:pStyle w:val="14"/>
              <w:rPr>
                <w:rFonts w:ascii="Times New Roman"/>
                <w:sz w:val="22"/>
              </w:rPr>
            </w:pPr>
          </w:p>
          <w:p w14:paraId="370839BF">
            <w:pPr>
              <w:pStyle w:val="14"/>
              <w:rPr>
                <w:rFonts w:ascii="Times New Roman"/>
                <w:sz w:val="22"/>
              </w:rPr>
            </w:pPr>
          </w:p>
          <w:p w14:paraId="6B689901">
            <w:pPr>
              <w:pStyle w:val="14"/>
              <w:rPr>
                <w:rFonts w:ascii="Times New Roman"/>
                <w:sz w:val="22"/>
              </w:rPr>
            </w:pPr>
          </w:p>
          <w:p w14:paraId="6B9D211A">
            <w:pPr>
              <w:pStyle w:val="14"/>
              <w:spacing w:before="4"/>
              <w:rPr>
                <w:rFonts w:ascii="Times New Roman"/>
                <w:sz w:val="22"/>
              </w:rPr>
            </w:pPr>
          </w:p>
          <w:p w14:paraId="27136875">
            <w:pPr>
              <w:pStyle w:val="14"/>
              <w:ind w:left="105"/>
              <w:rPr>
                <w:rFonts w:ascii="Times New Roman"/>
                <w:sz w:val="21"/>
              </w:rPr>
            </w:pPr>
            <w:r>
              <w:rPr>
                <w:rFonts w:ascii="Times New Roman"/>
                <w:sz w:val="21"/>
              </w:rPr>
              <w:t>2024.1.2</w:t>
            </w:r>
          </w:p>
        </w:tc>
        <w:tc>
          <w:tcPr>
            <w:tcW w:w="1027" w:type="dxa"/>
          </w:tcPr>
          <w:p w14:paraId="53EFA584">
            <w:pPr>
              <w:pStyle w:val="14"/>
              <w:spacing w:before="113"/>
              <w:ind w:left="71" w:right="61"/>
              <w:jc w:val="center"/>
              <w:rPr>
                <w:rFonts w:ascii="Times New Roman"/>
                <w:sz w:val="21"/>
              </w:rPr>
            </w:pPr>
            <w:r>
              <w:rPr>
                <w:rFonts w:ascii="Times New Roman"/>
                <w:sz w:val="21"/>
              </w:rPr>
              <w:t>pH</w:t>
            </w:r>
          </w:p>
        </w:tc>
        <w:tc>
          <w:tcPr>
            <w:tcW w:w="1201" w:type="dxa"/>
          </w:tcPr>
          <w:p w14:paraId="70F04118">
            <w:pPr>
              <w:pStyle w:val="14"/>
              <w:spacing w:before="77"/>
              <w:ind w:left="198" w:right="191"/>
              <w:jc w:val="center"/>
              <w:rPr>
                <w:sz w:val="21"/>
              </w:rPr>
            </w:pPr>
            <w:r>
              <w:rPr>
                <w:sz w:val="21"/>
              </w:rPr>
              <w:t>无量纲</w:t>
            </w:r>
          </w:p>
        </w:tc>
        <w:tc>
          <w:tcPr>
            <w:tcW w:w="1336" w:type="dxa"/>
          </w:tcPr>
          <w:p w14:paraId="18AD8AAB">
            <w:pPr>
              <w:pStyle w:val="14"/>
              <w:spacing w:before="113"/>
              <w:ind w:left="140" w:right="132"/>
              <w:jc w:val="center"/>
              <w:rPr>
                <w:rFonts w:ascii="Times New Roman" w:hAnsi="Times New Roman"/>
                <w:sz w:val="21"/>
              </w:rPr>
            </w:pPr>
            <w:r>
              <w:rPr>
                <w:rFonts w:ascii="Times New Roman" w:hAnsi="Times New Roman"/>
                <w:sz w:val="21"/>
              </w:rPr>
              <w:t>6.5≤pH≤8.5</w:t>
            </w:r>
          </w:p>
        </w:tc>
        <w:tc>
          <w:tcPr>
            <w:tcW w:w="1025" w:type="dxa"/>
          </w:tcPr>
          <w:p w14:paraId="77603FE1">
            <w:pPr>
              <w:pStyle w:val="14"/>
              <w:spacing w:before="113"/>
              <w:ind w:left="174" w:right="165"/>
              <w:jc w:val="center"/>
              <w:rPr>
                <w:rFonts w:ascii="Times New Roman"/>
                <w:sz w:val="21"/>
              </w:rPr>
            </w:pPr>
            <w:r>
              <w:rPr>
                <w:rFonts w:ascii="Times New Roman"/>
                <w:sz w:val="21"/>
              </w:rPr>
              <w:t>7.3</w:t>
            </w:r>
          </w:p>
        </w:tc>
        <w:tc>
          <w:tcPr>
            <w:tcW w:w="997" w:type="dxa"/>
          </w:tcPr>
          <w:p w14:paraId="01288C5B">
            <w:pPr>
              <w:pStyle w:val="14"/>
              <w:spacing w:before="113"/>
              <w:ind w:right="356"/>
              <w:jc w:val="right"/>
              <w:rPr>
                <w:rFonts w:ascii="Times New Roman"/>
                <w:sz w:val="21"/>
              </w:rPr>
            </w:pPr>
            <w:r>
              <w:rPr>
                <w:rFonts w:ascii="Times New Roman"/>
                <w:w w:val="95"/>
                <w:sz w:val="21"/>
              </w:rPr>
              <w:t>7.1</w:t>
            </w:r>
          </w:p>
        </w:tc>
        <w:tc>
          <w:tcPr>
            <w:tcW w:w="936" w:type="dxa"/>
          </w:tcPr>
          <w:p w14:paraId="57894ADD">
            <w:pPr>
              <w:pStyle w:val="14"/>
              <w:spacing w:before="113"/>
              <w:ind w:left="130" w:right="121"/>
              <w:jc w:val="center"/>
              <w:rPr>
                <w:rFonts w:ascii="Times New Roman"/>
                <w:sz w:val="21"/>
              </w:rPr>
            </w:pPr>
            <w:r>
              <w:rPr>
                <w:rFonts w:ascii="Times New Roman"/>
                <w:sz w:val="21"/>
              </w:rPr>
              <w:t>7.2</w:t>
            </w:r>
          </w:p>
        </w:tc>
        <w:tc>
          <w:tcPr>
            <w:tcW w:w="294" w:type="dxa"/>
          </w:tcPr>
          <w:p w14:paraId="480B68E0">
            <w:pPr>
              <w:pStyle w:val="14"/>
              <w:spacing w:before="91"/>
              <w:ind w:left="93"/>
              <w:rPr>
                <w:rFonts w:ascii="Times New Roman"/>
                <w:sz w:val="21"/>
              </w:rPr>
            </w:pPr>
            <w:r>
              <w:rPr>
                <w:rFonts w:ascii="Times New Roman"/>
                <w:w w:val="99"/>
                <w:sz w:val="21"/>
              </w:rPr>
              <w:t>0</w:t>
            </w:r>
          </w:p>
        </w:tc>
        <w:tc>
          <w:tcPr>
            <w:tcW w:w="551" w:type="dxa"/>
          </w:tcPr>
          <w:p w14:paraId="1B858EFE">
            <w:pPr>
              <w:pStyle w:val="14"/>
              <w:spacing w:before="91"/>
              <w:ind w:left="7"/>
              <w:jc w:val="center"/>
              <w:rPr>
                <w:rFonts w:ascii="Times New Roman"/>
                <w:sz w:val="21"/>
              </w:rPr>
            </w:pPr>
            <w:r>
              <w:rPr>
                <w:rFonts w:ascii="Times New Roman"/>
                <w:w w:val="99"/>
                <w:sz w:val="21"/>
              </w:rPr>
              <w:t>0</w:t>
            </w:r>
          </w:p>
        </w:tc>
      </w:tr>
      <w:tr w14:paraId="4E2AB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2BCAE8B3">
            <w:pPr>
              <w:rPr>
                <w:sz w:val="2"/>
                <w:szCs w:val="2"/>
              </w:rPr>
            </w:pPr>
          </w:p>
        </w:tc>
        <w:tc>
          <w:tcPr>
            <w:tcW w:w="1027" w:type="dxa"/>
          </w:tcPr>
          <w:p w14:paraId="37D89A98">
            <w:pPr>
              <w:pStyle w:val="14"/>
              <w:spacing w:before="98"/>
              <w:ind w:left="71" w:right="63"/>
              <w:jc w:val="center"/>
              <w:rPr>
                <w:sz w:val="21"/>
              </w:rPr>
            </w:pPr>
            <w:r>
              <w:rPr>
                <w:sz w:val="21"/>
              </w:rPr>
              <w:t>钾离子</w:t>
            </w:r>
          </w:p>
        </w:tc>
        <w:tc>
          <w:tcPr>
            <w:tcW w:w="1201" w:type="dxa"/>
          </w:tcPr>
          <w:p w14:paraId="4F8DC1DE">
            <w:pPr>
              <w:pStyle w:val="14"/>
              <w:spacing w:before="91"/>
              <w:ind w:left="198" w:right="191"/>
              <w:jc w:val="center"/>
              <w:rPr>
                <w:rFonts w:ascii="Times New Roman"/>
                <w:sz w:val="21"/>
              </w:rPr>
            </w:pPr>
            <w:r>
              <w:rPr>
                <w:rFonts w:ascii="Times New Roman"/>
                <w:sz w:val="21"/>
              </w:rPr>
              <w:t>mg/L</w:t>
            </w:r>
          </w:p>
        </w:tc>
        <w:tc>
          <w:tcPr>
            <w:tcW w:w="1336" w:type="dxa"/>
          </w:tcPr>
          <w:p w14:paraId="570F2BCD">
            <w:pPr>
              <w:pStyle w:val="14"/>
              <w:spacing w:before="112"/>
              <w:ind w:left="10"/>
              <w:jc w:val="center"/>
              <w:rPr>
                <w:rFonts w:ascii="Times New Roman"/>
                <w:sz w:val="21"/>
              </w:rPr>
            </w:pPr>
            <w:r>
              <w:rPr>
                <w:rFonts w:ascii="Times New Roman"/>
                <w:w w:val="99"/>
                <w:sz w:val="21"/>
              </w:rPr>
              <w:t>/</w:t>
            </w:r>
          </w:p>
        </w:tc>
        <w:tc>
          <w:tcPr>
            <w:tcW w:w="1025" w:type="dxa"/>
          </w:tcPr>
          <w:p w14:paraId="2B69D611">
            <w:pPr>
              <w:pStyle w:val="14"/>
              <w:spacing w:before="112"/>
              <w:ind w:left="174" w:right="165"/>
              <w:jc w:val="center"/>
              <w:rPr>
                <w:rFonts w:ascii="Times New Roman"/>
                <w:sz w:val="21"/>
              </w:rPr>
            </w:pPr>
            <w:r>
              <w:rPr>
                <w:rFonts w:ascii="Times New Roman"/>
                <w:sz w:val="21"/>
              </w:rPr>
              <w:t>4.14</w:t>
            </w:r>
          </w:p>
        </w:tc>
        <w:tc>
          <w:tcPr>
            <w:tcW w:w="997" w:type="dxa"/>
          </w:tcPr>
          <w:p w14:paraId="38CE43AC">
            <w:pPr>
              <w:pStyle w:val="14"/>
              <w:spacing w:before="112"/>
              <w:ind w:right="303"/>
              <w:jc w:val="right"/>
              <w:rPr>
                <w:rFonts w:ascii="Times New Roman"/>
                <w:sz w:val="21"/>
              </w:rPr>
            </w:pPr>
            <w:r>
              <w:rPr>
                <w:rFonts w:ascii="Times New Roman"/>
                <w:sz w:val="21"/>
              </w:rPr>
              <w:t>3.99</w:t>
            </w:r>
          </w:p>
        </w:tc>
        <w:tc>
          <w:tcPr>
            <w:tcW w:w="936" w:type="dxa"/>
          </w:tcPr>
          <w:p w14:paraId="2F949974">
            <w:pPr>
              <w:pStyle w:val="14"/>
              <w:spacing w:before="112"/>
              <w:ind w:left="130" w:right="121"/>
              <w:jc w:val="center"/>
              <w:rPr>
                <w:rFonts w:ascii="Times New Roman"/>
                <w:sz w:val="21"/>
              </w:rPr>
            </w:pPr>
            <w:r>
              <w:rPr>
                <w:rFonts w:ascii="Times New Roman"/>
                <w:sz w:val="21"/>
              </w:rPr>
              <w:t>7.93</w:t>
            </w:r>
          </w:p>
        </w:tc>
        <w:tc>
          <w:tcPr>
            <w:tcW w:w="294" w:type="dxa"/>
          </w:tcPr>
          <w:p w14:paraId="78F32B72">
            <w:pPr>
              <w:pStyle w:val="14"/>
              <w:spacing w:before="91"/>
              <w:ind w:left="93"/>
              <w:rPr>
                <w:rFonts w:ascii="Times New Roman"/>
                <w:sz w:val="21"/>
              </w:rPr>
            </w:pPr>
            <w:r>
              <w:rPr>
                <w:rFonts w:ascii="Times New Roman"/>
                <w:w w:val="99"/>
                <w:sz w:val="21"/>
              </w:rPr>
              <w:t>0</w:t>
            </w:r>
          </w:p>
        </w:tc>
        <w:tc>
          <w:tcPr>
            <w:tcW w:w="551" w:type="dxa"/>
          </w:tcPr>
          <w:p w14:paraId="46419C63">
            <w:pPr>
              <w:pStyle w:val="14"/>
              <w:spacing w:before="91"/>
              <w:ind w:left="7"/>
              <w:jc w:val="center"/>
              <w:rPr>
                <w:rFonts w:ascii="Times New Roman"/>
                <w:sz w:val="21"/>
              </w:rPr>
            </w:pPr>
            <w:r>
              <w:rPr>
                <w:rFonts w:ascii="Times New Roman"/>
                <w:w w:val="99"/>
                <w:sz w:val="21"/>
              </w:rPr>
              <w:t>0</w:t>
            </w:r>
          </w:p>
        </w:tc>
      </w:tr>
      <w:tr w14:paraId="2EB5F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2D37EBB">
            <w:pPr>
              <w:rPr>
                <w:sz w:val="2"/>
                <w:szCs w:val="2"/>
              </w:rPr>
            </w:pPr>
          </w:p>
        </w:tc>
        <w:tc>
          <w:tcPr>
            <w:tcW w:w="1027" w:type="dxa"/>
          </w:tcPr>
          <w:p w14:paraId="2D812ADF">
            <w:pPr>
              <w:pStyle w:val="14"/>
              <w:spacing w:before="98"/>
              <w:ind w:left="71" w:right="63"/>
              <w:jc w:val="center"/>
              <w:rPr>
                <w:sz w:val="21"/>
              </w:rPr>
            </w:pPr>
            <w:r>
              <w:rPr>
                <w:sz w:val="21"/>
              </w:rPr>
              <w:t>钠离子</w:t>
            </w:r>
          </w:p>
        </w:tc>
        <w:tc>
          <w:tcPr>
            <w:tcW w:w="1201" w:type="dxa"/>
          </w:tcPr>
          <w:p w14:paraId="2E277A6A">
            <w:pPr>
              <w:pStyle w:val="14"/>
              <w:spacing w:before="90"/>
              <w:ind w:left="198" w:right="191"/>
              <w:jc w:val="center"/>
              <w:rPr>
                <w:rFonts w:ascii="Times New Roman"/>
                <w:sz w:val="21"/>
              </w:rPr>
            </w:pPr>
            <w:r>
              <w:rPr>
                <w:rFonts w:ascii="Times New Roman"/>
                <w:sz w:val="21"/>
              </w:rPr>
              <w:t>mg/L</w:t>
            </w:r>
          </w:p>
        </w:tc>
        <w:tc>
          <w:tcPr>
            <w:tcW w:w="1336" w:type="dxa"/>
          </w:tcPr>
          <w:p w14:paraId="52A597AA">
            <w:pPr>
              <w:pStyle w:val="14"/>
              <w:spacing w:before="112"/>
              <w:ind w:left="10"/>
              <w:jc w:val="center"/>
              <w:rPr>
                <w:rFonts w:ascii="Times New Roman"/>
                <w:sz w:val="21"/>
              </w:rPr>
            </w:pPr>
            <w:r>
              <w:rPr>
                <w:rFonts w:ascii="Times New Roman"/>
                <w:w w:val="99"/>
                <w:sz w:val="21"/>
              </w:rPr>
              <w:t>/</w:t>
            </w:r>
          </w:p>
        </w:tc>
        <w:tc>
          <w:tcPr>
            <w:tcW w:w="1025" w:type="dxa"/>
          </w:tcPr>
          <w:p w14:paraId="4B94C9AC">
            <w:pPr>
              <w:pStyle w:val="14"/>
              <w:spacing w:before="112"/>
              <w:ind w:left="174" w:right="165"/>
              <w:jc w:val="center"/>
              <w:rPr>
                <w:rFonts w:ascii="Times New Roman"/>
                <w:sz w:val="21"/>
              </w:rPr>
            </w:pPr>
            <w:r>
              <w:rPr>
                <w:rFonts w:ascii="Times New Roman"/>
                <w:sz w:val="21"/>
              </w:rPr>
              <w:t>17.5</w:t>
            </w:r>
          </w:p>
        </w:tc>
        <w:tc>
          <w:tcPr>
            <w:tcW w:w="997" w:type="dxa"/>
          </w:tcPr>
          <w:p w14:paraId="2082436F">
            <w:pPr>
              <w:pStyle w:val="14"/>
              <w:spacing w:before="112"/>
              <w:ind w:right="303"/>
              <w:jc w:val="right"/>
              <w:rPr>
                <w:rFonts w:ascii="Times New Roman"/>
                <w:sz w:val="21"/>
              </w:rPr>
            </w:pPr>
            <w:r>
              <w:rPr>
                <w:rFonts w:ascii="Times New Roman"/>
                <w:sz w:val="21"/>
              </w:rPr>
              <w:t>16.3</w:t>
            </w:r>
          </w:p>
        </w:tc>
        <w:tc>
          <w:tcPr>
            <w:tcW w:w="936" w:type="dxa"/>
          </w:tcPr>
          <w:p w14:paraId="0F7F0581">
            <w:pPr>
              <w:pStyle w:val="14"/>
              <w:spacing w:before="112"/>
              <w:ind w:left="130" w:right="121"/>
              <w:jc w:val="center"/>
              <w:rPr>
                <w:rFonts w:ascii="Times New Roman"/>
                <w:sz w:val="21"/>
              </w:rPr>
            </w:pPr>
            <w:r>
              <w:rPr>
                <w:rFonts w:ascii="Times New Roman"/>
                <w:sz w:val="21"/>
              </w:rPr>
              <w:t>11.0</w:t>
            </w:r>
          </w:p>
        </w:tc>
        <w:tc>
          <w:tcPr>
            <w:tcW w:w="294" w:type="dxa"/>
          </w:tcPr>
          <w:p w14:paraId="21770D97">
            <w:pPr>
              <w:pStyle w:val="14"/>
              <w:spacing w:before="90"/>
              <w:ind w:left="93"/>
              <w:rPr>
                <w:rFonts w:ascii="Times New Roman"/>
                <w:sz w:val="21"/>
              </w:rPr>
            </w:pPr>
            <w:r>
              <w:rPr>
                <w:rFonts w:ascii="Times New Roman"/>
                <w:w w:val="99"/>
                <w:sz w:val="21"/>
              </w:rPr>
              <w:t>0</w:t>
            </w:r>
          </w:p>
        </w:tc>
        <w:tc>
          <w:tcPr>
            <w:tcW w:w="551" w:type="dxa"/>
          </w:tcPr>
          <w:p w14:paraId="2BB59A4B">
            <w:pPr>
              <w:pStyle w:val="14"/>
              <w:spacing w:before="90"/>
              <w:ind w:left="7"/>
              <w:jc w:val="center"/>
              <w:rPr>
                <w:rFonts w:ascii="Times New Roman"/>
                <w:sz w:val="21"/>
              </w:rPr>
            </w:pPr>
            <w:r>
              <w:rPr>
                <w:rFonts w:ascii="Times New Roman"/>
                <w:w w:val="99"/>
                <w:sz w:val="21"/>
              </w:rPr>
              <w:t>0</w:t>
            </w:r>
          </w:p>
        </w:tc>
      </w:tr>
      <w:tr w14:paraId="3ACE8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FA1FAAE">
            <w:pPr>
              <w:rPr>
                <w:sz w:val="2"/>
                <w:szCs w:val="2"/>
              </w:rPr>
            </w:pPr>
          </w:p>
        </w:tc>
        <w:tc>
          <w:tcPr>
            <w:tcW w:w="1027" w:type="dxa"/>
          </w:tcPr>
          <w:p w14:paraId="70C348F6">
            <w:pPr>
              <w:pStyle w:val="14"/>
              <w:spacing w:before="97"/>
              <w:ind w:left="71" w:right="63"/>
              <w:jc w:val="center"/>
              <w:rPr>
                <w:sz w:val="21"/>
              </w:rPr>
            </w:pPr>
            <w:r>
              <w:rPr>
                <w:sz w:val="21"/>
              </w:rPr>
              <w:t>钙离子</w:t>
            </w:r>
          </w:p>
        </w:tc>
        <w:tc>
          <w:tcPr>
            <w:tcW w:w="1201" w:type="dxa"/>
          </w:tcPr>
          <w:p w14:paraId="245780ED">
            <w:pPr>
              <w:pStyle w:val="14"/>
              <w:spacing w:before="92"/>
              <w:ind w:left="198" w:right="191"/>
              <w:jc w:val="center"/>
              <w:rPr>
                <w:rFonts w:ascii="Times New Roman"/>
                <w:sz w:val="21"/>
              </w:rPr>
            </w:pPr>
            <w:r>
              <w:rPr>
                <w:rFonts w:ascii="Times New Roman"/>
                <w:sz w:val="21"/>
              </w:rPr>
              <w:t>mg/L</w:t>
            </w:r>
          </w:p>
        </w:tc>
        <w:tc>
          <w:tcPr>
            <w:tcW w:w="1336" w:type="dxa"/>
          </w:tcPr>
          <w:p w14:paraId="4A130692">
            <w:pPr>
              <w:pStyle w:val="14"/>
              <w:spacing w:before="111"/>
              <w:ind w:left="140" w:right="132"/>
              <w:jc w:val="center"/>
              <w:rPr>
                <w:rFonts w:ascii="Times New Roman"/>
                <w:sz w:val="21"/>
              </w:rPr>
            </w:pPr>
            <w:r>
              <w:rPr>
                <w:rFonts w:ascii="Times New Roman"/>
                <w:sz w:val="21"/>
              </w:rPr>
              <w:t>200</w:t>
            </w:r>
          </w:p>
        </w:tc>
        <w:tc>
          <w:tcPr>
            <w:tcW w:w="1025" w:type="dxa"/>
          </w:tcPr>
          <w:p w14:paraId="4E3AA210">
            <w:pPr>
              <w:pStyle w:val="14"/>
              <w:spacing w:before="111"/>
              <w:ind w:left="174" w:right="165"/>
              <w:jc w:val="center"/>
              <w:rPr>
                <w:rFonts w:ascii="Times New Roman"/>
                <w:sz w:val="21"/>
              </w:rPr>
            </w:pPr>
            <w:r>
              <w:rPr>
                <w:rFonts w:ascii="Times New Roman"/>
                <w:sz w:val="21"/>
              </w:rPr>
              <w:t>19.0</w:t>
            </w:r>
          </w:p>
        </w:tc>
        <w:tc>
          <w:tcPr>
            <w:tcW w:w="997" w:type="dxa"/>
          </w:tcPr>
          <w:p w14:paraId="210B23FB">
            <w:pPr>
              <w:pStyle w:val="14"/>
              <w:spacing w:before="111"/>
              <w:ind w:right="303"/>
              <w:jc w:val="right"/>
              <w:rPr>
                <w:rFonts w:ascii="Times New Roman"/>
                <w:sz w:val="21"/>
              </w:rPr>
            </w:pPr>
            <w:r>
              <w:rPr>
                <w:rFonts w:ascii="Times New Roman"/>
                <w:sz w:val="21"/>
              </w:rPr>
              <w:t>17.6</w:t>
            </w:r>
          </w:p>
        </w:tc>
        <w:tc>
          <w:tcPr>
            <w:tcW w:w="936" w:type="dxa"/>
          </w:tcPr>
          <w:p w14:paraId="3C1D0127">
            <w:pPr>
              <w:pStyle w:val="14"/>
              <w:spacing w:before="111"/>
              <w:ind w:left="130" w:right="121"/>
              <w:jc w:val="center"/>
              <w:rPr>
                <w:rFonts w:ascii="Times New Roman"/>
                <w:sz w:val="21"/>
              </w:rPr>
            </w:pPr>
            <w:r>
              <w:rPr>
                <w:rFonts w:ascii="Times New Roman"/>
                <w:sz w:val="21"/>
              </w:rPr>
              <w:t>18.0</w:t>
            </w:r>
          </w:p>
        </w:tc>
        <w:tc>
          <w:tcPr>
            <w:tcW w:w="294" w:type="dxa"/>
          </w:tcPr>
          <w:p w14:paraId="2B9EAA74">
            <w:pPr>
              <w:pStyle w:val="14"/>
              <w:spacing w:before="92"/>
              <w:ind w:left="93"/>
              <w:rPr>
                <w:rFonts w:ascii="Times New Roman"/>
                <w:sz w:val="21"/>
              </w:rPr>
            </w:pPr>
            <w:r>
              <w:rPr>
                <w:rFonts w:ascii="Times New Roman"/>
                <w:w w:val="99"/>
                <w:sz w:val="21"/>
              </w:rPr>
              <w:t>0</w:t>
            </w:r>
          </w:p>
        </w:tc>
        <w:tc>
          <w:tcPr>
            <w:tcW w:w="551" w:type="dxa"/>
          </w:tcPr>
          <w:p w14:paraId="6B5D3483">
            <w:pPr>
              <w:pStyle w:val="14"/>
              <w:spacing w:before="92"/>
              <w:ind w:left="7"/>
              <w:jc w:val="center"/>
              <w:rPr>
                <w:rFonts w:ascii="Times New Roman"/>
                <w:sz w:val="21"/>
              </w:rPr>
            </w:pPr>
            <w:r>
              <w:rPr>
                <w:rFonts w:ascii="Times New Roman"/>
                <w:w w:val="99"/>
                <w:sz w:val="21"/>
              </w:rPr>
              <w:t>0</w:t>
            </w:r>
          </w:p>
        </w:tc>
      </w:tr>
      <w:tr w14:paraId="039F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3EBA9EC">
            <w:pPr>
              <w:rPr>
                <w:sz w:val="2"/>
                <w:szCs w:val="2"/>
              </w:rPr>
            </w:pPr>
          </w:p>
        </w:tc>
        <w:tc>
          <w:tcPr>
            <w:tcW w:w="1027" w:type="dxa"/>
          </w:tcPr>
          <w:p w14:paraId="288E81E7">
            <w:pPr>
              <w:pStyle w:val="14"/>
              <w:spacing w:before="99"/>
              <w:ind w:left="71" w:right="63"/>
              <w:jc w:val="center"/>
              <w:rPr>
                <w:sz w:val="21"/>
              </w:rPr>
            </w:pPr>
            <w:r>
              <w:rPr>
                <w:sz w:val="21"/>
              </w:rPr>
              <w:t>镁离子</w:t>
            </w:r>
          </w:p>
        </w:tc>
        <w:tc>
          <w:tcPr>
            <w:tcW w:w="1201" w:type="dxa"/>
          </w:tcPr>
          <w:p w14:paraId="6BEF0C85">
            <w:pPr>
              <w:pStyle w:val="14"/>
              <w:spacing w:before="91"/>
              <w:ind w:left="198" w:right="191"/>
              <w:jc w:val="center"/>
              <w:rPr>
                <w:rFonts w:ascii="Times New Roman"/>
                <w:sz w:val="21"/>
              </w:rPr>
            </w:pPr>
            <w:r>
              <w:rPr>
                <w:rFonts w:ascii="Times New Roman"/>
                <w:sz w:val="21"/>
              </w:rPr>
              <w:t>mg/L</w:t>
            </w:r>
          </w:p>
        </w:tc>
        <w:tc>
          <w:tcPr>
            <w:tcW w:w="1336" w:type="dxa"/>
          </w:tcPr>
          <w:p w14:paraId="34AB465C">
            <w:pPr>
              <w:pStyle w:val="14"/>
              <w:spacing w:before="113"/>
              <w:ind w:left="10"/>
              <w:jc w:val="center"/>
              <w:rPr>
                <w:rFonts w:ascii="Times New Roman"/>
                <w:sz w:val="21"/>
              </w:rPr>
            </w:pPr>
            <w:r>
              <w:rPr>
                <w:rFonts w:ascii="Times New Roman"/>
                <w:w w:val="99"/>
                <w:sz w:val="21"/>
              </w:rPr>
              <w:t>/</w:t>
            </w:r>
          </w:p>
        </w:tc>
        <w:tc>
          <w:tcPr>
            <w:tcW w:w="1025" w:type="dxa"/>
          </w:tcPr>
          <w:p w14:paraId="7E13E55B">
            <w:pPr>
              <w:pStyle w:val="14"/>
              <w:spacing w:before="113"/>
              <w:ind w:left="174" w:right="165"/>
              <w:jc w:val="center"/>
              <w:rPr>
                <w:rFonts w:ascii="Times New Roman"/>
                <w:sz w:val="21"/>
              </w:rPr>
            </w:pPr>
            <w:r>
              <w:rPr>
                <w:rFonts w:ascii="Times New Roman"/>
                <w:sz w:val="21"/>
              </w:rPr>
              <w:t>11.5</w:t>
            </w:r>
          </w:p>
        </w:tc>
        <w:tc>
          <w:tcPr>
            <w:tcW w:w="997" w:type="dxa"/>
          </w:tcPr>
          <w:p w14:paraId="372AE6AE">
            <w:pPr>
              <w:pStyle w:val="14"/>
              <w:spacing w:before="113"/>
              <w:ind w:right="303"/>
              <w:jc w:val="right"/>
              <w:rPr>
                <w:rFonts w:ascii="Times New Roman"/>
                <w:sz w:val="21"/>
              </w:rPr>
            </w:pPr>
            <w:r>
              <w:rPr>
                <w:rFonts w:ascii="Times New Roman"/>
                <w:sz w:val="21"/>
              </w:rPr>
              <w:t>9.50</w:t>
            </w:r>
          </w:p>
        </w:tc>
        <w:tc>
          <w:tcPr>
            <w:tcW w:w="936" w:type="dxa"/>
          </w:tcPr>
          <w:p w14:paraId="6C021894">
            <w:pPr>
              <w:pStyle w:val="14"/>
              <w:spacing w:before="113"/>
              <w:ind w:left="130" w:right="121"/>
              <w:jc w:val="center"/>
              <w:rPr>
                <w:rFonts w:ascii="Times New Roman"/>
                <w:sz w:val="21"/>
              </w:rPr>
            </w:pPr>
            <w:r>
              <w:rPr>
                <w:rFonts w:ascii="Times New Roman"/>
                <w:sz w:val="21"/>
              </w:rPr>
              <w:t>7.51</w:t>
            </w:r>
          </w:p>
        </w:tc>
        <w:tc>
          <w:tcPr>
            <w:tcW w:w="294" w:type="dxa"/>
          </w:tcPr>
          <w:p w14:paraId="39EE3F46">
            <w:pPr>
              <w:pStyle w:val="14"/>
              <w:spacing w:before="91"/>
              <w:ind w:left="93"/>
              <w:rPr>
                <w:rFonts w:ascii="Times New Roman"/>
                <w:sz w:val="21"/>
              </w:rPr>
            </w:pPr>
            <w:r>
              <w:rPr>
                <w:rFonts w:ascii="Times New Roman"/>
                <w:w w:val="99"/>
                <w:sz w:val="21"/>
              </w:rPr>
              <w:t>0</w:t>
            </w:r>
          </w:p>
        </w:tc>
        <w:tc>
          <w:tcPr>
            <w:tcW w:w="551" w:type="dxa"/>
          </w:tcPr>
          <w:p w14:paraId="60283F0F">
            <w:pPr>
              <w:pStyle w:val="14"/>
              <w:spacing w:before="91"/>
              <w:ind w:left="7"/>
              <w:jc w:val="center"/>
              <w:rPr>
                <w:rFonts w:ascii="Times New Roman"/>
                <w:sz w:val="21"/>
              </w:rPr>
            </w:pPr>
            <w:r>
              <w:rPr>
                <w:rFonts w:ascii="Times New Roman"/>
                <w:w w:val="99"/>
                <w:sz w:val="21"/>
              </w:rPr>
              <w:t>0</w:t>
            </w:r>
          </w:p>
        </w:tc>
      </w:tr>
      <w:tr w14:paraId="7C730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1550698">
            <w:pPr>
              <w:rPr>
                <w:sz w:val="2"/>
                <w:szCs w:val="2"/>
              </w:rPr>
            </w:pPr>
          </w:p>
        </w:tc>
        <w:tc>
          <w:tcPr>
            <w:tcW w:w="1027" w:type="dxa"/>
          </w:tcPr>
          <w:p w14:paraId="22864FCB">
            <w:pPr>
              <w:pStyle w:val="14"/>
              <w:spacing w:before="77"/>
              <w:ind w:left="71" w:right="63"/>
              <w:jc w:val="center"/>
              <w:rPr>
                <w:sz w:val="21"/>
              </w:rPr>
            </w:pPr>
            <w:r>
              <w:rPr>
                <w:sz w:val="21"/>
              </w:rPr>
              <w:t>碳酸根</w:t>
            </w:r>
          </w:p>
        </w:tc>
        <w:tc>
          <w:tcPr>
            <w:tcW w:w="1201" w:type="dxa"/>
          </w:tcPr>
          <w:p w14:paraId="34449E47">
            <w:pPr>
              <w:pStyle w:val="14"/>
              <w:spacing w:before="91"/>
              <w:ind w:left="198" w:right="191"/>
              <w:jc w:val="center"/>
              <w:rPr>
                <w:rFonts w:ascii="Times New Roman"/>
                <w:sz w:val="21"/>
              </w:rPr>
            </w:pPr>
            <w:r>
              <w:rPr>
                <w:rFonts w:ascii="Times New Roman"/>
                <w:sz w:val="21"/>
              </w:rPr>
              <w:t>mg/L</w:t>
            </w:r>
          </w:p>
        </w:tc>
        <w:tc>
          <w:tcPr>
            <w:tcW w:w="1336" w:type="dxa"/>
          </w:tcPr>
          <w:p w14:paraId="0E3228BC">
            <w:pPr>
              <w:pStyle w:val="14"/>
              <w:spacing w:before="112"/>
              <w:ind w:left="10"/>
              <w:jc w:val="center"/>
              <w:rPr>
                <w:rFonts w:ascii="Times New Roman"/>
                <w:sz w:val="21"/>
              </w:rPr>
            </w:pPr>
            <w:r>
              <w:rPr>
                <w:rFonts w:ascii="Times New Roman"/>
                <w:w w:val="99"/>
                <w:sz w:val="21"/>
              </w:rPr>
              <w:t>/</w:t>
            </w:r>
          </w:p>
        </w:tc>
        <w:tc>
          <w:tcPr>
            <w:tcW w:w="1025" w:type="dxa"/>
          </w:tcPr>
          <w:p w14:paraId="5B93EF48">
            <w:pPr>
              <w:pStyle w:val="14"/>
              <w:spacing w:before="112"/>
              <w:ind w:left="174" w:right="165"/>
              <w:jc w:val="center"/>
              <w:rPr>
                <w:rFonts w:ascii="Times New Roman"/>
                <w:sz w:val="21"/>
              </w:rPr>
            </w:pPr>
            <w:r>
              <w:rPr>
                <w:rFonts w:ascii="Times New Roman"/>
                <w:sz w:val="21"/>
              </w:rPr>
              <w:t>ND</w:t>
            </w:r>
          </w:p>
        </w:tc>
        <w:tc>
          <w:tcPr>
            <w:tcW w:w="997" w:type="dxa"/>
          </w:tcPr>
          <w:p w14:paraId="042BB705">
            <w:pPr>
              <w:pStyle w:val="14"/>
              <w:spacing w:before="112"/>
              <w:ind w:right="336"/>
              <w:jc w:val="right"/>
              <w:rPr>
                <w:rFonts w:ascii="Times New Roman"/>
                <w:sz w:val="21"/>
              </w:rPr>
            </w:pPr>
            <w:r>
              <w:rPr>
                <w:rFonts w:ascii="Times New Roman"/>
                <w:w w:val="95"/>
                <w:sz w:val="21"/>
              </w:rPr>
              <w:t>ND</w:t>
            </w:r>
          </w:p>
        </w:tc>
        <w:tc>
          <w:tcPr>
            <w:tcW w:w="936" w:type="dxa"/>
          </w:tcPr>
          <w:p w14:paraId="03335606">
            <w:pPr>
              <w:pStyle w:val="14"/>
              <w:spacing w:before="112"/>
              <w:ind w:left="127" w:right="122"/>
              <w:jc w:val="center"/>
              <w:rPr>
                <w:rFonts w:ascii="Times New Roman"/>
                <w:sz w:val="21"/>
              </w:rPr>
            </w:pPr>
            <w:r>
              <w:rPr>
                <w:rFonts w:ascii="Times New Roman"/>
                <w:sz w:val="21"/>
              </w:rPr>
              <w:t>ND</w:t>
            </w:r>
          </w:p>
        </w:tc>
        <w:tc>
          <w:tcPr>
            <w:tcW w:w="294" w:type="dxa"/>
          </w:tcPr>
          <w:p w14:paraId="284DEE3B">
            <w:pPr>
              <w:pStyle w:val="14"/>
              <w:spacing w:before="91"/>
              <w:ind w:left="93"/>
              <w:rPr>
                <w:rFonts w:ascii="Times New Roman"/>
                <w:sz w:val="21"/>
              </w:rPr>
            </w:pPr>
            <w:r>
              <w:rPr>
                <w:rFonts w:ascii="Times New Roman"/>
                <w:w w:val="99"/>
                <w:sz w:val="21"/>
              </w:rPr>
              <w:t>0</w:t>
            </w:r>
          </w:p>
        </w:tc>
        <w:tc>
          <w:tcPr>
            <w:tcW w:w="551" w:type="dxa"/>
          </w:tcPr>
          <w:p w14:paraId="4AF0BA48">
            <w:pPr>
              <w:pStyle w:val="14"/>
              <w:spacing w:before="91"/>
              <w:ind w:left="7"/>
              <w:jc w:val="center"/>
              <w:rPr>
                <w:rFonts w:ascii="Times New Roman"/>
                <w:sz w:val="21"/>
              </w:rPr>
            </w:pPr>
            <w:r>
              <w:rPr>
                <w:rFonts w:ascii="Times New Roman"/>
                <w:w w:val="99"/>
                <w:sz w:val="21"/>
              </w:rPr>
              <w:t>0</w:t>
            </w:r>
          </w:p>
        </w:tc>
      </w:tr>
      <w:tr w14:paraId="55E82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1A2759D5">
            <w:pPr>
              <w:rPr>
                <w:sz w:val="2"/>
                <w:szCs w:val="2"/>
              </w:rPr>
            </w:pPr>
          </w:p>
        </w:tc>
        <w:tc>
          <w:tcPr>
            <w:tcW w:w="1027" w:type="dxa"/>
          </w:tcPr>
          <w:p w14:paraId="09EBB71C">
            <w:pPr>
              <w:pStyle w:val="14"/>
              <w:spacing w:before="76"/>
              <w:ind w:left="71" w:right="66"/>
              <w:jc w:val="center"/>
              <w:rPr>
                <w:sz w:val="21"/>
              </w:rPr>
            </w:pPr>
            <w:r>
              <w:rPr>
                <w:sz w:val="21"/>
              </w:rPr>
              <w:t>碳酸氢根</w:t>
            </w:r>
          </w:p>
        </w:tc>
        <w:tc>
          <w:tcPr>
            <w:tcW w:w="1201" w:type="dxa"/>
          </w:tcPr>
          <w:p w14:paraId="07418F46">
            <w:pPr>
              <w:pStyle w:val="14"/>
              <w:spacing w:before="90"/>
              <w:ind w:left="198" w:right="191"/>
              <w:jc w:val="center"/>
              <w:rPr>
                <w:rFonts w:ascii="Times New Roman"/>
                <w:sz w:val="21"/>
              </w:rPr>
            </w:pPr>
            <w:r>
              <w:rPr>
                <w:rFonts w:ascii="Times New Roman"/>
                <w:sz w:val="21"/>
              </w:rPr>
              <w:t>mg/L</w:t>
            </w:r>
          </w:p>
        </w:tc>
        <w:tc>
          <w:tcPr>
            <w:tcW w:w="1336" w:type="dxa"/>
          </w:tcPr>
          <w:p w14:paraId="7E6D06B7">
            <w:pPr>
              <w:pStyle w:val="14"/>
              <w:spacing w:before="112"/>
              <w:ind w:left="10"/>
              <w:jc w:val="center"/>
              <w:rPr>
                <w:rFonts w:ascii="Times New Roman"/>
                <w:sz w:val="21"/>
              </w:rPr>
            </w:pPr>
            <w:r>
              <w:rPr>
                <w:rFonts w:ascii="Times New Roman"/>
                <w:w w:val="99"/>
                <w:sz w:val="21"/>
              </w:rPr>
              <w:t>/</w:t>
            </w:r>
          </w:p>
        </w:tc>
        <w:tc>
          <w:tcPr>
            <w:tcW w:w="1025" w:type="dxa"/>
          </w:tcPr>
          <w:p w14:paraId="734890D0">
            <w:pPr>
              <w:pStyle w:val="14"/>
              <w:spacing w:before="112"/>
              <w:ind w:left="174" w:right="165"/>
              <w:jc w:val="center"/>
              <w:rPr>
                <w:rFonts w:ascii="Times New Roman"/>
                <w:sz w:val="21"/>
              </w:rPr>
            </w:pPr>
            <w:r>
              <w:rPr>
                <w:rFonts w:ascii="Times New Roman"/>
                <w:sz w:val="21"/>
              </w:rPr>
              <w:t>19.5</w:t>
            </w:r>
          </w:p>
        </w:tc>
        <w:tc>
          <w:tcPr>
            <w:tcW w:w="997" w:type="dxa"/>
          </w:tcPr>
          <w:p w14:paraId="172EF032">
            <w:pPr>
              <w:pStyle w:val="14"/>
              <w:spacing w:before="112"/>
              <w:ind w:right="303"/>
              <w:jc w:val="right"/>
              <w:rPr>
                <w:rFonts w:ascii="Times New Roman"/>
                <w:sz w:val="21"/>
              </w:rPr>
            </w:pPr>
            <w:r>
              <w:rPr>
                <w:rFonts w:ascii="Times New Roman"/>
                <w:sz w:val="21"/>
              </w:rPr>
              <w:t>1.86</w:t>
            </w:r>
          </w:p>
        </w:tc>
        <w:tc>
          <w:tcPr>
            <w:tcW w:w="936" w:type="dxa"/>
          </w:tcPr>
          <w:p w14:paraId="28C956B8">
            <w:pPr>
              <w:pStyle w:val="14"/>
              <w:spacing w:before="112"/>
              <w:ind w:left="130" w:right="121"/>
              <w:jc w:val="center"/>
              <w:rPr>
                <w:rFonts w:ascii="Times New Roman"/>
                <w:sz w:val="21"/>
              </w:rPr>
            </w:pPr>
            <w:r>
              <w:rPr>
                <w:rFonts w:ascii="Times New Roman"/>
                <w:sz w:val="21"/>
              </w:rPr>
              <w:t>1.80</w:t>
            </w:r>
          </w:p>
        </w:tc>
        <w:tc>
          <w:tcPr>
            <w:tcW w:w="294" w:type="dxa"/>
          </w:tcPr>
          <w:p w14:paraId="0A1D2D62">
            <w:pPr>
              <w:pStyle w:val="14"/>
              <w:spacing w:before="90"/>
              <w:ind w:left="93"/>
              <w:rPr>
                <w:rFonts w:ascii="Times New Roman"/>
                <w:sz w:val="21"/>
              </w:rPr>
            </w:pPr>
            <w:r>
              <w:rPr>
                <w:rFonts w:ascii="Times New Roman"/>
                <w:w w:val="99"/>
                <w:sz w:val="21"/>
              </w:rPr>
              <w:t>0</w:t>
            </w:r>
          </w:p>
        </w:tc>
        <w:tc>
          <w:tcPr>
            <w:tcW w:w="551" w:type="dxa"/>
          </w:tcPr>
          <w:p w14:paraId="05FCE5CC">
            <w:pPr>
              <w:pStyle w:val="14"/>
              <w:spacing w:before="90"/>
              <w:ind w:left="7"/>
              <w:jc w:val="center"/>
              <w:rPr>
                <w:rFonts w:ascii="Times New Roman"/>
                <w:sz w:val="21"/>
              </w:rPr>
            </w:pPr>
            <w:r>
              <w:rPr>
                <w:rFonts w:ascii="Times New Roman"/>
                <w:w w:val="99"/>
                <w:sz w:val="21"/>
              </w:rPr>
              <w:t>0</w:t>
            </w:r>
          </w:p>
        </w:tc>
      </w:tr>
      <w:tr w14:paraId="2C891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28D74EBE">
            <w:pPr>
              <w:rPr>
                <w:sz w:val="2"/>
                <w:szCs w:val="2"/>
              </w:rPr>
            </w:pPr>
          </w:p>
        </w:tc>
        <w:tc>
          <w:tcPr>
            <w:tcW w:w="1027" w:type="dxa"/>
          </w:tcPr>
          <w:p w14:paraId="26D9DC89">
            <w:pPr>
              <w:pStyle w:val="14"/>
              <w:spacing w:before="121"/>
              <w:ind w:left="71" w:right="63"/>
              <w:jc w:val="center"/>
              <w:rPr>
                <w:sz w:val="21"/>
              </w:rPr>
            </w:pPr>
            <w:r>
              <w:rPr>
                <w:sz w:val="21"/>
              </w:rPr>
              <w:t>氯离子</w:t>
            </w:r>
          </w:p>
        </w:tc>
        <w:tc>
          <w:tcPr>
            <w:tcW w:w="1201" w:type="dxa"/>
          </w:tcPr>
          <w:p w14:paraId="4766322C">
            <w:pPr>
              <w:pStyle w:val="14"/>
              <w:spacing w:before="92"/>
              <w:ind w:left="198" w:right="191"/>
              <w:jc w:val="center"/>
              <w:rPr>
                <w:rFonts w:ascii="Times New Roman"/>
                <w:sz w:val="21"/>
              </w:rPr>
            </w:pPr>
            <w:r>
              <w:rPr>
                <w:rFonts w:ascii="Times New Roman"/>
                <w:sz w:val="21"/>
              </w:rPr>
              <w:t>mg/L</w:t>
            </w:r>
          </w:p>
        </w:tc>
        <w:tc>
          <w:tcPr>
            <w:tcW w:w="1336" w:type="dxa"/>
          </w:tcPr>
          <w:p w14:paraId="421F9623">
            <w:pPr>
              <w:pStyle w:val="14"/>
              <w:spacing w:before="111"/>
              <w:ind w:left="140" w:right="132"/>
              <w:jc w:val="center"/>
              <w:rPr>
                <w:rFonts w:ascii="Times New Roman"/>
                <w:sz w:val="21"/>
              </w:rPr>
            </w:pPr>
            <w:r>
              <w:rPr>
                <w:rFonts w:ascii="Times New Roman"/>
                <w:sz w:val="21"/>
              </w:rPr>
              <w:t>250</w:t>
            </w:r>
          </w:p>
        </w:tc>
        <w:tc>
          <w:tcPr>
            <w:tcW w:w="1025" w:type="dxa"/>
          </w:tcPr>
          <w:p w14:paraId="3F29DE26">
            <w:pPr>
              <w:pStyle w:val="14"/>
              <w:spacing w:before="111"/>
              <w:ind w:left="174" w:right="165"/>
              <w:jc w:val="center"/>
              <w:rPr>
                <w:rFonts w:ascii="Times New Roman"/>
                <w:sz w:val="21"/>
              </w:rPr>
            </w:pPr>
            <w:r>
              <w:rPr>
                <w:rFonts w:ascii="Times New Roman"/>
                <w:sz w:val="21"/>
              </w:rPr>
              <w:t>10.3</w:t>
            </w:r>
          </w:p>
        </w:tc>
        <w:tc>
          <w:tcPr>
            <w:tcW w:w="997" w:type="dxa"/>
          </w:tcPr>
          <w:p w14:paraId="7CE9FD50">
            <w:pPr>
              <w:pStyle w:val="14"/>
              <w:spacing w:before="111"/>
              <w:ind w:right="303"/>
              <w:jc w:val="right"/>
              <w:rPr>
                <w:rFonts w:ascii="Times New Roman"/>
                <w:sz w:val="21"/>
              </w:rPr>
            </w:pPr>
            <w:r>
              <w:rPr>
                <w:rFonts w:ascii="Times New Roman"/>
                <w:sz w:val="21"/>
              </w:rPr>
              <w:t>9.54</w:t>
            </w:r>
          </w:p>
        </w:tc>
        <w:tc>
          <w:tcPr>
            <w:tcW w:w="936" w:type="dxa"/>
          </w:tcPr>
          <w:p w14:paraId="15B03579">
            <w:pPr>
              <w:pStyle w:val="14"/>
              <w:spacing w:before="111"/>
              <w:ind w:left="130" w:right="121"/>
              <w:jc w:val="center"/>
              <w:rPr>
                <w:rFonts w:ascii="Times New Roman"/>
                <w:sz w:val="21"/>
              </w:rPr>
            </w:pPr>
            <w:r>
              <w:rPr>
                <w:rFonts w:ascii="Times New Roman"/>
                <w:sz w:val="21"/>
              </w:rPr>
              <w:t>22.4</w:t>
            </w:r>
          </w:p>
        </w:tc>
        <w:tc>
          <w:tcPr>
            <w:tcW w:w="294" w:type="dxa"/>
          </w:tcPr>
          <w:p w14:paraId="0AFCEA1A">
            <w:pPr>
              <w:pStyle w:val="14"/>
              <w:spacing w:before="92"/>
              <w:ind w:left="93"/>
              <w:rPr>
                <w:rFonts w:ascii="Times New Roman"/>
                <w:sz w:val="21"/>
              </w:rPr>
            </w:pPr>
            <w:r>
              <w:rPr>
                <w:rFonts w:ascii="Times New Roman"/>
                <w:w w:val="99"/>
                <w:sz w:val="21"/>
              </w:rPr>
              <w:t>0</w:t>
            </w:r>
          </w:p>
        </w:tc>
        <w:tc>
          <w:tcPr>
            <w:tcW w:w="551" w:type="dxa"/>
          </w:tcPr>
          <w:p w14:paraId="4E7F6A51">
            <w:pPr>
              <w:pStyle w:val="14"/>
              <w:spacing w:before="92"/>
              <w:ind w:left="7"/>
              <w:jc w:val="center"/>
              <w:rPr>
                <w:rFonts w:ascii="Times New Roman"/>
                <w:sz w:val="21"/>
              </w:rPr>
            </w:pPr>
            <w:r>
              <w:rPr>
                <w:rFonts w:ascii="Times New Roman"/>
                <w:w w:val="99"/>
                <w:sz w:val="21"/>
              </w:rPr>
              <w:t>0</w:t>
            </w:r>
          </w:p>
        </w:tc>
      </w:tr>
      <w:tr w14:paraId="1B1B3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9725975">
            <w:pPr>
              <w:rPr>
                <w:sz w:val="2"/>
                <w:szCs w:val="2"/>
              </w:rPr>
            </w:pPr>
          </w:p>
        </w:tc>
        <w:tc>
          <w:tcPr>
            <w:tcW w:w="1027" w:type="dxa"/>
          </w:tcPr>
          <w:p w14:paraId="10FCB43F">
            <w:pPr>
              <w:pStyle w:val="14"/>
              <w:spacing w:before="99"/>
              <w:ind w:left="71" w:right="63"/>
              <w:jc w:val="center"/>
              <w:rPr>
                <w:sz w:val="21"/>
              </w:rPr>
            </w:pPr>
            <w:r>
              <w:rPr>
                <w:sz w:val="21"/>
              </w:rPr>
              <w:t>硫酸根</w:t>
            </w:r>
          </w:p>
        </w:tc>
        <w:tc>
          <w:tcPr>
            <w:tcW w:w="1201" w:type="dxa"/>
          </w:tcPr>
          <w:p w14:paraId="02558DDA">
            <w:pPr>
              <w:pStyle w:val="14"/>
              <w:spacing w:before="91"/>
              <w:ind w:left="198" w:right="191"/>
              <w:jc w:val="center"/>
              <w:rPr>
                <w:rFonts w:ascii="Times New Roman"/>
                <w:sz w:val="21"/>
              </w:rPr>
            </w:pPr>
            <w:r>
              <w:rPr>
                <w:rFonts w:ascii="Times New Roman"/>
                <w:sz w:val="21"/>
              </w:rPr>
              <w:t>mg/L</w:t>
            </w:r>
          </w:p>
        </w:tc>
        <w:tc>
          <w:tcPr>
            <w:tcW w:w="1336" w:type="dxa"/>
          </w:tcPr>
          <w:p w14:paraId="0143573E">
            <w:pPr>
              <w:pStyle w:val="14"/>
              <w:spacing w:before="113"/>
              <w:ind w:left="140" w:right="132"/>
              <w:jc w:val="center"/>
              <w:rPr>
                <w:rFonts w:ascii="Times New Roman"/>
                <w:sz w:val="21"/>
              </w:rPr>
            </w:pPr>
            <w:r>
              <w:rPr>
                <w:rFonts w:ascii="Times New Roman"/>
                <w:sz w:val="21"/>
              </w:rPr>
              <w:t>250</w:t>
            </w:r>
          </w:p>
        </w:tc>
        <w:tc>
          <w:tcPr>
            <w:tcW w:w="1025" w:type="dxa"/>
          </w:tcPr>
          <w:p w14:paraId="7D96104B">
            <w:pPr>
              <w:pStyle w:val="14"/>
              <w:spacing w:before="113"/>
              <w:ind w:left="174" w:right="165"/>
              <w:jc w:val="center"/>
              <w:rPr>
                <w:rFonts w:ascii="Times New Roman"/>
                <w:sz w:val="21"/>
              </w:rPr>
            </w:pPr>
            <w:r>
              <w:rPr>
                <w:rFonts w:ascii="Times New Roman"/>
                <w:sz w:val="21"/>
              </w:rPr>
              <w:t>96.8</w:t>
            </w:r>
          </w:p>
        </w:tc>
        <w:tc>
          <w:tcPr>
            <w:tcW w:w="997" w:type="dxa"/>
          </w:tcPr>
          <w:p w14:paraId="31C1D884">
            <w:pPr>
              <w:pStyle w:val="14"/>
              <w:spacing w:before="113"/>
              <w:ind w:right="303"/>
              <w:jc w:val="right"/>
              <w:rPr>
                <w:rFonts w:ascii="Times New Roman"/>
                <w:sz w:val="21"/>
              </w:rPr>
            </w:pPr>
            <w:r>
              <w:rPr>
                <w:rFonts w:ascii="Times New Roman"/>
                <w:sz w:val="21"/>
              </w:rPr>
              <w:t>86.9</w:t>
            </w:r>
          </w:p>
        </w:tc>
        <w:tc>
          <w:tcPr>
            <w:tcW w:w="936" w:type="dxa"/>
          </w:tcPr>
          <w:p w14:paraId="33E55FF0">
            <w:pPr>
              <w:pStyle w:val="14"/>
              <w:spacing w:before="113"/>
              <w:ind w:left="130" w:right="121"/>
              <w:jc w:val="center"/>
              <w:rPr>
                <w:rFonts w:ascii="Times New Roman"/>
                <w:sz w:val="21"/>
              </w:rPr>
            </w:pPr>
            <w:r>
              <w:rPr>
                <w:rFonts w:ascii="Times New Roman"/>
                <w:sz w:val="21"/>
              </w:rPr>
              <w:t>59.5</w:t>
            </w:r>
          </w:p>
        </w:tc>
        <w:tc>
          <w:tcPr>
            <w:tcW w:w="294" w:type="dxa"/>
          </w:tcPr>
          <w:p w14:paraId="67551AE2">
            <w:pPr>
              <w:pStyle w:val="14"/>
              <w:spacing w:before="91"/>
              <w:ind w:left="93"/>
              <w:rPr>
                <w:rFonts w:ascii="Times New Roman"/>
                <w:sz w:val="21"/>
              </w:rPr>
            </w:pPr>
            <w:r>
              <w:rPr>
                <w:rFonts w:ascii="Times New Roman"/>
                <w:w w:val="99"/>
                <w:sz w:val="21"/>
              </w:rPr>
              <w:t>0</w:t>
            </w:r>
          </w:p>
        </w:tc>
        <w:tc>
          <w:tcPr>
            <w:tcW w:w="551" w:type="dxa"/>
          </w:tcPr>
          <w:p w14:paraId="0E6053AE">
            <w:pPr>
              <w:pStyle w:val="14"/>
              <w:spacing w:before="91"/>
              <w:ind w:left="7"/>
              <w:jc w:val="center"/>
              <w:rPr>
                <w:rFonts w:ascii="Times New Roman"/>
                <w:sz w:val="21"/>
              </w:rPr>
            </w:pPr>
            <w:r>
              <w:rPr>
                <w:rFonts w:ascii="Times New Roman"/>
                <w:w w:val="99"/>
                <w:sz w:val="21"/>
              </w:rPr>
              <w:t>0</w:t>
            </w:r>
          </w:p>
        </w:tc>
      </w:tr>
      <w:tr w14:paraId="62309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19DEA01">
            <w:pPr>
              <w:rPr>
                <w:sz w:val="2"/>
                <w:szCs w:val="2"/>
              </w:rPr>
            </w:pPr>
          </w:p>
        </w:tc>
        <w:tc>
          <w:tcPr>
            <w:tcW w:w="1027" w:type="dxa"/>
          </w:tcPr>
          <w:p w14:paraId="32602DE0">
            <w:pPr>
              <w:pStyle w:val="14"/>
              <w:spacing w:before="91"/>
              <w:ind w:left="71" w:right="63"/>
              <w:jc w:val="center"/>
              <w:rPr>
                <w:sz w:val="21"/>
              </w:rPr>
            </w:pPr>
            <w:r>
              <w:rPr>
                <w:sz w:val="21"/>
              </w:rPr>
              <w:t>氨氮</w:t>
            </w:r>
          </w:p>
        </w:tc>
        <w:tc>
          <w:tcPr>
            <w:tcW w:w="1201" w:type="dxa"/>
          </w:tcPr>
          <w:p w14:paraId="7A747C53">
            <w:pPr>
              <w:pStyle w:val="14"/>
              <w:spacing w:before="91"/>
              <w:ind w:left="198" w:right="191"/>
              <w:jc w:val="center"/>
              <w:rPr>
                <w:rFonts w:ascii="Times New Roman"/>
                <w:sz w:val="21"/>
              </w:rPr>
            </w:pPr>
            <w:r>
              <w:rPr>
                <w:rFonts w:ascii="Times New Roman"/>
                <w:sz w:val="21"/>
              </w:rPr>
              <w:t>mg/L</w:t>
            </w:r>
          </w:p>
        </w:tc>
        <w:tc>
          <w:tcPr>
            <w:tcW w:w="1336" w:type="dxa"/>
          </w:tcPr>
          <w:p w14:paraId="2FED67B2">
            <w:pPr>
              <w:pStyle w:val="14"/>
              <w:spacing w:before="112"/>
              <w:ind w:left="140" w:right="132"/>
              <w:jc w:val="center"/>
              <w:rPr>
                <w:rFonts w:ascii="Times New Roman"/>
                <w:sz w:val="21"/>
              </w:rPr>
            </w:pPr>
            <w:r>
              <w:rPr>
                <w:rFonts w:ascii="Times New Roman"/>
                <w:sz w:val="21"/>
              </w:rPr>
              <w:t>0.50</w:t>
            </w:r>
          </w:p>
        </w:tc>
        <w:tc>
          <w:tcPr>
            <w:tcW w:w="1025" w:type="dxa"/>
          </w:tcPr>
          <w:p w14:paraId="38BEABAB">
            <w:pPr>
              <w:pStyle w:val="14"/>
              <w:spacing w:before="112"/>
              <w:ind w:left="174" w:right="165"/>
              <w:jc w:val="center"/>
              <w:rPr>
                <w:rFonts w:ascii="Times New Roman"/>
                <w:sz w:val="21"/>
              </w:rPr>
            </w:pPr>
            <w:r>
              <w:rPr>
                <w:rFonts w:ascii="Times New Roman"/>
                <w:sz w:val="21"/>
              </w:rPr>
              <w:t>0.081</w:t>
            </w:r>
          </w:p>
        </w:tc>
        <w:tc>
          <w:tcPr>
            <w:tcW w:w="997" w:type="dxa"/>
          </w:tcPr>
          <w:p w14:paraId="30ADF2F3">
            <w:pPr>
              <w:pStyle w:val="14"/>
              <w:spacing w:before="112"/>
              <w:ind w:right="250"/>
              <w:jc w:val="right"/>
              <w:rPr>
                <w:rFonts w:ascii="Times New Roman"/>
                <w:sz w:val="21"/>
              </w:rPr>
            </w:pPr>
            <w:r>
              <w:rPr>
                <w:rFonts w:ascii="Times New Roman"/>
                <w:w w:val="95"/>
                <w:sz w:val="21"/>
              </w:rPr>
              <w:t>0.075</w:t>
            </w:r>
          </w:p>
        </w:tc>
        <w:tc>
          <w:tcPr>
            <w:tcW w:w="936" w:type="dxa"/>
          </w:tcPr>
          <w:p w14:paraId="67BE071E">
            <w:pPr>
              <w:pStyle w:val="14"/>
              <w:spacing w:before="112"/>
              <w:ind w:left="130" w:right="121"/>
              <w:jc w:val="center"/>
              <w:rPr>
                <w:rFonts w:ascii="Times New Roman"/>
                <w:sz w:val="21"/>
              </w:rPr>
            </w:pPr>
            <w:r>
              <w:rPr>
                <w:rFonts w:ascii="Times New Roman"/>
                <w:sz w:val="21"/>
              </w:rPr>
              <w:t>0.069</w:t>
            </w:r>
          </w:p>
        </w:tc>
        <w:tc>
          <w:tcPr>
            <w:tcW w:w="294" w:type="dxa"/>
          </w:tcPr>
          <w:p w14:paraId="02196C67">
            <w:pPr>
              <w:pStyle w:val="14"/>
              <w:spacing w:before="91"/>
              <w:ind w:left="93"/>
              <w:rPr>
                <w:rFonts w:ascii="Times New Roman"/>
                <w:sz w:val="21"/>
              </w:rPr>
            </w:pPr>
            <w:r>
              <w:rPr>
                <w:rFonts w:ascii="Times New Roman"/>
                <w:w w:val="99"/>
                <w:sz w:val="21"/>
              </w:rPr>
              <w:t>0</w:t>
            </w:r>
          </w:p>
        </w:tc>
        <w:tc>
          <w:tcPr>
            <w:tcW w:w="551" w:type="dxa"/>
          </w:tcPr>
          <w:p w14:paraId="14E2A98A">
            <w:pPr>
              <w:pStyle w:val="14"/>
              <w:spacing w:before="91"/>
              <w:ind w:left="7"/>
              <w:jc w:val="center"/>
              <w:rPr>
                <w:rFonts w:ascii="Times New Roman"/>
                <w:sz w:val="21"/>
              </w:rPr>
            </w:pPr>
            <w:r>
              <w:rPr>
                <w:rFonts w:ascii="Times New Roman"/>
                <w:w w:val="99"/>
                <w:sz w:val="21"/>
              </w:rPr>
              <w:t>0</w:t>
            </w:r>
          </w:p>
        </w:tc>
      </w:tr>
      <w:tr w14:paraId="6BA59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DE7E8E4">
            <w:pPr>
              <w:rPr>
                <w:sz w:val="2"/>
                <w:szCs w:val="2"/>
              </w:rPr>
            </w:pPr>
          </w:p>
        </w:tc>
        <w:tc>
          <w:tcPr>
            <w:tcW w:w="1027" w:type="dxa"/>
          </w:tcPr>
          <w:p w14:paraId="6E58F462">
            <w:pPr>
              <w:pStyle w:val="14"/>
              <w:spacing w:before="74"/>
              <w:ind w:left="71" w:right="63"/>
              <w:jc w:val="center"/>
              <w:rPr>
                <w:sz w:val="21"/>
              </w:rPr>
            </w:pPr>
            <w:r>
              <w:rPr>
                <w:sz w:val="21"/>
              </w:rPr>
              <w:t>硝酸盐</w:t>
            </w:r>
          </w:p>
        </w:tc>
        <w:tc>
          <w:tcPr>
            <w:tcW w:w="1201" w:type="dxa"/>
          </w:tcPr>
          <w:p w14:paraId="6E34F1C2">
            <w:pPr>
              <w:pStyle w:val="14"/>
              <w:spacing w:before="90"/>
              <w:ind w:left="198" w:right="191"/>
              <w:jc w:val="center"/>
              <w:rPr>
                <w:rFonts w:ascii="Times New Roman"/>
                <w:sz w:val="21"/>
              </w:rPr>
            </w:pPr>
            <w:r>
              <w:rPr>
                <w:rFonts w:ascii="Times New Roman"/>
                <w:sz w:val="21"/>
              </w:rPr>
              <w:t>mg/L</w:t>
            </w:r>
          </w:p>
        </w:tc>
        <w:tc>
          <w:tcPr>
            <w:tcW w:w="1336" w:type="dxa"/>
          </w:tcPr>
          <w:p w14:paraId="144F3AE7">
            <w:pPr>
              <w:pStyle w:val="14"/>
              <w:spacing w:before="112"/>
              <w:ind w:left="140" w:right="132"/>
              <w:jc w:val="center"/>
              <w:rPr>
                <w:rFonts w:ascii="Times New Roman"/>
                <w:sz w:val="21"/>
              </w:rPr>
            </w:pPr>
            <w:r>
              <w:rPr>
                <w:rFonts w:ascii="Times New Roman"/>
                <w:sz w:val="21"/>
              </w:rPr>
              <w:t>20.0</w:t>
            </w:r>
          </w:p>
        </w:tc>
        <w:tc>
          <w:tcPr>
            <w:tcW w:w="1025" w:type="dxa"/>
          </w:tcPr>
          <w:p w14:paraId="44287239">
            <w:pPr>
              <w:pStyle w:val="14"/>
              <w:spacing w:before="112"/>
              <w:ind w:left="174" w:right="165"/>
              <w:jc w:val="center"/>
              <w:rPr>
                <w:rFonts w:ascii="Times New Roman"/>
                <w:sz w:val="21"/>
              </w:rPr>
            </w:pPr>
            <w:r>
              <w:rPr>
                <w:rFonts w:ascii="Times New Roman"/>
                <w:sz w:val="21"/>
              </w:rPr>
              <w:t>14.6</w:t>
            </w:r>
          </w:p>
        </w:tc>
        <w:tc>
          <w:tcPr>
            <w:tcW w:w="997" w:type="dxa"/>
          </w:tcPr>
          <w:p w14:paraId="5BB99A1F">
            <w:pPr>
              <w:pStyle w:val="14"/>
              <w:spacing w:before="112"/>
              <w:ind w:right="303"/>
              <w:jc w:val="right"/>
              <w:rPr>
                <w:rFonts w:ascii="Times New Roman"/>
                <w:sz w:val="21"/>
              </w:rPr>
            </w:pPr>
            <w:r>
              <w:rPr>
                <w:rFonts w:ascii="Times New Roman"/>
                <w:sz w:val="21"/>
              </w:rPr>
              <w:t>12.8</w:t>
            </w:r>
          </w:p>
        </w:tc>
        <w:tc>
          <w:tcPr>
            <w:tcW w:w="936" w:type="dxa"/>
          </w:tcPr>
          <w:p w14:paraId="748B08B0">
            <w:pPr>
              <w:pStyle w:val="14"/>
              <w:spacing w:before="112"/>
              <w:ind w:left="130" w:right="121"/>
              <w:jc w:val="center"/>
              <w:rPr>
                <w:rFonts w:ascii="Times New Roman"/>
                <w:sz w:val="21"/>
              </w:rPr>
            </w:pPr>
            <w:r>
              <w:rPr>
                <w:rFonts w:ascii="Times New Roman"/>
                <w:sz w:val="21"/>
              </w:rPr>
              <w:t>13.6</w:t>
            </w:r>
          </w:p>
        </w:tc>
        <w:tc>
          <w:tcPr>
            <w:tcW w:w="294" w:type="dxa"/>
          </w:tcPr>
          <w:p w14:paraId="1E51DA6F">
            <w:pPr>
              <w:pStyle w:val="14"/>
              <w:spacing w:before="90"/>
              <w:ind w:left="93"/>
              <w:rPr>
                <w:rFonts w:ascii="Times New Roman"/>
                <w:sz w:val="21"/>
              </w:rPr>
            </w:pPr>
            <w:r>
              <w:rPr>
                <w:rFonts w:ascii="Times New Roman"/>
                <w:w w:val="99"/>
                <w:sz w:val="21"/>
              </w:rPr>
              <w:t>0</w:t>
            </w:r>
          </w:p>
        </w:tc>
        <w:tc>
          <w:tcPr>
            <w:tcW w:w="551" w:type="dxa"/>
          </w:tcPr>
          <w:p w14:paraId="6E4E4BCE">
            <w:pPr>
              <w:pStyle w:val="14"/>
              <w:spacing w:before="90"/>
              <w:ind w:left="7"/>
              <w:jc w:val="center"/>
              <w:rPr>
                <w:rFonts w:ascii="Times New Roman"/>
                <w:sz w:val="21"/>
              </w:rPr>
            </w:pPr>
            <w:r>
              <w:rPr>
                <w:rFonts w:ascii="Times New Roman"/>
                <w:w w:val="99"/>
                <w:sz w:val="21"/>
              </w:rPr>
              <w:t>0</w:t>
            </w:r>
          </w:p>
        </w:tc>
      </w:tr>
      <w:tr w14:paraId="41228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0B7C591E">
            <w:pPr>
              <w:rPr>
                <w:sz w:val="2"/>
                <w:szCs w:val="2"/>
              </w:rPr>
            </w:pPr>
          </w:p>
        </w:tc>
        <w:tc>
          <w:tcPr>
            <w:tcW w:w="1027" w:type="dxa"/>
          </w:tcPr>
          <w:p w14:paraId="5AF41AFA">
            <w:pPr>
              <w:pStyle w:val="14"/>
              <w:spacing w:before="73"/>
              <w:ind w:left="71" w:right="66"/>
              <w:jc w:val="center"/>
              <w:rPr>
                <w:sz w:val="21"/>
              </w:rPr>
            </w:pPr>
            <w:r>
              <w:rPr>
                <w:sz w:val="21"/>
              </w:rPr>
              <w:t>亚硝酸盐</w:t>
            </w:r>
          </w:p>
        </w:tc>
        <w:tc>
          <w:tcPr>
            <w:tcW w:w="1201" w:type="dxa"/>
          </w:tcPr>
          <w:p w14:paraId="133B904B">
            <w:pPr>
              <w:pStyle w:val="14"/>
              <w:spacing w:before="92"/>
              <w:ind w:left="198" w:right="191"/>
              <w:jc w:val="center"/>
              <w:rPr>
                <w:rFonts w:ascii="Times New Roman"/>
                <w:sz w:val="21"/>
              </w:rPr>
            </w:pPr>
            <w:r>
              <w:rPr>
                <w:rFonts w:ascii="Times New Roman"/>
                <w:sz w:val="21"/>
              </w:rPr>
              <w:t>mg/L</w:t>
            </w:r>
          </w:p>
        </w:tc>
        <w:tc>
          <w:tcPr>
            <w:tcW w:w="1336" w:type="dxa"/>
          </w:tcPr>
          <w:p w14:paraId="7D5FE104">
            <w:pPr>
              <w:pStyle w:val="14"/>
              <w:spacing w:before="111"/>
              <w:ind w:left="140" w:right="132"/>
              <w:jc w:val="center"/>
              <w:rPr>
                <w:rFonts w:ascii="Times New Roman"/>
                <w:sz w:val="21"/>
              </w:rPr>
            </w:pPr>
            <w:r>
              <w:rPr>
                <w:rFonts w:ascii="Times New Roman"/>
                <w:sz w:val="21"/>
              </w:rPr>
              <w:t>1.00</w:t>
            </w:r>
          </w:p>
        </w:tc>
        <w:tc>
          <w:tcPr>
            <w:tcW w:w="1025" w:type="dxa"/>
          </w:tcPr>
          <w:p w14:paraId="193B1BE4">
            <w:pPr>
              <w:pStyle w:val="14"/>
              <w:spacing w:before="111"/>
              <w:ind w:left="174" w:right="165"/>
              <w:jc w:val="center"/>
              <w:rPr>
                <w:rFonts w:ascii="Times New Roman"/>
                <w:sz w:val="21"/>
              </w:rPr>
            </w:pPr>
            <w:r>
              <w:rPr>
                <w:rFonts w:ascii="Times New Roman"/>
                <w:sz w:val="21"/>
              </w:rPr>
              <w:t>ND</w:t>
            </w:r>
          </w:p>
        </w:tc>
        <w:tc>
          <w:tcPr>
            <w:tcW w:w="997" w:type="dxa"/>
          </w:tcPr>
          <w:p w14:paraId="2420EE43">
            <w:pPr>
              <w:pStyle w:val="14"/>
              <w:spacing w:before="111"/>
              <w:ind w:right="336"/>
              <w:jc w:val="right"/>
              <w:rPr>
                <w:rFonts w:ascii="Times New Roman"/>
                <w:sz w:val="21"/>
              </w:rPr>
            </w:pPr>
            <w:r>
              <w:rPr>
                <w:rFonts w:ascii="Times New Roman"/>
                <w:w w:val="95"/>
                <w:sz w:val="21"/>
              </w:rPr>
              <w:t>ND</w:t>
            </w:r>
          </w:p>
        </w:tc>
        <w:tc>
          <w:tcPr>
            <w:tcW w:w="936" w:type="dxa"/>
          </w:tcPr>
          <w:p w14:paraId="2CF038B3">
            <w:pPr>
              <w:pStyle w:val="14"/>
              <w:spacing w:before="111"/>
              <w:ind w:left="127" w:right="122"/>
              <w:jc w:val="center"/>
              <w:rPr>
                <w:rFonts w:ascii="Times New Roman"/>
                <w:sz w:val="21"/>
              </w:rPr>
            </w:pPr>
            <w:r>
              <w:rPr>
                <w:rFonts w:ascii="Times New Roman"/>
                <w:sz w:val="21"/>
              </w:rPr>
              <w:t>ND</w:t>
            </w:r>
          </w:p>
        </w:tc>
        <w:tc>
          <w:tcPr>
            <w:tcW w:w="294" w:type="dxa"/>
          </w:tcPr>
          <w:p w14:paraId="6F990776">
            <w:pPr>
              <w:pStyle w:val="14"/>
              <w:spacing w:before="92"/>
              <w:ind w:left="93"/>
              <w:rPr>
                <w:rFonts w:ascii="Times New Roman"/>
                <w:sz w:val="21"/>
              </w:rPr>
            </w:pPr>
            <w:r>
              <w:rPr>
                <w:rFonts w:ascii="Times New Roman"/>
                <w:w w:val="99"/>
                <w:sz w:val="21"/>
              </w:rPr>
              <w:t>0</w:t>
            </w:r>
          </w:p>
        </w:tc>
        <w:tc>
          <w:tcPr>
            <w:tcW w:w="551" w:type="dxa"/>
          </w:tcPr>
          <w:p w14:paraId="045B5A65">
            <w:pPr>
              <w:pStyle w:val="14"/>
              <w:spacing w:before="92"/>
              <w:ind w:left="7"/>
              <w:jc w:val="center"/>
              <w:rPr>
                <w:rFonts w:ascii="Times New Roman"/>
                <w:sz w:val="21"/>
              </w:rPr>
            </w:pPr>
            <w:r>
              <w:rPr>
                <w:rFonts w:ascii="Times New Roman"/>
                <w:w w:val="99"/>
                <w:sz w:val="21"/>
              </w:rPr>
              <w:t>0</w:t>
            </w:r>
          </w:p>
        </w:tc>
      </w:tr>
      <w:tr w14:paraId="623A7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69F3F182">
            <w:pPr>
              <w:rPr>
                <w:sz w:val="2"/>
                <w:szCs w:val="2"/>
              </w:rPr>
            </w:pPr>
          </w:p>
        </w:tc>
        <w:tc>
          <w:tcPr>
            <w:tcW w:w="1027" w:type="dxa"/>
          </w:tcPr>
          <w:p w14:paraId="184D6C9C">
            <w:pPr>
              <w:pStyle w:val="14"/>
              <w:spacing w:before="99"/>
              <w:ind w:left="71" w:right="63"/>
              <w:jc w:val="center"/>
              <w:rPr>
                <w:sz w:val="21"/>
              </w:rPr>
            </w:pPr>
            <w:r>
              <w:rPr>
                <w:sz w:val="21"/>
              </w:rPr>
              <w:t>耗氧量</w:t>
            </w:r>
          </w:p>
        </w:tc>
        <w:tc>
          <w:tcPr>
            <w:tcW w:w="1201" w:type="dxa"/>
          </w:tcPr>
          <w:p w14:paraId="4071F80E">
            <w:pPr>
              <w:pStyle w:val="14"/>
              <w:spacing w:before="91"/>
              <w:ind w:left="198" w:right="191"/>
              <w:jc w:val="center"/>
              <w:rPr>
                <w:rFonts w:ascii="Times New Roman"/>
                <w:sz w:val="21"/>
              </w:rPr>
            </w:pPr>
            <w:r>
              <w:rPr>
                <w:rFonts w:ascii="Times New Roman"/>
                <w:sz w:val="21"/>
              </w:rPr>
              <w:t>mg/L</w:t>
            </w:r>
          </w:p>
        </w:tc>
        <w:tc>
          <w:tcPr>
            <w:tcW w:w="1336" w:type="dxa"/>
          </w:tcPr>
          <w:p w14:paraId="7D505965">
            <w:pPr>
              <w:pStyle w:val="14"/>
              <w:spacing w:before="106"/>
              <w:ind w:left="140" w:right="132"/>
              <w:jc w:val="center"/>
              <w:rPr>
                <w:rFonts w:ascii="Times New Roman"/>
                <w:sz w:val="21"/>
              </w:rPr>
            </w:pPr>
            <w:r>
              <w:rPr>
                <w:rFonts w:ascii="Times New Roman"/>
                <w:sz w:val="21"/>
              </w:rPr>
              <w:t>3.0</w:t>
            </w:r>
          </w:p>
        </w:tc>
        <w:tc>
          <w:tcPr>
            <w:tcW w:w="1025" w:type="dxa"/>
          </w:tcPr>
          <w:p w14:paraId="635361D1">
            <w:pPr>
              <w:pStyle w:val="14"/>
              <w:spacing w:before="89"/>
              <w:ind w:left="174" w:right="165"/>
              <w:jc w:val="center"/>
              <w:rPr>
                <w:rFonts w:ascii="Times New Roman"/>
                <w:sz w:val="21"/>
              </w:rPr>
            </w:pPr>
            <w:r>
              <w:rPr>
                <w:rFonts w:ascii="Times New Roman"/>
                <w:sz w:val="21"/>
              </w:rPr>
              <w:t>0.65</w:t>
            </w:r>
          </w:p>
        </w:tc>
        <w:tc>
          <w:tcPr>
            <w:tcW w:w="997" w:type="dxa"/>
          </w:tcPr>
          <w:p w14:paraId="19822CB0">
            <w:pPr>
              <w:pStyle w:val="14"/>
              <w:spacing w:before="89"/>
              <w:ind w:right="303"/>
              <w:jc w:val="right"/>
              <w:rPr>
                <w:rFonts w:ascii="Times New Roman"/>
                <w:sz w:val="21"/>
              </w:rPr>
            </w:pPr>
            <w:r>
              <w:rPr>
                <w:rFonts w:ascii="Times New Roman"/>
                <w:sz w:val="21"/>
              </w:rPr>
              <w:t>1.31</w:t>
            </w:r>
          </w:p>
        </w:tc>
        <w:tc>
          <w:tcPr>
            <w:tcW w:w="936" w:type="dxa"/>
          </w:tcPr>
          <w:p w14:paraId="310BA94A">
            <w:pPr>
              <w:pStyle w:val="14"/>
              <w:spacing w:before="89"/>
              <w:ind w:left="130" w:right="121"/>
              <w:jc w:val="center"/>
              <w:rPr>
                <w:rFonts w:ascii="Times New Roman"/>
                <w:sz w:val="21"/>
              </w:rPr>
            </w:pPr>
            <w:r>
              <w:rPr>
                <w:rFonts w:ascii="Times New Roman"/>
                <w:sz w:val="21"/>
              </w:rPr>
              <w:t>1.50</w:t>
            </w:r>
          </w:p>
        </w:tc>
        <w:tc>
          <w:tcPr>
            <w:tcW w:w="294" w:type="dxa"/>
          </w:tcPr>
          <w:p w14:paraId="6887108F">
            <w:pPr>
              <w:pStyle w:val="14"/>
              <w:spacing w:before="91"/>
              <w:ind w:left="93"/>
              <w:rPr>
                <w:rFonts w:ascii="Times New Roman"/>
                <w:sz w:val="21"/>
              </w:rPr>
            </w:pPr>
            <w:r>
              <w:rPr>
                <w:rFonts w:ascii="Times New Roman"/>
                <w:w w:val="99"/>
                <w:sz w:val="21"/>
              </w:rPr>
              <w:t>0</w:t>
            </w:r>
          </w:p>
        </w:tc>
        <w:tc>
          <w:tcPr>
            <w:tcW w:w="551" w:type="dxa"/>
          </w:tcPr>
          <w:p w14:paraId="757532B0">
            <w:pPr>
              <w:pStyle w:val="14"/>
              <w:spacing w:before="91"/>
              <w:ind w:left="7"/>
              <w:jc w:val="center"/>
              <w:rPr>
                <w:rFonts w:ascii="Times New Roman"/>
                <w:sz w:val="21"/>
              </w:rPr>
            </w:pPr>
            <w:r>
              <w:rPr>
                <w:rFonts w:ascii="Times New Roman"/>
                <w:w w:val="99"/>
                <w:sz w:val="21"/>
              </w:rPr>
              <w:t>0</w:t>
            </w:r>
          </w:p>
        </w:tc>
      </w:tr>
      <w:tr w14:paraId="6CBE8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2029660">
            <w:pPr>
              <w:rPr>
                <w:sz w:val="2"/>
                <w:szCs w:val="2"/>
              </w:rPr>
            </w:pPr>
          </w:p>
        </w:tc>
        <w:tc>
          <w:tcPr>
            <w:tcW w:w="1027" w:type="dxa"/>
          </w:tcPr>
          <w:p w14:paraId="3427D0E5">
            <w:pPr>
              <w:pStyle w:val="14"/>
              <w:spacing w:before="91"/>
              <w:ind w:left="5"/>
              <w:jc w:val="center"/>
              <w:rPr>
                <w:sz w:val="21"/>
              </w:rPr>
            </w:pPr>
            <w:r>
              <w:rPr>
                <w:w w:val="99"/>
                <w:sz w:val="21"/>
              </w:rPr>
              <w:t>砷</w:t>
            </w:r>
          </w:p>
        </w:tc>
        <w:tc>
          <w:tcPr>
            <w:tcW w:w="1201" w:type="dxa"/>
          </w:tcPr>
          <w:p w14:paraId="355246EA">
            <w:pPr>
              <w:pStyle w:val="14"/>
              <w:spacing w:before="91"/>
              <w:ind w:left="198" w:right="191"/>
              <w:jc w:val="center"/>
              <w:rPr>
                <w:rFonts w:ascii="Times New Roman"/>
                <w:sz w:val="21"/>
              </w:rPr>
            </w:pPr>
            <w:r>
              <w:rPr>
                <w:rFonts w:ascii="Times New Roman"/>
                <w:sz w:val="21"/>
              </w:rPr>
              <w:t>mg/L</w:t>
            </w:r>
          </w:p>
        </w:tc>
        <w:tc>
          <w:tcPr>
            <w:tcW w:w="1336" w:type="dxa"/>
          </w:tcPr>
          <w:p w14:paraId="4B3C67C4">
            <w:pPr>
              <w:pStyle w:val="14"/>
              <w:spacing w:before="112"/>
              <w:ind w:left="140" w:right="132"/>
              <w:jc w:val="center"/>
              <w:rPr>
                <w:rFonts w:ascii="Times New Roman"/>
                <w:sz w:val="21"/>
              </w:rPr>
            </w:pPr>
            <w:r>
              <w:rPr>
                <w:rFonts w:ascii="Times New Roman"/>
                <w:sz w:val="21"/>
              </w:rPr>
              <w:t>0.01</w:t>
            </w:r>
          </w:p>
        </w:tc>
        <w:tc>
          <w:tcPr>
            <w:tcW w:w="1025" w:type="dxa"/>
          </w:tcPr>
          <w:p w14:paraId="2197CB26">
            <w:pPr>
              <w:pStyle w:val="14"/>
              <w:spacing w:before="112"/>
              <w:ind w:left="174" w:right="165"/>
              <w:jc w:val="center"/>
              <w:rPr>
                <w:rFonts w:ascii="Times New Roman"/>
                <w:sz w:val="21"/>
              </w:rPr>
            </w:pPr>
            <w:r>
              <w:rPr>
                <w:rFonts w:ascii="Times New Roman"/>
                <w:sz w:val="21"/>
              </w:rPr>
              <w:t>ND</w:t>
            </w:r>
          </w:p>
        </w:tc>
        <w:tc>
          <w:tcPr>
            <w:tcW w:w="997" w:type="dxa"/>
          </w:tcPr>
          <w:p w14:paraId="345E0A71">
            <w:pPr>
              <w:pStyle w:val="14"/>
              <w:spacing w:before="112"/>
              <w:ind w:right="336"/>
              <w:jc w:val="right"/>
              <w:rPr>
                <w:rFonts w:ascii="Times New Roman"/>
                <w:sz w:val="21"/>
              </w:rPr>
            </w:pPr>
            <w:r>
              <w:rPr>
                <w:rFonts w:ascii="Times New Roman"/>
                <w:w w:val="95"/>
                <w:sz w:val="21"/>
              </w:rPr>
              <w:t>ND</w:t>
            </w:r>
          </w:p>
        </w:tc>
        <w:tc>
          <w:tcPr>
            <w:tcW w:w="936" w:type="dxa"/>
          </w:tcPr>
          <w:p w14:paraId="16009B96">
            <w:pPr>
              <w:pStyle w:val="14"/>
              <w:spacing w:before="112"/>
              <w:ind w:left="127" w:right="122"/>
              <w:jc w:val="center"/>
              <w:rPr>
                <w:rFonts w:ascii="Times New Roman"/>
                <w:sz w:val="21"/>
              </w:rPr>
            </w:pPr>
            <w:r>
              <w:rPr>
                <w:rFonts w:ascii="Times New Roman"/>
                <w:sz w:val="21"/>
              </w:rPr>
              <w:t>ND</w:t>
            </w:r>
          </w:p>
        </w:tc>
        <w:tc>
          <w:tcPr>
            <w:tcW w:w="294" w:type="dxa"/>
          </w:tcPr>
          <w:p w14:paraId="3227CE37">
            <w:pPr>
              <w:pStyle w:val="14"/>
              <w:spacing w:before="91"/>
              <w:ind w:left="93"/>
              <w:rPr>
                <w:rFonts w:ascii="Times New Roman"/>
                <w:sz w:val="21"/>
              </w:rPr>
            </w:pPr>
            <w:r>
              <w:rPr>
                <w:rFonts w:ascii="Times New Roman"/>
                <w:w w:val="99"/>
                <w:sz w:val="21"/>
              </w:rPr>
              <w:t>0</w:t>
            </w:r>
          </w:p>
        </w:tc>
        <w:tc>
          <w:tcPr>
            <w:tcW w:w="551" w:type="dxa"/>
          </w:tcPr>
          <w:p w14:paraId="07473567">
            <w:pPr>
              <w:pStyle w:val="14"/>
              <w:spacing w:before="91"/>
              <w:ind w:left="7"/>
              <w:jc w:val="center"/>
              <w:rPr>
                <w:rFonts w:ascii="Times New Roman"/>
                <w:sz w:val="21"/>
              </w:rPr>
            </w:pPr>
            <w:r>
              <w:rPr>
                <w:rFonts w:ascii="Times New Roman"/>
                <w:w w:val="99"/>
                <w:sz w:val="21"/>
              </w:rPr>
              <w:t>0</w:t>
            </w:r>
          </w:p>
        </w:tc>
      </w:tr>
      <w:tr w14:paraId="0DD9C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5304F78">
            <w:pPr>
              <w:rPr>
                <w:sz w:val="2"/>
                <w:szCs w:val="2"/>
              </w:rPr>
            </w:pPr>
          </w:p>
        </w:tc>
        <w:tc>
          <w:tcPr>
            <w:tcW w:w="1027" w:type="dxa"/>
          </w:tcPr>
          <w:p w14:paraId="59B74F90">
            <w:pPr>
              <w:pStyle w:val="14"/>
              <w:spacing w:before="98"/>
              <w:ind w:left="5"/>
              <w:jc w:val="center"/>
              <w:rPr>
                <w:sz w:val="21"/>
              </w:rPr>
            </w:pPr>
            <w:r>
              <w:rPr>
                <w:w w:val="99"/>
                <w:sz w:val="21"/>
              </w:rPr>
              <w:t>铅</w:t>
            </w:r>
          </w:p>
        </w:tc>
        <w:tc>
          <w:tcPr>
            <w:tcW w:w="1201" w:type="dxa"/>
          </w:tcPr>
          <w:p w14:paraId="6A0573F8">
            <w:pPr>
              <w:pStyle w:val="14"/>
              <w:spacing w:before="90"/>
              <w:ind w:left="198" w:right="191"/>
              <w:jc w:val="center"/>
              <w:rPr>
                <w:rFonts w:ascii="Times New Roman"/>
                <w:sz w:val="21"/>
              </w:rPr>
            </w:pPr>
            <w:r>
              <w:rPr>
                <w:rFonts w:ascii="Times New Roman"/>
                <w:sz w:val="21"/>
              </w:rPr>
              <w:t>mg/L</w:t>
            </w:r>
          </w:p>
        </w:tc>
        <w:tc>
          <w:tcPr>
            <w:tcW w:w="1336" w:type="dxa"/>
          </w:tcPr>
          <w:p w14:paraId="07756088">
            <w:pPr>
              <w:pStyle w:val="14"/>
              <w:spacing w:before="112"/>
              <w:ind w:left="140" w:right="132"/>
              <w:jc w:val="center"/>
              <w:rPr>
                <w:rFonts w:ascii="Times New Roman"/>
                <w:sz w:val="21"/>
              </w:rPr>
            </w:pPr>
            <w:r>
              <w:rPr>
                <w:rFonts w:ascii="Times New Roman"/>
                <w:sz w:val="21"/>
              </w:rPr>
              <w:t>0.01</w:t>
            </w:r>
          </w:p>
        </w:tc>
        <w:tc>
          <w:tcPr>
            <w:tcW w:w="1025" w:type="dxa"/>
          </w:tcPr>
          <w:p w14:paraId="226B6E40">
            <w:pPr>
              <w:pStyle w:val="14"/>
              <w:spacing w:before="112"/>
              <w:ind w:left="174" w:right="165"/>
              <w:jc w:val="center"/>
              <w:rPr>
                <w:rFonts w:ascii="Times New Roman"/>
                <w:sz w:val="21"/>
              </w:rPr>
            </w:pPr>
            <w:r>
              <w:rPr>
                <w:rFonts w:ascii="Times New Roman"/>
                <w:sz w:val="21"/>
              </w:rPr>
              <w:t>ND</w:t>
            </w:r>
          </w:p>
        </w:tc>
        <w:tc>
          <w:tcPr>
            <w:tcW w:w="997" w:type="dxa"/>
          </w:tcPr>
          <w:p w14:paraId="33077437">
            <w:pPr>
              <w:pStyle w:val="14"/>
              <w:spacing w:before="112"/>
              <w:ind w:right="336"/>
              <w:jc w:val="right"/>
              <w:rPr>
                <w:rFonts w:ascii="Times New Roman"/>
                <w:sz w:val="21"/>
              </w:rPr>
            </w:pPr>
            <w:r>
              <w:rPr>
                <w:rFonts w:ascii="Times New Roman"/>
                <w:w w:val="95"/>
                <w:sz w:val="21"/>
              </w:rPr>
              <w:t>ND</w:t>
            </w:r>
          </w:p>
        </w:tc>
        <w:tc>
          <w:tcPr>
            <w:tcW w:w="936" w:type="dxa"/>
          </w:tcPr>
          <w:p w14:paraId="1BD3DA00">
            <w:pPr>
              <w:pStyle w:val="14"/>
              <w:spacing w:before="112"/>
              <w:ind w:left="127" w:right="122"/>
              <w:jc w:val="center"/>
              <w:rPr>
                <w:rFonts w:ascii="Times New Roman"/>
                <w:sz w:val="21"/>
              </w:rPr>
            </w:pPr>
            <w:r>
              <w:rPr>
                <w:rFonts w:ascii="Times New Roman"/>
                <w:sz w:val="21"/>
              </w:rPr>
              <w:t>ND</w:t>
            </w:r>
          </w:p>
        </w:tc>
        <w:tc>
          <w:tcPr>
            <w:tcW w:w="294" w:type="dxa"/>
          </w:tcPr>
          <w:p w14:paraId="00982061">
            <w:pPr>
              <w:pStyle w:val="14"/>
              <w:spacing w:before="90"/>
              <w:ind w:left="93"/>
              <w:rPr>
                <w:rFonts w:ascii="Times New Roman"/>
                <w:sz w:val="21"/>
              </w:rPr>
            </w:pPr>
            <w:r>
              <w:rPr>
                <w:rFonts w:ascii="Times New Roman"/>
                <w:w w:val="99"/>
                <w:sz w:val="21"/>
              </w:rPr>
              <w:t>0</w:t>
            </w:r>
          </w:p>
        </w:tc>
        <w:tc>
          <w:tcPr>
            <w:tcW w:w="551" w:type="dxa"/>
          </w:tcPr>
          <w:p w14:paraId="390DD21E">
            <w:pPr>
              <w:pStyle w:val="14"/>
              <w:spacing w:before="90"/>
              <w:ind w:left="7"/>
              <w:jc w:val="center"/>
              <w:rPr>
                <w:rFonts w:ascii="Times New Roman"/>
                <w:sz w:val="21"/>
              </w:rPr>
            </w:pPr>
            <w:r>
              <w:rPr>
                <w:rFonts w:ascii="Times New Roman"/>
                <w:w w:val="99"/>
                <w:sz w:val="21"/>
              </w:rPr>
              <w:t>0</w:t>
            </w:r>
          </w:p>
        </w:tc>
      </w:tr>
      <w:tr w14:paraId="07B20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E5144F1">
            <w:pPr>
              <w:rPr>
                <w:sz w:val="2"/>
                <w:szCs w:val="2"/>
              </w:rPr>
            </w:pPr>
          </w:p>
        </w:tc>
        <w:tc>
          <w:tcPr>
            <w:tcW w:w="1027" w:type="dxa"/>
          </w:tcPr>
          <w:p w14:paraId="66AD59B3">
            <w:pPr>
              <w:pStyle w:val="14"/>
              <w:spacing w:before="92"/>
              <w:ind w:left="71" w:right="63"/>
              <w:jc w:val="center"/>
              <w:rPr>
                <w:sz w:val="21"/>
              </w:rPr>
            </w:pPr>
            <w:r>
              <w:rPr>
                <w:sz w:val="21"/>
              </w:rPr>
              <w:t>六价铬</w:t>
            </w:r>
          </w:p>
        </w:tc>
        <w:tc>
          <w:tcPr>
            <w:tcW w:w="1201" w:type="dxa"/>
          </w:tcPr>
          <w:p w14:paraId="6A4E65CF">
            <w:pPr>
              <w:pStyle w:val="14"/>
              <w:spacing w:before="92"/>
              <w:ind w:left="198" w:right="191"/>
              <w:jc w:val="center"/>
              <w:rPr>
                <w:rFonts w:ascii="Times New Roman"/>
                <w:sz w:val="21"/>
              </w:rPr>
            </w:pPr>
            <w:r>
              <w:rPr>
                <w:rFonts w:ascii="Times New Roman"/>
                <w:sz w:val="21"/>
              </w:rPr>
              <w:t>mg/L</w:t>
            </w:r>
          </w:p>
        </w:tc>
        <w:tc>
          <w:tcPr>
            <w:tcW w:w="1336" w:type="dxa"/>
          </w:tcPr>
          <w:p w14:paraId="6814B7AE">
            <w:pPr>
              <w:pStyle w:val="14"/>
              <w:spacing w:before="111"/>
              <w:ind w:left="140" w:right="132"/>
              <w:jc w:val="center"/>
              <w:rPr>
                <w:rFonts w:ascii="Times New Roman"/>
                <w:sz w:val="21"/>
              </w:rPr>
            </w:pPr>
            <w:r>
              <w:rPr>
                <w:rFonts w:ascii="Times New Roman"/>
                <w:sz w:val="21"/>
              </w:rPr>
              <w:t>0.05</w:t>
            </w:r>
          </w:p>
        </w:tc>
        <w:tc>
          <w:tcPr>
            <w:tcW w:w="1025" w:type="dxa"/>
          </w:tcPr>
          <w:p w14:paraId="6A17C966">
            <w:pPr>
              <w:pStyle w:val="14"/>
              <w:spacing w:before="111"/>
              <w:ind w:left="174" w:right="165"/>
              <w:jc w:val="center"/>
              <w:rPr>
                <w:rFonts w:ascii="Times New Roman"/>
                <w:sz w:val="21"/>
              </w:rPr>
            </w:pPr>
            <w:r>
              <w:rPr>
                <w:rFonts w:ascii="Times New Roman"/>
                <w:sz w:val="21"/>
              </w:rPr>
              <w:t>ND</w:t>
            </w:r>
          </w:p>
        </w:tc>
        <w:tc>
          <w:tcPr>
            <w:tcW w:w="997" w:type="dxa"/>
          </w:tcPr>
          <w:p w14:paraId="1826DC6A">
            <w:pPr>
              <w:pStyle w:val="14"/>
              <w:spacing w:before="111"/>
              <w:ind w:right="336"/>
              <w:jc w:val="right"/>
              <w:rPr>
                <w:rFonts w:ascii="Times New Roman"/>
                <w:sz w:val="21"/>
              </w:rPr>
            </w:pPr>
            <w:r>
              <w:rPr>
                <w:rFonts w:ascii="Times New Roman"/>
                <w:w w:val="95"/>
                <w:sz w:val="21"/>
              </w:rPr>
              <w:t>ND</w:t>
            </w:r>
          </w:p>
        </w:tc>
        <w:tc>
          <w:tcPr>
            <w:tcW w:w="936" w:type="dxa"/>
          </w:tcPr>
          <w:p w14:paraId="172F1EAE">
            <w:pPr>
              <w:pStyle w:val="14"/>
              <w:spacing w:before="111"/>
              <w:ind w:left="127" w:right="122"/>
              <w:jc w:val="center"/>
              <w:rPr>
                <w:rFonts w:ascii="Times New Roman"/>
                <w:sz w:val="21"/>
              </w:rPr>
            </w:pPr>
            <w:r>
              <w:rPr>
                <w:rFonts w:ascii="Times New Roman"/>
                <w:sz w:val="21"/>
              </w:rPr>
              <w:t>ND</w:t>
            </w:r>
          </w:p>
        </w:tc>
        <w:tc>
          <w:tcPr>
            <w:tcW w:w="294" w:type="dxa"/>
          </w:tcPr>
          <w:p w14:paraId="1B2B60AE">
            <w:pPr>
              <w:pStyle w:val="14"/>
              <w:spacing w:before="92"/>
              <w:ind w:left="93"/>
              <w:rPr>
                <w:rFonts w:ascii="Times New Roman"/>
                <w:sz w:val="21"/>
              </w:rPr>
            </w:pPr>
            <w:r>
              <w:rPr>
                <w:rFonts w:ascii="Times New Roman"/>
                <w:w w:val="99"/>
                <w:sz w:val="21"/>
              </w:rPr>
              <w:t>0</w:t>
            </w:r>
          </w:p>
        </w:tc>
        <w:tc>
          <w:tcPr>
            <w:tcW w:w="551" w:type="dxa"/>
          </w:tcPr>
          <w:p w14:paraId="05FA085E">
            <w:pPr>
              <w:pStyle w:val="14"/>
              <w:spacing w:before="92"/>
              <w:ind w:left="7"/>
              <w:jc w:val="center"/>
              <w:rPr>
                <w:rFonts w:ascii="Times New Roman"/>
                <w:sz w:val="21"/>
              </w:rPr>
            </w:pPr>
            <w:r>
              <w:rPr>
                <w:rFonts w:ascii="Times New Roman"/>
                <w:w w:val="99"/>
                <w:sz w:val="21"/>
              </w:rPr>
              <w:t>0</w:t>
            </w:r>
          </w:p>
        </w:tc>
      </w:tr>
      <w:tr w14:paraId="0EE90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6CA24F2">
            <w:pPr>
              <w:rPr>
                <w:sz w:val="2"/>
                <w:szCs w:val="2"/>
              </w:rPr>
            </w:pPr>
          </w:p>
        </w:tc>
        <w:tc>
          <w:tcPr>
            <w:tcW w:w="1027" w:type="dxa"/>
          </w:tcPr>
          <w:p w14:paraId="34BA705A">
            <w:pPr>
              <w:pStyle w:val="14"/>
              <w:spacing w:before="92"/>
              <w:ind w:left="5"/>
              <w:jc w:val="center"/>
              <w:rPr>
                <w:sz w:val="21"/>
              </w:rPr>
            </w:pPr>
            <w:r>
              <w:rPr>
                <w:w w:val="99"/>
                <w:sz w:val="21"/>
              </w:rPr>
              <w:t>镉</w:t>
            </w:r>
          </w:p>
        </w:tc>
        <w:tc>
          <w:tcPr>
            <w:tcW w:w="1201" w:type="dxa"/>
          </w:tcPr>
          <w:p w14:paraId="4A1F94CD">
            <w:pPr>
              <w:pStyle w:val="14"/>
              <w:spacing w:before="91"/>
              <w:ind w:left="198" w:right="191"/>
              <w:jc w:val="center"/>
              <w:rPr>
                <w:rFonts w:ascii="Times New Roman"/>
                <w:sz w:val="21"/>
              </w:rPr>
            </w:pPr>
            <w:r>
              <w:rPr>
                <w:rFonts w:ascii="Times New Roman"/>
                <w:sz w:val="21"/>
              </w:rPr>
              <w:t>mg/L</w:t>
            </w:r>
          </w:p>
        </w:tc>
        <w:tc>
          <w:tcPr>
            <w:tcW w:w="1336" w:type="dxa"/>
          </w:tcPr>
          <w:p w14:paraId="5FD88F1F">
            <w:pPr>
              <w:pStyle w:val="14"/>
              <w:spacing w:before="113"/>
              <w:ind w:left="140" w:right="132"/>
              <w:jc w:val="center"/>
              <w:rPr>
                <w:rFonts w:ascii="Times New Roman"/>
                <w:sz w:val="21"/>
              </w:rPr>
            </w:pPr>
            <w:r>
              <w:rPr>
                <w:rFonts w:ascii="Times New Roman"/>
                <w:sz w:val="21"/>
              </w:rPr>
              <w:t>0.005</w:t>
            </w:r>
          </w:p>
        </w:tc>
        <w:tc>
          <w:tcPr>
            <w:tcW w:w="1025" w:type="dxa"/>
          </w:tcPr>
          <w:p w14:paraId="7C60AAE0">
            <w:pPr>
              <w:pStyle w:val="14"/>
              <w:spacing w:before="113"/>
              <w:ind w:left="174" w:right="165"/>
              <w:jc w:val="center"/>
              <w:rPr>
                <w:rFonts w:ascii="Times New Roman"/>
                <w:sz w:val="21"/>
              </w:rPr>
            </w:pPr>
            <w:r>
              <w:rPr>
                <w:rFonts w:ascii="Times New Roman"/>
                <w:sz w:val="21"/>
              </w:rPr>
              <w:t>ND</w:t>
            </w:r>
          </w:p>
        </w:tc>
        <w:tc>
          <w:tcPr>
            <w:tcW w:w="997" w:type="dxa"/>
          </w:tcPr>
          <w:p w14:paraId="5FC359A8">
            <w:pPr>
              <w:pStyle w:val="14"/>
              <w:spacing w:before="113"/>
              <w:ind w:right="336"/>
              <w:jc w:val="right"/>
              <w:rPr>
                <w:rFonts w:ascii="Times New Roman"/>
                <w:sz w:val="21"/>
              </w:rPr>
            </w:pPr>
            <w:r>
              <w:rPr>
                <w:rFonts w:ascii="Times New Roman"/>
                <w:w w:val="95"/>
                <w:sz w:val="21"/>
              </w:rPr>
              <w:t>ND</w:t>
            </w:r>
          </w:p>
        </w:tc>
        <w:tc>
          <w:tcPr>
            <w:tcW w:w="936" w:type="dxa"/>
          </w:tcPr>
          <w:p w14:paraId="40F29E74">
            <w:pPr>
              <w:pStyle w:val="14"/>
              <w:spacing w:before="113"/>
              <w:ind w:left="127" w:right="122"/>
              <w:jc w:val="center"/>
              <w:rPr>
                <w:rFonts w:ascii="Times New Roman"/>
                <w:sz w:val="21"/>
              </w:rPr>
            </w:pPr>
            <w:r>
              <w:rPr>
                <w:rFonts w:ascii="Times New Roman"/>
                <w:sz w:val="21"/>
              </w:rPr>
              <w:t>ND</w:t>
            </w:r>
          </w:p>
        </w:tc>
        <w:tc>
          <w:tcPr>
            <w:tcW w:w="294" w:type="dxa"/>
          </w:tcPr>
          <w:p w14:paraId="1C7EA1C5">
            <w:pPr>
              <w:pStyle w:val="14"/>
              <w:spacing w:before="91"/>
              <w:ind w:left="93"/>
              <w:rPr>
                <w:rFonts w:ascii="Times New Roman"/>
                <w:sz w:val="21"/>
              </w:rPr>
            </w:pPr>
            <w:r>
              <w:rPr>
                <w:rFonts w:ascii="Times New Roman"/>
                <w:w w:val="99"/>
                <w:sz w:val="21"/>
              </w:rPr>
              <w:t>0</w:t>
            </w:r>
          </w:p>
        </w:tc>
        <w:tc>
          <w:tcPr>
            <w:tcW w:w="551" w:type="dxa"/>
          </w:tcPr>
          <w:p w14:paraId="2008995E">
            <w:pPr>
              <w:pStyle w:val="14"/>
              <w:spacing w:before="91"/>
              <w:ind w:left="7"/>
              <w:jc w:val="center"/>
              <w:rPr>
                <w:rFonts w:ascii="Times New Roman"/>
                <w:sz w:val="21"/>
              </w:rPr>
            </w:pPr>
            <w:r>
              <w:rPr>
                <w:rFonts w:ascii="Times New Roman"/>
                <w:w w:val="99"/>
                <w:sz w:val="21"/>
              </w:rPr>
              <w:t>0</w:t>
            </w:r>
          </w:p>
        </w:tc>
      </w:tr>
      <w:tr w14:paraId="42C6A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6A0A4921">
            <w:pPr>
              <w:rPr>
                <w:sz w:val="2"/>
                <w:szCs w:val="2"/>
              </w:rPr>
            </w:pPr>
          </w:p>
        </w:tc>
        <w:tc>
          <w:tcPr>
            <w:tcW w:w="1027" w:type="dxa"/>
          </w:tcPr>
          <w:p w14:paraId="619A6C48">
            <w:pPr>
              <w:pStyle w:val="14"/>
              <w:spacing w:before="77"/>
              <w:ind w:left="5"/>
              <w:jc w:val="center"/>
              <w:rPr>
                <w:sz w:val="21"/>
              </w:rPr>
            </w:pPr>
            <w:r>
              <w:rPr>
                <w:w w:val="99"/>
                <w:sz w:val="21"/>
              </w:rPr>
              <w:t>铁</w:t>
            </w:r>
          </w:p>
        </w:tc>
        <w:tc>
          <w:tcPr>
            <w:tcW w:w="1201" w:type="dxa"/>
          </w:tcPr>
          <w:p w14:paraId="27A69CFD">
            <w:pPr>
              <w:pStyle w:val="14"/>
              <w:spacing w:before="91"/>
              <w:ind w:left="198" w:right="191"/>
              <w:jc w:val="center"/>
              <w:rPr>
                <w:rFonts w:ascii="Times New Roman"/>
                <w:sz w:val="21"/>
              </w:rPr>
            </w:pPr>
            <w:r>
              <w:rPr>
                <w:rFonts w:ascii="Times New Roman"/>
                <w:sz w:val="21"/>
              </w:rPr>
              <w:t>mg/L</w:t>
            </w:r>
          </w:p>
        </w:tc>
        <w:tc>
          <w:tcPr>
            <w:tcW w:w="1336" w:type="dxa"/>
          </w:tcPr>
          <w:p w14:paraId="0EE0C9C3">
            <w:pPr>
              <w:pStyle w:val="14"/>
              <w:spacing w:before="112"/>
              <w:ind w:left="140" w:right="132"/>
              <w:jc w:val="center"/>
              <w:rPr>
                <w:rFonts w:ascii="Times New Roman"/>
                <w:sz w:val="21"/>
              </w:rPr>
            </w:pPr>
            <w:r>
              <w:rPr>
                <w:rFonts w:ascii="Times New Roman"/>
                <w:sz w:val="21"/>
              </w:rPr>
              <w:t>0.3</w:t>
            </w:r>
          </w:p>
        </w:tc>
        <w:tc>
          <w:tcPr>
            <w:tcW w:w="1025" w:type="dxa"/>
          </w:tcPr>
          <w:p w14:paraId="44029C9B">
            <w:pPr>
              <w:pStyle w:val="14"/>
              <w:spacing w:before="112"/>
              <w:ind w:left="174" w:right="165"/>
              <w:jc w:val="center"/>
              <w:rPr>
                <w:rFonts w:ascii="Times New Roman"/>
                <w:sz w:val="21"/>
              </w:rPr>
            </w:pPr>
            <w:r>
              <w:rPr>
                <w:rFonts w:ascii="Times New Roman"/>
                <w:sz w:val="21"/>
              </w:rPr>
              <w:t>ND</w:t>
            </w:r>
          </w:p>
        </w:tc>
        <w:tc>
          <w:tcPr>
            <w:tcW w:w="997" w:type="dxa"/>
          </w:tcPr>
          <w:p w14:paraId="4D3D5B82">
            <w:pPr>
              <w:pStyle w:val="14"/>
              <w:spacing w:before="112"/>
              <w:ind w:right="336"/>
              <w:jc w:val="right"/>
              <w:rPr>
                <w:rFonts w:ascii="Times New Roman"/>
                <w:sz w:val="21"/>
              </w:rPr>
            </w:pPr>
            <w:r>
              <w:rPr>
                <w:rFonts w:ascii="Times New Roman"/>
                <w:w w:val="95"/>
                <w:sz w:val="21"/>
              </w:rPr>
              <w:t>ND</w:t>
            </w:r>
          </w:p>
        </w:tc>
        <w:tc>
          <w:tcPr>
            <w:tcW w:w="936" w:type="dxa"/>
          </w:tcPr>
          <w:p w14:paraId="2002410A">
            <w:pPr>
              <w:pStyle w:val="14"/>
              <w:spacing w:before="112"/>
              <w:ind w:left="127" w:right="122"/>
              <w:jc w:val="center"/>
              <w:rPr>
                <w:rFonts w:ascii="Times New Roman"/>
                <w:sz w:val="21"/>
              </w:rPr>
            </w:pPr>
            <w:r>
              <w:rPr>
                <w:rFonts w:ascii="Times New Roman"/>
                <w:sz w:val="21"/>
              </w:rPr>
              <w:t>ND</w:t>
            </w:r>
          </w:p>
        </w:tc>
        <w:tc>
          <w:tcPr>
            <w:tcW w:w="294" w:type="dxa"/>
          </w:tcPr>
          <w:p w14:paraId="4FACF596">
            <w:pPr>
              <w:pStyle w:val="14"/>
              <w:spacing w:before="91"/>
              <w:ind w:left="93"/>
              <w:rPr>
                <w:rFonts w:ascii="Times New Roman"/>
                <w:sz w:val="21"/>
              </w:rPr>
            </w:pPr>
            <w:r>
              <w:rPr>
                <w:rFonts w:ascii="Times New Roman"/>
                <w:w w:val="99"/>
                <w:sz w:val="21"/>
              </w:rPr>
              <w:t>0</w:t>
            </w:r>
          </w:p>
        </w:tc>
        <w:tc>
          <w:tcPr>
            <w:tcW w:w="551" w:type="dxa"/>
          </w:tcPr>
          <w:p w14:paraId="3957442E">
            <w:pPr>
              <w:pStyle w:val="14"/>
              <w:spacing w:before="91"/>
              <w:ind w:left="7"/>
              <w:jc w:val="center"/>
              <w:rPr>
                <w:rFonts w:ascii="Times New Roman"/>
                <w:sz w:val="21"/>
              </w:rPr>
            </w:pPr>
            <w:r>
              <w:rPr>
                <w:rFonts w:ascii="Times New Roman"/>
                <w:w w:val="99"/>
                <w:sz w:val="21"/>
              </w:rPr>
              <w:t>0</w:t>
            </w:r>
          </w:p>
        </w:tc>
      </w:tr>
      <w:tr w14:paraId="48DA5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0FD1807B">
            <w:pPr>
              <w:rPr>
                <w:sz w:val="2"/>
                <w:szCs w:val="2"/>
              </w:rPr>
            </w:pPr>
          </w:p>
        </w:tc>
        <w:tc>
          <w:tcPr>
            <w:tcW w:w="1027" w:type="dxa"/>
          </w:tcPr>
          <w:p w14:paraId="356DC6C1">
            <w:pPr>
              <w:pStyle w:val="14"/>
              <w:spacing w:before="76"/>
              <w:ind w:left="5"/>
              <w:jc w:val="center"/>
              <w:rPr>
                <w:sz w:val="21"/>
              </w:rPr>
            </w:pPr>
            <w:r>
              <w:rPr>
                <w:w w:val="99"/>
                <w:sz w:val="21"/>
              </w:rPr>
              <w:t>锰</w:t>
            </w:r>
          </w:p>
        </w:tc>
        <w:tc>
          <w:tcPr>
            <w:tcW w:w="1201" w:type="dxa"/>
          </w:tcPr>
          <w:p w14:paraId="20CB2C0B">
            <w:pPr>
              <w:pStyle w:val="14"/>
              <w:spacing w:before="90"/>
              <w:ind w:left="198" w:right="191"/>
              <w:jc w:val="center"/>
              <w:rPr>
                <w:rFonts w:ascii="Times New Roman"/>
                <w:sz w:val="21"/>
              </w:rPr>
            </w:pPr>
            <w:r>
              <w:rPr>
                <w:rFonts w:ascii="Times New Roman"/>
                <w:sz w:val="21"/>
              </w:rPr>
              <w:t>mg/L</w:t>
            </w:r>
          </w:p>
        </w:tc>
        <w:tc>
          <w:tcPr>
            <w:tcW w:w="1336" w:type="dxa"/>
          </w:tcPr>
          <w:p w14:paraId="0954F924">
            <w:pPr>
              <w:pStyle w:val="14"/>
              <w:spacing w:before="112"/>
              <w:ind w:left="140" w:right="132"/>
              <w:jc w:val="center"/>
              <w:rPr>
                <w:rFonts w:ascii="Times New Roman"/>
                <w:sz w:val="21"/>
              </w:rPr>
            </w:pPr>
            <w:r>
              <w:rPr>
                <w:rFonts w:ascii="Times New Roman"/>
                <w:sz w:val="21"/>
              </w:rPr>
              <w:t>0.10</w:t>
            </w:r>
          </w:p>
        </w:tc>
        <w:tc>
          <w:tcPr>
            <w:tcW w:w="1025" w:type="dxa"/>
          </w:tcPr>
          <w:p w14:paraId="0C4CBC14">
            <w:pPr>
              <w:pStyle w:val="14"/>
              <w:spacing w:before="112"/>
              <w:ind w:left="174" w:right="165"/>
              <w:jc w:val="center"/>
              <w:rPr>
                <w:rFonts w:ascii="Times New Roman"/>
                <w:sz w:val="21"/>
              </w:rPr>
            </w:pPr>
            <w:r>
              <w:rPr>
                <w:rFonts w:ascii="Times New Roman"/>
                <w:sz w:val="21"/>
              </w:rPr>
              <w:t>ND</w:t>
            </w:r>
          </w:p>
        </w:tc>
        <w:tc>
          <w:tcPr>
            <w:tcW w:w="997" w:type="dxa"/>
          </w:tcPr>
          <w:p w14:paraId="142A131F">
            <w:pPr>
              <w:pStyle w:val="14"/>
              <w:spacing w:before="112"/>
              <w:ind w:right="336"/>
              <w:jc w:val="right"/>
              <w:rPr>
                <w:rFonts w:ascii="Times New Roman"/>
                <w:sz w:val="21"/>
              </w:rPr>
            </w:pPr>
            <w:r>
              <w:rPr>
                <w:rFonts w:ascii="Times New Roman"/>
                <w:w w:val="95"/>
                <w:sz w:val="21"/>
              </w:rPr>
              <w:t>ND</w:t>
            </w:r>
          </w:p>
        </w:tc>
        <w:tc>
          <w:tcPr>
            <w:tcW w:w="936" w:type="dxa"/>
          </w:tcPr>
          <w:p w14:paraId="4AC34254">
            <w:pPr>
              <w:pStyle w:val="14"/>
              <w:spacing w:before="112"/>
              <w:ind w:left="127" w:right="122"/>
              <w:jc w:val="center"/>
              <w:rPr>
                <w:rFonts w:ascii="Times New Roman"/>
                <w:sz w:val="21"/>
              </w:rPr>
            </w:pPr>
            <w:r>
              <w:rPr>
                <w:rFonts w:ascii="Times New Roman"/>
                <w:sz w:val="21"/>
              </w:rPr>
              <w:t>ND</w:t>
            </w:r>
          </w:p>
        </w:tc>
        <w:tc>
          <w:tcPr>
            <w:tcW w:w="294" w:type="dxa"/>
          </w:tcPr>
          <w:p w14:paraId="696D6CF6">
            <w:pPr>
              <w:pStyle w:val="14"/>
              <w:spacing w:before="90"/>
              <w:ind w:left="93"/>
              <w:rPr>
                <w:rFonts w:ascii="Times New Roman"/>
                <w:sz w:val="21"/>
              </w:rPr>
            </w:pPr>
            <w:r>
              <w:rPr>
                <w:rFonts w:ascii="Times New Roman"/>
                <w:w w:val="99"/>
                <w:sz w:val="21"/>
              </w:rPr>
              <w:t>0</w:t>
            </w:r>
          </w:p>
        </w:tc>
        <w:tc>
          <w:tcPr>
            <w:tcW w:w="551" w:type="dxa"/>
          </w:tcPr>
          <w:p w14:paraId="735AC3A3">
            <w:pPr>
              <w:pStyle w:val="14"/>
              <w:spacing w:before="90"/>
              <w:ind w:left="7"/>
              <w:jc w:val="center"/>
              <w:rPr>
                <w:rFonts w:ascii="Times New Roman"/>
                <w:sz w:val="21"/>
              </w:rPr>
            </w:pPr>
            <w:r>
              <w:rPr>
                <w:rFonts w:ascii="Times New Roman"/>
                <w:w w:val="99"/>
                <w:sz w:val="21"/>
              </w:rPr>
              <w:t>0</w:t>
            </w:r>
          </w:p>
        </w:tc>
      </w:tr>
      <w:tr w14:paraId="009EF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49" w:type="dxa"/>
            <w:vMerge w:val="continue"/>
            <w:tcBorders>
              <w:top w:val="nil"/>
            </w:tcBorders>
          </w:tcPr>
          <w:p w14:paraId="1CEFC0AA">
            <w:pPr>
              <w:rPr>
                <w:sz w:val="2"/>
                <w:szCs w:val="2"/>
              </w:rPr>
            </w:pPr>
          </w:p>
        </w:tc>
        <w:tc>
          <w:tcPr>
            <w:tcW w:w="1027" w:type="dxa"/>
          </w:tcPr>
          <w:p w14:paraId="6E224A0C">
            <w:pPr>
              <w:pStyle w:val="14"/>
              <w:spacing w:line="300" w:lineRule="exact"/>
              <w:ind w:left="406" w:right="84" w:hanging="315"/>
              <w:rPr>
                <w:sz w:val="21"/>
              </w:rPr>
            </w:pPr>
            <w:r>
              <w:rPr>
                <w:w w:val="95"/>
                <w:sz w:val="21"/>
              </w:rPr>
              <w:t>总大肠菌</w:t>
            </w:r>
            <w:r>
              <w:rPr>
                <w:sz w:val="21"/>
              </w:rPr>
              <w:t>群</w:t>
            </w:r>
          </w:p>
        </w:tc>
        <w:tc>
          <w:tcPr>
            <w:tcW w:w="1201" w:type="dxa"/>
          </w:tcPr>
          <w:p w14:paraId="53756EEB">
            <w:pPr>
              <w:pStyle w:val="14"/>
              <w:spacing w:before="175"/>
              <w:ind w:left="6" w:right="-15"/>
              <w:jc w:val="center"/>
              <w:rPr>
                <w:rFonts w:ascii="Times New Roman"/>
                <w:sz w:val="21"/>
              </w:rPr>
            </w:pPr>
            <w:r>
              <w:rPr>
                <w:rFonts w:ascii="Times New Roman"/>
                <w:position w:val="2"/>
                <w:sz w:val="21"/>
              </w:rPr>
              <w:t>MPN</w:t>
            </w:r>
            <w:r>
              <w:rPr>
                <w:rFonts w:ascii="Times New Roman"/>
                <w:position w:val="2"/>
                <w:sz w:val="21"/>
                <w:vertAlign w:val="subscript"/>
              </w:rPr>
              <w:t>b</w:t>
            </w:r>
            <w:r>
              <w:rPr>
                <w:rFonts w:ascii="Times New Roman"/>
                <w:position w:val="2"/>
                <w:sz w:val="21"/>
                <w:vertAlign w:val="baseline"/>
              </w:rPr>
              <w:t>/100mL</w:t>
            </w:r>
          </w:p>
        </w:tc>
        <w:tc>
          <w:tcPr>
            <w:tcW w:w="1336" w:type="dxa"/>
          </w:tcPr>
          <w:p w14:paraId="7D290448">
            <w:pPr>
              <w:pStyle w:val="14"/>
              <w:spacing w:before="4"/>
              <w:rPr>
                <w:rFonts w:ascii="Times New Roman"/>
                <w:sz w:val="17"/>
              </w:rPr>
            </w:pPr>
          </w:p>
          <w:p w14:paraId="2C20168C">
            <w:pPr>
              <w:pStyle w:val="14"/>
              <w:ind w:left="140" w:right="132"/>
              <w:jc w:val="center"/>
              <w:rPr>
                <w:rFonts w:ascii="Times New Roman"/>
                <w:sz w:val="21"/>
              </w:rPr>
            </w:pPr>
            <w:r>
              <w:rPr>
                <w:rFonts w:ascii="Times New Roman"/>
                <w:sz w:val="21"/>
              </w:rPr>
              <w:t>3.0</w:t>
            </w:r>
          </w:p>
        </w:tc>
        <w:tc>
          <w:tcPr>
            <w:tcW w:w="1025" w:type="dxa"/>
          </w:tcPr>
          <w:p w14:paraId="5184B511">
            <w:pPr>
              <w:pStyle w:val="14"/>
              <w:spacing w:before="186"/>
              <w:ind w:left="174" w:right="165"/>
              <w:jc w:val="center"/>
              <w:rPr>
                <w:rFonts w:ascii="Times New Roman" w:eastAsia="Times New Roman"/>
                <w:sz w:val="21"/>
              </w:rPr>
            </w:pPr>
            <w:r>
              <w:rPr>
                <w:sz w:val="21"/>
              </w:rPr>
              <w:t>＜</w:t>
            </w:r>
            <w:r>
              <w:rPr>
                <w:rFonts w:ascii="Times New Roman" w:eastAsia="Times New Roman"/>
                <w:sz w:val="21"/>
              </w:rPr>
              <w:t>2</w:t>
            </w:r>
          </w:p>
        </w:tc>
        <w:tc>
          <w:tcPr>
            <w:tcW w:w="997" w:type="dxa"/>
          </w:tcPr>
          <w:p w14:paraId="50306E1D">
            <w:pPr>
              <w:pStyle w:val="14"/>
              <w:spacing w:before="186"/>
              <w:ind w:right="329"/>
              <w:jc w:val="right"/>
              <w:rPr>
                <w:rFonts w:ascii="Times New Roman" w:eastAsia="Times New Roman"/>
                <w:sz w:val="21"/>
              </w:rPr>
            </w:pPr>
            <w:r>
              <w:rPr>
                <w:sz w:val="21"/>
              </w:rPr>
              <w:t>＜</w:t>
            </w:r>
            <w:r>
              <w:rPr>
                <w:rFonts w:ascii="Times New Roman" w:eastAsia="Times New Roman"/>
                <w:sz w:val="21"/>
              </w:rPr>
              <w:t>2</w:t>
            </w:r>
          </w:p>
        </w:tc>
        <w:tc>
          <w:tcPr>
            <w:tcW w:w="936" w:type="dxa"/>
          </w:tcPr>
          <w:p w14:paraId="66E0613E">
            <w:pPr>
              <w:pStyle w:val="14"/>
              <w:spacing w:before="186"/>
              <w:ind w:left="128" w:right="122"/>
              <w:jc w:val="center"/>
              <w:rPr>
                <w:rFonts w:ascii="Times New Roman" w:eastAsia="Times New Roman"/>
                <w:sz w:val="21"/>
              </w:rPr>
            </w:pPr>
            <w:r>
              <w:rPr>
                <w:sz w:val="21"/>
              </w:rPr>
              <w:t>＜</w:t>
            </w:r>
            <w:r>
              <w:rPr>
                <w:rFonts w:ascii="Times New Roman" w:eastAsia="Times New Roman"/>
                <w:sz w:val="21"/>
              </w:rPr>
              <w:t>2</w:t>
            </w:r>
          </w:p>
        </w:tc>
        <w:tc>
          <w:tcPr>
            <w:tcW w:w="294" w:type="dxa"/>
          </w:tcPr>
          <w:p w14:paraId="65E5A1A8">
            <w:pPr>
              <w:pStyle w:val="14"/>
              <w:spacing w:before="178"/>
              <w:ind w:left="93"/>
              <w:rPr>
                <w:rFonts w:ascii="Times New Roman"/>
                <w:sz w:val="21"/>
              </w:rPr>
            </w:pPr>
            <w:r>
              <w:rPr>
                <w:rFonts w:ascii="Times New Roman"/>
                <w:w w:val="99"/>
                <w:sz w:val="21"/>
              </w:rPr>
              <w:t>0</w:t>
            </w:r>
          </w:p>
        </w:tc>
        <w:tc>
          <w:tcPr>
            <w:tcW w:w="551" w:type="dxa"/>
          </w:tcPr>
          <w:p w14:paraId="124596E3">
            <w:pPr>
              <w:pStyle w:val="14"/>
              <w:spacing w:before="178"/>
              <w:ind w:left="7"/>
              <w:jc w:val="center"/>
              <w:rPr>
                <w:rFonts w:ascii="Times New Roman"/>
                <w:sz w:val="21"/>
              </w:rPr>
            </w:pPr>
            <w:r>
              <w:rPr>
                <w:rFonts w:ascii="Times New Roman"/>
                <w:w w:val="99"/>
                <w:sz w:val="21"/>
              </w:rPr>
              <w:t>0</w:t>
            </w:r>
          </w:p>
        </w:tc>
      </w:tr>
      <w:tr w14:paraId="02D1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546BE391">
            <w:pPr>
              <w:rPr>
                <w:sz w:val="2"/>
                <w:szCs w:val="2"/>
              </w:rPr>
            </w:pPr>
          </w:p>
        </w:tc>
        <w:tc>
          <w:tcPr>
            <w:tcW w:w="1027" w:type="dxa"/>
          </w:tcPr>
          <w:p w14:paraId="0D7F10EC">
            <w:pPr>
              <w:pStyle w:val="14"/>
              <w:spacing w:before="92"/>
              <w:ind w:left="71" w:right="63"/>
              <w:jc w:val="center"/>
              <w:rPr>
                <w:sz w:val="21"/>
              </w:rPr>
            </w:pPr>
            <w:r>
              <w:rPr>
                <w:sz w:val="21"/>
              </w:rPr>
              <w:t>总硬度</w:t>
            </w:r>
          </w:p>
        </w:tc>
        <w:tc>
          <w:tcPr>
            <w:tcW w:w="1201" w:type="dxa"/>
          </w:tcPr>
          <w:p w14:paraId="760D36B3">
            <w:pPr>
              <w:pStyle w:val="14"/>
              <w:spacing w:before="91"/>
              <w:ind w:left="198" w:right="191"/>
              <w:jc w:val="center"/>
              <w:rPr>
                <w:rFonts w:ascii="Times New Roman"/>
                <w:sz w:val="21"/>
              </w:rPr>
            </w:pPr>
            <w:r>
              <w:rPr>
                <w:rFonts w:ascii="Times New Roman"/>
                <w:sz w:val="21"/>
              </w:rPr>
              <w:t>mg/L</w:t>
            </w:r>
          </w:p>
        </w:tc>
        <w:tc>
          <w:tcPr>
            <w:tcW w:w="1336" w:type="dxa"/>
          </w:tcPr>
          <w:p w14:paraId="44F4379F">
            <w:pPr>
              <w:pStyle w:val="14"/>
              <w:spacing w:before="111"/>
              <w:ind w:left="140" w:right="132"/>
              <w:jc w:val="center"/>
              <w:rPr>
                <w:rFonts w:ascii="Times New Roman"/>
                <w:sz w:val="21"/>
              </w:rPr>
            </w:pPr>
            <w:r>
              <w:rPr>
                <w:rFonts w:ascii="Times New Roman"/>
                <w:sz w:val="21"/>
              </w:rPr>
              <w:t>450</w:t>
            </w:r>
          </w:p>
        </w:tc>
        <w:tc>
          <w:tcPr>
            <w:tcW w:w="1025" w:type="dxa"/>
          </w:tcPr>
          <w:p w14:paraId="615C0B1B">
            <w:pPr>
              <w:pStyle w:val="14"/>
              <w:spacing w:before="111"/>
              <w:ind w:left="174" w:right="165"/>
              <w:jc w:val="center"/>
              <w:rPr>
                <w:rFonts w:ascii="Times New Roman"/>
                <w:sz w:val="21"/>
              </w:rPr>
            </w:pPr>
            <w:r>
              <w:rPr>
                <w:rFonts w:ascii="Times New Roman"/>
                <w:sz w:val="21"/>
              </w:rPr>
              <w:t>255</w:t>
            </w:r>
          </w:p>
        </w:tc>
        <w:tc>
          <w:tcPr>
            <w:tcW w:w="997" w:type="dxa"/>
          </w:tcPr>
          <w:p w14:paraId="5AD9FEA4">
            <w:pPr>
              <w:pStyle w:val="14"/>
              <w:spacing w:before="111"/>
              <w:ind w:right="329"/>
              <w:jc w:val="right"/>
              <w:rPr>
                <w:rFonts w:ascii="Times New Roman"/>
                <w:sz w:val="21"/>
              </w:rPr>
            </w:pPr>
            <w:r>
              <w:rPr>
                <w:rFonts w:ascii="Times New Roman"/>
                <w:sz w:val="21"/>
              </w:rPr>
              <w:t>250</w:t>
            </w:r>
          </w:p>
        </w:tc>
        <w:tc>
          <w:tcPr>
            <w:tcW w:w="936" w:type="dxa"/>
          </w:tcPr>
          <w:p w14:paraId="4A742876">
            <w:pPr>
              <w:pStyle w:val="14"/>
              <w:spacing w:before="111"/>
              <w:ind w:left="130" w:right="121"/>
              <w:jc w:val="center"/>
              <w:rPr>
                <w:rFonts w:ascii="Times New Roman"/>
                <w:sz w:val="21"/>
              </w:rPr>
            </w:pPr>
            <w:r>
              <w:rPr>
                <w:rFonts w:ascii="Times New Roman"/>
                <w:sz w:val="21"/>
              </w:rPr>
              <w:t>255</w:t>
            </w:r>
          </w:p>
        </w:tc>
        <w:tc>
          <w:tcPr>
            <w:tcW w:w="294" w:type="dxa"/>
          </w:tcPr>
          <w:p w14:paraId="2F8FD32A">
            <w:pPr>
              <w:pStyle w:val="14"/>
              <w:spacing w:before="91"/>
              <w:ind w:left="93"/>
              <w:rPr>
                <w:rFonts w:ascii="Times New Roman"/>
                <w:sz w:val="21"/>
              </w:rPr>
            </w:pPr>
            <w:r>
              <w:rPr>
                <w:rFonts w:ascii="Times New Roman"/>
                <w:w w:val="99"/>
                <w:sz w:val="21"/>
              </w:rPr>
              <w:t>0</w:t>
            </w:r>
          </w:p>
        </w:tc>
        <w:tc>
          <w:tcPr>
            <w:tcW w:w="551" w:type="dxa"/>
          </w:tcPr>
          <w:p w14:paraId="50E5DB5D">
            <w:pPr>
              <w:pStyle w:val="14"/>
              <w:spacing w:before="91"/>
              <w:ind w:left="7"/>
              <w:jc w:val="center"/>
              <w:rPr>
                <w:rFonts w:ascii="Times New Roman"/>
                <w:sz w:val="21"/>
              </w:rPr>
            </w:pPr>
            <w:r>
              <w:rPr>
                <w:rFonts w:ascii="Times New Roman"/>
                <w:w w:val="99"/>
                <w:sz w:val="21"/>
              </w:rPr>
              <w:t>0</w:t>
            </w:r>
          </w:p>
        </w:tc>
      </w:tr>
      <w:tr w14:paraId="1DFEE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183BA4B9">
            <w:pPr>
              <w:rPr>
                <w:sz w:val="2"/>
                <w:szCs w:val="2"/>
              </w:rPr>
            </w:pPr>
          </w:p>
        </w:tc>
        <w:tc>
          <w:tcPr>
            <w:tcW w:w="1027" w:type="dxa"/>
          </w:tcPr>
          <w:p w14:paraId="7CB763BB">
            <w:pPr>
              <w:pStyle w:val="14"/>
              <w:spacing w:before="77"/>
              <w:ind w:left="71" w:right="63"/>
              <w:jc w:val="center"/>
              <w:rPr>
                <w:sz w:val="21"/>
              </w:rPr>
            </w:pPr>
            <w:r>
              <w:rPr>
                <w:sz w:val="21"/>
              </w:rPr>
              <w:t>氰化物</w:t>
            </w:r>
          </w:p>
        </w:tc>
        <w:tc>
          <w:tcPr>
            <w:tcW w:w="1201" w:type="dxa"/>
          </w:tcPr>
          <w:p w14:paraId="37AEE474">
            <w:pPr>
              <w:pStyle w:val="14"/>
              <w:spacing w:before="91"/>
              <w:ind w:left="198" w:right="191"/>
              <w:jc w:val="center"/>
              <w:rPr>
                <w:rFonts w:ascii="Times New Roman"/>
                <w:sz w:val="21"/>
              </w:rPr>
            </w:pPr>
            <w:r>
              <w:rPr>
                <w:rFonts w:ascii="Times New Roman"/>
                <w:sz w:val="21"/>
              </w:rPr>
              <w:t>mg/L</w:t>
            </w:r>
          </w:p>
        </w:tc>
        <w:tc>
          <w:tcPr>
            <w:tcW w:w="1336" w:type="dxa"/>
          </w:tcPr>
          <w:p w14:paraId="56A9B7F4">
            <w:pPr>
              <w:pStyle w:val="14"/>
              <w:spacing w:before="112"/>
              <w:ind w:left="140" w:right="132"/>
              <w:jc w:val="center"/>
              <w:rPr>
                <w:rFonts w:ascii="Times New Roman"/>
                <w:sz w:val="21"/>
              </w:rPr>
            </w:pPr>
            <w:r>
              <w:rPr>
                <w:rFonts w:ascii="Times New Roman"/>
                <w:sz w:val="21"/>
              </w:rPr>
              <w:t>0.05</w:t>
            </w:r>
          </w:p>
        </w:tc>
        <w:tc>
          <w:tcPr>
            <w:tcW w:w="1025" w:type="dxa"/>
          </w:tcPr>
          <w:p w14:paraId="200E3AE0">
            <w:pPr>
              <w:pStyle w:val="14"/>
              <w:spacing w:before="112"/>
              <w:ind w:left="174" w:right="165"/>
              <w:jc w:val="center"/>
              <w:rPr>
                <w:rFonts w:ascii="Times New Roman"/>
                <w:sz w:val="21"/>
              </w:rPr>
            </w:pPr>
            <w:r>
              <w:rPr>
                <w:rFonts w:ascii="Times New Roman"/>
                <w:sz w:val="21"/>
              </w:rPr>
              <w:t>ND</w:t>
            </w:r>
          </w:p>
        </w:tc>
        <w:tc>
          <w:tcPr>
            <w:tcW w:w="997" w:type="dxa"/>
          </w:tcPr>
          <w:p w14:paraId="497A318C">
            <w:pPr>
              <w:pStyle w:val="14"/>
              <w:spacing w:before="112"/>
              <w:ind w:right="336"/>
              <w:jc w:val="right"/>
              <w:rPr>
                <w:rFonts w:ascii="Times New Roman"/>
                <w:sz w:val="21"/>
              </w:rPr>
            </w:pPr>
            <w:r>
              <w:rPr>
                <w:rFonts w:ascii="Times New Roman"/>
                <w:w w:val="95"/>
                <w:sz w:val="21"/>
              </w:rPr>
              <w:t>ND</w:t>
            </w:r>
          </w:p>
        </w:tc>
        <w:tc>
          <w:tcPr>
            <w:tcW w:w="936" w:type="dxa"/>
          </w:tcPr>
          <w:p w14:paraId="6282D3A4">
            <w:pPr>
              <w:pStyle w:val="14"/>
              <w:spacing w:before="112"/>
              <w:ind w:left="127" w:right="122"/>
              <w:jc w:val="center"/>
              <w:rPr>
                <w:rFonts w:ascii="Times New Roman"/>
                <w:sz w:val="21"/>
              </w:rPr>
            </w:pPr>
            <w:r>
              <w:rPr>
                <w:rFonts w:ascii="Times New Roman"/>
                <w:sz w:val="21"/>
              </w:rPr>
              <w:t>ND</w:t>
            </w:r>
          </w:p>
        </w:tc>
        <w:tc>
          <w:tcPr>
            <w:tcW w:w="294" w:type="dxa"/>
          </w:tcPr>
          <w:p w14:paraId="22C419E0">
            <w:pPr>
              <w:pStyle w:val="14"/>
              <w:spacing w:before="91"/>
              <w:ind w:left="93"/>
              <w:rPr>
                <w:rFonts w:ascii="Times New Roman"/>
                <w:sz w:val="21"/>
              </w:rPr>
            </w:pPr>
            <w:r>
              <w:rPr>
                <w:rFonts w:ascii="Times New Roman"/>
                <w:w w:val="99"/>
                <w:sz w:val="21"/>
              </w:rPr>
              <w:t>0</w:t>
            </w:r>
          </w:p>
        </w:tc>
        <w:tc>
          <w:tcPr>
            <w:tcW w:w="551" w:type="dxa"/>
          </w:tcPr>
          <w:p w14:paraId="1380461E">
            <w:pPr>
              <w:pStyle w:val="14"/>
              <w:spacing w:before="91"/>
              <w:ind w:left="7"/>
              <w:jc w:val="center"/>
              <w:rPr>
                <w:rFonts w:ascii="Times New Roman"/>
                <w:sz w:val="21"/>
              </w:rPr>
            </w:pPr>
            <w:r>
              <w:rPr>
                <w:rFonts w:ascii="Times New Roman"/>
                <w:w w:val="99"/>
                <w:sz w:val="21"/>
              </w:rPr>
              <w:t>0</w:t>
            </w:r>
          </w:p>
        </w:tc>
      </w:tr>
      <w:tr w14:paraId="1D00B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A307DBF">
            <w:pPr>
              <w:rPr>
                <w:sz w:val="2"/>
                <w:szCs w:val="2"/>
              </w:rPr>
            </w:pPr>
          </w:p>
        </w:tc>
        <w:tc>
          <w:tcPr>
            <w:tcW w:w="1027" w:type="dxa"/>
          </w:tcPr>
          <w:p w14:paraId="3241E4A3">
            <w:pPr>
              <w:pStyle w:val="14"/>
              <w:spacing w:before="76"/>
              <w:ind w:left="71" w:right="63"/>
              <w:jc w:val="center"/>
              <w:rPr>
                <w:sz w:val="21"/>
              </w:rPr>
            </w:pPr>
            <w:r>
              <w:rPr>
                <w:sz w:val="21"/>
              </w:rPr>
              <w:t>氟化物</w:t>
            </w:r>
          </w:p>
        </w:tc>
        <w:tc>
          <w:tcPr>
            <w:tcW w:w="1201" w:type="dxa"/>
          </w:tcPr>
          <w:p w14:paraId="196965F7">
            <w:pPr>
              <w:pStyle w:val="14"/>
              <w:spacing w:before="90"/>
              <w:ind w:left="198" w:right="191"/>
              <w:jc w:val="center"/>
              <w:rPr>
                <w:rFonts w:ascii="Times New Roman"/>
                <w:sz w:val="21"/>
              </w:rPr>
            </w:pPr>
            <w:r>
              <w:rPr>
                <w:rFonts w:ascii="Times New Roman"/>
                <w:sz w:val="21"/>
              </w:rPr>
              <w:t>mg/L</w:t>
            </w:r>
          </w:p>
        </w:tc>
        <w:tc>
          <w:tcPr>
            <w:tcW w:w="1336" w:type="dxa"/>
          </w:tcPr>
          <w:p w14:paraId="164AD89B">
            <w:pPr>
              <w:pStyle w:val="14"/>
              <w:spacing w:before="112"/>
              <w:ind w:left="140" w:right="132"/>
              <w:jc w:val="center"/>
              <w:rPr>
                <w:rFonts w:ascii="Times New Roman"/>
                <w:sz w:val="21"/>
              </w:rPr>
            </w:pPr>
            <w:r>
              <w:rPr>
                <w:rFonts w:ascii="Times New Roman"/>
                <w:sz w:val="21"/>
              </w:rPr>
              <w:t>1.0</w:t>
            </w:r>
          </w:p>
        </w:tc>
        <w:tc>
          <w:tcPr>
            <w:tcW w:w="1025" w:type="dxa"/>
          </w:tcPr>
          <w:p w14:paraId="2306EAC1">
            <w:pPr>
              <w:pStyle w:val="14"/>
              <w:spacing w:before="112"/>
              <w:ind w:left="174" w:right="165"/>
              <w:jc w:val="center"/>
              <w:rPr>
                <w:rFonts w:ascii="Times New Roman"/>
                <w:sz w:val="21"/>
              </w:rPr>
            </w:pPr>
            <w:r>
              <w:rPr>
                <w:rFonts w:ascii="Times New Roman"/>
                <w:sz w:val="21"/>
              </w:rPr>
              <w:t>0.069</w:t>
            </w:r>
          </w:p>
        </w:tc>
        <w:tc>
          <w:tcPr>
            <w:tcW w:w="997" w:type="dxa"/>
          </w:tcPr>
          <w:p w14:paraId="62D1C6F5">
            <w:pPr>
              <w:pStyle w:val="14"/>
              <w:spacing w:before="112"/>
              <w:ind w:right="250"/>
              <w:jc w:val="right"/>
              <w:rPr>
                <w:rFonts w:ascii="Times New Roman"/>
                <w:sz w:val="21"/>
              </w:rPr>
            </w:pPr>
            <w:r>
              <w:rPr>
                <w:rFonts w:ascii="Times New Roman"/>
                <w:w w:val="95"/>
                <w:sz w:val="21"/>
              </w:rPr>
              <w:t>0.053</w:t>
            </w:r>
          </w:p>
        </w:tc>
        <w:tc>
          <w:tcPr>
            <w:tcW w:w="936" w:type="dxa"/>
          </w:tcPr>
          <w:p w14:paraId="61772886">
            <w:pPr>
              <w:pStyle w:val="14"/>
              <w:spacing w:before="112"/>
              <w:ind w:left="130" w:right="121"/>
              <w:jc w:val="center"/>
              <w:rPr>
                <w:rFonts w:ascii="Times New Roman"/>
                <w:sz w:val="21"/>
              </w:rPr>
            </w:pPr>
            <w:r>
              <w:rPr>
                <w:rFonts w:ascii="Times New Roman"/>
                <w:sz w:val="21"/>
              </w:rPr>
              <w:t>0.160</w:t>
            </w:r>
          </w:p>
        </w:tc>
        <w:tc>
          <w:tcPr>
            <w:tcW w:w="294" w:type="dxa"/>
          </w:tcPr>
          <w:p w14:paraId="3C5AAA83">
            <w:pPr>
              <w:pStyle w:val="14"/>
              <w:spacing w:before="90"/>
              <w:ind w:left="93"/>
              <w:rPr>
                <w:rFonts w:ascii="Times New Roman"/>
                <w:sz w:val="21"/>
              </w:rPr>
            </w:pPr>
            <w:r>
              <w:rPr>
                <w:rFonts w:ascii="Times New Roman"/>
                <w:w w:val="99"/>
                <w:sz w:val="21"/>
              </w:rPr>
              <w:t>0</w:t>
            </w:r>
          </w:p>
        </w:tc>
        <w:tc>
          <w:tcPr>
            <w:tcW w:w="551" w:type="dxa"/>
          </w:tcPr>
          <w:p w14:paraId="2072271A">
            <w:pPr>
              <w:pStyle w:val="14"/>
              <w:spacing w:before="90"/>
              <w:ind w:left="7"/>
              <w:jc w:val="center"/>
              <w:rPr>
                <w:rFonts w:ascii="Times New Roman"/>
                <w:sz w:val="21"/>
              </w:rPr>
            </w:pPr>
            <w:r>
              <w:rPr>
                <w:rFonts w:ascii="Times New Roman"/>
                <w:w w:val="99"/>
                <w:sz w:val="21"/>
              </w:rPr>
              <w:t>0</w:t>
            </w:r>
          </w:p>
        </w:tc>
      </w:tr>
      <w:tr w14:paraId="12E82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726E2E22">
            <w:pPr>
              <w:rPr>
                <w:sz w:val="2"/>
                <w:szCs w:val="2"/>
              </w:rPr>
            </w:pPr>
          </w:p>
        </w:tc>
        <w:tc>
          <w:tcPr>
            <w:tcW w:w="1027" w:type="dxa"/>
          </w:tcPr>
          <w:p w14:paraId="678300B3">
            <w:pPr>
              <w:pStyle w:val="14"/>
              <w:spacing w:before="76"/>
              <w:ind w:left="71" w:right="63"/>
              <w:jc w:val="center"/>
              <w:rPr>
                <w:sz w:val="21"/>
              </w:rPr>
            </w:pPr>
            <w:r>
              <w:rPr>
                <w:sz w:val="21"/>
              </w:rPr>
              <w:t>硫酸盐</w:t>
            </w:r>
          </w:p>
        </w:tc>
        <w:tc>
          <w:tcPr>
            <w:tcW w:w="1201" w:type="dxa"/>
          </w:tcPr>
          <w:p w14:paraId="087DF900">
            <w:pPr>
              <w:pStyle w:val="14"/>
              <w:spacing w:before="90"/>
              <w:ind w:left="198" w:right="191"/>
              <w:jc w:val="center"/>
              <w:rPr>
                <w:rFonts w:ascii="Times New Roman"/>
                <w:sz w:val="21"/>
              </w:rPr>
            </w:pPr>
            <w:r>
              <w:rPr>
                <w:rFonts w:ascii="Times New Roman"/>
                <w:sz w:val="21"/>
              </w:rPr>
              <w:t>mg/L</w:t>
            </w:r>
          </w:p>
        </w:tc>
        <w:tc>
          <w:tcPr>
            <w:tcW w:w="1336" w:type="dxa"/>
          </w:tcPr>
          <w:p w14:paraId="59D83803">
            <w:pPr>
              <w:pStyle w:val="14"/>
              <w:spacing w:before="111"/>
              <w:ind w:left="140" w:right="132"/>
              <w:jc w:val="center"/>
              <w:rPr>
                <w:rFonts w:ascii="Times New Roman"/>
                <w:sz w:val="21"/>
              </w:rPr>
            </w:pPr>
            <w:r>
              <w:rPr>
                <w:rFonts w:ascii="Times New Roman"/>
                <w:sz w:val="21"/>
              </w:rPr>
              <w:t>250</w:t>
            </w:r>
          </w:p>
        </w:tc>
        <w:tc>
          <w:tcPr>
            <w:tcW w:w="1025" w:type="dxa"/>
          </w:tcPr>
          <w:p w14:paraId="7C8BEB5F">
            <w:pPr>
              <w:pStyle w:val="14"/>
              <w:spacing w:before="111"/>
              <w:ind w:left="174" w:right="165"/>
              <w:jc w:val="center"/>
              <w:rPr>
                <w:rFonts w:ascii="Times New Roman"/>
                <w:sz w:val="21"/>
              </w:rPr>
            </w:pPr>
            <w:r>
              <w:rPr>
                <w:rFonts w:ascii="Times New Roman"/>
                <w:sz w:val="21"/>
              </w:rPr>
              <w:t>96.8</w:t>
            </w:r>
          </w:p>
        </w:tc>
        <w:tc>
          <w:tcPr>
            <w:tcW w:w="997" w:type="dxa"/>
          </w:tcPr>
          <w:p w14:paraId="293E776F">
            <w:pPr>
              <w:pStyle w:val="14"/>
              <w:spacing w:before="111"/>
              <w:ind w:right="303"/>
              <w:jc w:val="right"/>
              <w:rPr>
                <w:rFonts w:ascii="Times New Roman"/>
                <w:sz w:val="21"/>
              </w:rPr>
            </w:pPr>
            <w:r>
              <w:rPr>
                <w:rFonts w:ascii="Times New Roman"/>
                <w:sz w:val="21"/>
              </w:rPr>
              <w:t>86.9</w:t>
            </w:r>
          </w:p>
        </w:tc>
        <w:tc>
          <w:tcPr>
            <w:tcW w:w="936" w:type="dxa"/>
          </w:tcPr>
          <w:p w14:paraId="30FC8B98">
            <w:pPr>
              <w:pStyle w:val="14"/>
              <w:spacing w:before="111"/>
              <w:ind w:left="130" w:right="121"/>
              <w:jc w:val="center"/>
              <w:rPr>
                <w:rFonts w:ascii="Times New Roman"/>
                <w:sz w:val="21"/>
              </w:rPr>
            </w:pPr>
            <w:r>
              <w:rPr>
                <w:rFonts w:ascii="Times New Roman"/>
                <w:sz w:val="21"/>
              </w:rPr>
              <w:t>59.5</w:t>
            </w:r>
          </w:p>
        </w:tc>
        <w:tc>
          <w:tcPr>
            <w:tcW w:w="294" w:type="dxa"/>
          </w:tcPr>
          <w:p w14:paraId="4593F4A8">
            <w:pPr>
              <w:pStyle w:val="14"/>
              <w:spacing w:before="90"/>
              <w:ind w:left="93"/>
              <w:rPr>
                <w:rFonts w:ascii="Times New Roman"/>
                <w:sz w:val="21"/>
              </w:rPr>
            </w:pPr>
            <w:r>
              <w:rPr>
                <w:rFonts w:ascii="Times New Roman"/>
                <w:w w:val="99"/>
                <w:sz w:val="21"/>
              </w:rPr>
              <w:t>0</w:t>
            </w:r>
          </w:p>
        </w:tc>
        <w:tc>
          <w:tcPr>
            <w:tcW w:w="551" w:type="dxa"/>
          </w:tcPr>
          <w:p w14:paraId="573BF4AD">
            <w:pPr>
              <w:pStyle w:val="14"/>
              <w:spacing w:before="90"/>
              <w:ind w:left="7"/>
              <w:jc w:val="center"/>
              <w:rPr>
                <w:rFonts w:ascii="Times New Roman"/>
                <w:sz w:val="21"/>
              </w:rPr>
            </w:pPr>
            <w:r>
              <w:rPr>
                <w:rFonts w:ascii="Times New Roman"/>
                <w:w w:val="99"/>
                <w:sz w:val="21"/>
              </w:rPr>
              <w:t>0</w:t>
            </w:r>
          </w:p>
        </w:tc>
      </w:tr>
      <w:tr w14:paraId="18408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679158B">
            <w:pPr>
              <w:rPr>
                <w:sz w:val="2"/>
                <w:szCs w:val="2"/>
              </w:rPr>
            </w:pPr>
          </w:p>
        </w:tc>
        <w:tc>
          <w:tcPr>
            <w:tcW w:w="1027" w:type="dxa"/>
          </w:tcPr>
          <w:p w14:paraId="41C76586">
            <w:pPr>
              <w:pStyle w:val="14"/>
              <w:spacing w:before="77"/>
              <w:ind w:left="71" w:right="63"/>
              <w:jc w:val="center"/>
              <w:rPr>
                <w:sz w:val="21"/>
              </w:rPr>
            </w:pPr>
            <w:r>
              <w:rPr>
                <w:sz w:val="21"/>
              </w:rPr>
              <w:t>氯化物</w:t>
            </w:r>
          </w:p>
        </w:tc>
        <w:tc>
          <w:tcPr>
            <w:tcW w:w="1201" w:type="dxa"/>
          </w:tcPr>
          <w:p w14:paraId="6A3F7F12">
            <w:pPr>
              <w:pStyle w:val="14"/>
              <w:spacing w:before="91"/>
              <w:ind w:left="198" w:right="191"/>
              <w:jc w:val="center"/>
              <w:rPr>
                <w:rFonts w:ascii="Times New Roman"/>
                <w:sz w:val="21"/>
              </w:rPr>
            </w:pPr>
            <w:r>
              <w:rPr>
                <w:rFonts w:ascii="Times New Roman"/>
                <w:sz w:val="21"/>
              </w:rPr>
              <w:t>mg/L</w:t>
            </w:r>
          </w:p>
        </w:tc>
        <w:tc>
          <w:tcPr>
            <w:tcW w:w="1336" w:type="dxa"/>
          </w:tcPr>
          <w:p w14:paraId="4BFD63FD">
            <w:pPr>
              <w:pStyle w:val="14"/>
              <w:spacing w:before="111"/>
              <w:ind w:left="140" w:right="132"/>
              <w:jc w:val="center"/>
              <w:rPr>
                <w:rFonts w:ascii="Times New Roman"/>
                <w:sz w:val="21"/>
              </w:rPr>
            </w:pPr>
            <w:r>
              <w:rPr>
                <w:rFonts w:ascii="Times New Roman"/>
                <w:sz w:val="21"/>
              </w:rPr>
              <w:t>250</w:t>
            </w:r>
          </w:p>
        </w:tc>
        <w:tc>
          <w:tcPr>
            <w:tcW w:w="1025" w:type="dxa"/>
          </w:tcPr>
          <w:p w14:paraId="592E7F27">
            <w:pPr>
              <w:pStyle w:val="14"/>
              <w:spacing w:before="111"/>
              <w:ind w:left="174" w:right="165"/>
              <w:jc w:val="center"/>
              <w:rPr>
                <w:rFonts w:ascii="Times New Roman"/>
                <w:sz w:val="21"/>
              </w:rPr>
            </w:pPr>
            <w:r>
              <w:rPr>
                <w:rFonts w:ascii="Times New Roman"/>
                <w:sz w:val="21"/>
              </w:rPr>
              <w:t>10.3</w:t>
            </w:r>
          </w:p>
        </w:tc>
        <w:tc>
          <w:tcPr>
            <w:tcW w:w="997" w:type="dxa"/>
          </w:tcPr>
          <w:p w14:paraId="012996B6">
            <w:pPr>
              <w:pStyle w:val="14"/>
              <w:spacing w:before="111"/>
              <w:ind w:right="303"/>
              <w:jc w:val="right"/>
              <w:rPr>
                <w:rFonts w:ascii="Times New Roman"/>
                <w:sz w:val="21"/>
              </w:rPr>
            </w:pPr>
            <w:r>
              <w:rPr>
                <w:rFonts w:ascii="Times New Roman"/>
                <w:sz w:val="21"/>
              </w:rPr>
              <w:t>9.54</w:t>
            </w:r>
          </w:p>
        </w:tc>
        <w:tc>
          <w:tcPr>
            <w:tcW w:w="936" w:type="dxa"/>
          </w:tcPr>
          <w:p w14:paraId="2A2F45E1">
            <w:pPr>
              <w:pStyle w:val="14"/>
              <w:spacing w:before="111"/>
              <w:ind w:left="130" w:right="121"/>
              <w:jc w:val="center"/>
              <w:rPr>
                <w:rFonts w:ascii="Times New Roman"/>
                <w:sz w:val="21"/>
              </w:rPr>
            </w:pPr>
            <w:r>
              <w:rPr>
                <w:rFonts w:ascii="Times New Roman"/>
                <w:sz w:val="21"/>
              </w:rPr>
              <w:t>22.4</w:t>
            </w:r>
          </w:p>
        </w:tc>
        <w:tc>
          <w:tcPr>
            <w:tcW w:w="294" w:type="dxa"/>
          </w:tcPr>
          <w:p w14:paraId="4B723D43">
            <w:pPr>
              <w:pStyle w:val="14"/>
              <w:spacing w:before="91"/>
              <w:ind w:left="93"/>
              <w:rPr>
                <w:rFonts w:ascii="Times New Roman"/>
                <w:sz w:val="21"/>
              </w:rPr>
            </w:pPr>
            <w:r>
              <w:rPr>
                <w:rFonts w:ascii="Times New Roman"/>
                <w:w w:val="99"/>
                <w:sz w:val="21"/>
              </w:rPr>
              <w:t>0</w:t>
            </w:r>
          </w:p>
        </w:tc>
        <w:tc>
          <w:tcPr>
            <w:tcW w:w="551" w:type="dxa"/>
          </w:tcPr>
          <w:p w14:paraId="6ACDCD9C">
            <w:pPr>
              <w:pStyle w:val="14"/>
              <w:spacing w:before="91"/>
              <w:ind w:left="7"/>
              <w:jc w:val="center"/>
              <w:rPr>
                <w:rFonts w:ascii="Times New Roman"/>
                <w:sz w:val="21"/>
              </w:rPr>
            </w:pPr>
            <w:r>
              <w:rPr>
                <w:rFonts w:ascii="Times New Roman"/>
                <w:w w:val="99"/>
                <w:sz w:val="21"/>
              </w:rPr>
              <w:t>0</w:t>
            </w:r>
          </w:p>
        </w:tc>
      </w:tr>
      <w:tr w14:paraId="0341C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15BA63B1">
            <w:pPr>
              <w:rPr>
                <w:sz w:val="2"/>
                <w:szCs w:val="2"/>
              </w:rPr>
            </w:pPr>
          </w:p>
        </w:tc>
        <w:tc>
          <w:tcPr>
            <w:tcW w:w="1027" w:type="dxa"/>
          </w:tcPr>
          <w:p w14:paraId="7F897937">
            <w:pPr>
              <w:pStyle w:val="14"/>
              <w:spacing w:before="77"/>
              <w:ind w:left="5"/>
              <w:jc w:val="center"/>
              <w:rPr>
                <w:sz w:val="21"/>
              </w:rPr>
            </w:pPr>
            <w:r>
              <w:rPr>
                <w:w w:val="99"/>
                <w:sz w:val="21"/>
              </w:rPr>
              <w:t>汞</w:t>
            </w:r>
          </w:p>
        </w:tc>
        <w:tc>
          <w:tcPr>
            <w:tcW w:w="1201" w:type="dxa"/>
          </w:tcPr>
          <w:p w14:paraId="5EA4E972">
            <w:pPr>
              <w:pStyle w:val="14"/>
              <w:spacing w:before="91"/>
              <w:ind w:left="198" w:right="191"/>
              <w:jc w:val="center"/>
              <w:rPr>
                <w:rFonts w:ascii="Times New Roman"/>
                <w:sz w:val="21"/>
              </w:rPr>
            </w:pPr>
            <w:r>
              <w:rPr>
                <w:rFonts w:ascii="Times New Roman"/>
                <w:sz w:val="21"/>
              </w:rPr>
              <w:t>mg/L</w:t>
            </w:r>
          </w:p>
        </w:tc>
        <w:tc>
          <w:tcPr>
            <w:tcW w:w="1336" w:type="dxa"/>
          </w:tcPr>
          <w:p w14:paraId="7FD559D3">
            <w:pPr>
              <w:pStyle w:val="14"/>
              <w:spacing w:before="112"/>
              <w:ind w:left="140" w:right="132"/>
              <w:jc w:val="center"/>
              <w:rPr>
                <w:rFonts w:ascii="Times New Roman"/>
                <w:sz w:val="21"/>
              </w:rPr>
            </w:pPr>
            <w:r>
              <w:rPr>
                <w:rFonts w:ascii="Times New Roman"/>
                <w:sz w:val="21"/>
              </w:rPr>
              <w:t>0.001</w:t>
            </w:r>
          </w:p>
        </w:tc>
        <w:tc>
          <w:tcPr>
            <w:tcW w:w="1025" w:type="dxa"/>
          </w:tcPr>
          <w:p w14:paraId="75C482A0">
            <w:pPr>
              <w:pStyle w:val="14"/>
              <w:spacing w:before="112"/>
              <w:ind w:left="174" w:right="165"/>
              <w:jc w:val="center"/>
              <w:rPr>
                <w:rFonts w:ascii="Times New Roman"/>
                <w:sz w:val="21"/>
              </w:rPr>
            </w:pPr>
            <w:r>
              <w:rPr>
                <w:rFonts w:ascii="Times New Roman"/>
                <w:sz w:val="21"/>
              </w:rPr>
              <w:t>ND</w:t>
            </w:r>
          </w:p>
        </w:tc>
        <w:tc>
          <w:tcPr>
            <w:tcW w:w="997" w:type="dxa"/>
          </w:tcPr>
          <w:p w14:paraId="436D2313">
            <w:pPr>
              <w:pStyle w:val="14"/>
              <w:spacing w:before="112"/>
              <w:ind w:right="336"/>
              <w:jc w:val="right"/>
              <w:rPr>
                <w:rFonts w:ascii="Times New Roman"/>
                <w:sz w:val="21"/>
              </w:rPr>
            </w:pPr>
            <w:r>
              <w:rPr>
                <w:rFonts w:ascii="Times New Roman"/>
                <w:w w:val="95"/>
                <w:sz w:val="21"/>
              </w:rPr>
              <w:t>ND</w:t>
            </w:r>
          </w:p>
        </w:tc>
        <w:tc>
          <w:tcPr>
            <w:tcW w:w="936" w:type="dxa"/>
          </w:tcPr>
          <w:p w14:paraId="36238A48">
            <w:pPr>
              <w:pStyle w:val="14"/>
              <w:spacing w:before="112"/>
              <w:ind w:left="127" w:right="122"/>
              <w:jc w:val="center"/>
              <w:rPr>
                <w:rFonts w:ascii="Times New Roman"/>
                <w:sz w:val="21"/>
              </w:rPr>
            </w:pPr>
            <w:r>
              <w:rPr>
                <w:rFonts w:ascii="Times New Roman"/>
                <w:sz w:val="21"/>
              </w:rPr>
              <w:t>ND</w:t>
            </w:r>
          </w:p>
        </w:tc>
        <w:tc>
          <w:tcPr>
            <w:tcW w:w="294" w:type="dxa"/>
          </w:tcPr>
          <w:p w14:paraId="2D3C2756">
            <w:pPr>
              <w:pStyle w:val="14"/>
              <w:spacing w:before="91"/>
              <w:ind w:left="93"/>
              <w:rPr>
                <w:rFonts w:ascii="Times New Roman"/>
                <w:sz w:val="21"/>
              </w:rPr>
            </w:pPr>
            <w:r>
              <w:rPr>
                <w:rFonts w:ascii="Times New Roman"/>
                <w:w w:val="99"/>
                <w:sz w:val="21"/>
              </w:rPr>
              <w:t>0</w:t>
            </w:r>
          </w:p>
        </w:tc>
        <w:tc>
          <w:tcPr>
            <w:tcW w:w="551" w:type="dxa"/>
          </w:tcPr>
          <w:p w14:paraId="6109B234">
            <w:pPr>
              <w:pStyle w:val="14"/>
              <w:spacing w:before="91"/>
              <w:ind w:left="7"/>
              <w:jc w:val="center"/>
              <w:rPr>
                <w:rFonts w:ascii="Times New Roman"/>
                <w:sz w:val="21"/>
              </w:rPr>
            </w:pPr>
            <w:r>
              <w:rPr>
                <w:rFonts w:ascii="Times New Roman"/>
                <w:w w:val="99"/>
                <w:sz w:val="21"/>
              </w:rPr>
              <w:t>0</w:t>
            </w:r>
          </w:p>
        </w:tc>
      </w:tr>
      <w:tr w14:paraId="29259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3E497235">
            <w:pPr>
              <w:rPr>
                <w:sz w:val="2"/>
                <w:szCs w:val="2"/>
              </w:rPr>
            </w:pPr>
          </w:p>
        </w:tc>
        <w:tc>
          <w:tcPr>
            <w:tcW w:w="1027" w:type="dxa"/>
          </w:tcPr>
          <w:p w14:paraId="40F0222C">
            <w:pPr>
              <w:pStyle w:val="14"/>
              <w:spacing w:before="76"/>
              <w:ind w:left="71" w:right="66"/>
              <w:jc w:val="center"/>
              <w:rPr>
                <w:sz w:val="21"/>
              </w:rPr>
            </w:pPr>
            <w:r>
              <w:rPr>
                <w:sz w:val="21"/>
              </w:rPr>
              <w:t>细菌总数</w:t>
            </w:r>
          </w:p>
        </w:tc>
        <w:tc>
          <w:tcPr>
            <w:tcW w:w="1201" w:type="dxa"/>
          </w:tcPr>
          <w:p w14:paraId="090220B2">
            <w:pPr>
              <w:pStyle w:val="14"/>
              <w:spacing w:before="90"/>
              <w:ind w:left="198" w:right="193"/>
              <w:jc w:val="center"/>
              <w:rPr>
                <w:rFonts w:ascii="Times New Roman"/>
                <w:sz w:val="21"/>
              </w:rPr>
            </w:pPr>
            <w:r>
              <w:rPr>
                <w:rFonts w:ascii="Times New Roman"/>
                <w:sz w:val="21"/>
              </w:rPr>
              <w:t>CFU/mL</w:t>
            </w:r>
          </w:p>
        </w:tc>
        <w:tc>
          <w:tcPr>
            <w:tcW w:w="1336" w:type="dxa"/>
          </w:tcPr>
          <w:p w14:paraId="00BC5C1B">
            <w:pPr>
              <w:pStyle w:val="14"/>
              <w:spacing w:before="112"/>
              <w:ind w:left="140" w:right="132"/>
              <w:jc w:val="center"/>
              <w:rPr>
                <w:rFonts w:ascii="Times New Roman"/>
                <w:sz w:val="21"/>
              </w:rPr>
            </w:pPr>
            <w:r>
              <w:rPr>
                <w:rFonts w:ascii="Times New Roman"/>
                <w:sz w:val="21"/>
              </w:rPr>
              <w:t>100</w:t>
            </w:r>
          </w:p>
        </w:tc>
        <w:tc>
          <w:tcPr>
            <w:tcW w:w="1025" w:type="dxa"/>
          </w:tcPr>
          <w:p w14:paraId="5689EC6A">
            <w:pPr>
              <w:pStyle w:val="14"/>
              <w:spacing w:before="112"/>
              <w:ind w:left="174" w:right="165"/>
              <w:jc w:val="center"/>
              <w:rPr>
                <w:rFonts w:ascii="Times New Roman"/>
                <w:sz w:val="21"/>
              </w:rPr>
            </w:pPr>
            <w:r>
              <w:rPr>
                <w:rFonts w:ascii="Times New Roman"/>
                <w:sz w:val="21"/>
              </w:rPr>
              <w:t>17</w:t>
            </w:r>
          </w:p>
        </w:tc>
        <w:tc>
          <w:tcPr>
            <w:tcW w:w="997" w:type="dxa"/>
          </w:tcPr>
          <w:p w14:paraId="59D7E38B">
            <w:pPr>
              <w:pStyle w:val="14"/>
              <w:spacing w:before="112"/>
              <w:ind w:left="169" w:right="162"/>
              <w:jc w:val="center"/>
              <w:rPr>
                <w:rFonts w:ascii="Times New Roman"/>
                <w:sz w:val="21"/>
              </w:rPr>
            </w:pPr>
            <w:r>
              <w:rPr>
                <w:rFonts w:ascii="Times New Roman"/>
                <w:sz w:val="21"/>
              </w:rPr>
              <w:t>13</w:t>
            </w:r>
          </w:p>
        </w:tc>
        <w:tc>
          <w:tcPr>
            <w:tcW w:w="936" w:type="dxa"/>
          </w:tcPr>
          <w:p w14:paraId="31EEBDC1">
            <w:pPr>
              <w:pStyle w:val="14"/>
              <w:spacing w:before="112"/>
              <w:ind w:left="130" w:right="121"/>
              <w:jc w:val="center"/>
              <w:rPr>
                <w:rFonts w:ascii="Times New Roman"/>
                <w:sz w:val="21"/>
              </w:rPr>
            </w:pPr>
            <w:r>
              <w:rPr>
                <w:rFonts w:ascii="Times New Roman"/>
                <w:sz w:val="21"/>
              </w:rPr>
              <w:t>12</w:t>
            </w:r>
          </w:p>
        </w:tc>
        <w:tc>
          <w:tcPr>
            <w:tcW w:w="294" w:type="dxa"/>
          </w:tcPr>
          <w:p w14:paraId="56758B7D">
            <w:pPr>
              <w:pStyle w:val="14"/>
              <w:spacing w:before="90"/>
              <w:ind w:left="93"/>
              <w:rPr>
                <w:rFonts w:ascii="Times New Roman"/>
                <w:sz w:val="21"/>
              </w:rPr>
            </w:pPr>
            <w:r>
              <w:rPr>
                <w:rFonts w:ascii="Times New Roman"/>
                <w:w w:val="99"/>
                <w:sz w:val="21"/>
              </w:rPr>
              <w:t>0</w:t>
            </w:r>
          </w:p>
        </w:tc>
        <w:tc>
          <w:tcPr>
            <w:tcW w:w="551" w:type="dxa"/>
          </w:tcPr>
          <w:p w14:paraId="164136B2">
            <w:pPr>
              <w:pStyle w:val="14"/>
              <w:spacing w:before="90"/>
              <w:ind w:left="7"/>
              <w:jc w:val="center"/>
              <w:rPr>
                <w:rFonts w:ascii="Times New Roman"/>
                <w:sz w:val="21"/>
              </w:rPr>
            </w:pPr>
            <w:r>
              <w:rPr>
                <w:rFonts w:ascii="Times New Roman"/>
                <w:w w:val="99"/>
                <w:sz w:val="21"/>
              </w:rPr>
              <w:t>0</w:t>
            </w:r>
          </w:p>
        </w:tc>
      </w:tr>
      <w:tr w14:paraId="52B05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9" w:type="dxa"/>
            <w:vMerge w:val="continue"/>
            <w:tcBorders>
              <w:top w:val="nil"/>
            </w:tcBorders>
          </w:tcPr>
          <w:p w14:paraId="46683091">
            <w:pPr>
              <w:rPr>
                <w:sz w:val="2"/>
                <w:szCs w:val="2"/>
              </w:rPr>
            </w:pPr>
          </w:p>
        </w:tc>
        <w:tc>
          <w:tcPr>
            <w:tcW w:w="1027" w:type="dxa"/>
          </w:tcPr>
          <w:p w14:paraId="1A0AD20A">
            <w:pPr>
              <w:pStyle w:val="14"/>
              <w:spacing w:before="76"/>
              <w:ind w:left="71" w:right="63"/>
              <w:jc w:val="center"/>
              <w:rPr>
                <w:sz w:val="21"/>
              </w:rPr>
            </w:pPr>
            <w:r>
              <w:rPr>
                <w:sz w:val="21"/>
              </w:rPr>
              <w:t>挥发酚</w:t>
            </w:r>
          </w:p>
        </w:tc>
        <w:tc>
          <w:tcPr>
            <w:tcW w:w="1201" w:type="dxa"/>
          </w:tcPr>
          <w:p w14:paraId="06226BF4">
            <w:pPr>
              <w:pStyle w:val="14"/>
              <w:spacing w:before="90"/>
              <w:ind w:left="198" w:right="191"/>
              <w:jc w:val="center"/>
              <w:rPr>
                <w:rFonts w:ascii="Times New Roman"/>
                <w:sz w:val="21"/>
              </w:rPr>
            </w:pPr>
            <w:r>
              <w:rPr>
                <w:rFonts w:ascii="Times New Roman"/>
                <w:sz w:val="21"/>
              </w:rPr>
              <w:t>mg/L</w:t>
            </w:r>
          </w:p>
        </w:tc>
        <w:tc>
          <w:tcPr>
            <w:tcW w:w="1336" w:type="dxa"/>
          </w:tcPr>
          <w:p w14:paraId="723B51BA">
            <w:pPr>
              <w:pStyle w:val="14"/>
              <w:spacing w:before="111"/>
              <w:ind w:left="140" w:right="132"/>
              <w:jc w:val="center"/>
              <w:rPr>
                <w:rFonts w:ascii="Times New Roman"/>
                <w:sz w:val="21"/>
              </w:rPr>
            </w:pPr>
            <w:r>
              <w:rPr>
                <w:rFonts w:ascii="Times New Roman"/>
                <w:sz w:val="21"/>
              </w:rPr>
              <w:t>0.002</w:t>
            </w:r>
          </w:p>
        </w:tc>
        <w:tc>
          <w:tcPr>
            <w:tcW w:w="1025" w:type="dxa"/>
          </w:tcPr>
          <w:p w14:paraId="7863F740">
            <w:pPr>
              <w:pStyle w:val="14"/>
              <w:spacing w:before="111"/>
              <w:ind w:left="174" w:right="165"/>
              <w:jc w:val="center"/>
              <w:rPr>
                <w:rFonts w:ascii="Times New Roman"/>
                <w:sz w:val="21"/>
              </w:rPr>
            </w:pPr>
            <w:r>
              <w:rPr>
                <w:rFonts w:ascii="Times New Roman"/>
                <w:sz w:val="21"/>
              </w:rPr>
              <w:t>ND</w:t>
            </w:r>
          </w:p>
        </w:tc>
        <w:tc>
          <w:tcPr>
            <w:tcW w:w="997" w:type="dxa"/>
          </w:tcPr>
          <w:p w14:paraId="54E52D52">
            <w:pPr>
              <w:pStyle w:val="14"/>
              <w:spacing w:before="111"/>
              <w:ind w:right="336"/>
              <w:jc w:val="right"/>
              <w:rPr>
                <w:rFonts w:ascii="Times New Roman"/>
                <w:sz w:val="21"/>
              </w:rPr>
            </w:pPr>
            <w:r>
              <w:rPr>
                <w:rFonts w:ascii="Times New Roman"/>
                <w:w w:val="95"/>
                <w:sz w:val="21"/>
              </w:rPr>
              <w:t>ND</w:t>
            </w:r>
          </w:p>
        </w:tc>
        <w:tc>
          <w:tcPr>
            <w:tcW w:w="936" w:type="dxa"/>
          </w:tcPr>
          <w:p w14:paraId="35A1DDF9">
            <w:pPr>
              <w:pStyle w:val="14"/>
              <w:spacing w:before="111"/>
              <w:ind w:left="127" w:right="122"/>
              <w:jc w:val="center"/>
              <w:rPr>
                <w:rFonts w:ascii="Times New Roman"/>
                <w:sz w:val="21"/>
              </w:rPr>
            </w:pPr>
            <w:r>
              <w:rPr>
                <w:rFonts w:ascii="Times New Roman"/>
                <w:sz w:val="21"/>
              </w:rPr>
              <w:t>ND</w:t>
            </w:r>
          </w:p>
        </w:tc>
        <w:tc>
          <w:tcPr>
            <w:tcW w:w="294" w:type="dxa"/>
          </w:tcPr>
          <w:p w14:paraId="4BCBF82C">
            <w:pPr>
              <w:pStyle w:val="14"/>
              <w:spacing w:before="90"/>
              <w:ind w:left="93"/>
              <w:rPr>
                <w:rFonts w:ascii="Times New Roman"/>
                <w:sz w:val="21"/>
              </w:rPr>
            </w:pPr>
            <w:r>
              <w:rPr>
                <w:rFonts w:ascii="Times New Roman"/>
                <w:w w:val="99"/>
                <w:sz w:val="21"/>
              </w:rPr>
              <w:t>0</w:t>
            </w:r>
          </w:p>
        </w:tc>
        <w:tc>
          <w:tcPr>
            <w:tcW w:w="551" w:type="dxa"/>
          </w:tcPr>
          <w:p w14:paraId="7639F9AE">
            <w:pPr>
              <w:pStyle w:val="14"/>
              <w:spacing w:before="90"/>
              <w:ind w:left="7"/>
              <w:jc w:val="center"/>
              <w:rPr>
                <w:rFonts w:ascii="Times New Roman"/>
                <w:sz w:val="21"/>
              </w:rPr>
            </w:pPr>
            <w:r>
              <w:rPr>
                <w:rFonts w:ascii="Times New Roman"/>
                <w:w w:val="99"/>
                <w:sz w:val="21"/>
              </w:rPr>
              <w:t>0</w:t>
            </w:r>
          </w:p>
        </w:tc>
      </w:tr>
      <w:tr w14:paraId="2CA6F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49" w:type="dxa"/>
            <w:vMerge w:val="continue"/>
            <w:tcBorders>
              <w:top w:val="nil"/>
            </w:tcBorders>
          </w:tcPr>
          <w:p w14:paraId="2A6C670F">
            <w:pPr>
              <w:rPr>
                <w:sz w:val="2"/>
                <w:szCs w:val="2"/>
              </w:rPr>
            </w:pPr>
          </w:p>
        </w:tc>
        <w:tc>
          <w:tcPr>
            <w:tcW w:w="1027" w:type="dxa"/>
          </w:tcPr>
          <w:p w14:paraId="715D7BE3">
            <w:pPr>
              <w:pStyle w:val="14"/>
              <w:spacing w:before="1"/>
              <w:ind w:left="71" w:right="66"/>
              <w:jc w:val="center"/>
              <w:rPr>
                <w:sz w:val="21"/>
              </w:rPr>
            </w:pPr>
            <w:r>
              <w:rPr>
                <w:sz w:val="21"/>
              </w:rPr>
              <w:t>溶解性固</w:t>
            </w:r>
          </w:p>
          <w:p w14:paraId="1FF7160F">
            <w:pPr>
              <w:pStyle w:val="14"/>
              <w:spacing w:before="2" w:line="253" w:lineRule="exact"/>
              <w:ind w:left="5"/>
              <w:jc w:val="center"/>
              <w:rPr>
                <w:sz w:val="21"/>
              </w:rPr>
            </w:pPr>
            <w:r>
              <w:rPr>
                <w:w w:val="99"/>
                <w:sz w:val="21"/>
              </w:rPr>
              <w:t>体</w:t>
            </w:r>
          </w:p>
        </w:tc>
        <w:tc>
          <w:tcPr>
            <w:tcW w:w="1201" w:type="dxa"/>
          </w:tcPr>
          <w:p w14:paraId="2C60F82E">
            <w:pPr>
              <w:pStyle w:val="14"/>
              <w:spacing w:before="151"/>
              <w:ind w:left="198" w:right="191"/>
              <w:jc w:val="center"/>
              <w:rPr>
                <w:rFonts w:ascii="Times New Roman"/>
                <w:sz w:val="21"/>
              </w:rPr>
            </w:pPr>
            <w:r>
              <w:rPr>
                <w:rFonts w:ascii="Times New Roman"/>
                <w:sz w:val="21"/>
              </w:rPr>
              <w:t>mg/L</w:t>
            </w:r>
          </w:p>
        </w:tc>
        <w:tc>
          <w:tcPr>
            <w:tcW w:w="1336" w:type="dxa"/>
          </w:tcPr>
          <w:p w14:paraId="43314DFE">
            <w:pPr>
              <w:pStyle w:val="14"/>
              <w:spacing w:before="171"/>
              <w:ind w:left="140" w:right="132"/>
              <w:jc w:val="center"/>
              <w:rPr>
                <w:rFonts w:ascii="Times New Roman"/>
                <w:sz w:val="21"/>
              </w:rPr>
            </w:pPr>
            <w:r>
              <w:rPr>
                <w:rFonts w:ascii="Times New Roman"/>
                <w:sz w:val="21"/>
              </w:rPr>
              <w:t>1000</w:t>
            </w:r>
          </w:p>
        </w:tc>
        <w:tc>
          <w:tcPr>
            <w:tcW w:w="1025" w:type="dxa"/>
          </w:tcPr>
          <w:p w14:paraId="0D973085">
            <w:pPr>
              <w:pStyle w:val="14"/>
              <w:spacing w:before="171"/>
              <w:ind w:left="174" w:right="165"/>
              <w:jc w:val="center"/>
              <w:rPr>
                <w:rFonts w:ascii="Times New Roman"/>
                <w:sz w:val="21"/>
              </w:rPr>
            </w:pPr>
            <w:r>
              <w:rPr>
                <w:rFonts w:ascii="Times New Roman"/>
                <w:sz w:val="21"/>
              </w:rPr>
              <w:t>128</w:t>
            </w:r>
          </w:p>
        </w:tc>
        <w:tc>
          <w:tcPr>
            <w:tcW w:w="997" w:type="dxa"/>
          </w:tcPr>
          <w:p w14:paraId="09BDF495">
            <w:pPr>
              <w:pStyle w:val="14"/>
              <w:spacing w:before="171"/>
              <w:ind w:right="329"/>
              <w:jc w:val="right"/>
              <w:rPr>
                <w:rFonts w:ascii="Times New Roman"/>
                <w:sz w:val="21"/>
              </w:rPr>
            </w:pPr>
            <w:r>
              <w:rPr>
                <w:rFonts w:ascii="Times New Roman"/>
                <w:sz w:val="21"/>
              </w:rPr>
              <w:t>132</w:t>
            </w:r>
          </w:p>
        </w:tc>
        <w:tc>
          <w:tcPr>
            <w:tcW w:w="936" w:type="dxa"/>
          </w:tcPr>
          <w:p w14:paraId="3FDF19DB">
            <w:pPr>
              <w:pStyle w:val="14"/>
              <w:spacing w:before="171"/>
              <w:ind w:left="130" w:right="121"/>
              <w:jc w:val="center"/>
              <w:rPr>
                <w:rFonts w:ascii="Times New Roman"/>
                <w:sz w:val="21"/>
              </w:rPr>
            </w:pPr>
            <w:r>
              <w:rPr>
                <w:rFonts w:ascii="Times New Roman"/>
                <w:sz w:val="21"/>
              </w:rPr>
              <w:t>122</w:t>
            </w:r>
          </w:p>
        </w:tc>
        <w:tc>
          <w:tcPr>
            <w:tcW w:w="294" w:type="dxa"/>
          </w:tcPr>
          <w:p w14:paraId="247B4F31">
            <w:pPr>
              <w:pStyle w:val="14"/>
              <w:spacing w:before="151"/>
              <w:ind w:left="93"/>
              <w:rPr>
                <w:rFonts w:ascii="Times New Roman"/>
                <w:sz w:val="21"/>
              </w:rPr>
            </w:pPr>
            <w:r>
              <w:rPr>
                <w:rFonts w:ascii="Times New Roman"/>
                <w:w w:val="99"/>
                <w:sz w:val="21"/>
              </w:rPr>
              <w:t>0</w:t>
            </w:r>
          </w:p>
        </w:tc>
        <w:tc>
          <w:tcPr>
            <w:tcW w:w="551" w:type="dxa"/>
          </w:tcPr>
          <w:p w14:paraId="3B870D77">
            <w:pPr>
              <w:pStyle w:val="14"/>
              <w:spacing w:before="151"/>
              <w:ind w:left="7"/>
              <w:jc w:val="center"/>
              <w:rPr>
                <w:rFonts w:ascii="Times New Roman"/>
                <w:sz w:val="21"/>
              </w:rPr>
            </w:pPr>
            <w:r>
              <w:rPr>
                <w:rFonts w:ascii="Times New Roman"/>
                <w:w w:val="99"/>
                <w:sz w:val="21"/>
              </w:rPr>
              <w:t>0</w:t>
            </w:r>
          </w:p>
        </w:tc>
      </w:tr>
    </w:tbl>
    <w:p w14:paraId="134F3418">
      <w:pPr>
        <w:spacing w:after="0"/>
        <w:jc w:val="center"/>
        <w:rPr>
          <w:rFonts w:ascii="Times New Roman"/>
          <w:sz w:val="21"/>
        </w:rPr>
        <w:sectPr>
          <w:pgSz w:w="11910" w:h="16840"/>
          <w:pgMar w:top="1360" w:right="1320" w:bottom="1400" w:left="1340" w:header="878" w:footer="1204" w:gutter="0"/>
          <w:cols w:space="720" w:num="1"/>
        </w:sectPr>
      </w:pPr>
    </w:p>
    <w:p w14:paraId="79A70C13">
      <w:pPr>
        <w:pStyle w:val="7"/>
        <w:spacing w:before="68" w:line="364" w:lineRule="auto"/>
        <w:ind w:left="460" w:right="477" w:firstLine="480"/>
        <w:jc w:val="both"/>
      </w:pPr>
      <w:r>
        <w:t>由上表的水质监测结果可知，项目区域地下水各监测因子均未超过《地下水质量标准》（</w:t>
      </w:r>
      <w:r>
        <w:rPr>
          <w:rFonts w:ascii="Times New Roman" w:hAnsi="Times New Roman" w:eastAsia="Times New Roman"/>
        </w:rPr>
        <w:t>GB/T14848-2017</w:t>
      </w:r>
      <w:r>
        <w:t>）Ⅲ类标准要求。项目区域地下水环境质量良好。</w:t>
      </w:r>
    </w:p>
    <w:p w14:paraId="3FC1E07A">
      <w:pPr>
        <w:pStyle w:val="6"/>
        <w:numPr>
          <w:ilvl w:val="2"/>
          <w:numId w:val="18"/>
        </w:numPr>
        <w:tabs>
          <w:tab w:val="left" w:pos="991"/>
        </w:tabs>
        <w:spacing w:before="0" w:after="0" w:line="307" w:lineRule="exact"/>
        <w:ind w:left="990" w:right="0" w:hanging="530"/>
        <w:jc w:val="left"/>
      </w:pPr>
      <w:bookmarkStart w:id="148" w:name="4.2.4声环境现状调查与评价"/>
      <w:bookmarkEnd w:id="148"/>
      <w:bookmarkStart w:id="149" w:name="4.2.4声环境现状调查与评价"/>
      <w:bookmarkEnd w:id="149"/>
      <w:r>
        <w:t>声环境现状调查与评价</w:t>
      </w:r>
    </w:p>
    <w:p w14:paraId="07640160">
      <w:pPr>
        <w:pStyle w:val="7"/>
        <w:spacing w:before="158" w:line="364" w:lineRule="auto"/>
        <w:ind w:left="460" w:right="477" w:firstLine="480"/>
      </w:pPr>
      <w:r>
        <w:rPr>
          <w:spacing w:val="-3"/>
        </w:rPr>
        <w:t xml:space="preserve">本次环评委托湖南昌旭环保科技有限公司于 </w:t>
      </w:r>
      <w:r>
        <w:rPr>
          <w:rFonts w:ascii="Times New Roman" w:eastAsia="Times New Roman"/>
        </w:rPr>
        <w:t xml:space="preserve">2023 </w:t>
      </w:r>
      <w:r>
        <w:rPr>
          <w:spacing w:val="-27"/>
        </w:rPr>
        <w:t xml:space="preserve">年 </w:t>
      </w:r>
      <w:r>
        <w:rPr>
          <w:rFonts w:ascii="Times New Roman" w:eastAsia="Times New Roman"/>
        </w:rPr>
        <w:t xml:space="preserve">12 </w:t>
      </w:r>
      <w:r>
        <w:rPr>
          <w:spacing w:val="-27"/>
        </w:rPr>
        <w:t xml:space="preserve">月 </w:t>
      </w:r>
      <w:r>
        <w:rPr>
          <w:rFonts w:ascii="Times New Roman" w:eastAsia="Times New Roman"/>
        </w:rPr>
        <w:t xml:space="preserve">29 </w:t>
      </w:r>
      <w:r>
        <w:rPr>
          <w:spacing w:val="2"/>
        </w:rPr>
        <w:t>日</w:t>
      </w:r>
      <w:r>
        <w:rPr>
          <w:rFonts w:ascii="Times New Roman" w:eastAsia="Times New Roman"/>
        </w:rPr>
        <w:t xml:space="preserve">~30 </w:t>
      </w:r>
      <w:r>
        <w:rPr>
          <w:spacing w:val="0"/>
        </w:rPr>
        <w:t>日进行了声环境质量现状监测。</w:t>
      </w:r>
    </w:p>
    <w:p w14:paraId="653285A8">
      <w:pPr>
        <w:pStyle w:val="7"/>
        <w:spacing w:line="364" w:lineRule="auto"/>
        <w:ind w:left="460" w:right="480" w:firstLine="480"/>
      </w:pPr>
      <w:r>
        <w:t>（</w:t>
      </w:r>
      <w:r>
        <w:rPr>
          <w:rFonts w:ascii="Times New Roman" w:eastAsia="Times New Roman"/>
        </w:rPr>
        <w:t>1</w:t>
      </w:r>
      <w:r>
        <w:t xml:space="preserve">）监测点位： 本次评价共设 </w:t>
      </w:r>
      <w:r>
        <w:rPr>
          <w:rFonts w:ascii="Times New Roman" w:eastAsia="Times New Roman"/>
        </w:rPr>
        <w:t xml:space="preserve">6 </w:t>
      </w:r>
      <w:r>
        <w:t>个声环境质量现状监测点（厂界四周和南面居民点肖家湾），详见下表。</w:t>
      </w:r>
    </w:p>
    <w:p w14:paraId="002F7C89">
      <w:pPr>
        <w:spacing w:before="0"/>
        <w:ind w:left="264" w:right="286" w:firstLine="0"/>
        <w:jc w:val="center"/>
        <w:rPr>
          <w:b/>
          <w:sz w:val="21"/>
        </w:rPr>
      </w:pPr>
      <w:r>
        <w:rPr>
          <w:b/>
          <w:spacing w:val="-26"/>
          <w:sz w:val="21"/>
        </w:rPr>
        <w:t xml:space="preserve">表 </w:t>
      </w:r>
      <w:r>
        <w:rPr>
          <w:rFonts w:ascii="Times New Roman" w:eastAsia="Times New Roman"/>
          <w:b/>
          <w:sz w:val="21"/>
        </w:rPr>
        <w:t>4.2-8</w:t>
      </w:r>
      <w:r>
        <w:rPr>
          <w:rFonts w:ascii="Times New Roman" w:eastAsia="Times New Roman"/>
          <w:b/>
          <w:spacing w:val="50"/>
          <w:sz w:val="21"/>
        </w:rPr>
        <w:t xml:space="preserve"> </w:t>
      </w:r>
      <w:r>
        <w:rPr>
          <w:b/>
          <w:sz w:val="21"/>
        </w:rPr>
        <w:t>声环境质量现状监测点位一览表</w:t>
      </w:r>
    </w:p>
    <w:tbl>
      <w:tblPr>
        <w:tblStyle w:val="10"/>
        <w:tblW w:w="0" w:type="auto"/>
        <w:tblInd w:w="4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1"/>
        <w:gridCol w:w="6523"/>
      </w:tblGrid>
      <w:tr w14:paraId="7DA8C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901" w:type="dxa"/>
          </w:tcPr>
          <w:p w14:paraId="641A6601">
            <w:pPr>
              <w:pStyle w:val="14"/>
              <w:spacing w:before="82"/>
              <w:ind w:left="717" w:right="712"/>
              <w:jc w:val="center"/>
              <w:rPr>
                <w:b/>
                <w:sz w:val="21"/>
              </w:rPr>
            </w:pPr>
            <w:r>
              <w:rPr>
                <w:b/>
                <w:sz w:val="21"/>
              </w:rPr>
              <w:t>序号</w:t>
            </w:r>
          </w:p>
        </w:tc>
        <w:tc>
          <w:tcPr>
            <w:tcW w:w="6523" w:type="dxa"/>
          </w:tcPr>
          <w:p w14:paraId="142C709D">
            <w:pPr>
              <w:pStyle w:val="14"/>
              <w:spacing w:before="82"/>
              <w:ind w:left="1874" w:right="1865"/>
              <w:jc w:val="center"/>
              <w:rPr>
                <w:b/>
                <w:sz w:val="21"/>
              </w:rPr>
            </w:pPr>
            <w:r>
              <w:rPr>
                <w:b/>
                <w:sz w:val="21"/>
              </w:rPr>
              <w:t>监测点位</w:t>
            </w:r>
          </w:p>
        </w:tc>
      </w:tr>
      <w:tr w14:paraId="2D446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901" w:type="dxa"/>
          </w:tcPr>
          <w:p w14:paraId="438A43BF">
            <w:pPr>
              <w:pStyle w:val="14"/>
              <w:spacing w:before="78"/>
              <w:ind w:left="717" w:right="709"/>
              <w:jc w:val="center"/>
              <w:rPr>
                <w:rFonts w:ascii="Times New Roman"/>
                <w:sz w:val="21"/>
              </w:rPr>
            </w:pPr>
            <w:r>
              <w:rPr>
                <w:rFonts w:ascii="Times New Roman"/>
                <w:sz w:val="21"/>
              </w:rPr>
              <w:t>N1</w:t>
            </w:r>
          </w:p>
        </w:tc>
        <w:tc>
          <w:tcPr>
            <w:tcW w:w="6523" w:type="dxa"/>
          </w:tcPr>
          <w:p w14:paraId="4160E9C2">
            <w:pPr>
              <w:pStyle w:val="14"/>
              <w:spacing w:before="64"/>
              <w:ind w:left="1874" w:right="1867"/>
              <w:jc w:val="center"/>
              <w:rPr>
                <w:sz w:val="21"/>
              </w:rPr>
            </w:pPr>
            <w:r>
              <w:rPr>
                <w:sz w:val="21"/>
              </w:rPr>
              <w:t>项目拟建地东场界</w:t>
            </w:r>
          </w:p>
        </w:tc>
      </w:tr>
      <w:tr w14:paraId="1B106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901" w:type="dxa"/>
          </w:tcPr>
          <w:p w14:paraId="46701DE7">
            <w:pPr>
              <w:pStyle w:val="14"/>
              <w:spacing w:before="79"/>
              <w:ind w:left="717" w:right="709"/>
              <w:jc w:val="center"/>
              <w:rPr>
                <w:rFonts w:ascii="Times New Roman"/>
                <w:sz w:val="21"/>
              </w:rPr>
            </w:pPr>
            <w:r>
              <w:rPr>
                <w:rFonts w:ascii="Times New Roman"/>
                <w:sz w:val="21"/>
              </w:rPr>
              <w:t>N2</w:t>
            </w:r>
          </w:p>
        </w:tc>
        <w:tc>
          <w:tcPr>
            <w:tcW w:w="6523" w:type="dxa"/>
          </w:tcPr>
          <w:p w14:paraId="4D548303">
            <w:pPr>
              <w:pStyle w:val="14"/>
              <w:spacing w:before="65"/>
              <w:ind w:left="1874" w:right="1867"/>
              <w:jc w:val="center"/>
              <w:rPr>
                <w:sz w:val="21"/>
              </w:rPr>
            </w:pPr>
            <w:r>
              <w:rPr>
                <w:sz w:val="21"/>
              </w:rPr>
              <w:t>项目拟建地南场界</w:t>
            </w:r>
          </w:p>
        </w:tc>
      </w:tr>
      <w:tr w14:paraId="7E8F4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901" w:type="dxa"/>
          </w:tcPr>
          <w:p w14:paraId="205EB5A2">
            <w:pPr>
              <w:pStyle w:val="14"/>
              <w:spacing w:before="78"/>
              <w:ind w:left="717" w:right="709"/>
              <w:jc w:val="center"/>
              <w:rPr>
                <w:rFonts w:ascii="Times New Roman"/>
                <w:sz w:val="21"/>
              </w:rPr>
            </w:pPr>
            <w:r>
              <w:rPr>
                <w:rFonts w:ascii="Times New Roman"/>
                <w:sz w:val="21"/>
              </w:rPr>
              <w:t>N3</w:t>
            </w:r>
          </w:p>
        </w:tc>
        <w:tc>
          <w:tcPr>
            <w:tcW w:w="6523" w:type="dxa"/>
          </w:tcPr>
          <w:p w14:paraId="06A74307">
            <w:pPr>
              <w:pStyle w:val="14"/>
              <w:spacing w:before="64"/>
              <w:ind w:left="1874" w:right="1867"/>
              <w:jc w:val="center"/>
              <w:rPr>
                <w:sz w:val="21"/>
              </w:rPr>
            </w:pPr>
            <w:r>
              <w:rPr>
                <w:sz w:val="21"/>
              </w:rPr>
              <w:t>项目拟建地西场界</w:t>
            </w:r>
          </w:p>
        </w:tc>
      </w:tr>
      <w:tr w14:paraId="573E0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901" w:type="dxa"/>
          </w:tcPr>
          <w:p w14:paraId="52545638">
            <w:pPr>
              <w:pStyle w:val="14"/>
              <w:spacing w:before="80"/>
              <w:ind w:left="717" w:right="709"/>
              <w:jc w:val="center"/>
              <w:rPr>
                <w:rFonts w:ascii="Times New Roman"/>
                <w:sz w:val="21"/>
              </w:rPr>
            </w:pPr>
            <w:r>
              <w:rPr>
                <w:rFonts w:ascii="Times New Roman"/>
                <w:sz w:val="21"/>
              </w:rPr>
              <w:t>N4</w:t>
            </w:r>
          </w:p>
        </w:tc>
        <w:tc>
          <w:tcPr>
            <w:tcW w:w="6523" w:type="dxa"/>
          </w:tcPr>
          <w:p w14:paraId="63F4685C">
            <w:pPr>
              <w:pStyle w:val="14"/>
              <w:spacing w:before="66"/>
              <w:ind w:left="1874" w:right="1867"/>
              <w:jc w:val="center"/>
              <w:rPr>
                <w:sz w:val="21"/>
              </w:rPr>
            </w:pPr>
            <w:r>
              <w:rPr>
                <w:sz w:val="21"/>
              </w:rPr>
              <w:t>项目拟建地北场界</w:t>
            </w:r>
          </w:p>
        </w:tc>
      </w:tr>
      <w:tr w14:paraId="5A197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901" w:type="dxa"/>
          </w:tcPr>
          <w:p w14:paraId="493056B0">
            <w:pPr>
              <w:pStyle w:val="14"/>
              <w:spacing w:before="78"/>
              <w:ind w:left="717" w:right="709"/>
              <w:jc w:val="center"/>
              <w:rPr>
                <w:rFonts w:ascii="Times New Roman"/>
                <w:sz w:val="21"/>
              </w:rPr>
            </w:pPr>
            <w:r>
              <w:rPr>
                <w:rFonts w:ascii="Times New Roman"/>
                <w:sz w:val="21"/>
              </w:rPr>
              <w:t>N5</w:t>
            </w:r>
          </w:p>
        </w:tc>
        <w:tc>
          <w:tcPr>
            <w:tcW w:w="6523" w:type="dxa"/>
          </w:tcPr>
          <w:p w14:paraId="62EB1865">
            <w:pPr>
              <w:pStyle w:val="14"/>
              <w:spacing w:before="64"/>
              <w:ind w:left="1874" w:right="1869"/>
              <w:jc w:val="center"/>
              <w:rPr>
                <w:sz w:val="21"/>
              </w:rPr>
            </w:pPr>
            <w:r>
              <w:rPr>
                <w:sz w:val="21"/>
              </w:rPr>
              <w:t>项目拟建地西侧</w:t>
            </w:r>
            <w:r>
              <w:rPr>
                <w:rFonts w:ascii="Times New Roman" w:eastAsia="Times New Roman"/>
                <w:sz w:val="21"/>
              </w:rPr>
              <w:t>14</w:t>
            </w:r>
            <w:r>
              <w:rPr>
                <w:sz w:val="21"/>
              </w:rPr>
              <w:t>米处居民</w:t>
            </w:r>
          </w:p>
        </w:tc>
      </w:tr>
      <w:tr w14:paraId="6FEC7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901" w:type="dxa"/>
          </w:tcPr>
          <w:p w14:paraId="0726E682">
            <w:pPr>
              <w:pStyle w:val="14"/>
              <w:spacing w:before="80"/>
              <w:ind w:left="717" w:right="709"/>
              <w:jc w:val="center"/>
              <w:rPr>
                <w:rFonts w:ascii="Times New Roman"/>
                <w:sz w:val="21"/>
              </w:rPr>
            </w:pPr>
            <w:r>
              <w:rPr>
                <w:rFonts w:ascii="Times New Roman"/>
                <w:sz w:val="21"/>
              </w:rPr>
              <w:t>N6</w:t>
            </w:r>
          </w:p>
        </w:tc>
        <w:tc>
          <w:tcPr>
            <w:tcW w:w="6523" w:type="dxa"/>
          </w:tcPr>
          <w:p w14:paraId="556DD18F">
            <w:pPr>
              <w:pStyle w:val="14"/>
              <w:spacing w:before="66"/>
              <w:ind w:left="1874" w:right="1869"/>
              <w:jc w:val="center"/>
              <w:rPr>
                <w:sz w:val="21"/>
              </w:rPr>
            </w:pPr>
            <w:r>
              <w:rPr>
                <w:sz w:val="21"/>
              </w:rPr>
              <w:t>项目拟建地东南侧</w:t>
            </w:r>
            <w:r>
              <w:rPr>
                <w:rFonts w:ascii="Times New Roman" w:eastAsia="Times New Roman"/>
                <w:sz w:val="21"/>
              </w:rPr>
              <w:t>28</w:t>
            </w:r>
            <w:r>
              <w:rPr>
                <w:sz w:val="21"/>
              </w:rPr>
              <w:t>米处居民</w:t>
            </w:r>
          </w:p>
        </w:tc>
      </w:tr>
    </w:tbl>
    <w:p w14:paraId="6D076220">
      <w:pPr>
        <w:pStyle w:val="7"/>
        <w:spacing w:before="1"/>
        <w:ind w:left="940"/>
      </w:pPr>
      <w:r>
        <w:t>（</w:t>
      </w:r>
      <w:r>
        <w:rPr>
          <w:rFonts w:ascii="Times New Roman" w:eastAsia="Times New Roman"/>
        </w:rPr>
        <w:t>2</w:t>
      </w:r>
      <w:r>
        <w:t xml:space="preserve">）监测因子：等效连续 </w:t>
      </w:r>
      <w:r>
        <w:rPr>
          <w:rFonts w:ascii="Times New Roman" w:eastAsia="Times New Roman"/>
        </w:rPr>
        <w:t xml:space="preserve">A </w:t>
      </w:r>
      <w:r>
        <w:t>声级，</w:t>
      </w:r>
      <w:r>
        <w:rPr>
          <w:rFonts w:ascii="Times New Roman" w:eastAsia="Times New Roman"/>
        </w:rPr>
        <w:t>Leq</w:t>
      </w:r>
      <w:r>
        <w:t>（</w:t>
      </w:r>
      <w:r>
        <w:rPr>
          <w:rFonts w:ascii="Times New Roman" w:eastAsia="Times New Roman"/>
        </w:rPr>
        <w:t>A</w:t>
      </w:r>
      <w:r>
        <w:t>）。</w:t>
      </w:r>
    </w:p>
    <w:p w14:paraId="1BA0C03B">
      <w:pPr>
        <w:pStyle w:val="7"/>
        <w:spacing w:before="160"/>
        <w:ind w:left="940"/>
        <w:rPr>
          <w:rFonts w:ascii="Times New Roman" w:eastAsia="Times New Roman"/>
        </w:rPr>
      </w:pPr>
      <w:r>
        <w:t>（</w:t>
      </w:r>
      <w:r>
        <w:rPr>
          <w:rFonts w:ascii="Times New Roman" w:eastAsia="Times New Roman"/>
        </w:rPr>
        <w:t>3</w:t>
      </w:r>
      <w:r>
        <w:t xml:space="preserve">）监测频次：连续监测 </w:t>
      </w:r>
      <w:r>
        <w:rPr>
          <w:rFonts w:ascii="Times New Roman" w:eastAsia="Times New Roman"/>
        </w:rPr>
        <w:t xml:space="preserve">2 </w:t>
      </w:r>
      <w:r>
        <w:t xml:space="preserve">天，每天昼夜各 </w:t>
      </w:r>
      <w:r>
        <w:rPr>
          <w:rFonts w:ascii="Times New Roman" w:eastAsia="Times New Roman"/>
        </w:rPr>
        <w:t xml:space="preserve">1 </w:t>
      </w:r>
      <w:r>
        <w:t xml:space="preserve">次，监测时间为 </w:t>
      </w:r>
      <w:r>
        <w:rPr>
          <w:rFonts w:ascii="Times New Roman" w:eastAsia="Times New Roman"/>
        </w:rPr>
        <w:t xml:space="preserve">2024 </w:t>
      </w:r>
      <w:r>
        <w:t xml:space="preserve">年 </w:t>
      </w:r>
      <w:r>
        <w:rPr>
          <w:rFonts w:ascii="Times New Roman" w:eastAsia="Times New Roman"/>
        </w:rPr>
        <w:t>1</w:t>
      </w:r>
    </w:p>
    <w:p w14:paraId="64B237CB">
      <w:pPr>
        <w:pStyle w:val="7"/>
        <w:spacing w:before="158"/>
        <w:ind w:left="460"/>
      </w:pPr>
      <w:r>
        <w:t xml:space="preserve">月 </w:t>
      </w:r>
      <w:r>
        <w:rPr>
          <w:rFonts w:ascii="Times New Roman" w:eastAsia="Times New Roman"/>
        </w:rPr>
        <w:t xml:space="preserve">2 </w:t>
      </w:r>
      <w:r>
        <w:t xml:space="preserve">至 </w:t>
      </w:r>
      <w:r>
        <w:rPr>
          <w:rFonts w:ascii="Times New Roman" w:eastAsia="Times New Roman"/>
        </w:rPr>
        <w:t xml:space="preserve">1 </w:t>
      </w:r>
      <w:r>
        <w:t xml:space="preserve">月 </w:t>
      </w:r>
      <w:r>
        <w:rPr>
          <w:rFonts w:ascii="Times New Roman" w:eastAsia="Times New Roman"/>
        </w:rPr>
        <w:t xml:space="preserve">3 </w:t>
      </w:r>
      <w:r>
        <w:t>日。</w:t>
      </w:r>
    </w:p>
    <w:p w14:paraId="50F9AFD4">
      <w:pPr>
        <w:pStyle w:val="7"/>
        <w:spacing w:before="161"/>
        <w:ind w:left="940"/>
      </w:pPr>
      <w:r>
        <w:t>（</w:t>
      </w:r>
      <w:r>
        <w:rPr>
          <w:rFonts w:ascii="Times New Roman" w:eastAsia="Times New Roman"/>
        </w:rPr>
        <w:t>4</w:t>
      </w:r>
      <w:r>
        <w:t>）分析方法：按国家颁布的《环境监测技术规范》方法执行。</w:t>
      </w:r>
    </w:p>
    <w:p w14:paraId="1B5BDC37">
      <w:pPr>
        <w:pStyle w:val="7"/>
        <w:spacing w:before="158"/>
        <w:ind w:left="940"/>
      </w:pPr>
      <w:r>
        <w:t>（</w:t>
      </w:r>
      <w:r>
        <w:rPr>
          <w:rFonts w:ascii="Times New Roman" w:eastAsia="Times New Roman"/>
        </w:rPr>
        <w:t>5</w:t>
      </w:r>
      <w:r>
        <w:t>）监测结果：</w:t>
      </w:r>
    </w:p>
    <w:p w14:paraId="7F06220B">
      <w:pPr>
        <w:pStyle w:val="7"/>
        <w:spacing w:before="161"/>
        <w:ind w:left="940"/>
      </w:pPr>
      <w:r>
        <w:t>监测结果统计分析与评价见下表。</w:t>
      </w:r>
    </w:p>
    <w:p w14:paraId="16557A59">
      <w:pPr>
        <w:spacing w:before="156" w:after="4"/>
        <w:ind w:left="264" w:right="286" w:firstLine="0"/>
        <w:jc w:val="center"/>
        <w:rPr>
          <w:rFonts w:ascii="Times New Roman" w:eastAsia="Times New Roman"/>
          <w:b/>
          <w:sz w:val="21"/>
        </w:rPr>
      </w:pPr>
      <w:r>
        <w:rPr>
          <w:b/>
          <w:sz w:val="21"/>
        </w:rPr>
        <w:t xml:space="preserve">表 </w:t>
      </w:r>
      <w:r>
        <w:rPr>
          <w:rFonts w:ascii="Times New Roman" w:eastAsia="Times New Roman"/>
          <w:b/>
          <w:sz w:val="21"/>
        </w:rPr>
        <w:t xml:space="preserve">4.2-9 </w:t>
      </w:r>
      <w:r>
        <w:rPr>
          <w:b/>
          <w:sz w:val="21"/>
        </w:rPr>
        <w:t xml:space="preserve">声环境质量现状监测结果统计表 </w:t>
      </w:r>
      <w:r>
        <w:rPr>
          <w:rFonts w:ascii="Times New Roman" w:eastAsia="Times New Roman"/>
          <w:b/>
          <w:sz w:val="21"/>
        </w:rPr>
        <w:t>Leq(dB(A))</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737"/>
        <w:gridCol w:w="1358"/>
        <w:gridCol w:w="971"/>
        <w:gridCol w:w="815"/>
        <w:gridCol w:w="660"/>
        <w:gridCol w:w="791"/>
        <w:gridCol w:w="923"/>
        <w:gridCol w:w="670"/>
      </w:tblGrid>
      <w:tr w14:paraId="2A6EA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restart"/>
          </w:tcPr>
          <w:p w14:paraId="5D9E9042">
            <w:pPr>
              <w:pStyle w:val="14"/>
              <w:spacing w:before="10"/>
              <w:rPr>
                <w:rFonts w:ascii="Times New Roman"/>
                <w:b/>
                <w:sz w:val="15"/>
              </w:rPr>
            </w:pPr>
          </w:p>
          <w:p w14:paraId="09AE4650">
            <w:pPr>
              <w:pStyle w:val="14"/>
              <w:spacing w:line="242" w:lineRule="auto"/>
              <w:ind w:left="191" w:right="184"/>
              <w:rPr>
                <w:b/>
                <w:sz w:val="21"/>
              </w:rPr>
            </w:pPr>
            <w:r>
              <w:rPr>
                <w:b/>
                <w:sz w:val="21"/>
              </w:rPr>
              <w:t>序号</w:t>
            </w:r>
          </w:p>
        </w:tc>
        <w:tc>
          <w:tcPr>
            <w:tcW w:w="1737" w:type="dxa"/>
            <w:vMerge w:val="restart"/>
          </w:tcPr>
          <w:p w14:paraId="183CB3EC">
            <w:pPr>
              <w:pStyle w:val="14"/>
              <w:spacing w:before="7"/>
              <w:rPr>
                <w:rFonts w:ascii="Times New Roman"/>
                <w:b/>
                <w:sz w:val="27"/>
              </w:rPr>
            </w:pPr>
          </w:p>
          <w:p w14:paraId="46B6BC1C">
            <w:pPr>
              <w:pStyle w:val="14"/>
              <w:ind w:left="446"/>
              <w:rPr>
                <w:b/>
                <w:sz w:val="21"/>
              </w:rPr>
            </w:pPr>
            <w:r>
              <w:rPr>
                <w:b/>
                <w:sz w:val="21"/>
              </w:rPr>
              <w:t>监测点位</w:t>
            </w:r>
          </w:p>
        </w:tc>
        <w:tc>
          <w:tcPr>
            <w:tcW w:w="1358" w:type="dxa"/>
            <w:vMerge w:val="restart"/>
          </w:tcPr>
          <w:p w14:paraId="73A03DE7">
            <w:pPr>
              <w:pStyle w:val="14"/>
              <w:spacing w:before="7"/>
              <w:rPr>
                <w:rFonts w:ascii="Times New Roman"/>
                <w:b/>
                <w:sz w:val="27"/>
              </w:rPr>
            </w:pPr>
          </w:p>
          <w:p w14:paraId="7F9BBF5C">
            <w:pPr>
              <w:pStyle w:val="14"/>
              <w:ind w:left="257"/>
              <w:rPr>
                <w:b/>
                <w:sz w:val="21"/>
              </w:rPr>
            </w:pPr>
            <w:r>
              <w:rPr>
                <w:b/>
                <w:sz w:val="21"/>
              </w:rPr>
              <w:t>监测时间</w:t>
            </w:r>
          </w:p>
        </w:tc>
        <w:tc>
          <w:tcPr>
            <w:tcW w:w="2446" w:type="dxa"/>
            <w:gridSpan w:val="3"/>
          </w:tcPr>
          <w:p w14:paraId="033F31E9">
            <w:pPr>
              <w:pStyle w:val="14"/>
              <w:spacing w:before="20"/>
              <w:ind w:left="990" w:right="983"/>
              <w:jc w:val="center"/>
              <w:rPr>
                <w:b/>
                <w:sz w:val="21"/>
              </w:rPr>
            </w:pPr>
            <w:r>
              <w:rPr>
                <w:b/>
                <w:sz w:val="21"/>
              </w:rPr>
              <w:t>昼间</w:t>
            </w:r>
          </w:p>
        </w:tc>
        <w:tc>
          <w:tcPr>
            <w:tcW w:w="2384" w:type="dxa"/>
            <w:gridSpan w:val="3"/>
          </w:tcPr>
          <w:p w14:paraId="7AE82052">
            <w:pPr>
              <w:pStyle w:val="14"/>
              <w:spacing w:before="20"/>
              <w:ind w:left="959" w:right="953"/>
              <w:jc w:val="center"/>
              <w:rPr>
                <w:b/>
                <w:sz w:val="21"/>
              </w:rPr>
            </w:pPr>
            <w:r>
              <w:rPr>
                <w:b/>
                <w:sz w:val="21"/>
              </w:rPr>
              <w:t>夜间</w:t>
            </w:r>
          </w:p>
        </w:tc>
      </w:tr>
      <w:tr w14:paraId="02A41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97" w:type="dxa"/>
            <w:vMerge w:val="continue"/>
            <w:tcBorders>
              <w:top w:val="nil"/>
            </w:tcBorders>
          </w:tcPr>
          <w:p w14:paraId="05815F8A">
            <w:pPr>
              <w:rPr>
                <w:sz w:val="2"/>
                <w:szCs w:val="2"/>
              </w:rPr>
            </w:pPr>
          </w:p>
        </w:tc>
        <w:tc>
          <w:tcPr>
            <w:tcW w:w="1737" w:type="dxa"/>
            <w:vMerge w:val="continue"/>
            <w:tcBorders>
              <w:top w:val="nil"/>
            </w:tcBorders>
          </w:tcPr>
          <w:p w14:paraId="498EED52">
            <w:pPr>
              <w:rPr>
                <w:sz w:val="2"/>
                <w:szCs w:val="2"/>
              </w:rPr>
            </w:pPr>
          </w:p>
        </w:tc>
        <w:tc>
          <w:tcPr>
            <w:tcW w:w="1358" w:type="dxa"/>
            <w:vMerge w:val="continue"/>
            <w:tcBorders>
              <w:top w:val="nil"/>
            </w:tcBorders>
          </w:tcPr>
          <w:p w14:paraId="6F0F5E8B">
            <w:pPr>
              <w:rPr>
                <w:sz w:val="2"/>
                <w:szCs w:val="2"/>
              </w:rPr>
            </w:pPr>
          </w:p>
        </w:tc>
        <w:tc>
          <w:tcPr>
            <w:tcW w:w="971" w:type="dxa"/>
          </w:tcPr>
          <w:p w14:paraId="76933A21">
            <w:pPr>
              <w:pStyle w:val="14"/>
              <w:spacing w:before="155"/>
              <w:ind w:left="148" w:right="139"/>
              <w:jc w:val="center"/>
              <w:rPr>
                <w:b/>
                <w:sz w:val="21"/>
              </w:rPr>
            </w:pPr>
            <w:r>
              <w:rPr>
                <w:b/>
                <w:sz w:val="21"/>
              </w:rPr>
              <w:t>监测值</w:t>
            </w:r>
          </w:p>
        </w:tc>
        <w:tc>
          <w:tcPr>
            <w:tcW w:w="815" w:type="dxa"/>
          </w:tcPr>
          <w:p w14:paraId="1A2B7C3B">
            <w:pPr>
              <w:pStyle w:val="14"/>
              <w:spacing w:before="20" w:line="270" w:lineRule="atLeast"/>
              <w:ind w:left="302" w:right="186" w:hanging="106"/>
              <w:rPr>
                <w:b/>
                <w:sz w:val="21"/>
              </w:rPr>
            </w:pPr>
            <w:r>
              <w:rPr>
                <w:b/>
                <w:sz w:val="21"/>
              </w:rPr>
              <w:t>标准值</w:t>
            </w:r>
          </w:p>
        </w:tc>
        <w:tc>
          <w:tcPr>
            <w:tcW w:w="660" w:type="dxa"/>
          </w:tcPr>
          <w:p w14:paraId="1218E6CC">
            <w:pPr>
              <w:pStyle w:val="14"/>
              <w:spacing w:before="20" w:line="270" w:lineRule="atLeast"/>
              <w:ind w:left="118" w:right="109"/>
              <w:rPr>
                <w:b/>
                <w:sz w:val="21"/>
              </w:rPr>
            </w:pPr>
            <w:r>
              <w:rPr>
                <w:b/>
                <w:sz w:val="21"/>
              </w:rPr>
              <w:t>评价结果</w:t>
            </w:r>
          </w:p>
        </w:tc>
        <w:tc>
          <w:tcPr>
            <w:tcW w:w="791" w:type="dxa"/>
          </w:tcPr>
          <w:p w14:paraId="15557B98">
            <w:pPr>
              <w:pStyle w:val="14"/>
              <w:spacing w:before="20" w:line="270" w:lineRule="atLeast"/>
              <w:ind w:left="288" w:right="175" w:hanging="106"/>
              <w:rPr>
                <w:b/>
                <w:sz w:val="21"/>
              </w:rPr>
            </w:pPr>
            <w:r>
              <w:rPr>
                <w:b/>
                <w:sz w:val="21"/>
              </w:rPr>
              <w:t>监测值</w:t>
            </w:r>
          </w:p>
        </w:tc>
        <w:tc>
          <w:tcPr>
            <w:tcW w:w="923" w:type="dxa"/>
          </w:tcPr>
          <w:p w14:paraId="10D3134A">
            <w:pPr>
              <w:pStyle w:val="14"/>
              <w:spacing w:before="155"/>
              <w:ind w:left="122" w:right="117"/>
              <w:jc w:val="center"/>
              <w:rPr>
                <w:b/>
                <w:sz w:val="21"/>
              </w:rPr>
            </w:pPr>
            <w:r>
              <w:rPr>
                <w:b/>
                <w:sz w:val="21"/>
              </w:rPr>
              <w:t>标准值</w:t>
            </w:r>
          </w:p>
        </w:tc>
        <w:tc>
          <w:tcPr>
            <w:tcW w:w="670" w:type="dxa"/>
          </w:tcPr>
          <w:p w14:paraId="6BE164EC">
            <w:pPr>
              <w:pStyle w:val="14"/>
              <w:spacing w:before="20" w:line="270" w:lineRule="atLeast"/>
              <w:ind w:left="122" w:right="114"/>
              <w:rPr>
                <w:b/>
                <w:sz w:val="21"/>
              </w:rPr>
            </w:pPr>
            <w:r>
              <w:rPr>
                <w:b/>
                <w:sz w:val="21"/>
              </w:rPr>
              <w:t>评价结果</w:t>
            </w:r>
          </w:p>
        </w:tc>
      </w:tr>
      <w:tr w14:paraId="0B2B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restart"/>
          </w:tcPr>
          <w:p w14:paraId="6524FEF9">
            <w:pPr>
              <w:pStyle w:val="14"/>
              <w:spacing w:before="197"/>
              <w:ind w:left="170"/>
              <w:rPr>
                <w:rFonts w:ascii="Times New Roman"/>
                <w:sz w:val="21"/>
              </w:rPr>
            </w:pPr>
            <w:r>
              <w:rPr>
                <w:rFonts w:ascii="Times New Roman"/>
                <w:sz w:val="21"/>
              </w:rPr>
              <w:t>N1</w:t>
            </w:r>
          </w:p>
        </w:tc>
        <w:tc>
          <w:tcPr>
            <w:tcW w:w="1737" w:type="dxa"/>
            <w:vMerge w:val="restart"/>
          </w:tcPr>
          <w:p w14:paraId="1F25CD38">
            <w:pPr>
              <w:pStyle w:val="14"/>
              <w:spacing w:before="46" w:line="242" w:lineRule="auto"/>
              <w:ind w:left="763" w:right="123" w:hanging="632"/>
              <w:rPr>
                <w:sz w:val="21"/>
              </w:rPr>
            </w:pPr>
            <w:r>
              <w:rPr>
                <w:sz w:val="21"/>
              </w:rPr>
              <w:t>项目拟建地东场界</w:t>
            </w:r>
          </w:p>
        </w:tc>
        <w:tc>
          <w:tcPr>
            <w:tcW w:w="1358" w:type="dxa"/>
          </w:tcPr>
          <w:p w14:paraId="2F4AEF60">
            <w:pPr>
              <w:pStyle w:val="14"/>
              <w:spacing w:before="22"/>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2 </w:t>
            </w:r>
            <w:r>
              <w:rPr>
                <w:sz w:val="21"/>
              </w:rPr>
              <w:t>日</w:t>
            </w:r>
          </w:p>
        </w:tc>
        <w:tc>
          <w:tcPr>
            <w:tcW w:w="971" w:type="dxa"/>
          </w:tcPr>
          <w:p w14:paraId="13B25306">
            <w:pPr>
              <w:pStyle w:val="14"/>
              <w:spacing w:before="36"/>
              <w:ind w:left="148" w:right="138"/>
              <w:jc w:val="center"/>
              <w:rPr>
                <w:rFonts w:ascii="Times New Roman"/>
                <w:sz w:val="21"/>
              </w:rPr>
            </w:pPr>
            <w:r>
              <w:rPr>
                <w:rFonts w:ascii="Times New Roman"/>
                <w:sz w:val="21"/>
              </w:rPr>
              <w:t>48</w:t>
            </w:r>
          </w:p>
        </w:tc>
        <w:tc>
          <w:tcPr>
            <w:tcW w:w="815" w:type="dxa"/>
            <w:vMerge w:val="restart"/>
          </w:tcPr>
          <w:p w14:paraId="705F6FE7">
            <w:pPr>
              <w:pStyle w:val="14"/>
              <w:spacing w:before="197"/>
              <w:ind w:left="172" w:right="163"/>
              <w:jc w:val="center"/>
              <w:rPr>
                <w:rFonts w:ascii="Times New Roman"/>
                <w:sz w:val="21"/>
              </w:rPr>
            </w:pPr>
            <w:r>
              <w:rPr>
                <w:rFonts w:ascii="Times New Roman"/>
                <w:sz w:val="21"/>
              </w:rPr>
              <w:t>60</w:t>
            </w:r>
          </w:p>
        </w:tc>
        <w:tc>
          <w:tcPr>
            <w:tcW w:w="660" w:type="dxa"/>
          </w:tcPr>
          <w:p w14:paraId="6C7266F5">
            <w:pPr>
              <w:pStyle w:val="14"/>
              <w:spacing w:before="22"/>
              <w:ind w:left="118"/>
              <w:rPr>
                <w:sz w:val="21"/>
              </w:rPr>
            </w:pPr>
            <w:r>
              <w:rPr>
                <w:sz w:val="21"/>
              </w:rPr>
              <w:t>达标</w:t>
            </w:r>
          </w:p>
        </w:tc>
        <w:tc>
          <w:tcPr>
            <w:tcW w:w="791" w:type="dxa"/>
          </w:tcPr>
          <w:p w14:paraId="56D62FA4">
            <w:pPr>
              <w:pStyle w:val="14"/>
              <w:spacing w:before="36"/>
              <w:ind w:left="288"/>
              <w:rPr>
                <w:rFonts w:ascii="Times New Roman"/>
                <w:sz w:val="21"/>
              </w:rPr>
            </w:pPr>
            <w:r>
              <w:rPr>
                <w:rFonts w:ascii="Times New Roman"/>
                <w:sz w:val="21"/>
              </w:rPr>
              <w:t>45</w:t>
            </w:r>
          </w:p>
        </w:tc>
        <w:tc>
          <w:tcPr>
            <w:tcW w:w="923" w:type="dxa"/>
            <w:vMerge w:val="restart"/>
          </w:tcPr>
          <w:p w14:paraId="679B24C7">
            <w:pPr>
              <w:pStyle w:val="14"/>
              <w:spacing w:before="197"/>
              <w:ind w:left="122" w:right="116"/>
              <w:jc w:val="center"/>
              <w:rPr>
                <w:rFonts w:ascii="Times New Roman"/>
                <w:sz w:val="21"/>
              </w:rPr>
            </w:pPr>
            <w:r>
              <w:rPr>
                <w:rFonts w:ascii="Times New Roman"/>
                <w:sz w:val="21"/>
              </w:rPr>
              <w:t>50</w:t>
            </w:r>
          </w:p>
        </w:tc>
        <w:tc>
          <w:tcPr>
            <w:tcW w:w="670" w:type="dxa"/>
          </w:tcPr>
          <w:p w14:paraId="07113917">
            <w:pPr>
              <w:pStyle w:val="14"/>
              <w:spacing w:before="22"/>
              <w:ind w:left="88" w:right="80"/>
              <w:jc w:val="center"/>
              <w:rPr>
                <w:sz w:val="21"/>
              </w:rPr>
            </w:pPr>
            <w:r>
              <w:rPr>
                <w:sz w:val="21"/>
              </w:rPr>
              <w:t>达标</w:t>
            </w:r>
          </w:p>
        </w:tc>
      </w:tr>
      <w:tr w14:paraId="4B182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continue"/>
            <w:tcBorders>
              <w:top w:val="nil"/>
            </w:tcBorders>
          </w:tcPr>
          <w:p w14:paraId="046F8453">
            <w:pPr>
              <w:rPr>
                <w:sz w:val="2"/>
                <w:szCs w:val="2"/>
              </w:rPr>
            </w:pPr>
          </w:p>
        </w:tc>
        <w:tc>
          <w:tcPr>
            <w:tcW w:w="1737" w:type="dxa"/>
            <w:vMerge w:val="continue"/>
            <w:tcBorders>
              <w:top w:val="nil"/>
            </w:tcBorders>
          </w:tcPr>
          <w:p w14:paraId="71C1D70A">
            <w:pPr>
              <w:rPr>
                <w:sz w:val="2"/>
                <w:szCs w:val="2"/>
              </w:rPr>
            </w:pPr>
          </w:p>
        </w:tc>
        <w:tc>
          <w:tcPr>
            <w:tcW w:w="1358" w:type="dxa"/>
          </w:tcPr>
          <w:p w14:paraId="4DD52D49">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3 </w:t>
            </w:r>
            <w:r>
              <w:rPr>
                <w:sz w:val="21"/>
              </w:rPr>
              <w:t>日</w:t>
            </w:r>
          </w:p>
        </w:tc>
        <w:tc>
          <w:tcPr>
            <w:tcW w:w="971" w:type="dxa"/>
          </w:tcPr>
          <w:p w14:paraId="12CB996A">
            <w:pPr>
              <w:pStyle w:val="14"/>
              <w:spacing w:before="34"/>
              <w:ind w:left="148" w:right="138"/>
              <w:jc w:val="center"/>
              <w:rPr>
                <w:rFonts w:ascii="Times New Roman"/>
                <w:sz w:val="21"/>
              </w:rPr>
            </w:pPr>
            <w:r>
              <w:rPr>
                <w:rFonts w:ascii="Times New Roman"/>
                <w:sz w:val="21"/>
              </w:rPr>
              <w:t>47</w:t>
            </w:r>
          </w:p>
        </w:tc>
        <w:tc>
          <w:tcPr>
            <w:tcW w:w="815" w:type="dxa"/>
            <w:vMerge w:val="continue"/>
            <w:tcBorders>
              <w:top w:val="nil"/>
            </w:tcBorders>
          </w:tcPr>
          <w:p w14:paraId="6A4D8704">
            <w:pPr>
              <w:rPr>
                <w:sz w:val="2"/>
                <w:szCs w:val="2"/>
              </w:rPr>
            </w:pPr>
          </w:p>
        </w:tc>
        <w:tc>
          <w:tcPr>
            <w:tcW w:w="660" w:type="dxa"/>
          </w:tcPr>
          <w:p w14:paraId="1585B9B2">
            <w:pPr>
              <w:pStyle w:val="14"/>
              <w:spacing w:before="20"/>
              <w:ind w:left="118"/>
              <w:rPr>
                <w:sz w:val="21"/>
              </w:rPr>
            </w:pPr>
            <w:r>
              <w:rPr>
                <w:sz w:val="21"/>
              </w:rPr>
              <w:t>达标</w:t>
            </w:r>
          </w:p>
        </w:tc>
        <w:tc>
          <w:tcPr>
            <w:tcW w:w="791" w:type="dxa"/>
          </w:tcPr>
          <w:p w14:paraId="103A6266">
            <w:pPr>
              <w:pStyle w:val="14"/>
              <w:spacing w:before="34"/>
              <w:ind w:left="288"/>
              <w:rPr>
                <w:rFonts w:ascii="Times New Roman"/>
                <w:sz w:val="21"/>
              </w:rPr>
            </w:pPr>
            <w:r>
              <w:rPr>
                <w:rFonts w:ascii="Times New Roman"/>
                <w:sz w:val="21"/>
              </w:rPr>
              <w:t>45</w:t>
            </w:r>
          </w:p>
        </w:tc>
        <w:tc>
          <w:tcPr>
            <w:tcW w:w="923" w:type="dxa"/>
            <w:vMerge w:val="continue"/>
            <w:tcBorders>
              <w:top w:val="nil"/>
            </w:tcBorders>
          </w:tcPr>
          <w:p w14:paraId="59886544">
            <w:pPr>
              <w:rPr>
                <w:sz w:val="2"/>
                <w:szCs w:val="2"/>
              </w:rPr>
            </w:pPr>
          </w:p>
        </w:tc>
        <w:tc>
          <w:tcPr>
            <w:tcW w:w="670" w:type="dxa"/>
          </w:tcPr>
          <w:p w14:paraId="0F098874">
            <w:pPr>
              <w:pStyle w:val="14"/>
              <w:spacing w:before="20"/>
              <w:ind w:left="88" w:right="80"/>
              <w:jc w:val="center"/>
              <w:rPr>
                <w:sz w:val="21"/>
              </w:rPr>
            </w:pPr>
            <w:r>
              <w:rPr>
                <w:sz w:val="21"/>
              </w:rPr>
              <w:t>达标</w:t>
            </w:r>
          </w:p>
        </w:tc>
      </w:tr>
      <w:tr w14:paraId="2EFE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97" w:type="dxa"/>
            <w:vMerge w:val="restart"/>
          </w:tcPr>
          <w:p w14:paraId="1AE4E3D8">
            <w:pPr>
              <w:pStyle w:val="14"/>
              <w:spacing w:before="195"/>
              <w:ind w:left="170"/>
              <w:rPr>
                <w:rFonts w:ascii="Times New Roman"/>
                <w:sz w:val="21"/>
              </w:rPr>
            </w:pPr>
            <w:r>
              <w:rPr>
                <w:rFonts w:ascii="Times New Roman"/>
                <w:sz w:val="21"/>
              </w:rPr>
              <w:t>N2</w:t>
            </w:r>
          </w:p>
        </w:tc>
        <w:tc>
          <w:tcPr>
            <w:tcW w:w="1737" w:type="dxa"/>
            <w:vMerge w:val="restart"/>
          </w:tcPr>
          <w:p w14:paraId="1ACB3BA9">
            <w:pPr>
              <w:pStyle w:val="14"/>
              <w:spacing w:before="44" w:line="242" w:lineRule="auto"/>
              <w:ind w:left="763" w:right="123" w:hanging="632"/>
              <w:rPr>
                <w:sz w:val="21"/>
              </w:rPr>
            </w:pPr>
            <w:r>
              <w:rPr>
                <w:sz w:val="21"/>
              </w:rPr>
              <w:t>项目拟建地南场界</w:t>
            </w:r>
          </w:p>
        </w:tc>
        <w:tc>
          <w:tcPr>
            <w:tcW w:w="1358" w:type="dxa"/>
          </w:tcPr>
          <w:p w14:paraId="0E2F2DC8">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2 </w:t>
            </w:r>
            <w:r>
              <w:rPr>
                <w:sz w:val="21"/>
              </w:rPr>
              <w:t>日</w:t>
            </w:r>
          </w:p>
        </w:tc>
        <w:tc>
          <w:tcPr>
            <w:tcW w:w="971" w:type="dxa"/>
          </w:tcPr>
          <w:p w14:paraId="2866AB44">
            <w:pPr>
              <w:pStyle w:val="14"/>
              <w:spacing w:before="34"/>
              <w:ind w:left="148" w:right="138"/>
              <w:jc w:val="center"/>
              <w:rPr>
                <w:rFonts w:ascii="Times New Roman"/>
                <w:sz w:val="21"/>
              </w:rPr>
            </w:pPr>
            <w:r>
              <w:rPr>
                <w:rFonts w:ascii="Times New Roman"/>
                <w:sz w:val="21"/>
              </w:rPr>
              <w:t>49</w:t>
            </w:r>
          </w:p>
        </w:tc>
        <w:tc>
          <w:tcPr>
            <w:tcW w:w="815" w:type="dxa"/>
            <w:vMerge w:val="restart"/>
          </w:tcPr>
          <w:p w14:paraId="2C4F05F3">
            <w:pPr>
              <w:pStyle w:val="14"/>
              <w:spacing w:before="195"/>
              <w:ind w:left="172" w:right="163"/>
              <w:jc w:val="center"/>
              <w:rPr>
                <w:rFonts w:ascii="Times New Roman"/>
                <w:sz w:val="21"/>
              </w:rPr>
            </w:pPr>
            <w:r>
              <w:rPr>
                <w:rFonts w:ascii="Times New Roman"/>
                <w:sz w:val="21"/>
              </w:rPr>
              <w:t>60</w:t>
            </w:r>
          </w:p>
        </w:tc>
        <w:tc>
          <w:tcPr>
            <w:tcW w:w="660" w:type="dxa"/>
          </w:tcPr>
          <w:p w14:paraId="426A8D08">
            <w:pPr>
              <w:pStyle w:val="14"/>
              <w:spacing w:before="20"/>
              <w:ind w:left="118"/>
              <w:rPr>
                <w:sz w:val="21"/>
              </w:rPr>
            </w:pPr>
            <w:r>
              <w:rPr>
                <w:sz w:val="21"/>
              </w:rPr>
              <w:t>达标</w:t>
            </w:r>
          </w:p>
        </w:tc>
        <w:tc>
          <w:tcPr>
            <w:tcW w:w="791" w:type="dxa"/>
          </w:tcPr>
          <w:p w14:paraId="57CDE6B0">
            <w:pPr>
              <w:pStyle w:val="14"/>
              <w:spacing w:before="34"/>
              <w:ind w:left="288"/>
              <w:rPr>
                <w:rFonts w:ascii="Times New Roman"/>
                <w:sz w:val="21"/>
              </w:rPr>
            </w:pPr>
            <w:r>
              <w:rPr>
                <w:rFonts w:ascii="Times New Roman"/>
                <w:sz w:val="21"/>
              </w:rPr>
              <w:t>44</w:t>
            </w:r>
          </w:p>
        </w:tc>
        <w:tc>
          <w:tcPr>
            <w:tcW w:w="923" w:type="dxa"/>
            <w:vMerge w:val="restart"/>
          </w:tcPr>
          <w:p w14:paraId="50C0B807">
            <w:pPr>
              <w:pStyle w:val="14"/>
              <w:spacing w:before="195"/>
              <w:ind w:left="122" w:right="116"/>
              <w:jc w:val="center"/>
              <w:rPr>
                <w:rFonts w:ascii="Times New Roman"/>
                <w:sz w:val="21"/>
              </w:rPr>
            </w:pPr>
            <w:r>
              <w:rPr>
                <w:rFonts w:ascii="Times New Roman"/>
                <w:sz w:val="21"/>
              </w:rPr>
              <w:t>55</w:t>
            </w:r>
          </w:p>
        </w:tc>
        <w:tc>
          <w:tcPr>
            <w:tcW w:w="670" w:type="dxa"/>
          </w:tcPr>
          <w:p w14:paraId="56CB2C0D">
            <w:pPr>
              <w:pStyle w:val="14"/>
              <w:spacing w:before="20"/>
              <w:ind w:left="88" w:right="80"/>
              <w:jc w:val="center"/>
              <w:rPr>
                <w:sz w:val="21"/>
              </w:rPr>
            </w:pPr>
            <w:r>
              <w:rPr>
                <w:sz w:val="21"/>
              </w:rPr>
              <w:t>达标</w:t>
            </w:r>
          </w:p>
        </w:tc>
      </w:tr>
      <w:tr w14:paraId="47CF5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97" w:type="dxa"/>
            <w:vMerge w:val="continue"/>
            <w:tcBorders>
              <w:top w:val="nil"/>
            </w:tcBorders>
          </w:tcPr>
          <w:p w14:paraId="524455F2">
            <w:pPr>
              <w:rPr>
                <w:sz w:val="2"/>
                <w:szCs w:val="2"/>
              </w:rPr>
            </w:pPr>
          </w:p>
        </w:tc>
        <w:tc>
          <w:tcPr>
            <w:tcW w:w="1737" w:type="dxa"/>
            <w:vMerge w:val="continue"/>
            <w:tcBorders>
              <w:top w:val="nil"/>
            </w:tcBorders>
          </w:tcPr>
          <w:p w14:paraId="0DB83FAB">
            <w:pPr>
              <w:rPr>
                <w:sz w:val="2"/>
                <w:szCs w:val="2"/>
              </w:rPr>
            </w:pPr>
          </w:p>
        </w:tc>
        <w:tc>
          <w:tcPr>
            <w:tcW w:w="1358" w:type="dxa"/>
          </w:tcPr>
          <w:p w14:paraId="5366F6B5">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3 </w:t>
            </w:r>
            <w:r>
              <w:rPr>
                <w:sz w:val="21"/>
              </w:rPr>
              <w:t>日</w:t>
            </w:r>
          </w:p>
        </w:tc>
        <w:tc>
          <w:tcPr>
            <w:tcW w:w="971" w:type="dxa"/>
          </w:tcPr>
          <w:p w14:paraId="6EF35E65">
            <w:pPr>
              <w:pStyle w:val="14"/>
              <w:spacing w:before="34"/>
              <w:ind w:left="148" w:right="138"/>
              <w:jc w:val="center"/>
              <w:rPr>
                <w:rFonts w:ascii="Times New Roman"/>
                <w:sz w:val="21"/>
              </w:rPr>
            </w:pPr>
            <w:r>
              <w:rPr>
                <w:rFonts w:ascii="Times New Roman"/>
                <w:sz w:val="21"/>
              </w:rPr>
              <w:t>48</w:t>
            </w:r>
          </w:p>
        </w:tc>
        <w:tc>
          <w:tcPr>
            <w:tcW w:w="815" w:type="dxa"/>
            <w:vMerge w:val="continue"/>
            <w:tcBorders>
              <w:top w:val="nil"/>
            </w:tcBorders>
          </w:tcPr>
          <w:p w14:paraId="69B89C0F">
            <w:pPr>
              <w:rPr>
                <w:sz w:val="2"/>
                <w:szCs w:val="2"/>
              </w:rPr>
            </w:pPr>
          </w:p>
        </w:tc>
        <w:tc>
          <w:tcPr>
            <w:tcW w:w="660" w:type="dxa"/>
          </w:tcPr>
          <w:p w14:paraId="1D13CDE6">
            <w:pPr>
              <w:pStyle w:val="14"/>
              <w:spacing w:before="20"/>
              <w:ind w:left="118"/>
              <w:rPr>
                <w:sz w:val="21"/>
              </w:rPr>
            </w:pPr>
            <w:r>
              <w:rPr>
                <w:sz w:val="21"/>
              </w:rPr>
              <w:t>达标</w:t>
            </w:r>
          </w:p>
        </w:tc>
        <w:tc>
          <w:tcPr>
            <w:tcW w:w="791" w:type="dxa"/>
          </w:tcPr>
          <w:p w14:paraId="2FCB9AC9">
            <w:pPr>
              <w:pStyle w:val="14"/>
              <w:spacing w:before="34"/>
              <w:ind w:left="288"/>
              <w:rPr>
                <w:rFonts w:ascii="Times New Roman"/>
                <w:sz w:val="21"/>
              </w:rPr>
            </w:pPr>
            <w:r>
              <w:rPr>
                <w:rFonts w:ascii="Times New Roman"/>
                <w:sz w:val="21"/>
              </w:rPr>
              <w:t>44</w:t>
            </w:r>
          </w:p>
        </w:tc>
        <w:tc>
          <w:tcPr>
            <w:tcW w:w="923" w:type="dxa"/>
            <w:vMerge w:val="continue"/>
            <w:tcBorders>
              <w:top w:val="nil"/>
            </w:tcBorders>
          </w:tcPr>
          <w:p w14:paraId="7ADBFD25">
            <w:pPr>
              <w:rPr>
                <w:sz w:val="2"/>
                <w:szCs w:val="2"/>
              </w:rPr>
            </w:pPr>
          </w:p>
        </w:tc>
        <w:tc>
          <w:tcPr>
            <w:tcW w:w="670" w:type="dxa"/>
          </w:tcPr>
          <w:p w14:paraId="5E59BF5C">
            <w:pPr>
              <w:pStyle w:val="14"/>
              <w:spacing w:before="20"/>
              <w:ind w:left="88" w:right="80"/>
              <w:jc w:val="center"/>
              <w:rPr>
                <w:sz w:val="21"/>
              </w:rPr>
            </w:pPr>
            <w:r>
              <w:rPr>
                <w:sz w:val="21"/>
              </w:rPr>
              <w:t>达标</w:t>
            </w:r>
          </w:p>
        </w:tc>
      </w:tr>
      <w:tr w14:paraId="781FF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97" w:type="dxa"/>
            <w:vMerge w:val="restart"/>
          </w:tcPr>
          <w:p w14:paraId="39B66EAD">
            <w:pPr>
              <w:pStyle w:val="14"/>
              <w:spacing w:before="195"/>
              <w:ind w:left="170"/>
              <w:rPr>
                <w:rFonts w:ascii="Times New Roman"/>
                <w:sz w:val="21"/>
              </w:rPr>
            </w:pPr>
            <w:r>
              <w:rPr>
                <w:rFonts w:ascii="Times New Roman"/>
                <w:sz w:val="21"/>
              </w:rPr>
              <w:t>N3</w:t>
            </w:r>
          </w:p>
        </w:tc>
        <w:tc>
          <w:tcPr>
            <w:tcW w:w="1737" w:type="dxa"/>
            <w:vMerge w:val="restart"/>
          </w:tcPr>
          <w:p w14:paraId="2FADE1FD">
            <w:pPr>
              <w:pStyle w:val="14"/>
              <w:spacing w:before="45" w:line="242" w:lineRule="auto"/>
              <w:ind w:left="763" w:right="123" w:hanging="632"/>
              <w:rPr>
                <w:sz w:val="21"/>
              </w:rPr>
            </w:pPr>
            <w:r>
              <w:rPr>
                <w:sz w:val="21"/>
              </w:rPr>
              <w:t>项目拟建地西场界</w:t>
            </w:r>
          </w:p>
        </w:tc>
        <w:tc>
          <w:tcPr>
            <w:tcW w:w="1358" w:type="dxa"/>
          </w:tcPr>
          <w:p w14:paraId="6085DBCD">
            <w:pPr>
              <w:pStyle w:val="14"/>
              <w:spacing w:before="21"/>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2 </w:t>
            </w:r>
            <w:r>
              <w:rPr>
                <w:sz w:val="21"/>
              </w:rPr>
              <w:t>日</w:t>
            </w:r>
          </w:p>
        </w:tc>
        <w:tc>
          <w:tcPr>
            <w:tcW w:w="971" w:type="dxa"/>
          </w:tcPr>
          <w:p w14:paraId="532F1B89">
            <w:pPr>
              <w:pStyle w:val="14"/>
              <w:spacing w:before="35"/>
              <w:ind w:left="148" w:right="138"/>
              <w:jc w:val="center"/>
              <w:rPr>
                <w:rFonts w:ascii="Times New Roman"/>
                <w:sz w:val="21"/>
              </w:rPr>
            </w:pPr>
            <w:r>
              <w:rPr>
                <w:rFonts w:ascii="Times New Roman"/>
                <w:sz w:val="21"/>
              </w:rPr>
              <w:t>51</w:t>
            </w:r>
          </w:p>
        </w:tc>
        <w:tc>
          <w:tcPr>
            <w:tcW w:w="815" w:type="dxa"/>
            <w:vMerge w:val="restart"/>
          </w:tcPr>
          <w:p w14:paraId="098DE1D6">
            <w:pPr>
              <w:pStyle w:val="14"/>
              <w:spacing w:before="195"/>
              <w:ind w:left="172" w:right="163"/>
              <w:jc w:val="center"/>
              <w:rPr>
                <w:rFonts w:ascii="Times New Roman"/>
                <w:sz w:val="21"/>
              </w:rPr>
            </w:pPr>
            <w:r>
              <w:rPr>
                <w:rFonts w:ascii="Times New Roman"/>
                <w:sz w:val="21"/>
              </w:rPr>
              <w:t>60</w:t>
            </w:r>
          </w:p>
        </w:tc>
        <w:tc>
          <w:tcPr>
            <w:tcW w:w="660" w:type="dxa"/>
          </w:tcPr>
          <w:p w14:paraId="6296C85D">
            <w:pPr>
              <w:pStyle w:val="14"/>
              <w:spacing w:before="21"/>
              <w:ind w:left="118"/>
              <w:rPr>
                <w:sz w:val="21"/>
              </w:rPr>
            </w:pPr>
            <w:r>
              <w:rPr>
                <w:sz w:val="21"/>
              </w:rPr>
              <w:t>达标</w:t>
            </w:r>
          </w:p>
        </w:tc>
        <w:tc>
          <w:tcPr>
            <w:tcW w:w="791" w:type="dxa"/>
          </w:tcPr>
          <w:p w14:paraId="5FBE69FA">
            <w:pPr>
              <w:pStyle w:val="14"/>
              <w:spacing w:before="35"/>
              <w:ind w:left="288"/>
              <w:rPr>
                <w:rFonts w:ascii="Times New Roman"/>
                <w:sz w:val="21"/>
              </w:rPr>
            </w:pPr>
            <w:r>
              <w:rPr>
                <w:rFonts w:ascii="Times New Roman"/>
                <w:sz w:val="21"/>
              </w:rPr>
              <w:t>46</w:t>
            </w:r>
          </w:p>
        </w:tc>
        <w:tc>
          <w:tcPr>
            <w:tcW w:w="923" w:type="dxa"/>
            <w:vMerge w:val="restart"/>
          </w:tcPr>
          <w:p w14:paraId="4B3159E8">
            <w:pPr>
              <w:pStyle w:val="14"/>
              <w:spacing w:before="195"/>
              <w:ind w:left="122" w:right="116"/>
              <w:jc w:val="center"/>
              <w:rPr>
                <w:rFonts w:ascii="Times New Roman"/>
                <w:sz w:val="21"/>
              </w:rPr>
            </w:pPr>
            <w:r>
              <w:rPr>
                <w:rFonts w:ascii="Times New Roman"/>
                <w:sz w:val="21"/>
              </w:rPr>
              <w:t>55</w:t>
            </w:r>
          </w:p>
        </w:tc>
        <w:tc>
          <w:tcPr>
            <w:tcW w:w="670" w:type="dxa"/>
          </w:tcPr>
          <w:p w14:paraId="204E30B7">
            <w:pPr>
              <w:pStyle w:val="14"/>
              <w:spacing w:before="21"/>
              <w:ind w:left="88" w:right="80"/>
              <w:jc w:val="center"/>
              <w:rPr>
                <w:sz w:val="21"/>
              </w:rPr>
            </w:pPr>
            <w:r>
              <w:rPr>
                <w:sz w:val="21"/>
              </w:rPr>
              <w:t>达标</w:t>
            </w:r>
          </w:p>
        </w:tc>
      </w:tr>
      <w:tr w14:paraId="2DCE9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continue"/>
            <w:tcBorders>
              <w:top w:val="nil"/>
            </w:tcBorders>
          </w:tcPr>
          <w:p w14:paraId="6AB08480">
            <w:pPr>
              <w:rPr>
                <w:sz w:val="2"/>
                <w:szCs w:val="2"/>
              </w:rPr>
            </w:pPr>
          </w:p>
        </w:tc>
        <w:tc>
          <w:tcPr>
            <w:tcW w:w="1737" w:type="dxa"/>
            <w:vMerge w:val="continue"/>
            <w:tcBorders>
              <w:top w:val="nil"/>
            </w:tcBorders>
          </w:tcPr>
          <w:p w14:paraId="73301E4E">
            <w:pPr>
              <w:rPr>
                <w:sz w:val="2"/>
                <w:szCs w:val="2"/>
              </w:rPr>
            </w:pPr>
          </w:p>
        </w:tc>
        <w:tc>
          <w:tcPr>
            <w:tcW w:w="1358" w:type="dxa"/>
          </w:tcPr>
          <w:p w14:paraId="798003F3">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3 </w:t>
            </w:r>
            <w:r>
              <w:rPr>
                <w:sz w:val="21"/>
              </w:rPr>
              <w:t>日</w:t>
            </w:r>
          </w:p>
        </w:tc>
        <w:tc>
          <w:tcPr>
            <w:tcW w:w="971" w:type="dxa"/>
          </w:tcPr>
          <w:p w14:paraId="49B61754">
            <w:pPr>
              <w:pStyle w:val="14"/>
              <w:spacing w:before="34"/>
              <w:ind w:left="148" w:right="138"/>
              <w:jc w:val="center"/>
              <w:rPr>
                <w:rFonts w:ascii="Times New Roman"/>
                <w:sz w:val="21"/>
              </w:rPr>
            </w:pPr>
            <w:r>
              <w:rPr>
                <w:rFonts w:ascii="Times New Roman"/>
                <w:sz w:val="21"/>
              </w:rPr>
              <w:t>50</w:t>
            </w:r>
          </w:p>
        </w:tc>
        <w:tc>
          <w:tcPr>
            <w:tcW w:w="815" w:type="dxa"/>
            <w:vMerge w:val="continue"/>
            <w:tcBorders>
              <w:top w:val="nil"/>
            </w:tcBorders>
          </w:tcPr>
          <w:p w14:paraId="4BEB0EFC">
            <w:pPr>
              <w:rPr>
                <w:sz w:val="2"/>
                <w:szCs w:val="2"/>
              </w:rPr>
            </w:pPr>
          </w:p>
        </w:tc>
        <w:tc>
          <w:tcPr>
            <w:tcW w:w="660" w:type="dxa"/>
          </w:tcPr>
          <w:p w14:paraId="4E82DB94">
            <w:pPr>
              <w:pStyle w:val="14"/>
              <w:spacing w:before="20"/>
              <w:ind w:left="118"/>
              <w:rPr>
                <w:sz w:val="21"/>
              </w:rPr>
            </w:pPr>
            <w:r>
              <w:rPr>
                <w:sz w:val="21"/>
              </w:rPr>
              <w:t>达标</w:t>
            </w:r>
          </w:p>
        </w:tc>
        <w:tc>
          <w:tcPr>
            <w:tcW w:w="791" w:type="dxa"/>
          </w:tcPr>
          <w:p w14:paraId="7A7C416D">
            <w:pPr>
              <w:pStyle w:val="14"/>
              <w:spacing w:before="34"/>
              <w:ind w:left="288"/>
              <w:rPr>
                <w:rFonts w:ascii="Times New Roman"/>
                <w:sz w:val="21"/>
              </w:rPr>
            </w:pPr>
            <w:r>
              <w:rPr>
                <w:rFonts w:ascii="Times New Roman"/>
                <w:sz w:val="21"/>
              </w:rPr>
              <w:t>44</w:t>
            </w:r>
          </w:p>
        </w:tc>
        <w:tc>
          <w:tcPr>
            <w:tcW w:w="923" w:type="dxa"/>
            <w:vMerge w:val="continue"/>
            <w:tcBorders>
              <w:top w:val="nil"/>
            </w:tcBorders>
          </w:tcPr>
          <w:p w14:paraId="0F5801A2">
            <w:pPr>
              <w:rPr>
                <w:sz w:val="2"/>
                <w:szCs w:val="2"/>
              </w:rPr>
            </w:pPr>
          </w:p>
        </w:tc>
        <w:tc>
          <w:tcPr>
            <w:tcW w:w="670" w:type="dxa"/>
          </w:tcPr>
          <w:p w14:paraId="40D2B44A">
            <w:pPr>
              <w:pStyle w:val="14"/>
              <w:spacing w:before="20"/>
              <w:ind w:left="88" w:right="80"/>
              <w:jc w:val="center"/>
              <w:rPr>
                <w:sz w:val="21"/>
              </w:rPr>
            </w:pPr>
            <w:r>
              <w:rPr>
                <w:sz w:val="21"/>
              </w:rPr>
              <w:t>达标</w:t>
            </w:r>
          </w:p>
        </w:tc>
      </w:tr>
      <w:tr w14:paraId="4002E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restart"/>
          </w:tcPr>
          <w:p w14:paraId="792E61CE">
            <w:pPr>
              <w:pStyle w:val="14"/>
              <w:spacing w:before="195"/>
              <w:ind w:left="170"/>
              <w:rPr>
                <w:rFonts w:ascii="Times New Roman"/>
                <w:sz w:val="21"/>
              </w:rPr>
            </w:pPr>
            <w:r>
              <w:rPr>
                <w:rFonts w:ascii="Times New Roman"/>
                <w:sz w:val="21"/>
              </w:rPr>
              <w:t>N4</w:t>
            </w:r>
          </w:p>
        </w:tc>
        <w:tc>
          <w:tcPr>
            <w:tcW w:w="1737" w:type="dxa"/>
            <w:vMerge w:val="restart"/>
          </w:tcPr>
          <w:p w14:paraId="0F8F632D">
            <w:pPr>
              <w:pStyle w:val="14"/>
              <w:spacing w:before="44" w:line="244" w:lineRule="auto"/>
              <w:ind w:left="763" w:right="123" w:hanging="632"/>
              <w:rPr>
                <w:sz w:val="21"/>
              </w:rPr>
            </w:pPr>
            <w:r>
              <w:rPr>
                <w:sz w:val="21"/>
              </w:rPr>
              <w:t>项目拟建地北场界</w:t>
            </w:r>
          </w:p>
        </w:tc>
        <w:tc>
          <w:tcPr>
            <w:tcW w:w="1358" w:type="dxa"/>
          </w:tcPr>
          <w:p w14:paraId="5F281D8D">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2 </w:t>
            </w:r>
            <w:r>
              <w:rPr>
                <w:sz w:val="21"/>
              </w:rPr>
              <w:t>日</w:t>
            </w:r>
          </w:p>
        </w:tc>
        <w:tc>
          <w:tcPr>
            <w:tcW w:w="971" w:type="dxa"/>
          </w:tcPr>
          <w:p w14:paraId="5F2C92FD">
            <w:pPr>
              <w:pStyle w:val="14"/>
              <w:spacing w:before="34"/>
              <w:ind w:left="148" w:right="138"/>
              <w:jc w:val="center"/>
              <w:rPr>
                <w:rFonts w:ascii="Times New Roman"/>
                <w:sz w:val="21"/>
              </w:rPr>
            </w:pPr>
            <w:r>
              <w:rPr>
                <w:rFonts w:ascii="Times New Roman"/>
                <w:sz w:val="21"/>
              </w:rPr>
              <w:t>48</w:t>
            </w:r>
          </w:p>
        </w:tc>
        <w:tc>
          <w:tcPr>
            <w:tcW w:w="815" w:type="dxa"/>
            <w:vMerge w:val="restart"/>
          </w:tcPr>
          <w:p w14:paraId="5969631C">
            <w:pPr>
              <w:pStyle w:val="14"/>
              <w:spacing w:before="195"/>
              <w:ind w:left="172" w:right="163"/>
              <w:jc w:val="center"/>
              <w:rPr>
                <w:rFonts w:ascii="Times New Roman"/>
                <w:sz w:val="21"/>
              </w:rPr>
            </w:pPr>
            <w:r>
              <w:rPr>
                <w:rFonts w:ascii="Times New Roman"/>
                <w:sz w:val="21"/>
              </w:rPr>
              <w:t>60</w:t>
            </w:r>
          </w:p>
        </w:tc>
        <w:tc>
          <w:tcPr>
            <w:tcW w:w="660" w:type="dxa"/>
          </w:tcPr>
          <w:p w14:paraId="5B1E1785">
            <w:pPr>
              <w:pStyle w:val="14"/>
              <w:spacing w:before="20"/>
              <w:ind w:left="118"/>
              <w:rPr>
                <w:sz w:val="21"/>
              </w:rPr>
            </w:pPr>
            <w:r>
              <w:rPr>
                <w:sz w:val="21"/>
              </w:rPr>
              <w:t>达标</w:t>
            </w:r>
          </w:p>
        </w:tc>
        <w:tc>
          <w:tcPr>
            <w:tcW w:w="791" w:type="dxa"/>
          </w:tcPr>
          <w:p w14:paraId="39559F62">
            <w:pPr>
              <w:pStyle w:val="14"/>
              <w:spacing w:before="34"/>
              <w:ind w:left="288"/>
              <w:rPr>
                <w:rFonts w:ascii="Times New Roman"/>
                <w:sz w:val="21"/>
              </w:rPr>
            </w:pPr>
            <w:r>
              <w:rPr>
                <w:rFonts w:ascii="Times New Roman"/>
                <w:sz w:val="21"/>
              </w:rPr>
              <w:t>43</w:t>
            </w:r>
          </w:p>
        </w:tc>
        <w:tc>
          <w:tcPr>
            <w:tcW w:w="923" w:type="dxa"/>
            <w:vMerge w:val="restart"/>
          </w:tcPr>
          <w:p w14:paraId="5A1E9603">
            <w:pPr>
              <w:pStyle w:val="14"/>
              <w:spacing w:before="195"/>
              <w:ind w:left="122" w:right="116"/>
              <w:jc w:val="center"/>
              <w:rPr>
                <w:rFonts w:ascii="Times New Roman"/>
                <w:sz w:val="21"/>
              </w:rPr>
            </w:pPr>
            <w:r>
              <w:rPr>
                <w:rFonts w:ascii="Times New Roman"/>
                <w:sz w:val="21"/>
              </w:rPr>
              <w:t>55</w:t>
            </w:r>
          </w:p>
        </w:tc>
        <w:tc>
          <w:tcPr>
            <w:tcW w:w="670" w:type="dxa"/>
          </w:tcPr>
          <w:p w14:paraId="6B68055C">
            <w:pPr>
              <w:pStyle w:val="14"/>
              <w:spacing w:before="20"/>
              <w:ind w:left="88" w:right="80"/>
              <w:jc w:val="center"/>
              <w:rPr>
                <w:sz w:val="21"/>
              </w:rPr>
            </w:pPr>
            <w:r>
              <w:rPr>
                <w:sz w:val="21"/>
              </w:rPr>
              <w:t>达标</w:t>
            </w:r>
          </w:p>
        </w:tc>
      </w:tr>
      <w:tr w14:paraId="42C4A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continue"/>
            <w:tcBorders>
              <w:top w:val="nil"/>
            </w:tcBorders>
          </w:tcPr>
          <w:p w14:paraId="29207618">
            <w:pPr>
              <w:rPr>
                <w:sz w:val="2"/>
                <w:szCs w:val="2"/>
              </w:rPr>
            </w:pPr>
          </w:p>
        </w:tc>
        <w:tc>
          <w:tcPr>
            <w:tcW w:w="1737" w:type="dxa"/>
            <w:vMerge w:val="continue"/>
            <w:tcBorders>
              <w:top w:val="nil"/>
            </w:tcBorders>
          </w:tcPr>
          <w:p w14:paraId="212239A8">
            <w:pPr>
              <w:rPr>
                <w:sz w:val="2"/>
                <w:szCs w:val="2"/>
              </w:rPr>
            </w:pPr>
          </w:p>
        </w:tc>
        <w:tc>
          <w:tcPr>
            <w:tcW w:w="1358" w:type="dxa"/>
          </w:tcPr>
          <w:p w14:paraId="590687C3">
            <w:pPr>
              <w:pStyle w:val="14"/>
              <w:spacing w:before="21"/>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3 </w:t>
            </w:r>
            <w:r>
              <w:rPr>
                <w:sz w:val="21"/>
              </w:rPr>
              <w:t>日</w:t>
            </w:r>
          </w:p>
        </w:tc>
        <w:tc>
          <w:tcPr>
            <w:tcW w:w="971" w:type="dxa"/>
          </w:tcPr>
          <w:p w14:paraId="33CB125C">
            <w:pPr>
              <w:pStyle w:val="14"/>
              <w:spacing w:before="35"/>
              <w:ind w:left="148" w:right="138"/>
              <w:jc w:val="center"/>
              <w:rPr>
                <w:rFonts w:ascii="Times New Roman"/>
                <w:sz w:val="21"/>
              </w:rPr>
            </w:pPr>
            <w:r>
              <w:rPr>
                <w:rFonts w:ascii="Times New Roman"/>
                <w:sz w:val="21"/>
              </w:rPr>
              <w:t>48</w:t>
            </w:r>
          </w:p>
        </w:tc>
        <w:tc>
          <w:tcPr>
            <w:tcW w:w="815" w:type="dxa"/>
            <w:vMerge w:val="continue"/>
            <w:tcBorders>
              <w:top w:val="nil"/>
            </w:tcBorders>
          </w:tcPr>
          <w:p w14:paraId="6D5BC111">
            <w:pPr>
              <w:rPr>
                <w:sz w:val="2"/>
                <w:szCs w:val="2"/>
              </w:rPr>
            </w:pPr>
          </w:p>
        </w:tc>
        <w:tc>
          <w:tcPr>
            <w:tcW w:w="660" w:type="dxa"/>
          </w:tcPr>
          <w:p w14:paraId="259FE9F5">
            <w:pPr>
              <w:pStyle w:val="14"/>
              <w:spacing w:before="21"/>
              <w:ind w:left="118"/>
              <w:rPr>
                <w:sz w:val="21"/>
              </w:rPr>
            </w:pPr>
            <w:r>
              <w:rPr>
                <w:sz w:val="21"/>
              </w:rPr>
              <w:t>达标</w:t>
            </w:r>
          </w:p>
        </w:tc>
        <w:tc>
          <w:tcPr>
            <w:tcW w:w="791" w:type="dxa"/>
          </w:tcPr>
          <w:p w14:paraId="5411E490">
            <w:pPr>
              <w:pStyle w:val="14"/>
              <w:spacing w:before="35"/>
              <w:ind w:left="288"/>
              <w:rPr>
                <w:rFonts w:ascii="Times New Roman"/>
                <w:sz w:val="21"/>
              </w:rPr>
            </w:pPr>
            <w:r>
              <w:rPr>
                <w:rFonts w:ascii="Times New Roman"/>
                <w:sz w:val="21"/>
              </w:rPr>
              <w:t>43</w:t>
            </w:r>
          </w:p>
        </w:tc>
        <w:tc>
          <w:tcPr>
            <w:tcW w:w="923" w:type="dxa"/>
            <w:vMerge w:val="continue"/>
            <w:tcBorders>
              <w:top w:val="nil"/>
            </w:tcBorders>
          </w:tcPr>
          <w:p w14:paraId="69C3798E">
            <w:pPr>
              <w:rPr>
                <w:sz w:val="2"/>
                <w:szCs w:val="2"/>
              </w:rPr>
            </w:pPr>
          </w:p>
        </w:tc>
        <w:tc>
          <w:tcPr>
            <w:tcW w:w="670" w:type="dxa"/>
          </w:tcPr>
          <w:p w14:paraId="0509ED95">
            <w:pPr>
              <w:pStyle w:val="14"/>
              <w:spacing w:before="21"/>
              <w:ind w:left="88" w:right="80"/>
              <w:jc w:val="center"/>
              <w:rPr>
                <w:sz w:val="21"/>
              </w:rPr>
            </w:pPr>
            <w:r>
              <w:rPr>
                <w:sz w:val="21"/>
              </w:rPr>
              <w:t>达标</w:t>
            </w:r>
          </w:p>
        </w:tc>
      </w:tr>
      <w:tr w14:paraId="5F4FF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97" w:type="dxa"/>
          </w:tcPr>
          <w:p w14:paraId="03FE3710">
            <w:pPr>
              <w:pStyle w:val="14"/>
              <w:spacing w:before="34"/>
              <w:ind w:left="170"/>
              <w:rPr>
                <w:rFonts w:ascii="Times New Roman"/>
                <w:sz w:val="21"/>
              </w:rPr>
            </w:pPr>
            <w:r>
              <w:rPr>
                <w:rFonts w:ascii="Times New Roman"/>
                <w:sz w:val="21"/>
              </w:rPr>
              <w:t>N5</w:t>
            </w:r>
          </w:p>
        </w:tc>
        <w:tc>
          <w:tcPr>
            <w:tcW w:w="1737" w:type="dxa"/>
          </w:tcPr>
          <w:p w14:paraId="10504791">
            <w:pPr>
              <w:pStyle w:val="14"/>
              <w:spacing w:before="18"/>
              <w:ind w:left="132"/>
              <w:rPr>
                <w:sz w:val="21"/>
              </w:rPr>
            </w:pPr>
            <w:r>
              <w:rPr>
                <w:sz w:val="21"/>
              </w:rPr>
              <w:t>项目拟建地西侧</w:t>
            </w:r>
          </w:p>
        </w:tc>
        <w:tc>
          <w:tcPr>
            <w:tcW w:w="1358" w:type="dxa"/>
          </w:tcPr>
          <w:p w14:paraId="27000327">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2 </w:t>
            </w:r>
            <w:r>
              <w:rPr>
                <w:sz w:val="21"/>
              </w:rPr>
              <w:t>日</w:t>
            </w:r>
          </w:p>
        </w:tc>
        <w:tc>
          <w:tcPr>
            <w:tcW w:w="971" w:type="dxa"/>
          </w:tcPr>
          <w:p w14:paraId="72C1B1B1">
            <w:pPr>
              <w:pStyle w:val="14"/>
              <w:spacing w:before="34"/>
              <w:ind w:left="148" w:right="138"/>
              <w:jc w:val="center"/>
              <w:rPr>
                <w:rFonts w:ascii="Times New Roman"/>
                <w:sz w:val="21"/>
              </w:rPr>
            </w:pPr>
            <w:r>
              <w:rPr>
                <w:rFonts w:ascii="Times New Roman"/>
                <w:sz w:val="21"/>
              </w:rPr>
              <w:t>50</w:t>
            </w:r>
          </w:p>
        </w:tc>
        <w:tc>
          <w:tcPr>
            <w:tcW w:w="815" w:type="dxa"/>
          </w:tcPr>
          <w:p w14:paraId="0F2269FD">
            <w:pPr>
              <w:pStyle w:val="14"/>
              <w:spacing w:before="34"/>
              <w:ind w:left="172" w:right="163"/>
              <w:jc w:val="center"/>
              <w:rPr>
                <w:rFonts w:ascii="Times New Roman"/>
                <w:sz w:val="21"/>
              </w:rPr>
            </w:pPr>
            <w:r>
              <w:rPr>
                <w:rFonts w:ascii="Times New Roman"/>
                <w:sz w:val="21"/>
              </w:rPr>
              <w:t>60</w:t>
            </w:r>
          </w:p>
        </w:tc>
        <w:tc>
          <w:tcPr>
            <w:tcW w:w="660" w:type="dxa"/>
          </w:tcPr>
          <w:p w14:paraId="3E75462B">
            <w:pPr>
              <w:pStyle w:val="14"/>
              <w:spacing w:before="20"/>
              <w:ind w:left="118"/>
              <w:rPr>
                <w:sz w:val="21"/>
              </w:rPr>
            </w:pPr>
            <w:r>
              <w:rPr>
                <w:sz w:val="21"/>
              </w:rPr>
              <w:t>达标</w:t>
            </w:r>
          </w:p>
        </w:tc>
        <w:tc>
          <w:tcPr>
            <w:tcW w:w="791" w:type="dxa"/>
          </w:tcPr>
          <w:p w14:paraId="524C9F31">
            <w:pPr>
              <w:pStyle w:val="14"/>
              <w:spacing w:before="34"/>
              <w:ind w:left="288"/>
              <w:rPr>
                <w:rFonts w:ascii="Times New Roman"/>
                <w:sz w:val="21"/>
              </w:rPr>
            </w:pPr>
            <w:r>
              <w:rPr>
                <w:rFonts w:ascii="Times New Roman"/>
                <w:sz w:val="21"/>
              </w:rPr>
              <w:t>45</w:t>
            </w:r>
          </w:p>
        </w:tc>
        <w:tc>
          <w:tcPr>
            <w:tcW w:w="923" w:type="dxa"/>
          </w:tcPr>
          <w:p w14:paraId="284ACCD8">
            <w:pPr>
              <w:pStyle w:val="14"/>
              <w:spacing w:before="34"/>
              <w:ind w:left="122" w:right="116"/>
              <w:jc w:val="center"/>
              <w:rPr>
                <w:rFonts w:ascii="Times New Roman"/>
                <w:sz w:val="21"/>
              </w:rPr>
            </w:pPr>
            <w:r>
              <w:rPr>
                <w:rFonts w:ascii="Times New Roman"/>
                <w:sz w:val="21"/>
              </w:rPr>
              <w:t>50</w:t>
            </w:r>
          </w:p>
        </w:tc>
        <w:tc>
          <w:tcPr>
            <w:tcW w:w="670" w:type="dxa"/>
          </w:tcPr>
          <w:p w14:paraId="71459B9E">
            <w:pPr>
              <w:pStyle w:val="14"/>
              <w:spacing w:before="20"/>
              <w:ind w:left="88" w:right="80"/>
              <w:jc w:val="center"/>
              <w:rPr>
                <w:sz w:val="21"/>
              </w:rPr>
            </w:pPr>
            <w:r>
              <w:rPr>
                <w:sz w:val="21"/>
              </w:rPr>
              <w:t>达标</w:t>
            </w:r>
          </w:p>
        </w:tc>
      </w:tr>
    </w:tbl>
    <w:p w14:paraId="759051D6">
      <w:pPr>
        <w:spacing w:after="0"/>
        <w:jc w:val="center"/>
        <w:rPr>
          <w:sz w:val="21"/>
        </w:rPr>
        <w:sectPr>
          <w:pgSz w:w="11910" w:h="16840"/>
          <w:pgMar w:top="1360" w:right="1320" w:bottom="1400" w:left="1340" w:header="878" w:footer="1204" w:gutter="0"/>
          <w:cols w:space="720" w:num="1"/>
        </w:sectPr>
      </w:pPr>
    </w:p>
    <w:p w14:paraId="2AC8769E">
      <w:pPr>
        <w:pStyle w:val="7"/>
        <w:spacing w:before="9"/>
        <w:rPr>
          <w:rFonts w:ascii="Times New Roman"/>
          <w:b/>
          <w:sz w:val="5"/>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737"/>
        <w:gridCol w:w="1358"/>
        <w:gridCol w:w="971"/>
        <w:gridCol w:w="815"/>
        <w:gridCol w:w="660"/>
        <w:gridCol w:w="791"/>
        <w:gridCol w:w="923"/>
        <w:gridCol w:w="670"/>
      </w:tblGrid>
      <w:tr w14:paraId="5FCB2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97" w:type="dxa"/>
            <w:vMerge w:val="restart"/>
          </w:tcPr>
          <w:p w14:paraId="2C7A41A2">
            <w:pPr>
              <w:pStyle w:val="14"/>
              <w:spacing w:before="9"/>
              <w:rPr>
                <w:rFonts w:ascii="Times New Roman"/>
                <w:b/>
                <w:sz w:val="15"/>
              </w:rPr>
            </w:pPr>
          </w:p>
          <w:p w14:paraId="09BE24DD">
            <w:pPr>
              <w:pStyle w:val="14"/>
              <w:spacing w:line="242" w:lineRule="auto"/>
              <w:ind w:left="191" w:right="184"/>
              <w:rPr>
                <w:b/>
                <w:sz w:val="21"/>
              </w:rPr>
            </w:pPr>
            <w:r>
              <w:rPr>
                <w:b/>
                <w:sz w:val="21"/>
              </w:rPr>
              <w:t>序号</w:t>
            </w:r>
          </w:p>
        </w:tc>
        <w:tc>
          <w:tcPr>
            <w:tcW w:w="1737" w:type="dxa"/>
            <w:vMerge w:val="restart"/>
          </w:tcPr>
          <w:p w14:paraId="49A6032A">
            <w:pPr>
              <w:pStyle w:val="14"/>
              <w:spacing w:before="8"/>
              <w:rPr>
                <w:rFonts w:ascii="Times New Roman"/>
                <w:b/>
                <w:sz w:val="27"/>
              </w:rPr>
            </w:pPr>
          </w:p>
          <w:p w14:paraId="06ABD007">
            <w:pPr>
              <w:pStyle w:val="14"/>
              <w:ind w:left="446"/>
              <w:rPr>
                <w:b/>
                <w:sz w:val="21"/>
              </w:rPr>
            </w:pPr>
            <w:r>
              <w:rPr>
                <w:b/>
                <w:sz w:val="21"/>
              </w:rPr>
              <w:t>监测点位</w:t>
            </w:r>
          </w:p>
        </w:tc>
        <w:tc>
          <w:tcPr>
            <w:tcW w:w="1358" w:type="dxa"/>
            <w:vMerge w:val="restart"/>
          </w:tcPr>
          <w:p w14:paraId="206CA957">
            <w:pPr>
              <w:pStyle w:val="14"/>
              <w:spacing w:before="8"/>
              <w:rPr>
                <w:rFonts w:ascii="Times New Roman"/>
                <w:b/>
                <w:sz w:val="27"/>
              </w:rPr>
            </w:pPr>
          </w:p>
          <w:p w14:paraId="26A36E5E">
            <w:pPr>
              <w:pStyle w:val="14"/>
              <w:ind w:left="257"/>
              <w:rPr>
                <w:b/>
                <w:sz w:val="21"/>
              </w:rPr>
            </w:pPr>
            <w:r>
              <w:rPr>
                <w:b/>
                <w:sz w:val="21"/>
              </w:rPr>
              <w:t>监测时间</w:t>
            </w:r>
          </w:p>
        </w:tc>
        <w:tc>
          <w:tcPr>
            <w:tcW w:w="2446" w:type="dxa"/>
            <w:gridSpan w:val="3"/>
          </w:tcPr>
          <w:p w14:paraId="61F7DD82">
            <w:pPr>
              <w:pStyle w:val="14"/>
              <w:spacing w:before="21"/>
              <w:ind w:left="990" w:right="983"/>
              <w:jc w:val="center"/>
              <w:rPr>
                <w:b/>
                <w:sz w:val="21"/>
              </w:rPr>
            </w:pPr>
            <w:r>
              <w:rPr>
                <w:b/>
                <w:sz w:val="21"/>
              </w:rPr>
              <w:t>昼间</w:t>
            </w:r>
          </w:p>
        </w:tc>
        <w:tc>
          <w:tcPr>
            <w:tcW w:w="2384" w:type="dxa"/>
            <w:gridSpan w:val="3"/>
          </w:tcPr>
          <w:p w14:paraId="20C4F8DF">
            <w:pPr>
              <w:pStyle w:val="14"/>
              <w:spacing w:before="21"/>
              <w:ind w:left="959" w:right="953"/>
              <w:jc w:val="center"/>
              <w:rPr>
                <w:b/>
                <w:sz w:val="21"/>
              </w:rPr>
            </w:pPr>
            <w:r>
              <w:rPr>
                <w:b/>
                <w:sz w:val="21"/>
              </w:rPr>
              <w:t>夜间</w:t>
            </w:r>
          </w:p>
        </w:tc>
      </w:tr>
      <w:tr w14:paraId="1D569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97" w:type="dxa"/>
            <w:vMerge w:val="continue"/>
            <w:tcBorders>
              <w:top w:val="nil"/>
            </w:tcBorders>
          </w:tcPr>
          <w:p w14:paraId="20992069">
            <w:pPr>
              <w:rPr>
                <w:sz w:val="2"/>
                <w:szCs w:val="2"/>
              </w:rPr>
            </w:pPr>
          </w:p>
        </w:tc>
        <w:tc>
          <w:tcPr>
            <w:tcW w:w="1737" w:type="dxa"/>
            <w:vMerge w:val="continue"/>
            <w:tcBorders>
              <w:top w:val="nil"/>
            </w:tcBorders>
          </w:tcPr>
          <w:p w14:paraId="29D85AC0">
            <w:pPr>
              <w:rPr>
                <w:sz w:val="2"/>
                <w:szCs w:val="2"/>
              </w:rPr>
            </w:pPr>
          </w:p>
        </w:tc>
        <w:tc>
          <w:tcPr>
            <w:tcW w:w="1358" w:type="dxa"/>
            <w:vMerge w:val="continue"/>
            <w:tcBorders>
              <w:top w:val="nil"/>
            </w:tcBorders>
          </w:tcPr>
          <w:p w14:paraId="2DC137C8">
            <w:pPr>
              <w:rPr>
                <w:sz w:val="2"/>
                <w:szCs w:val="2"/>
              </w:rPr>
            </w:pPr>
          </w:p>
        </w:tc>
        <w:tc>
          <w:tcPr>
            <w:tcW w:w="971" w:type="dxa"/>
          </w:tcPr>
          <w:p w14:paraId="0D64FE19">
            <w:pPr>
              <w:pStyle w:val="14"/>
              <w:spacing w:before="155"/>
              <w:ind w:left="148" w:right="139"/>
              <w:jc w:val="center"/>
              <w:rPr>
                <w:b/>
                <w:sz w:val="21"/>
              </w:rPr>
            </w:pPr>
            <w:r>
              <w:rPr>
                <w:b/>
                <w:sz w:val="21"/>
              </w:rPr>
              <w:t>监测值</w:t>
            </w:r>
          </w:p>
        </w:tc>
        <w:tc>
          <w:tcPr>
            <w:tcW w:w="815" w:type="dxa"/>
          </w:tcPr>
          <w:p w14:paraId="76136604">
            <w:pPr>
              <w:pStyle w:val="14"/>
              <w:spacing w:before="20" w:line="242" w:lineRule="auto"/>
              <w:ind w:left="302" w:right="186" w:hanging="106"/>
              <w:rPr>
                <w:b/>
                <w:sz w:val="21"/>
              </w:rPr>
            </w:pPr>
            <w:r>
              <w:rPr>
                <w:b/>
                <w:sz w:val="21"/>
              </w:rPr>
              <w:t>标准值</w:t>
            </w:r>
          </w:p>
        </w:tc>
        <w:tc>
          <w:tcPr>
            <w:tcW w:w="660" w:type="dxa"/>
          </w:tcPr>
          <w:p w14:paraId="79EDEA08">
            <w:pPr>
              <w:pStyle w:val="14"/>
              <w:spacing w:before="20" w:line="242" w:lineRule="auto"/>
              <w:ind w:left="118" w:right="109"/>
              <w:rPr>
                <w:b/>
                <w:sz w:val="21"/>
              </w:rPr>
            </w:pPr>
            <w:r>
              <w:rPr>
                <w:b/>
                <w:sz w:val="21"/>
              </w:rPr>
              <w:t>评价结果</w:t>
            </w:r>
          </w:p>
        </w:tc>
        <w:tc>
          <w:tcPr>
            <w:tcW w:w="791" w:type="dxa"/>
          </w:tcPr>
          <w:p w14:paraId="7FE8FEE0">
            <w:pPr>
              <w:pStyle w:val="14"/>
              <w:spacing w:before="20" w:line="242" w:lineRule="auto"/>
              <w:ind w:left="288" w:right="175" w:hanging="106"/>
              <w:rPr>
                <w:b/>
                <w:sz w:val="21"/>
              </w:rPr>
            </w:pPr>
            <w:r>
              <w:rPr>
                <w:b/>
                <w:sz w:val="21"/>
              </w:rPr>
              <w:t>监测值</w:t>
            </w:r>
          </w:p>
        </w:tc>
        <w:tc>
          <w:tcPr>
            <w:tcW w:w="923" w:type="dxa"/>
          </w:tcPr>
          <w:p w14:paraId="4B828CB8">
            <w:pPr>
              <w:pStyle w:val="14"/>
              <w:spacing w:before="155"/>
              <w:ind w:left="143"/>
              <w:rPr>
                <w:b/>
                <w:sz w:val="21"/>
              </w:rPr>
            </w:pPr>
            <w:r>
              <w:rPr>
                <w:b/>
                <w:sz w:val="21"/>
              </w:rPr>
              <w:t>标准值</w:t>
            </w:r>
          </w:p>
        </w:tc>
        <w:tc>
          <w:tcPr>
            <w:tcW w:w="670" w:type="dxa"/>
          </w:tcPr>
          <w:p w14:paraId="1D04708A">
            <w:pPr>
              <w:pStyle w:val="14"/>
              <w:spacing w:before="20" w:line="242" w:lineRule="auto"/>
              <w:ind w:left="122" w:right="114"/>
              <w:rPr>
                <w:b/>
                <w:sz w:val="21"/>
              </w:rPr>
            </w:pPr>
            <w:r>
              <w:rPr>
                <w:b/>
                <w:sz w:val="21"/>
              </w:rPr>
              <w:t>评价结果</w:t>
            </w:r>
          </w:p>
        </w:tc>
      </w:tr>
      <w:tr w14:paraId="5BB07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97" w:type="dxa"/>
          </w:tcPr>
          <w:p w14:paraId="2CD6BA63">
            <w:pPr>
              <w:pStyle w:val="14"/>
              <w:rPr>
                <w:rFonts w:ascii="Times New Roman"/>
                <w:sz w:val="22"/>
              </w:rPr>
            </w:pPr>
          </w:p>
        </w:tc>
        <w:tc>
          <w:tcPr>
            <w:tcW w:w="1737" w:type="dxa"/>
          </w:tcPr>
          <w:p w14:paraId="45D68440">
            <w:pPr>
              <w:pStyle w:val="14"/>
              <w:spacing w:before="2"/>
              <w:ind w:left="636" w:right="630"/>
              <w:jc w:val="center"/>
              <w:rPr>
                <w:sz w:val="21"/>
              </w:rPr>
            </w:pPr>
            <w:r>
              <w:rPr>
                <w:sz w:val="21"/>
              </w:rPr>
              <w:t>居民</w:t>
            </w:r>
          </w:p>
        </w:tc>
        <w:tc>
          <w:tcPr>
            <w:tcW w:w="1358" w:type="dxa"/>
          </w:tcPr>
          <w:p w14:paraId="5D30BF66">
            <w:pPr>
              <w:pStyle w:val="14"/>
              <w:spacing w:before="21"/>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3 </w:t>
            </w:r>
            <w:r>
              <w:rPr>
                <w:sz w:val="21"/>
              </w:rPr>
              <w:t>日</w:t>
            </w:r>
          </w:p>
        </w:tc>
        <w:tc>
          <w:tcPr>
            <w:tcW w:w="971" w:type="dxa"/>
          </w:tcPr>
          <w:p w14:paraId="4FC0F413">
            <w:pPr>
              <w:pStyle w:val="14"/>
              <w:spacing w:before="35"/>
              <w:ind w:left="148" w:right="138"/>
              <w:jc w:val="center"/>
              <w:rPr>
                <w:rFonts w:ascii="Times New Roman"/>
                <w:sz w:val="21"/>
              </w:rPr>
            </w:pPr>
            <w:r>
              <w:rPr>
                <w:rFonts w:ascii="Times New Roman"/>
                <w:sz w:val="21"/>
              </w:rPr>
              <w:t>49</w:t>
            </w:r>
          </w:p>
        </w:tc>
        <w:tc>
          <w:tcPr>
            <w:tcW w:w="815" w:type="dxa"/>
          </w:tcPr>
          <w:p w14:paraId="21DDE7A1">
            <w:pPr>
              <w:pStyle w:val="14"/>
              <w:rPr>
                <w:rFonts w:ascii="Times New Roman"/>
                <w:sz w:val="22"/>
              </w:rPr>
            </w:pPr>
          </w:p>
        </w:tc>
        <w:tc>
          <w:tcPr>
            <w:tcW w:w="660" w:type="dxa"/>
          </w:tcPr>
          <w:p w14:paraId="5D1C0E89">
            <w:pPr>
              <w:pStyle w:val="14"/>
              <w:spacing w:before="21"/>
              <w:ind w:left="118"/>
              <w:rPr>
                <w:sz w:val="21"/>
              </w:rPr>
            </w:pPr>
            <w:r>
              <w:rPr>
                <w:sz w:val="21"/>
              </w:rPr>
              <w:t>达标</w:t>
            </w:r>
          </w:p>
        </w:tc>
        <w:tc>
          <w:tcPr>
            <w:tcW w:w="791" w:type="dxa"/>
          </w:tcPr>
          <w:p w14:paraId="156182A9">
            <w:pPr>
              <w:pStyle w:val="14"/>
              <w:spacing w:before="35"/>
              <w:ind w:left="288"/>
              <w:rPr>
                <w:rFonts w:ascii="Times New Roman"/>
                <w:sz w:val="21"/>
              </w:rPr>
            </w:pPr>
            <w:r>
              <w:rPr>
                <w:rFonts w:ascii="Times New Roman"/>
                <w:sz w:val="21"/>
              </w:rPr>
              <w:t>45</w:t>
            </w:r>
          </w:p>
        </w:tc>
        <w:tc>
          <w:tcPr>
            <w:tcW w:w="923" w:type="dxa"/>
          </w:tcPr>
          <w:p w14:paraId="34C26B5C">
            <w:pPr>
              <w:pStyle w:val="14"/>
              <w:rPr>
                <w:rFonts w:ascii="Times New Roman"/>
                <w:sz w:val="22"/>
              </w:rPr>
            </w:pPr>
          </w:p>
        </w:tc>
        <w:tc>
          <w:tcPr>
            <w:tcW w:w="670" w:type="dxa"/>
          </w:tcPr>
          <w:p w14:paraId="4CC84ADA">
            <w:pPr>
              <w:pStyle w:val="14"/>
              <w:spacing w:before="21"/>
              <w:ind w:left="88" w:right="80"/>
              <w:jc w:val="center"/>
              <w:rPr>
                <w:sz w:val="21"/>
              </w:rPr>
            </w:pPr>
            <w:r>
              <w:rPr>
                <w:sz w:val="21"/>
              </w:rPr>
              <w:t>达标</w:t>
            </w:r>
          </w:p>
        </w:tc>
      </w:tr>
      <w:tr w14:paraId="472F9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97" w:type="dxa"/>
            <w:vMerge w:val="restart"/>
          </w:tcPr>
          <w:p w14:paraId="432F45A8">
            <w:pPr>
              <w:pStyle w:val="14"/>
              <w:spacing w:before="195"/>
              <w:ind w:left="170"/>
              <w:rPr>
                <w:rFonts w:ascii="Times New Roman"/>
                <w:sz w:val="21"/>
              </w:rPr>
            </w:pPr>
            <w:r>
              <w:rPr>
                <w:rFonts w:ascii="Times New Roman"/>
                <w:sz w:val="21"/>
              </w:rPr>
              <w:t>N6</w:t>
            </w:r>
          </w:p>
        </w:tc>
        <w:tc>
          <w:tcPr>
            <w:tcW w:w="1737" w:type="dxa"/>
            <w:vMerge w:val="restart"/>
          </w:tcPr>
          <w:p w14:paraId="40ABB383">
            <w:pPr>
              <w:pStyle w:val="14"/>
              <w:spacing w:before="44" w:line="244" w:lineRule="auto"/>
              <w:ind w:left="552" w:right="123" w:hanging="420"/>
              <w:rPr>
                <w:sz w:val="21"/>
              </w:rPr>
            </w:pPr>
            <w:r>
              <w:rPr>
                <w:w w:val="95"/>
                <w:sz w:val="21"/>
              </w:rPr>
              <w:t>项目拟建地东南</w:t>
            </w:r>
            <w:r>
              <w:rPr>
                <w:sz w:val="21"/>
              </w:rPr>
              <w:t>侧居民</w:t>
            </w:r>
          </w:p>
        </w:tc>
        <w:tc>
          <w:tcPr>
            <w:tcW w:w="1358" w:type="dxa"/>
          </w:tcPr>
          <w:p w14:paraId="0DECAC29">
            <w:pPr>
              <w:pStyle w:val="14"/>
              <w:spacing w:before="20"/>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2 </w:t>
            </w:r>
            <w:r>
              <w:rPr>
                <w:sz w:val="21"/>
              </w:rPr>
              <w:t>日</w:t>
            </w:r>
          </w:p>
        </w:tc>
        <w:tc>
          <w:tcPr>
            <w:tcW w:w="971" w:type="dxa"/>
          </w:tcPr>
          <w:p w14:paraId="1FE01EEA">
            <w:pPr>
              <w:pStyle w:val="14"/>
              <w:spacing w:before="34"/>
              <w:ind w:left="148" w:right="138"/>
              <w:jc w:val="center"/>
              <w:rPr>
                <w:rFonts w:ascii="Times New Roman"/>
                <w:sz w:val="21"/>
              </w:rPr>
            </w:pPr>
            <w:r>
              <w:rPr>
                <w:rFonts w:ascii="Times New Roman"/>
                <w:sz w:val="21"/>
              </w:rPr>
              <w:t>48</w:t>
            </w:r>
          </w:p>
        </w:tc>
        <w:tc>
          <w:tcPr>
            <w:tcW w:w="815" w:type="dxa"/>
            <w:vMerge w:val="restart"/>
          </w:tcPr>
          <w:p w14:paraId="00320C13">
            <w:pPr>
              <w:pStyle w:val="14"/>
              <w:spacing w:before="195"/>
              <w:ind w:left="172" w:right="163"/>
              <w:jc w:val="center"/>
              <w:rPr>
                <w:rFonts w:ascii="Times New Roman"/>
                <w:sz w:val="21"/>
              </w:rPr>
            </w:pPr>
            <w:r>
              <w:rPr>
                <w:rFonts w:ascii="Times New Roman"/>
                <w:sz w:val="21"/>
              </w:rPr>
              <w:t>60</w:t>
            </w:r>
          </w:p>
        </w:tc>
        <w:tc>
          <w:tcPr>
            <w:tcW w:w="660" w:type="dxa"/>
          </w:tcPr>
          <w:p w14:paraId="4728AB9A">
            <w:pPr>
              <w:pStyle w:val="14"/>
              <w:spacing w:before="20"/>
              <w:ind w:left="106"/>
              <w:rPr>
                <w:sz w:val="21"/>
              </w:rPr>
            </w:pPr>
            <w:r>
              <w:rPr>
                <w:sz w:val="21"/>
              </w:rPr>
              <w:t>达标</w:t>
            </w:r>
          </w:p>
        </w:tc>
        <w:tc>
          <w:tcPr>
            <w:tcW w:w="791" w:type="dxa"/>
          </w:tcPr>
          <w:p w14:paraId="2D003398">
            <w:pPr>
              <w:pStyle w:val="14"/>
              <w:spacing w:before="34"/>
              <w:ind w:left="288"/>
              <w:rPr>
                <w:rFonts w:ascii="Times New Roman"/>
                <w:sz w:val="21"/>
              </w:rPr>
            </w:pPr>
            <w:r>
              <w:rPr>
                <w:rFonts w:ascii="Times New Roman"/>
                <w:sz w:val="21"/>
              </w:rPr>
              <w:t>43</w:t>
            </w:r>
          </w:p>
        </w:tc>
        <w:tc>
          <w:tcPr>
            <w:tcW w:w="923" w:type="dxa"/>
            <w:vMerge w:val="restart"/>
          </w:tcPr>
          <w:p w14:paraId="4BF9E6C1">
            <w:pPr>
              <w:pStyle w:val="14"/>
              <w:spacing w:before="195"/>
              <w:ind w:left="122" w:right="116"/>
              <w:jc w:val="center"/>
              <w:rPr>
                <w:rFonts w:ascii="Times New Roman"/>
                <w:sz w:val="21"/>
              </w:rPr>
            </w:pPr>
            <w:r>
              <w:rPr>
                <w:rFonts w:ascii="Times New Roman"/>
                <w:sz w:val="21"/>
              </w:rPr>
              <w:t>50</w:t>
            </w:r>
          </w:p>
        </w:tc>
        <w:tc>
          <w:tcPr>
            <w:tcW w:w="670" w:type="dxa"/>
          </w:tcPr>
          <w:p w14:paraId="5323E2DE">
            <w:pPr>
              <w:pStyle w:val="14"/>
              <w:spacing w:before="20"/>
              <w:ind w:left="73" w:right="96"/>
              <w:jc w:val="center"/>
              <w:rPr>
                <w:sz w:val="21"/>
              </w:rPr>
            </w:pPr>
            <w:r>
              <w:rPr>
                <w:sz w:val="21"/>
              </w:rPr>
              <w:t>达标</w:t>
            </w:r>
          </w:p>
        </w:tc>
      </w:tr>
      <w:tr w14:paraId="16098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97" w:type="dxa"/>
            <w:vMerge w:val="continue"/>
            <w:tcBorders>
              <w:top w:val="nil"/>
            </w:tcBorders>
          </w:tcPr>
          <w:p w14:paraId="51C86996">
            <w:pPr>
              <w:rPr>
                <w:sz w:val="2"/>
                <w:szCs w:val="2"/>
              </w:rPr>
            </w:pPr>
          </w:p>
        </w:tc>
        <w:tc>
          <w:tcPr>
            <w:tcW w:w="1737" w:type="dxa"/>
            <w:vMerge w:val="continue"/>
            <w:tcBorders>
              <w:top w:val="nil"/>
            </w:tcBorders>
          </w:tcPr>
          <w:p w14:paraId="5D7A0C06">
            <w:pPr>
              <w:rPr>
                <w:sz w:val="2"/>
                <w:szCs w:val="2"/>
              </w:rPr>
            </w:pPr>
          </w:p>
        </w:tc>
        <w:tc>
          <w:tcPr>
            <w:tcW w:w="1358" w:type="dxa"/>
          </w:tcPr>
          <w:p w14:paraId="341531ED">
            <w:pPr>
              <w:pStyle w:val="14"/>
              <w:spacing w:before="19"/>
              <w:ind w:right="286"/>
              <w:jc w:val="right"/>
              <w:rPr>
                <w:sz w:val="21"/>
              </w:rPr>
            </w:pPr>
            <w:r>
              <w:rPr>
                <w:rFonts w:ascii="Times New Roman" w:eastAsia="Times New Roman"/>
                <w:sz w:val="21"/>
              </w:rPr>
              <w:t xml:space="preserve">1 </w:t>
            </w:r>
            <w:r>
              <w:rPr>
                <w:sz w:val="21"/>
              </w:rPr>
              <w:t xml:space="preserve">月 </w:t>
            </w:r>
            <w:r>
              <w:rPr>
                <w:rFonts w:ascii="Times New Roman" w:eastAsia="Times New Roman"/>
                <w:sz w:val="21"/>
              </w:rPr>
              <w:t xml:space="preserve">3 </w:t>
            </w:r>
            <w:r>
              <w:rPr>
                <w:sz w:val="21"/>
              </w:rPr>
              <w:t>日</w:t>
            </w:r>
          </w:p>
        </w:tc>
        <w:tc>
          <w:tcPr>
            <w:tcW w:w="971" w:type="dxa"/>
          </w:tcPr>
          <w:p w14:paraId="1BDDEAF9">
            <w:pPr>
              <w:pStyle w:val="14"/>
              <w:spacing w:before="33"/>
              <w:ind w:left="148" w:right="138"/>
              <w:jc w:val="center"/>
              <w:rPr>
                <w:rFonts w:ascii="Times New Roman"/>
                <w:sz w:val="21"/>
              </w:rPr>
            </w:pPr>
            <w:r>
              <w:rPr>
                <w:rFonts w:ascii="Times New Roman"/>
                <w:sz w:val="21"/>
              </w:rPr>
              <w:t>47</w:t>
            </w:r>
          </w:p>
        </w:tc>
        <w:tc>
          <w:tcPr>
            <w:tcW w:w="815" w:type="dxa"/>
            <w:vMerge w:val="continue"/>
            <w:tcBorders>
              <w:top w:val="nil"/>
            </w:tcBorders>
          </w:tcPr>
          <w:p w14:paraId="3A8CE195">
            <w:pPr>
              <w:rPr>
                <w:sz w:val="2"/>
                <w:szCs w:val="2"/>
              </w:rPr>
            </w:pPr>
          </w:p>
        </w:tc>
        <w:tc>
          <w:tcPr>
            <w:tcW w:w="660" w:type="dxa"/>
          </w:tcPr>
          <w:p w14:paraId="07D28B79">
            <w:pPr>
              <w:pStyle w:val="14"/>
              <w:spacing w:before="19"/>
              <w:ind w:left="106"/>
              <w:rPr>
                <w:sz w:val="21"/>
              </w:rPr>
            </w:pPr>
            <w:r>
              <w:rPr>
                <w:sz w:val="21"/>
              </w:rPr>
              <w:t>达标</w:t>
            </w:r>
          </w:p>
        </w:tc>
        <w:tc>
          <w:tcPr>
            <w:tcW w:w="791" w:type="dxa"/>
          </w:tcPr>
          <w:p w14:paraId="3C657DEF">
            <w:pPr>
              <w:pStyle w:val="14"/>
              <w:spacing w:before="33"/>
              <w:ind w:left="288"/>
              <w:rPr>
                <w:rFonts w:ascii="Times New Roman"/>
                <w:sz w:val="21"/>
              </w:rPr>
            </w:pPr>
            <w:r>
              <w:rPr>
                <w:rFonts w:ascii="Times New Roman"/>
                <w:sz w:val="21"/>
              </w:rPr>
              <w:t>42</w:t>
            </w:r>
          </w:p>
        </w:tc>
        <w:tc>
          <w:tcPr>
            <w:tcW w:w="923" w:type="dxa"/>
            <w:vMerge w:val="continue"/>
            <w:tcBorders>
              <w:top w:val="nil"/>
            </w:tcBorders>
          </w:tcPr>
          <w:p w14:paraId="42420FB6">
            <w:pPr>
              <w:rPr>
                <w:sz w:val="2"/>
                <w:szCs w:val="2"/>
              </w:rPr>
            </w:pPr>
          </w:p>
        </w:tc>
        <w:tc>
          <w:tcPr>
            <w:tcW w:w="670" w:type="dxa"/>
          </w:tcPr>
          <w:p w14:paraId="07EC2A4D">
            <w:pPr>
              <w:pStyle w:val="14"/>
              <w:spacing w:before="19"/>
              <w:ind w:left="73" w:right="96"/>
              <w:jc w:val="center"/>
              <w:rPr>
                <w:sz w:val="21"/>
              </w:rPr>
            </w:pPr>
            <w:r>
              <w:rPr>
                <w:sz w:val="21"/>
              </w:rPr>
              <w:t>达标</w:t>
            </w:r>
          </w:p>
        </w:tc>
      </w:tr>
    </w:tbl>
    <w:p w14:paraId="0C833DAF">
      <w:pPr>
        <w:pStyle w:val="7"/>
        <w:spacing w:before="4" w:line="362" w:lineRule="auto"/>
        <w:ind w:left="460" w:right="477" w:firstLine="480"/>
        <w:jc w:val="both"/>
      </w:pPr>
      <w:r>
        <w:t>由上表的声环境质量现状监测结果可知，项目所在区域昼、夜噪声监测值均可达到《声环境质量标准》（</w:t>
      </w:r>
      <w:r>
        <w:rPr>
          <w:rFonts w:ascii="Times New Roman" w:eastAsia="Times New Roman"/>
        </w:rPr>
        <w:t>GB3096-2008</w:t>
      </w:r>
      <w:r>
        <w:t xml:space="preserve">）中 </w:t>
      </w:r>
      <w:r>
        <w:rPr>
          <w:rFonts w:ascii="Times New Roman" w:eastAsia="Times New Roman"/>
        </w:rPr>
        <w:t xml:space="preserve">2 </w:t>
      </w:r>
      <w:r>
        <w:t>类标准，项目所在区域声</w:t>
      </w:r>
    </w:p>
    <w:p w14:paraId="282E6C88">
      <w:pPr>
        <w:pStyle w:val="7"/>
        <w:spacing w:before="2"/>
        <w:ind w:left="460"/>
      </w:pPr>
      <w:r>
        <w:t xml:space="preserve">环境质量良好，满足 </w:t>
      </w:r>
      <w:r>
        <w:rPr>
          <w:rFonts w:ascii="Times New Roman" w:eastAsia="Times New Roman"/>
        </w:rPr>
        <w:t xml:space="preserve">2 </w:t>
      </w:r>
      <w:r>
        <w:t>类声环境功能区划要求。</w:t>
      </w:r>
    </w:p>
    <w:p w14:paraId="207848D9">
      <w:pPr>
        <w:pStyle w:val="6"/>
        <w:numPr>
          <w:ilvl w:val="2"/>
          <w:numId w:val="18"/>
        </w:numPr>
        <w:tabs>
          <w:tab w:val="left" w:pos="991"/>
        </w:tabs>
        <w:spacing w:before="161" w:after="0" w:line="240" w:lineRule="auto"/>
        <w:ind w:left="990" w:right="0" w:hanging="530"/>
        <w:jc w:val="left"/>
      </w:pPr>
      <w:bookmarkStart w:id="150" w:name="4.2.5生态环境现状调查与评价"/>
      <w:bookmarkEnd w:id="150"/>
      <w:bookmarkStart w:id="151" w:name="4.2.5生态环境现状调查与评价"/>
      <w:bookmarkEnd w:id="151"/>
      <w:r>
        <w:t>生态环境现状调查与评价</w:t>
      </w:r>
    </w:p>
    <w:p w14:paraId="08499363">
      <w:pPr>
        <w:pStyle w:val="7"/>
        <w:spacing w:before="158"/>
        <w:ind w:left="940"/>
      </w:pPr>
      <w:r>
        <w:t>（</w:t>
      </w:r>
      <w:r>
        <w:rPr>
          <w:rFonts w:ascii="Times New Roman" w:eastAsia="Times New Roman"/>
        </w:rPr>
        <w:t>1</w:t>
      </w:r>
      <w:r>
        <w:t>）物种多样性</w:t>
      </w:r>
    </w:p>
    <w:p w14:paraId="6BEC7959">
      <w:pPr>
        <w:pStyle w:val="7"/>
        <w:spacing w:before="160" w:line="364" w:lineRule="auto"/>
        <w:ind w:left="460" w:right="477" w:firstLine="480"/>
        <w:jc w:val="both"/>
      </w:pPr>
      <w:r>
        <w:t>区内野生木本植物主要物种为杨树、柏木、油茶、马尾松、樟树、椿树、苦楝、化香、槐树、榆树、乌桕、麻栎、黄荆、马桑、檵木、火棘、盐肤木、鼠李、山胡 椒、山合欢、桅子花、冬青、构骨、杜荆、冬青、云实、女贞、黄檀、金樱子、小 果蔷薇、映山红、桔、桃、花椒、野桐、花竹等；草本植物主要有白茅、芒、蜈蚣 草、细柄草、野古草、黄背草、五节芒、香茅草、狗尾草、车前草、野菊花、狗牙 根、凤尾蕨、贯众、等；另外还有多种蕨类和藤本植物。物种均为常见种，丰度一般，其中香樟为国家Ⅱ级保护植物。经调查， 园区用地区及附近周边无古大树。区内农作物主要有红薯、豆类、白菜、萝卜等粮食作物和蔬菜类作物以及棉花、 茶树等经济作物。</w:t>
      </w:r>
    </w:p>
    <w:p w14:paraId="273E050E">
      <w:pPr>
        <w:pStyle w:val="7"/>
        <w:spacing w:line="364" w:lineRule="auto"/>
        <w:ind w:left="460" w:right="477" w:firstLine="480"/>
        <w:jc w:val="both"/>
      </w:pPr>
      <w:r>
        <w:t>区域内野生动物较少，主要有蛇、鼠、蛙、昆虫类及野兔、黄鼠狼、麻雀、八 哥等。家畜主要有猪、牛、羊、鸡、鸭、兔等。水生鱼类资源主要有草鱼、鲤鱼、 鲫鱼、鲭鱼、鲢鱼等，调查未发现野生的珍稀濒危动物种类。</w:t>
      </w:r>
    </w:p>
    <w:p w14:paraId="7660DB45">
      <w:pPr>
        <w:pStyle w:val="7"/>
        <w:spacing w:line="304" w:lineRule="exact"/>
        <w:ind w:left="940"/>
      </w:pPr>
      <w:r>
        <w:t>（</w:t>
      </w:r>
      <w:r>
        <w:rPr>
          <w:rFonts w:ascii="Times New Roman" w:eastAsia="Times New Roman"/>
        </w:rPr>
        <w:t>2</w:t>
      </w:r>
      <w:r>
        <w:t>）水土流失及土地保持现状</w:t>
      </w:r>
    </w:p>
    <w:p w14:paraId="45F509B5">
      <w:pPr>
        <w:pStyle w:val="7"/>
        <w:spacing w:before="157" w:line="364" w:lineRule="auto"/>
        <w:ind w:left="460" w:right="477" w:firstLine="480"/>
        <w:jc w:val="both"/>
      </w:pPr>
      <w:r>
        <w:t>评价区地貌现状主要为环胥家湖分布的农田和低矮丘陵地，沿新墙河两侧为相对较为开阔的农田及少量的坡耕旱地，主要为生产和生活用地；评价区的北部和东北部以工业和市区为主，地势相对较为开阔。</w:t>
      </w:r>
    </w:p>
    <w:p w14:paraId="5EDE5057">
      <w:pPr>
        <w:pStyle w:val="7"/>
        <w:spacing w:line="364" w:lineRule="auto"/>
        <w:ind w:left="460" w:right="477" w:firstLine="480"/>
        <w:jc w:val="both"/>
      </w:pPr>
      <w:r>
        <w:t>总体上，评价区以农田和低矮坡地为主，坡地植被以灌草地、人工林地、桔园为主，在坡面及坡耕地、沟道、道路施工地表开挖等地貌部位发生着不同形式的水土流失，主要有鳞片状面蚀、耕地面蚀、淋蚀等形式。本项目所在地地势开阔，主要为荒地。</w:t>
      </w:r>
    </w:p>
    <w:p w14:paraId="79EC07ED">
      <w:pPr>
        <w:spacing w:after="0" w:line="364" w:lineRule="auto"/>
        <w:jc w:val="both"/>
        <w:sectPr>
          <w:pgSz w:w="11910" w:h="16840"/>
          <w:pgMar w:top="1360" w:right="1320" w:bottom="1400" w:left="1340" w:header="878" w:footer="1204" w:gutter="0"/>
          <w:cols w:space="720" w:num="1"/>
        </w:sectPr>
      </w:pPr>
    </w:p>
    <w:p w14:paraId="3206B2AA">
      <w:pPr>
        <w:pStyle w:val="7"/>
        <w:spacing w:before="10"/>
        <w:rPr>
          <w:sz w:val="9"/>
        </w:rPr>
      </w:pPr>
    </w:p>
    <w:p w14:paraId="2ECB24A5">
      <w:pPr>
        <w:pStyle w:val="2"/>
        <w:ind w:left="3052" w:firstLine="0"/>
      </w:pPr>
      <w:bookmarkStart w:id="152" w:name="_bookmark25"/>
      <w:bookmarkEnd w:id="152"/>
      <w:bookmarkStart w:id="153" w:name="5环境影响预测与评价"/>
      <w:bookmarkEnd w:id="153"/>
      <w:r>
        <w:rPr>
          <w:rFonts w:ascii="Times New Roman" w:eastAsia="Times New Roman"/>
        </w:rPr>
        <w:t xml:space="preserve">5 </w:t>
      </w:r>
      <w:r>
        <w:t>环境影响预测与评价</w:t>
      </w:r>
    </w:p>
    <w:p w14:paraId="3709B9B7">
      <w:pPr>
        <w:pStyle w:val="7"/>
        <w:rPr>
          <w:b/>
          <w:sz w:val="26"/>
        </w:rPr>
      </w:pPr>
    </w:p>
    <w:p w14:paraId="6FA824F1">
      <w:pPr>
        <w:pStyle w:val="3"/>
        <w:numPr>
          <w:ilvl w:val="1"/>
          <w:numId w:val="19"/>
        </w:numPr>
        <w:tabs>
          <w:tab w:val="left" w:pos="868"/>
        </w:tabs>
        <w:spacing w:before="0" w:after="0" w:line="240" w:lineRule="auto"/>
        <w:ind w:left="868" w:right="0" w:hanging="408"/>
        <w:jc w:val="left"/>
        <w:rPr>
          <w:rFonts w:ascii="Times New Roman" w:eastAsia="Times New Roman"/>
        </w:rPr>
      </w:pPr>
      <w:bookmarkStart w:id="154" w:name="_bookmark26"/>
      <w:bookmarkEnd w:id="154"/>
      <w:bookmarkStart w:id="155" w:name="5.1施工期环境影响分析"/>
      <w:bookmarkEnd w:id="155"/>
      <w:bookmarkStart w:id="156" w:name="_bookmark26"/>
      <w:bookmarkEnd w:id="156"/>
      <w:r>
        <w:t>施工期环境影响分析</w:t>
      </w:r>
    </w:p>
    <w:p w14:paraId="1FEF8A49">
      <w:pPr>
        <w:pStyle w:val="7"/>
        <w:spacing w:before="186" w:line="362" w:lineRule="auto"/>
        <w:ind w:left="460" w:right="477" w:firstLine="480"/>
        <w:jc w:val="both"/>
      </w:pPr>
      <w:r>
        <w:t>项目在建设期间，各项施工活动不可避免的将会对周围的环境造成影响， 主要包括施工废气、机械噪声、固体废物、废水等对周围环境的影响，其中粉尘和施工噪声尤为明显。以下就这些污染及其对环境的影响加以分析。</w:t>
      </w:r>
    </w:p>
    <w:p w14:paraId="256FFFB8">
      <w:pPr>
        <w:pStyle w:val="6"/>
        <w:numPr>
          <w:ilvl w:val="2"/>
          <w:numId w:val="19"/>
        </w:numPr>
        <w:tabs>
          <w:tab w:val="left" w:pos="991"/>
        </w:tabs>
        <w:spacing w:before="6" w:after="0" w:line="240" w:lineRule="auto"/>
        <w:ind w:left="990" w:right="0" w:hanging="530"/>
        <w:jc w:val="left"/>
        <w:rPr>
          <w:rFonts w:ascii="Times New Roman" w:eastAsia="Times New Roman"/>
        </w:rPr>
      </w:pPr>
      <w:bookmarkStart w:id="157" w:name="5.1.1环境空气影响分析"/>
      <w:bookmarkEnd w:id="157"/>
      <w:bookmarkStart w:id="158" w:name="5.1.1环境空气影响分析"/>
      <w:bookmarkEnd w:id="158"/>
      <w:r>
        <w:t>环境空气影响分析</w:t>
      </w:r>
    </w:p>
    <w:p w14:paraId="68F3E995">
      <w:pPr>
        <w:pStyle w:val="7"/>
        <w:spacing w:before="160" w:line="362" w:lineRule="auto"/>
        <w:ind w:left="460" w:right="477" w:firstLine="480"/>
        <w:jc w:val="both"/>
      </w:pPr>
      <w:r>
        <w:t>施工过程中废气主要有施工机械所排放的废气和施工扬尘。其中施工机械废气一般对环境影响较小，施工过程的主要大气影响来自施工扬尘。</w:t>
      </w:r>
    </w:p>
    <w:p w14:paraId="560713CB">
      <w:pPr>
        <w:pStyle w:val="7"/>
        <w:spacing w:before="5"/>
        <w:ind w:left="940"/>
      </w:pPr>
      <w:r>
        <w:t>（</w:t>
      </w:r>
      <w:r>
        <w:rPr>
          <w:rFonts w:ascii="Times New Roman" w:eastAsia="Times New Roman"/>
        </w:rPr>
        <w:t>1</w:t>
      </w:r>
      <w:r>
        <w:t>）汽车行驶扬尘</w:t>
      </w:r>
    </w:p>
    <w:p w14:paraId="142E991B">
      <w:pPr>
        <w:pStyle w:val="7"/>
        <w:spacing w:before="158" w:line="364" w:lineRule="auto"/>
        <w:ind w:left="460" w:right="477" w:firstLine="480"/>
        <w:jc w:val="both"/>
      </w:pPr>
      <w:r>
        <w:t xml:space="preserve">施工过程对区域大气环境的影响主要是扬尘污染，污染因子为 </w:t>
      </w:r>
      <w:r>
        <w:rPr>
          <w:rFonts w:ascii="Times New Roman" w:eastAsia="Times New Roman"/>
        </w:rPr>
        <w:t>TSP</w:t>
      </w:r>
      <w:r>
        <w:t>。按起尘的原因可分为动力起尘和风力起尘。其中动力起尘主要是建材的装卸的过程中，由于外力使产生的尘粒再悬浮而造成；风力起尘主要是由于露天堆放的建材（如黄沙、水泥等）及裸露的施工区表层浮尘由于天气干燥及大风，产生风力扬尘。</w:t>
      </w:r>
    </w:p>
    <w:p w14:paraId="64109B6D">
      <w:pPr>
        <w:pStyle w:val="7"/>
        <w:spacing w:line="364" w:lineRule="auto"/>
        <w:ind w:left="460" w:right="477" w:firstLine="480"/>
        <w:jc w:val="both"/>
      </w:pPr>
      <w:r>
        <w:t xml:space="preserve">据有关调查显示，施工工地的扬尘主要是由运输车辆的行驶产生，约占扬尘总量的 </w:t>
      </w:r>
      <w:r>
        <w:rPr>
          <w:rFonts w:ascii="Times New Roman" w:eastAsia="Times New Roman"/>
        </w:rPr>
        <w:t>60%</w:t>
      </w:r>
      <w:r>
        <w:t>，并与道路路面及车辆行驶速度有关，在完全干燥情况下，可按下列经验公式计算：</w:t>
      </w:r>
    </w:p>
    <w:p w14:paraId="42941F2B">
      <w:pPr>
        <w:pStyle w:val="7"/>
        <w:spacing w:before="7"/>
        <w:rPr>
          <w:sz w:val="13"/>
        </w:rPr>
      </w:pPr>
    </w:p>
    <w:p w14:paraId="173A52A8">
      <w:pPr>
        <w:spacing w:after="0"/>
        <w:rPr>
          <w:sz w:val="13"/>
        </w:rPr>
        <w:sectPr>
          <w:pgSz w:w="11910" w:h="16840"/>
          <w:pgMar w:top="1360" w:right="1320" w:bottom="1400" w:left="1340" w:header="878" w:footer="1204" w:gutter="0"/>
          <w:cols w:space="720" w:num="1"/>
        </w:sectPr>
      </w:pPr>
    </w:p>
    <w:p w14:paraId="791DB33E">
      <w:pPr>
        <w:spacing w:before="141" w:line="137" w:lineRule="exact"/>
        <w:ind w:left="0" w:right="0" w:firstLine="0"/>
        <w:jc w:val="right"/>
        <w:rPr>
          <w:rFonts w:ascii="Times New Roman" w:hAnsi="Times New Roman"/>
          <w:i/>
          <w:sz w:val="24"/>
        </w:rPr>
      </w:pPr>
      <w:r>
        <w:rPr>
          <w:rFonts w:ascii="Symbol" w:hAnsi="Symbol"/>
          <w:sz w:val="24"/>
        </w:rPr>
        <w:t></w:t>
      </w:r>
      <w:r>
        <w:rPr>
          <w:rFonts w:ascii="Times New Roman" w:hAnsi="Times New Roman"/>
          <w:sz w:val="24"/>
        </w:rPr>
        <w:t xml:space="preserve"> </w:t>
      </w:r>
      <w:r>
        <w:rPr>
          <w:rFonts w:ascii="Times New Roman" w:hAnsi="Times New Roman"/>
          <w:i/>
          <w:position w:val="2"/>
          <w:sz w:val="24"/>
        </w:rPr>
        <w:t xml:space="preserve">v </w:t>
      </w:r>
      <w:r>
        <w:rPr>
          <w:rFonts w:ascii="Symbol" w:hAnsi="Symbol"/>
          <w:sz w:val="24"/>
        </w:rPr>
        <w:t></w:t>
      </w:r>
      <w:r>
        <w:rPr>
          <w:rFonts w:ascii="Times New Roman" w:hAnsi="Times New Roman"/>
          <w:sz w:val="24"/>
        </w:rPr>
        <w:t xml:space="preserve"> </w:t>
      </w:r>
      <w:r>
        <w:rPr>
          <w:rFonts w:ascii="Times New Roman" w:hAnsi="Times New Roman"/>
          <w:i/>
          <w:position w:val="2"/>
          <w:sz w:val="24"/>
        </w:rPr>
        <w:t>W</w:t>
      </w:r>
    </w:p>
    <w:p w14:paraId="6376FFBE">
      <w:pPr>
        <w:spacing w:before="154" w:line="60" w:lineRule="auto"/>
        <w:ind w:left="75" w:right="0" w:firstLine="0"/>
        <w:jc w:val="left"/>
        <w:rPr>
          <w:rFonts w:ascii="Symbol" w:hAnsi="Symbol"/>
          <w:sz w:val="24"/>
        </w:rPr>
      </w:pPr>
      <w:r>
        <w:br w:type="column"/>
      </w:r>
      <w:r>
        <w:rPr>
          <w:rFonts w:ascii="Symbol" w:hAnsi="Symbol"/>
          <w:position w:val="-15"/>
          <w:sz w:val="24"/>
        </w:rPr>
        <w:t></w:t>
      </w:r>
      <w:r>
        <w:rPr>
          <w:rFonts w:ascii="Times New Roman" w:hAnsi="Times New Roman"/>
          <w:sz w:val="14"/>
        </w:rPr>
        <w:t xml:space="preserve">0.85 </w:t>
      </w:r>
      <w:r>
        <w:rPr>
          <w:rFonts w:ascii="Symbol" w:hAnsi="Symbol"/>
          <w:position w:val="-15"/>
          <w:sz w:val="24"/>
        </w:rPr>
        <w:t></w:t>
      </w:r>
    </w:p>
    <w:p w14:paraId="3C37A54F">
      <w:pPr>
        <w:spacing w:before="154" w:line="60" w:lineRule="auto"/>
        <w:ind w:left="81" w:right="0" w:firstLine="0"/>
        <w:jc w:val="left"/>
        <w:rPr>
          <w:rFonts w:ascii="Times New Roman" w:hAnsi="Times New Roman"/>
          <w:sz w:val="14"/>
        </w:rPr>
      </w:pPr>
      <w:r>
        <w:br w:type="column"/>
      </w:r>
      <w:r>
        <w:rPr>
          <w:rFonts w:ascii="Times New Roman" w:hAnsi="Times New Roman"/>
          <w:i/>
          <w:position w:val="-13"/>
          <w:sz w:val="24"/>
        </w:rPr>
        <w:t>P</w:t>
      </w:r>
      <w:r>
        <w:rPr>
          <w:rFonts w:ascii="Times New Roman" w:hAnsi="Times New Roman"/>
          <w:i/>
          <w:spacing w:val="50"/>
          <w:position w:val="-13"/>
          <w:sz w:val="24"/>
        </w:rPr>
        <w:t xml:space="preserve"> </w:t>
      </w:r>
      <w:r>
        <w:rPr>
          <w:rFonts w:ascii="Symbol" w:hAnsi="Symbol"/>
          <w:spacing w:val="1"/>
          <w:position w:val="-15"/>
          <w:sz w:val="24"/>
        </w:rPr>
        <w:t></w:t>
      </w:r>
      <w:r>
        <w:rPr>
          <w:rFonts w:ascii="Times New Roman" w:hAnsi="Times New Roman"/>
          <w:spacing w:val="1"/>
          <w:sz w:val="14"/>
        </w:rPr>
        <w:t>0.75</w:t>
      </w:r>
    </w:p>
    <w:p w14:paraId="100A7A0E">
      <w:pPr>
        <w:spacing w:after="0" w:line="60" w:lineRule="auto"/>
        <w:jc w:val="left"/>
        <w:rPr>
          <w:rFonts w:ascii="Times New Roman" w:hAnsi="Times New Roman"/>
          <w:sz w:val="14"/>
        </w:rPr>
        <w:sectPr>
          <w:type w:val="continuous"/>
          <w:pgSz w:w="11910" w:h="16840"/>
          <w:pgMar w:top="1580" w:right="1320" w:bottom="280" w:left="1340" w:header="720" w:footer="720" w:gutter="0"/>
          <w:cols w:equalWidth="0" w:num="3">
            <w:col w:w="4795" w:space="40"/>
            <w:col w:w="548" w:space="39"/>
            <w:col w:w="3828"/>
          </w:cols>
        </w:sectPr>
      </w:pPr>
    </w:p>
    <w:p w14:paraId="6C1871AD">
      <w:pPr>
        <w:pStyle w:val="7"/>
        <w:tabs>
          <w:tab w:val="left" w:pos="1805"/>
          <w:tab w:val="left" w:pos="2186"/>
          <w:tab w:val="left" w:pos="2656"/>
        </w:tabs>
        <w:spacing w:line="212" w:lineRule="exact"/>
        <w:ind w:right="286"/>
        <w:jc w:val="center"/>
        <w:rPr>
          <w:rFonts w:ascii="Symbol" w:hAnsi="Symbol"/>
        </w:rPr>
      </w:pPr>
      <w:r>
        <w:pict>
          <v:line id="_x0000_s1383" o:spid="_x0000_s1383" o:spt="20" style="position:absolute;left:0pt;margin-left:276.3pt;margin-top:8.9pt;height:0pt;width:6.65pt;mso-position-horizontal-relative:page;z-index:-251650048;mso-width-relative:page;mso-height-relative:page;" stroked="t" coordsize="21600,21600">
            <v:path arrowok="t"/>
            <v:fill focussize="0,0"/>
            <v:stroke weight="0.497007874015748pt" color="#000000"/>
            <v:imagedata o:title=""/>
            <o:lock v:ext="edit"/>
          </v:line>
        </w:pict>
      </w:r>
      <w:r>
        <w:pict>
          <v:line id="_x0000_s1384" o:spid="_x0000_s1384" o:spt="20" style="position:absolute;left:0pt;margin-left:295.15pt;margin-top:8.9pt;height:0pt;width:15.8pt;mso-position-horizontal-relative:page;z-index:-251650048;mso-width-relative:page;mso-height-relative:page;" stroked="t" coordsize="21600,21600">
            <v:path arrowok="t"/>
            <v:fill focussize="0,0"/>
            <v:stroke weight="0.497007874015748pt" color="#000000"/>
            <v:imagedata o:title=""/>
            <o:lock v:ext="edit"/>
          </v:line>
        </w:pict>
      </w:r>
      <w:r>
        <w:pict>
          <v:line id="_x0000_s1385" o:spid="_x0000_s1385" o:spt="20" style="position:absolute;left:0pt;margin-left:337.7pt;margin-top:8.9pt;height:0pt;width:15.8pt;mso-position-horizontal-relative:page;z-index:-251650048;mso-width-relative:page;mso-height-relative:page;" stroked="t" coordsize="21600,21600">
            <v:path arrowok="t"/>
            <v:fill focussize="0,0"/>
            <v:stroke weight="0.497007874015748pt" color="#000000"/>
            <v:imagedata o:title=""/>
            <o:lock v:ext="edit"/>
          </v:line>
        </w:pict>
      </w:r>
      <w:r>
        <w:rPr>
          <w:rFonts w:ascii="Times New Roman" w:hAnsi="Times New Roman"/>
          <w:i/>
          <w:position w:val="2"/>
        </w:rPr>
        <w:t xml:space="preserve">Q </w:t>
      </w:r>
      <w:r>
        <w:rPr>
          <w:rFonts w:ascii="Symbol" w:hAnsi="Symbol"/>
          <w:position w:val="2"/>
        </w:rPr>
        <w:t></w:t>
      </w:r>
      <w:r>
        <w:rPr>
          <w:rFonts w:ascii="Times New Roman" w:hAnsi="Times New Roman"/>
          <w:spacing w:val="0"/>
          <w:position w:val="2"/>
        </w:rPr>
        <w:t xml:space="preserve"> </w:t>
      </w:r>
      <w:r>
        <w:rPr>
          <w:rFonts w:ascii="Times New Roman" w:hAnsi="Times New Roman"/>
          <w:position w:val="2"/>
        </w:rPr>
        <w:t>0.123</w:t>
      </w:r>
      <w:r>
        <w:rPr>
          <w:rFonts w:ascii="Symbol" w:hAnsi="Symbol"/>
        </w:rPr>
        <w:t></w:t>
      </w:r>
      <w:r>
        <w:rPr>
          <w:rFonts w:ascii="Times New Roman" w:hAnsi="Times New Roman"/>
        </w:rPr>
        <w:t xml:space="preserve">  </w:t>
      </w:r>
      <w:r>
        <w:rPr>
          <w:rFonts w:ascii="Times New Roman" w:hAnsi="Times New Roman"/>
          <w:spacing w:val="5"/>
        </w:rPr>
        <w:t xml:space="preserve"> </w:t>
      </w:r>
      <w:r>
        <w:rPr>
          <w:rFonts w:ascii="Symbol" w:hAnsi="Symbol"/>
        </w:rPr>
        <w:t></w:t>
      </w:r>
      <w:r>
        <w:rPr>
          <w:rFonts w:ascii="Times New Roman" w:hAnsi="Times New Roman"/>
        </w:rPr>
        <w:tab/>
      </w:r>
      <w:r>
        <w:rPr>
          <w:rFonts w:ascii="Symbol" w:hAnsi="Symbol"/>
        </w:rPr>
        <w:t></w:t>
      </w:r>
      <w:r>
        <w:rPr>
          <w:rFonts w:ascii="Times New Roman" w:hAnsi="Times New Roman"/>
        </w:rPr>
        <w:tab/>
      </w:r>
      <w:r>
        <w:rPr>
          <w:rFonts w:ascii="Symbol" w:hAnsi="Symbol"/>
        </w:rPr>
        <w:t></w:t>
      </w:r>
      <w:r>
        <w:rPr>
          <w:rFonts w:ascii="Times New Roman" w:hAnsi="Times New Roman"/>
        </w:rPr>
        <w:tab/>
      </w:r>
      <w:r>
        <w:rPr>
          <w:rFonts w:ascii="Symbol" w:hAnsi="Symbol"/>
        </w:rPr>
        <w:t></w:t>
      </w:r>
    </w:p>
    <w:p w14:paraId="6A925297">
      <w:pPr>
        <w:pStyle w:val="7"/>
        <w:tabs>
          <w:tab w:val="left" w:pos="1897"/>
        </w:tabs>
        <w:spacing w:line="295" w:lineRule="exact"/>
        <w:ind w:left="669"/>
        <w:jc w:val="center"/>
        <w:rPr>
          <w:rFonts w:ascii="Symbol" w:hAnsi="Symbol"/>
        </w:rPr>
      </w:pPr>
      <w:r>
        <w:rPr>
          <w:rFonts w:ascii="Symbol" w:hAnsi="Symbol"/>
          <w:position w:val="-2"/>
        </w:rPr>
        <w:t></w:t>
      </w:r>
      <w:r>
        <w:rPr>
          <w:rFonts w:ascii="Times New Roman" w:hAnsi="Times New Roman"/>
          <w:spacing w:val="-22"/>
          <w:position w:val="-2"/>
        </w:rPr>
        <w:t xml:space="preserve"> </w:t>
      </w:r>
      <w:r>
        <w:rPr>
          <w:rFonts w:ascii="Times New Roman" w:hAnsi="Times New Roman"/>
        </w:rPr>
        <w:t>5</w:t>
      </w:r>
      <w:r>
        <w:rPr>
          <w:rFonts w:ascii="Times New Roman" w:hAnsi="Times New Roman"/>
          <w:spacing w:val="-26"/>
        </w:rPr>
        <w:t xml:space="preserve"> </w:t>
      </w:r>
      <w:r>
        <w:rPr>
          <w:rFonts w:ascii="Symbol" w:hAnsi="Symbol"/>
          <w:position w:val="-2"/>
        </w:rPr>
        <w:t></w:t>
      </w:r>
      <w:r>
        <w:rPr>
          <w:rFonts w:ascii="Times New Roman" w:hAnsi="Times New Roman"/>
          <w:spacing w:val="-18"/>
          <w:position w:val="-2"/>
        </w:rPr>
        <w:t xml:space="preserve"> </w:t>
      </w:r>
      <w:r>
        <w:rPr>
          <w:rFonts w:ascii="Times New Roman" w:hAnsi="Times New Roman"/>
        </w:rPr>
        <w:t>6.8</w:t>
      </w:r>
      <w:r>
        <w:rPr>
          <w:rFonts w:ascii="Times New Roman" w:hAnsi="Times New Roman"/>
          <w:spacing w:val="-26"/>
        </w:rPr>
        <w:t xml:space="preserve"> </w:t>
      </w:r>
      <w:r>
        <w:rPr>
          <w:rFonts w:ascii="Symbol" w:hAnsi="Symbol"/>
          <w:position w:val="-2"/>
        </w:rPr>
        <w:t></w:t>
      </w:r>
      <w:r>
        <w:rPr>
          <w:rFonts w:ascii="Times New Roman" w:hAnsi="Times New Roman"/>
          <w:position w:val="-2"/>
        </w:rPr>
        <w:tab/>
      </w:r>
      <w:r>
        <w:rPr>
          <w:rFonts w:ascii="Symbol" w:hAnsi="Symbol"/>
          <w:position w:val="-2"/>
        </w:rPr>
        <w:t></w:t>
      </w:r>
      <w:r>
        <w:rPr>
          <w:rFonts w:ascii="Times New Roman" w:hAnsi="Times New Roman"/>
          <w:position w:val="-2"/>
        </w:rPr>
        <w:t xml:space="preserve"> </w:t>
      </w:r>
      <w:r>
        <w:rPr>
          <w:rFonts w:ascii="Times New Roman" w:hAnsi="Times New Roman"/>
        </w:rPr>
        <w:t>0.5</w:t>
      </w:r>
      <w:r>
        <w:rPr>
          <w:rFonts w:ascii="Times New Roman" w:hAnsi="Times New Roman"/>
          <w:spacing w:val="-45"/>
        </w:rPr>
        <w:t xml:space="preserve"> </w:t>
      </w:r>
      <w:r>
        <w:rPr>
          <w:rFonts w:ascii="Symbol" w:hAnsi="Symbol"/>
          <w:position w:val="-2"/>
        </w:rPr>
        <w:t></w:t>
      </w:r>
    </w:p>
    <w:p w14:paraId="3A396E88">
      <w:pPr>
        <w:pStyle w:val="7"/>
        <w:spacing w:before="8"/>
        <w:rPr>
          <w:rFonts w:ascii="Symbol" w:hAnsi="Symbol"/>
          <w:sz w:val="25"/>
        </w:rPr>
      </w:pPr>
    </w:p>
    <w:p w14:paraId="5CAA4BE5">
      <w:pPr>
        <w:pStyle w:val="7"/>
        <w:spacing w:before="74"/>
        <w:ind w:left="940"/>
      </w:pPr>
      <w:r>
        <w:t>式中：</w:t>
      </w:r>
      <w:r>
        <w:rPr>
          <w:rFonts w:ascii="Times New Roman" w:hAnsi="Times New Roman" w:eastAsia="Times New Roman"/>
        </w:rPr>
        <w:t>Q——</w:t>
      </w:r>
      <w:r>
        <w:t>汽车行驶的扬尘，</w:t>
      </w:r>
      <w:r>
        <w:rPr>
          <w:rFonts w:ascii="Times New Roman" w:hAnsi="Times New Roman" w:eastAsia="Times New Roman"/>
        </w:rPr>
        <w:t>kg/km·</w:t>
      </w:r>
      <w:r>
        <w:t>辆；</w:t>
      </w:r>
    </w:p>
    <w:p w14:paraId="408976FE">
      <w:pPr>
        <w:pStyle w:val="7"/>
        <w:spacing w:before="161"/>
        <w:ind w:left="1660"/>
      </w:pPr>
      <w:r>
        <w:rPr>
          <w:rFonts w:ascii="Times New Roman" w:hAnsi="Times New Roman" w:eastAsia="Times New Roman"/>
        </w:rPr>
        <w:t>V——</w:t>
      </w:r>
      <w:r>
        <w:t>汽车速度，</w:t>
      </w:r>
      <w:r>
        <w:rPr>
          <w:rFonts w:ascii="Times New Roman" w:hAnsi="Times New Roman" w:eastAsia="Times New Roman"/>
        </w:rPr>
        <w:t>km/h</w:t>
      </w:r>
      <w:r>
        <w:t>；</w:t>
      </w:r>
    </w:p>
    <w:p w14:paraId="4C7B428F">
      <w:pPr>
        <w:pStyle w:val="7"/>
        <w:spacing w:before="158"/>
        <w:ind w:left="1660"/>
      </w:pPr>
      <w:r>
        <w:rPr>
          <w:rFonts w:ascii="Times New Roman" w:hAnsi="Times New Roman" w:eastAsia="Times New Roman"/>
        </w:rPr>
        <w:t>W——</w:t>
      </w:r>
      <w:r>
        <w:t>汽车载重量，</w:t>
      </w:r>
      <w:r>
        <w:rPr>
          <w:rFonts w:ascii="Times New Roman" w:hAnsi="Times New Roman" w:eastAsia="Times New Roman"/>
        </w:rPr>
        <w:t>t</w:t>
      </w:r>
      <w:r>
        <w:t>；</w:t>
      </w:r>
    </w:p>
    <w:p w14:paraId="6D7F708D">
      <w:pPr>
        <w:pStyle w:val="7"/>
        <w:spacing w:before="160"/>
        <w:ind w:left="1660"/>
      </w:pPr>
      <w:r>
        <w:rPr>
          <w:rFonts w:ascii="Times New Roman" w:hAnsi="Times New Roman" w:eastAsia="Times New Roman"/>
        </w:rPr>
        <w:t>P——</w:t>
      </w:r>
      <w:r>
        <w:t>道路表面粉尘量，</w:t>
      </w:r>
      <w:r>
        <w:rPr>
          <w:rFonts w:ascii="Times New Roman" w:hAnsi="Times New Roman" w:eastAsia="Times New Roman"/>
        </w:rPr>
        <w:t>kg/m</w:t>
      </w:r>
      <w:r>
        <w:rPr>
          <w:rFonts w:ascii="Times New Roman" w:hAnsi="Times New Roman" w:eastAsia="Times New Roman"/>
          <w:position w:val="8"/>
          <w:sz w:val="15"/>
        </w:rPr>
        <w:t>2</w:t>
      </w:r>
      <w:r>
        <w:t>。</w:t>
      </w:r>
    </w:p>
    <w:p w14:paraId="6BBB5596">
      <w:pPr>
        <w:pStyle w:val="7"/>
        <w:spacing w:before="158" w:line="364" w:lineRule="auto"/>
        <w:ind w:left="460" w:right="477" w:firstLine="480"/>
        <w:jc w:val="both"/>
      </w:pPr>
      <w:r>
        <w:t xml:space="preserve">表 </w:t>
      </w:r>
      <w:r>
        <w:rPr>
          <w:rFonts w:ascii="Times New Roman" w:eastAsia="Times New Roman"/>
        </w:rPr>
        <w:t xml:space="preserve">0- 1 </w:t>
      </w:r>
      <w:r>
        <w:t xml:space="preserve">为一辆载重 </w:t>
      </w:r>
      <w:r>
        <w:rPr>
          <w:rFonts w:ascii="Times New Roman" w:eastAsia="Times New Roman"/>
        </w:rPr>
        <w:t xml:space="preserve">5 </w:t>
      </w:r>
      <w:r>
        <w:t xml:space="preserve">吨的卡车，通过一段长度为 </w:t>
      </w:r>
      <w:r>
        <w:rPr>
          <w:rFonts w:ascii="Times New Roman" w:eastAsia="Times New Roman"/>
        </w:rPr>
        <w:t xml:space="preserve">500m </w:t>
      </w:r>
      <w:r>
        <w:t>的路面时，不同路面清洁程度、不同行驶速度情况下产生的扬尘量。由此可见，在同样路面清洁情况下，车速越快，扬尘量越大；而在同样车速情况下，路面清洁度越差，则扬尘量越大。</w:t>
      </w:r>
    </w:p>
    <w:p w14:paraId="582BA9BB">
      <w:pPr>
        <w:spacing w:after="0" w:line="364" w:lineRule="auto"/>
        <w:jc w:val="both"/>
        <w:sectPr>
          <w:type w:val="continuous"/>
          <w:pgSz w:w="11910" w:h="16840"/>
          <w:pgMar w:top="1580" w:right="1320" w:bottom="280" w:left="1340" w:header="720" w:footer="720" w:gutter="0"/>
          <w:cols w:space="720" w:num="1"/>
        </w:sectPr>
      </w:pPr>
    </w:p>
    <w:p w14:paraId="0B83115E">
      <w:pPr>
        <w:spacing w:before="67" w:after="3"/>
        <w:ind w:left="1643" w:right="0" w:firstLine="0"/>
        <w:jc w:val="left"/>
        <w:rPr>
          <w:b/>
          <w:sz w:val="21"/>
        </w:rPr>
      </w:pPr>
      <w:r>
        <w:pict>
          <v:shape id="_x0000_s1386" o:spid="_x0000_s1386" style="position:absolute;left:0pt;margin-left:90.6pt;margin-top:16.45pt;height:34.5pt;width:59.25pt;mso-position-horizontal-relative:page;z-index:-251649024;mso-width-relative:page;mso-height-relative:page;" fillcolor="#000000" filled="t" stroked="f" coordorigin="1812,330" coordsize="1185,690" path="m2989,1020l1812,343,1820,330,2997,1007,2989,1020xe">
            <v:path arrowok="t"/>
            <v:fill on="t" focussize="0,0"/>
            <v:stroke on="f"/>
            <v:imagedata o:title=""/>
            <o:lock v:ext="edit"/>
          </v:shape>
        </w:pict>
      </w:r>
      <w:r>
        <w:rPr>
          <w:b/>
          <w:sz w:val="21"/>
        </w:rPr>
        <w:t xml:space="preserve">表 </w:t>
      </w:r>
      <w:r>
        <w:rPr>
          <w:rFonts w:ascii="Times New Roman" w:hAnsi="Times New Roman" w:eastAsia="Times New Roman"/>
          <w:b/>
          <w:sz w:val="21"/>
        </w:rPr>
        <w:t xml:space="preserve">0- 1 </w:t>
      </w:r>
      <w:r>
        <w:rPr>
          <w:b/>
          <w:sz w:val="21"/>
        </w:rPr>
        <w:t>同车速和地面清洁程度时的汽车扬尘 （单位：</w:t>
      </w:r>
      <w:r>
        <w:rPr>
          <w:rFonts w:ascii="Times New Roman" w:hAnsi="Times New Roman" w:eastAsia="Times New Roman"/>
          <w:b/>
          <w:sz w:val="21"/>
        </w:rPr>
        <w:t>kg/</w:t>
      </w:r>
      <w:r>
        <w:rPr>
          <w:b/>
          <w:sz w:val="21"/>
        </w:rPr>
        <w:t>辆</w:t>
      </w:r>
      <w:r>
        <w:rPr>
          <w:rFonts w:ascii="Times New Roman" w:hAnsi="Times New Roman" w:eastAsia="Times New Roman"/>
          <w:b/>
          <w:sz w:val="21"/>
        </w:rPr>
        <w:t>·</w:t>
      </w:r>
      <w:r>
        <w:rPr>
          <w:b/>
          <w:sz w:val="21"/>
        </w:rPr>
        <w:t>公里）</w:t>
      </w:r>
    </w:p>
    <w:tbl>
      <w:tblPr>
        <w:tblStyle w:val="10"/>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186"/>
        <w:gridCol w:w="1189"/>
        <w:gridCol w:w="1189"/>
        <w:gridCol w:w="1189"/>
        <w:gridCol w:w="1186"/>
        <w:gridCol w:w="1189"/>
      </w:tblGrid>
      <w:tr w14:paraId="62516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1188" w:type="dxa"/>
          </w:tcPr>
          <w:p w14:paraId="37618AF8">
            <w:pPr>
              <w:pStyle w:val="14"/>
              <w:spacing w:before="77"/>
              <w:ind w:left="743"/>
              <w:rPr>
                <w:rFonts w:ascii="Times New Roman"/>
                <w:b/>
                <w:sz w:val="21"/>
              </w:rPr>
            </w:pPr>
            <w:r>
              <w:rPr>
                <w:rFonts w:ascii="Times New Roman"/>
                <w:b/>
                <w:w w:val="99"/>
                <w:sz w:val="21"/>
              </w:rPr>
              <w:t>P</w:t>
            </w:r>
          </w:p>
          <w:p w14:paraId="789CF7F1">
            <w:pPr>
              <w:pStyle w:val="14"/>
              <w:spacing w:before="45" w:line="252" w:lineRule="exact"/>
              <w:ind w:left="4"/>
              <w:rPr>
                <w:b/>
                <w:sz w:val="21"/>
              </w:rPr>
            </w:pPr>
            <w:r>
              <w:rPr>
                <w:b/>
                <w:sz w:val="21"/>
              </w:rPr>
              <w:t>车速</w:t>
            </w:r>
          </w:p>
        </w:tc>
        <w:tc>
          <w:tcPr>
            <w:tcW w:w="1186" w:type="dxa"/>
          </w:tcPr>
          <w:p w14:paraId="60A56AA4">
            <w:pPr>
              <w:pStyle w:val="14"/>
              <w:spacing w:before="77"/>
              <w:ind w:left="99" w:right="91"/>
              <w:jc w:val="center"/>
              <w:rPr>
                <w:rFonts w:ascii="Times New Roman"/>
                <w:b/>
                <w:sz w:val="21"/>
              </w:rPr>
            </w:pPr>
            <w:r>
              <w:rPr>
                <w:rFonts w:ascii="Times New Roman"/>
                <w:b/>
                <w:sz w:val="21"/>
              </w:rPr>
              <w:t>0.1</w:t>
            </w:r>
          </w:p>
          <w:p w14:paraId="4D68C84B">
            <w:pPr>
              <w:pStyle w:val="14"/>
              <w:spacing w:before="47" w:line="250" w:lineRule="exact"/>
              <w:ind w:left="98" w:right="94"/>
              <w:jc w:val="center"/>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9" w:type="dxa"/>
          </w:tcPr>
          <w:p w14:paraId="5F2538C8">
            <w:pPr>
              <w:pStyle w:val="14"/>
              <w:spacing w:before="77"/>
              <w:ind w:left="101" w:right="92"/>
              <w:jc w:val="center"/>
              <w:rPr>
                <w:rFonts w:ascii="Times New Roman"/>
                <w:b/>
                <w:sz w:val="21"/>
              </w:rPr>
            </w:pPr>
            <w:r>
              <w:rPr>
                <w:rFonts w:ascii="Times New Roman"/>
                <w:b/>
                <w:sz w:val="21"/>
              </w:rPr>
              <w:t>0.2</w:t>
            </w:r>
          </w:p>
          <w:p w14:paraId="56E7B5ED">
            <w:pPr>
              <w:pStyle w:val="14"/>
              <w:spacing w:before="47" w:line="250" w:lineRule="exact"/>
              <w:ind w:left="100" w:right="95"/>
              <w:jc w:val="center"/>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9" w:type="dxa"/>
          </w:tcPr>
          <w:p w14:paraId="5CEC6D4F">
            <w:pPr>
              <w:pStyle w:val="14"/>
              <w:spacing w:before="77"/>
              <w:ind w:left="101" w:right="94"/>
              <w:jc w:val="center"/>
              <w:rPr>
                <w:rFonts w:ascii="Times New Roman"/>
                <w:b/>
                <w:sz w:val="21"/>
              </w:rPr>
            </w:pPr>
            <w:r>
              <w:rPr>
                <w:rFonts w:ascii="Times New Roman"/>
                <w:b/>
                <w:sz w:val="21"/>
              </w:rPr>
              <w:t>0.3</w:t>
            </w:r>
          </w:p>
          <w:p w14:paraId="30A15808">
            <w:pPr>
              <w:pStyle w:val="14"/>
              <w:spacing w:before="47" w:line="250" w:lineRule="exact"/>
              <w:ind w:left="101" w:right="95"/>
              <w:jc w:val="center"/>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9" w:type="dxa"/>
          </w:tcPr>
          <w:p w14:paraId="121DF391">
            <w:pPr>
              <w:pStyle w:val="14"/>
              <w:spacing w:before="77"/>
              <w:ind w:left="101" w:right="91"/>
              <w:jc w:val="center"/>
              <w:rPr>
                <w:rFonts w:ascii="Times New Roman"/>
                <w:b/>
                <w:sz w:val="21"/>
              </w:rPr>
            </w:pPr>
            <w:r>
              <w:rPr>
                <w:rFonts w:ascii="Times New Roman"/>
                <w:b/>
                <w:sz w:val="21"/>
              </w:rPr>
              <w:t>0.4</w:t>
            </w:r>
          </w:p>
          <w:p w14:paraId="775F6372">
            <w:pPr>
              <w:pStyle w:val="14"/>
              <w:spacing w:before="47" w:line="250" w:lineRule="exact"/>
              <w:ind w:left="101" w:right="95"/>
              <w:jc w:val="center"/>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6" w:type="dxa"/>
          </w:tcPr>
          <w:p w14:paraId="32DAB68F">
            <w:pPr>
              <w:pStyle w:val="14"/>
              <w:spacing w:before="77"/>
              <w:ind w:left="99" w:right="93"/>
              <w:jc w:val="center"/>
              <w:rPr>
                <w:rFonts w:ascii="Times New Roman"/>
                <w:b/>
                <w:sz w:val="21"/>
              </w:rPr>
            </w:pPr>
            <w:r>
              <w:rPr>
                <w:rFonts w:ascii="Times New Roman"/>
                <w:b/>
                <w:sz w:val="21"/>
              </w:rPr>
              <w:t>0.5</w:t>
            </w:r>
          </w:p>
          <w:p w14:paraId="6D7C7159">
            <w:pPr>
              <w:pStyle w:val="14"/>
              <w:spacing w:before="47" w:line="250" w:lineRule="exact"/>
              <w:ind w:left="99" w:right="94"/>
              <w:jc w:val="center"/>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c>
          <w:tcPr>
            <w:tcW w:w="1189" w:type="dxa"/>
          </w:tcPr>
          <w:p w14:paraId="5A81226D">
            <w:pPr>
              <w:pStyle w:val="14"/>
              <w:spacing w:before="77"/>
              <w:ind w:left="101" w:right="94"/>
              <w:jc w:val="center"/>
              <w:rPr>
                <w:rFonts w:ascii="Times New Roman"/>
                <w:b/>
                <w:sz w:val="21"/>
              </w:rPr>
            </w:pPr>
            <w:r>
              <w:rPr>
                <w:rFonts w:ascii="Times New Roman"/>
                <w:b/>
                <w:sz w:val="21"/>
              </w:rPr>
              <w:t>1.0</w:t>
            </w:r>
          </w:p>
          <w:p w14:paraId="1E35DB93">
            <w:pPr>
              <w:pStyle w:val="14"/>
              <w:spacing w:before="47" w:line="250" w:lineRule="exact"/>
              <w:ind w:left="101" w:right="95"/>
              <w:jc w:val="center"/>
              <w:rPr>
                <w:b/>
                <w:sz w:val="21"/>
              </w:rPr>
            </w:pPr>
            <w:r>
              <w:rPr>
                <w:b/>
                <w:sz w:val="21"/>
              </w:rPr>
              <w:t>（</w:t>
            </w:r>
            <w:r>
              <w:rPr>
                <w:rFonts w:ascii="Times New Roman" w:eastAsia="Times New Roman"/>
                <w:b/>
                <w:sz w:val="21"/>
              </w:rPr>
              <w:t>kg/m</w:t>
            </w:r>
            <w:r>
              <w:rPr>
                <w:rFonts w:ascii="Times New Roman" w:eastAsia="Times New Roman"/>
                <w:b/>
                <w:position w:val="7"/>
                <w:sz w:val="13"/>
              </w:rPr>
              <w:t>2</w:t>
            </w:r>
            <w:r>
              <w:rPr>
                <w:b/>
                <w:sz w:val="21"/>
              </w:rPr>
              <w:t>）</w:t>
            </w:r>
          </w:p>
        </w:tc>
      </w:tr>
      <w:tr w14:paraId="6E133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88" w:type="dxa"/>
          </w:tcPr>
          <w:p w14:paraId="5B8A0501">
            <w:pPr>
              <w:pStyle w:val="14"/>
              <w:spacing w:before="58" w:line="262" w:lineRule="exact"/>
              <w:ind w:left="41" w:right="34"/>
              <w:jc w:val="center"/>
              <w:rPr>
                <w:sz w:val="21"/>
              </w:rPr>
            </w:pPr>
            <w:r>
              <w:rPr>
                <w:rFonts w:ascii="Times New Roman" w:eastAsia="Times New Roman"/>
                <w:sz w:val="21"/>
              </w:rPr>
              <w:t>5</w:t>
            </w:r>
            <w:r>
              <w:rPr>
                <w:sz w:val="21"/>
              </w:rPr>
              <w:t>（</w:t>
            </w:r>
            <w:r>
              <w:rPr>
                <w:rFonts w:ascii="Times New Roman" w:eastAsia="Times New Roman"/>
                <w:sz w:val="21"/>
              </w:rPr>
              <w:t>km/h</w:t>
            </w:r>
            <w:r>
              <w:rPr>
                <w:sz w:val="21"/>
              </w:rPr>
              <w:t>）</w:t>
            </w:r>
          </w:p>
        </w:tc>
        <w:tc>
          <w:tcPr>
            <w:tcW w:w="1186" w:type="dxa"/>
          </w:tcPr>
          <w:p w14:paraId="5A2FAC7E">
            <w:pPr>
              <w:pStyle w:val="14"/>
              <w:spacing w:before="89" w:line="231" w:lineRule="exact"/>
              <w:ind w:left="99" w:right="89"/>
              <w:jc w:val="center"/>
              <w:rPr>
                <w:rFonts w:ascii="Times New Roman"/>
                <w:sz w:val="21"/>
              </w:rPr>
            </w:pPr>
            <w:r>
              <w:rPr>
                <w:rFonts w:ascii="Times New Roman"/>
                <w:sz w:val="21"/>
              </w:rPr>
              <w:t>0.0283</w:t>
            </w:r>
          </w:p>
        </w:tc>
        <w:tc>
          <w:tcPr>
            <w:tcW w:w="1189" w:type="dxa"/>
          </w:tcPr>
          <w:p w14:paraId="226145C5">
            <w:pPr>
              <w:pStyle w:val="14"/>
              <w:spacing w:before="89" w:line="231" w:lineRule="exact"/>
              <w:ind w:left="101" w:right="94"/>
              <w:jc w:val="center"/>
              <w:rPr>
                <w:rFonts w:ascii="Times New Roman"/>
                <w:sz w:val="21"/>
              </w:rPr>
            </w:pPr>
            <w:r>
              <w:rPr>
                <w:rFonts w:ascii="Times New Roman"/>
                <w:sz w:val="21"/>
              </w:rPr>
              <w:t>0.0476</w:t>
            </w:r>
          </w:p>
        </w:tc>
        <w:tc>
          <w:tcPr>
            <w:tcW w:w="1189" w:type="dxa"/>
          </w:tcPr>
          <w:p w14:paraId="2853EC51">
            <w:pPr>
              <w:pStyle w:val="14"/>
              <w:spacing w:before="89" w:line="231" w:lineRule="exact"/>
              <w:ind w:left="101" w:right="92"/>
              <w:jc w:val="center"/>
              <w:rPr>
                <w:rFonts w:ascii="Times New Roman"/>
                <w:sz w:val="21"/>
              </w:rPr>
            </w:pPr>
            <w:r>
              <w:rPr>
                <w:rFonts w:ascii="Times New Roman"/>
                <w:sz w:val="21"/>
              </w:rPr>
              <w:t>0.0646</w:t>
            </w:r>
          </w:p>
        </w:tc>
        <w:tc>
          <w:tcPr>
            <w:tcW w:w="1189" w:type="dxa"/>
          </w:tcPr>
          <w:p w14:paraId="62247771">
            <w:pPr>
              <w:pStyle w:val="14"/>
              <w:spacing w:before="89" w:line="231" w:lineRule="exact"/>
              <w:ind w:left="101" w:right="94"/>
              <w:jc w:val="center"/>
              <w:rPr>
                <w:rFonts w:ascii="Times New Roman"/>
                <w:sz w:val="21"/>
              </w:rPr>
            </w:pPr>
            <w:r>
              <w:rPr>
                <w:rFonts w:ascii="Times New Roman"/>
                <w:sz w:val="21"/>
              </w:rPr>
              <w:t>0.0801</w:t>
            </w:r>
          </w:p>
        </w:tc>
        <w:tc>
          <w:tcPr>
            <w:tcW w:w="1186" w:type="dxa"/>
          </w:tcPr>
          <w:p w14:paraId="6C255A32">
            <w:pPr>
              <w:pStyle w:val="14"/>
              <w:spacing w:before="89" w:line="231" w:lineRule="exact"/>
              <w:ind w:left="99" w:right="91"/>
              <w:jc w:val="center"/>
              <w:rPr>
                <w:rFonts w:ascii="Times New Roman"/>
                <w:sz w:val="21"/>
              </w:rPr>
            </w:pPr>
            <w:r>
              <w:rPr>
                <w:rFonts w:ascii="Times New Roman"/>
                <w:sz w:val="21"/>
              </w:rPr>
              <w:t>0.0947</w:t>
            </w:r>
          </w:p>
        </w:tc>
        <w:tc>
          <w:tcPr>
            <w:tcW w:w="1189" w:type="dxa"/>
          </w:tcPr>
          <w:p w14:paraId="6219957B">
            <w:pPr>
              <w:pStyle w:val="14"/>
              <w:spacing w:before="89" w:line="231" w:lineRule="exact"/>
              <w:ind w:left="101" w:right="92"/>
              <w:jc w:val="center"/>
              <w:rPr>
                <w:rFonts w:ascii="Times New Roman"/>
                <w:sz w:val="21"/>
              </w:rPr>
            </w:pPr>
            <w:r>
              <w:rPr>
                <w:rFonts w:ascii="Times New Roman"/>
                <w:sz w:val="21"/>
              </w:rPr>
              <w:t>0.1593</w:t>
            </w:r>
          </w:p>
        </w:tc>
      </w:tr>
      <w:tr w14:paraId="24FB2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88" w:type="dxa"/>
          </w:tcPr>
          <w:p w14:paraId="65D87BEE">
            <w:pPr>
              <w:pStyle w:val="14"/>
              <w:spacing w:before="58" w:line="261" w:lineRule="exact"/>
              <w:ind w:left="41" w:right="34"/>
              <w:jc w:val="center"/>
              <w:rPr>
                <w:sz w:val="21"/>
              </w:rPr>
            </w:pPr>
            <w:r>
              <w:rPr>
                <w:rFonts w:ascii="Times New Roman" w:eastAsia="Times New Roman"/>
                <w:sz w:val="21"/>
              </w:rPr>
              <w:t>10</w:t>
            </w:r>
            <w:r>
              <w:rPr>
                <w:sz w:val="21"/>
              </w:rPr>
              <w:t>（</w:t>
            </w:r>
            <w:r>
              <w:rPr>
                <w:rFonts w:ascii="Times New Roman" w:eastAsia="Times New Roman"/>
                <w:sz w:val="21"/>
              </w:rPr>
              <w:t>km/h</w:t>
            </w:r>
            <w:r>
              <w:rPr>
                <w:sz w:val="21"/>
              </w:rPr>
              <w:t>）</w:t>
            </w:r>
          </w:p>
        </w:tc>
        <w:tc>
          <w:tcPr>
            <w:tcW w:w="1186" w:type="dxa"/>
          </w:tcPr>
          <w:p w14:paraId="3363410D">
            <w:pPr>
              <w:pStyle w:val="14"/>
              <w:spacing w:before="87" w:line="233" w:lineRule="exact"/>
              <w:ind w:left="99" w:right="89"/>
              <w:jc w:val="center"/>
              <w:rPr>
                <w:rFonts w:ascii="Times New Roman"/>
                <w:sz w:val="21"/>
              </w:rPr>
            </w:pPr>
            <w:r>
              <w:rPr>
                <w:rFonts w:ascii="Times New Roman"/>
                <w:sz w:val="21"/>
              </w:rPr>
              <w:t>0.0566</w:t>
            </w:r>
          </w:p>
        </w:tc>
        <w:tc>
          <w:tcPr>
            <w:tcW w:w="1189" w:type="dxa"/>
          </w:tcPr>
          <w:p w14:paraId="68D38944">
            <w:pPr>
              <w:pStyle w:val="14"/>
              <w:spacing w:before="87" w:line="233" w:lineRule="exact"/>
              <w:ind w:left="101" w:right="94"/>
              <w:jc w:val="center"/>
              <w:rPr>
                <w:rFonts w:ascii="Times New Roman"/>
                <w:sz w:val="21"/>
              </w:rPr>
            </w:pPr>
            <w:r>
              <w:rPr>
                <w:rFonts w:ascii="Times New Roman"/>
                <w:sz w:val="21"/>
              </w:rPr>
              <w:t>0.0953</w:t>
            </w:r>
          </w:p>
        </w:tc>
        <w:tc>
          <w:tcPr>
            <w:tcW w:w="1189" w:type="dxa"/>
          </w:tcPr>
          <w:p w14:paraId="2BED660C">
            <w:pPr>
              <w:pStyle w:val="14"/>
              <w:spacing w:before="87" w:line="233" w:lineRule="exact"/>
              <w:ind w:left="101" w:right="92"/>
              <w:jc w:val="center"/>
              <w:rPr>
                <w:rFonts w:ascii="Times New Roman"/>
                <w:sz w:val="21"/>
              </w:rPr>
            </w:pPr>
            <w:r>
              <w:rPr>
                <w:rFonts w:ascii="Times New Roman"/>
                <w:sz w:val="21"/>
              </w:rPr>
              <w:t>0.1291</w:t>
            </w:r>
          </w:p>
        </w:tc>
        <w:tc>
          <w:tcPr>
            <w:tcW w:w="1189" w:type="dxa"/>
          </w:tcPr>
          <w:p w14:paraId="3BFD2E71">
            <w:pPr>
              <w:pStyle w:val="14"/>
              <w:spacing w:before="87" w:line="233" w:lineRule="exact"/>
              <w:ind w:left="101" w:right="94"/>
              <w:jc w:val="center"/>
              <w:rPr>
                <w:rFonts w:ascii="Times New Roman"/>
                <w:sz w:val="21"/>
              </w:rPr>
            </w:pPr>
            <w:r>
              <w:rPr>
                <w:rFonts w:ascii="Times New Roman"/>
                <w:sz w:val="21"/>
              </w:rPr>
              <w:t>0.1602</w:t>
            </w:r>
          </w:p>
        </w:tc>
        <w:tc>
          <w:tcPr>
            <w:tcW w:w="1186" w:type="dxa"/>
          </w:tcPr>
          <w:p w14:paraId="18D05EC3">
            <w:pPr>
              <w:pStyle w:val="14"/>
              <w:spacing w:before="87" w:line="233" w:lineRule="exact"/>
              <w:ind w:left="99" w:right="91"/>
              <w:jc w:val="center"/>
              <w:rPr>
                <w:rFonts w:ascii="Times New Roman"/>
                <w:sz w:val="21"/>
              </w:rPr>
            </w:pPr>
            <w:r>
              <w:rPr>
                <w:rFonts w:ascii="Times New Roman"/>
                <w:sz w:val="21"/>
              </w:rPr>
              <w:t>0.1894</w:t>
            </w:r>
          </w:p>
        </w:tc>
        <w:tc>
          <w:tcPr>
            <w:tcW w:w="1189" w:type="dxa"/>
          </w:tcPr>
          <w:p w14:paraId="221872DA">
            <w:pPr>
              <w:pStyle w:val="14"/>
              <w:spacing w:before="87" w:line="233" w:lineRule="exact"/>
              <w:ind w:left="101" w:right="92"/>
              <w:jc w:val="center"/>
              <w:rPr>
                <w:rFonts w:ascii="Times New Roman"/>
                <w:sz w:val="21"/>
              </w:rPr>
            </w:pPr>
            <w:r>
              <w:rPr>
                <w:rFonts w:ascii="Times New Roman"/>
                <w:sz w:val="21"/>
              </w:rPr>
              <w:t>0.3186</w:t>
            </w:r>
          </w:p>
        </w:tc>
      </w:tr>
      <w:tr w14:paraId="46FDF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88" w:type="dxa"/>
          </w:tcPr>
          <w:p w14:paraId="35214472">
            <w:pPr>
              <w:pStyle w:val="14"/>
              <w:spacing w:before="59" w:line="261" w:lineRule="exact"/>
              <w:ind w:left="41" w:right="34"/>
              <w:jc w:val="center"/>
              <w:rPr>
                <w:sz w:val="21"/>
              </w:rPr>
            </w:pPr>
            <w:r>
              <w:rPr>
                <w:rFonts w:ascii="Times New Roman" w:eastAsia="Times New Roman"/>
                <w:sz w:val="21"/>
              </w:rPr>
              <w:t>15</w:t>
            </w:r>
            <w:r>
              <w:rPr>
                <w:sz w:val="21"/>
              </w:rPr>
              <w:t>（</w:t>
            </w:r>
            <w:r>
              <w:rPr>
                <w:rFonts w:ascii="Times New Roman" w:eastAsia="Times New Roman"/>
                <w:sz w:val="21"/>
              </w:rPr>
              <w:t>km/h</w:t>
            </w:r>
            <w:r>
              <w:rPr>
                <w:sz w:val="21"/>
              </w:rPr>
              <w:t>）</w:t>
            </w:r>
          </w:p>
        </w:tc>
        <w:tc>
          <w:tcPr>
            <w:tcW w:w="1186" w:type="dxa"/>
          </w:tcPr>
          <w:p w14:paraId="7E41266B">
            <w:pPr>
              <w:pStyle w:val="14"/>
              <w:spacing w:before="87" w:line="232" w:lineRule="exact"/>
              <w:ind w:left="99" w:right="89"/>
              <w:jc w:val="center"/>
              <w:rPr>
                <w:rFonts w:ascii="Times New Roman"/>
                <w:sz w:val="21"/>
              </w:rPr>
            </w:pPr>
            <w:r>
              <w:rPr>
                <w:rFonts w:ascii="Times New Roman"/>
                <w:sz w:val="21"/>
              </w:rPr>
              <w:t>0.0850</w:t>
            </w:r>
          </w:p>
        </w:tc>
        <w:tc>
          <w:tcPr>
            <w:tcW w:w="1189" w:type="dxa"/>
          </w:tcPr>
          <w:p w14:paraId="6DD95B63">
            <w:pPr>
              <w:pStyle w:val="14"/>
              <w:spacing w:before="87" w:line="232" w:lineRule="exact"/>
              <w:ind w:left="101" w:right="94"/>
              <w:jc w:val="center"/>
              <w:rPr>
                <w:rFonts w:ascii="Times New Roman"/>
                <w:sz w:val="21"/>
              </w:rPr>
            </w:pPr>
            <w:r>
              <w:rPr>
                <w:rFonts w:ascii="Times New Roman"/>
                <w:sz w:val="21"/>
              </w:rPr>
              <w:t>0.1429</w:t>
            </w:r>
          </w:p>
        </w:tc>
        <w:tc>
          <w:tcPr>
            <w:tcW w:w="1189" w:type="dxa"/>
          </w:tcPr>
          <w:p w14:paraId="1837C89C">
            <w:pPr>
              <w:pStyle w:val="14"/>
              <w:spacing w:before="87" w:line="232" w:lineRule="exact"/>
              <w:ind w:left="101" w:right="92"/>
              <w:jc w:val="center"/>
              <w:rPr>
                <w:rFonts w:ascii="Times New Roman"/>
                <w:sz w:val="21"/>
              </w:rPr>
            </w:pPr>
            <w:r>
              <w:rPr>
                <w:rFonts w:ascii="Times New Roman"/>
                <w:sz w:val="21"/>
              </w:rPr>
              <w:t>0.1937</w:t>
            </w:r>
          </w:p>
        </w:tc>
        <w:tc>
          <w:tcPr>
            <w:tcW w:w="1189" w:type="dxa"/>
          </w:tcPr>
          <w:p w14:paraId="562A3C2B">
            <w:pPr>
              <w:pStyle w:val="14"/>
              <w:spacing w:before="87" w:line="232" w:lineRule="exact"/>
              <w:ind w:left="101" w:right="94"/>
              <w:jc w:val="center"/>
              <w:rPr>
                <w:rFonts w:ascii="Times New Roman"/>
                <w:sz w:val="21"/>
              </w:rPr>
            </w:pPr>
            <w:r>
              <w:rPr>
                <w:rFonts w:ascii="Times New Roman"/>
                <w:sz w:val="21"/>
              </w:rPr>
              <w:t>0.2403</w:t>
            </w:r>
          </w:p>
        </w:tc>
        <w:tc>
          <w:tcPr>
            <w:tcW w:w="1186" w:type="dxa"/>
          </w:tcPr>
          <w:p w14:paraId="68CC5FA3">
            <w:pPr>
              <w:pStyle w:val="14"/>
              <w:spacing w:before="87" w:line="232" w:lineRule="exact"/>
              <w:ind w:left="99" w:right="91"/>
              <w:jc w:val="center"/>
              <w:rPr>
                <w:rFonts w:ascii="Times New Roman"/>
                <w:sz w:val="21"/>
              </w:rPr>
            </w:pPr>
            <w:r>
              <w:rPr>
                <w:rFonts w:ascii="Times New Roman"/>
                <w:sz w:val="21"/>
              </w:rPr>
              <w:t>0.2841</w:t>
            </w:r>
          </w:p>
        </w:tc>
        <w:tc>
          <w:tcPr>
            <w:tcW w:w="1189" w:type="dxa"/>
          </w:tcPr>
          <w:p w14:paraId="44741216">
            <w:pPr>
              <w:pStyle w:val="14"/>
              <w:spacing w:before="87" w:line="232" w:lineRule="exact"/>
              <w:ind w:left="101" w:right="92"/>
              <w:jc w:val="center"/>
              <w:rPr>
                <w:rFonts w:ascii="Times New Roman"/>
                <w:sz w:val="21"/>
              </w:rPr>
            </w:pPr>
            <w:r>
              <w:rPr>
                <w:rFonts w:ascii="Times New Roman"/>
                <w:sz w:val="21"/>
              </w:rPr>
              <w:t>0.4778</w:t>
            </w:r>
          </w:p>
        </w:tc>
      </w:tr>
      <w:tr w14:paraId="75FF4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88" w:type="dxa"/>
          </w:tcPr>
          <w:p w14:paraId="1CE85289">
            <w:pPr>
              <w:pStyle w:val="14"/>
              <w:spacing w:before="57" w:line="263" w:lineRule="exact"/>
              <w:ind w:left="41" w:right="34"/>
              <w:jc w:val="center"/>
              <w:rPr>
                <w:sz w:val="21"/>
              </w:rPr>
            </w:pPr>
            <w:r>
              <w:rPr>
                <w:rFonts w:ascii="Times New Roman" w:eastAsia="Times New Roman"/>
                <w:sz w:val="21"/>
              </w:rPr>
              <w:t>20</w:t>
            </w:r>
            <w:r>
              <w:rPr>
                <w:sz w:val="21"/>
              </w:rPr>
              <w:t>（</w:t>
            </w:r>
            <w:r>
              <w:rPr>
                <w:rFonts w:ascii="Times New Roman" w:eastAsia="Times New Roman"/>
                <w:sz w:val="21"/>
              </w:rPr>
              <w:t>km/h</w:t>
            </w:r>
            <w:r>
              <w:rPr>
                <w:sz w:val="21"/>
              </w:rPr>
              <w:t>）</w:t>
            </w:r>
          </w:p>
        </w:tc>
        <w:tc>
          <w:tcPr>
            <w:tcW w:w="1186" w:type="dxa"/>
          </w:tcPr>
          <w:p w14:paraId="0A329A26">
            <w:pPr>
              <w:pStyle w:val="14"/>
              <w:spacing w:before="88" w:line="232" w:lineRule="exact"/>
              <w:ind w:left="99" w:right="91"/>
              <w:jc w:val="center"/>
              <w:rPr>
                <w:rFonts w:ascii="Times New Roman"/>
                <w:sz w:val="21"/>
              </w:rPr>
            </w:pPr>
            <w:r>
              <w:rPr>
                <w:rFonts w:ascii="Times New Roman"/>
                <w:sz w:val="21"/>
              </w:rPr>
              <w:t>0.1133</w:t>
            </w:r>
          </w:p>
        </w:tc>
        <w:tc>
          <w:tcPr>
            <w:tcW w:w="1189" w:type="dxa"/>
          </w:tcPr>
          <w:p w14:paraId="72EF56F9">
            <w:pPr>
              <w:pStyle w:val="14"/>
              <w:spacing w:before="88" w:line="232" w:lineRule="exact"/>
              <w:ind w:left="101" w:right="94"/>
              <w:jc w:val="center"/>
              <w:rPr>
                <w:rFonts w:ascii="Times New Roman"/>
                <w:sz w:val="21"/>
              </w:rPr>
            </w:pPr>
            <w:r>
              <w:rPr>
                <w:rFonts w:ascii="Times New Roman"/>
                <w:sz w:val="21"/>
              </w:rPr>
              <w:t>0.1905</w:t>
            </w:r>
          </w:p>
        </w:tc>
        <w:tc>
          <w:tcPr>
            <w:tcW w:w="1189" w:type="dxa"/>
          </w:tcPr>
          <w:p w14:paraId="6D6D70D0">
            <w:pPr>
              <w:pStyle w:val="14"/>
              <w:spacing w:before="88" w:line="232" w:lineRule="exact"/>
              <w:ind w:left="101" w:right="92"/>
              <w:jc w:val="center"/>
              <w:rPr>
                <w:rFonts w:ascii="Times New Roman"/>
                <w:sz w:val="21"/>
              </w:rPr>
            </w:pPr>
            <w:r>
              <w:rPr>
                <w:rFonts w:ascii="Times New Roman"/>
                <w:sz w:val="21"/>
              </w:rPr>
              <w:t>0.2583</w:t>
            </w:r>
          </w:p>
        </w:tc>
        <w:tc>
          <w:tcPr>
            <w:tcW w:w="1189" w:type="dxa"/>
          </w:tcPr>
          <w:p w14:paraId="0A5138D7">
            <w:pPr>
              <w:pStyle w:val="14"/>
              <w:spacing w:before="88" w:line="232" w:lineRule="exact"/>
              <w:ind w:left="101" w:right="94"/>
              <w:jc w:val="center"/>
              <w:rPr>
                <w:rFonts w:ascii="Times New Roman"/>
                <w:sz w:val="21"/>
              </w:rPr>
            </w:pPr>
            <w:r>
              <w:rPr>
                <w:rFonts w:ascii="Times New Roman"/>
                <w:sz w:val="21"/>
              </w:rPr>
              <w:t>0.3204</w:t>
            </w:r>
          </w:p>
        </w:tc>
        <w:tc>
          <w:tcPr>
            <w:tcW w:w="1186" w:type="dxa"/>
          </w:tcPr>
          <w:p w14:paraId="4C818886">
            <w:pPr>
              <w:pStyle w:val="14"/>
              <w:spacing w:before="88" w:line="232" w:lineRule="exact"/>
              <w:ind w:left="99" w:right="91"/>
              <w:jc w:val="center"/>
              <w:rPr>
                <w:rFonts w:ascii="Times New Roman"/>
                <w:sz w:val="21"/>
              </w:rPr>
            </w:pPr>
            <w:r>
              <w:rPr>
                <w:rFonts w:ascii="Times New Roman"/>
                <w:sz w:val="21"/>
              </w:rPr>
              <w:t>0.3788</w:t>
            </w:r>
          </w:p>
        </w:tc>
        <w:tc>
          <w:tcPr>
            <w:tcW w:w="1189" w:type="dxa"/>
          </w:tcPr>
          <w:p w14:paraId="58EB393C">
            <w:pPr>
              <w:pStyle w:val="14"/>
              <w:spacing w:before="88" w:line="232" w:lineRule="exact"/>
              <w:ind w:left="101" w:right="92"/>
              <w:jc w:val="center"/>
              <w:rPr>
                <w:rFonts w:ascii="Times New Roman"/>
                <w:sz w:val="21"/>
              </w:rPr>
            </w:pPr>
            <w:r>
              <w:rPr>
                <w:rFonts w:ascii="Times New Roman"/>
                <w:sz w:val="21"/>
              </w:rPr>
              <w:t>0.6371</w:t>
            </w:r>
          </w:p>
        </w:tc>
      </w:tr>
    </w:tbl>
    <w:p w14:paraId="51864C13">
      <w:pPr>
        <w:pStyle w:val="7"/>
        <w:spacing w:before="1" w:line="364" w:lineRule="auto"/>
        <w:ind w:left="460" w:right="477" w:firstLine="480"/>
        <w:jc w:val="both"/>
      </w:pPr>
      <w:r>
        <w:t>由上表可见，在同样路面清洁程度条件下，车速越快，扬尘量越大；在同样车速条件下，路面尘土量越大，扬尘越大。因此，限制施工车辆速度和保持路面清洁是减小扬尘的有效手段。</w:t>
      </w:r>
    </w:p>
    <w:p w14:paraId="221B8D5E">
      <w:pPr>
        <w:pStyle w:val="7"/>
        <w:spacing w:line="362" w:lineRule="auto"/>
        <w:ind w:left="460" w:right="477" w:firstLine="480"/>
        <w:jc w:val="both"/>
      </w:pPr>
      <w:r>
        <w:t xml:space="preserve">如果在施工期间对车辆行驶的路面实施洒水抑尘，每天洒水 </w:t>
      </w:r>
      <w:r>
        <w:rPr>
          <w:rFonts w:ascii="Times New Roman" w:eastAsia="Times New Roman"/>
        </w:rPr>
        <w:t xml:space="preserve">4~5 </w:t>
      </w:r>
      <w:r>
        <w:t xml:space="preserve">次，可使扬尘减少 </w:t>
      </w:r>
      <w:r>
        <w:rPr>
          <w:rFonts w:ascii="Times New Roman" w:eastAsia="Times New Roman"/>
        </w:rPr>
        <w:t>70%</w:t>
      </w:r>
      <w:r>
        <w:t>左右，下表为施工场地洒水抑尘的试验结果。</w:t>
      </w:r>
    </w:p>
    <w:p w14:paraId="635E8A0A">
      <w:pPr>
        <w:spacing w:before="3" w:after="3"/>
        <w:ind w:left="2944" w:right="0" w:firstLine="0"/>
        <w:jc w:val="left"/>
        <w:rPr>
          <w:b/>
          <w:sz w:val="21"/>
        </w:rPr>
      </w:pPr>
      <w:r>
        <w:rPr>
          <w:b/>
          <w:spacing w:val="-26"/>
          <w:sz w:val="21"/>
        </w:rPr>
        <w:t xml:space="preserve">表 </w:t>
      </w:r>
      <w:r>
        <w:rPr>
          <w:rFonts w:ascii="Times New Roman" w:eastAsia="Times New Roman"/>
          <w:b/>
          <w:sz w:val="21"/>
        </w:rPr>
        <w:t>5.1-2</w:t>
      </w:r>
      <w:r>
        <w:rPr>
          <w:rFonts w:ascii="Times New Roman" w:eastAsia="Times New Roman"/>
          <w:b/>
          <w:spacing w:val="50"/>
          <w:sz w:val="21"/>
        </w:rPr>
        <w:t xml:space="preserve"> </w:t>
      </w:r>
      <w:r>
        <w:rPr>
          <w:b/>
          <w:sz w:val="21"/>
        </w:rPr>
        <w:t>施工场地洒水抑尘试验结果</w:t>
      </w: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6"/>
        <w:gridCol w:w="1092"/>
        <w:gridCol w:w="1437"/>
        <w:gridCol w:w="1434"/>
        <w:gridCol w:w="1434"/>
        <w:gridCol w:w="1434"/>
      </w:tblGrid>
      <w:tr w14:paraId="52471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78" w:type="dxa"/>
            <w:gridSpan w:val="2"/>
          </w:tcPr>
          <w:p w14:paraId="6A8FCF93">
            <w:pPr>
              <w:pStyle w:val="14"/>
              <w:spacing w:before="63"/>
              <w:ind w:left="1207" w:right="1198"/>
              <w:jc w:val="center"/>
              <w:rPr>
                <w:b/>
                <w:sz w:val="21"/>
              </w:rPr>
            </w:pPr>
            <w:r>
              <w:rPr>
                <w:b/>
                <w:sz w:val="21"/>
              </w:rPr>
              <w:t>距离</w:t>
            </w:r>
          </w:p>
        </w:tc>
        <w:tc>
          <w:tcPr>
            <w:tcW w:w="1437" w:type="dxa"/>
          </w:tcPr>
          <w:p w14:paraId="33A103B6">
            <w:pPr>
              <w:pStyle w:val="14"/>
              <w:spacing w:before="77"/>
              <w:ind w:left="10"/>
              <w:jc w:val="center"/>
              <w:rPr>
                <w:rFonts w:ascii="Times New Roman"/>
                <w:b/>
                <w:sz w:val="21"/>
              </w:rPr>
            </w:pPr>
            <w:r>
              <w:rPr>
                <w:rFonts w:ascii="Times New Roman"/>
                <w:b/>
                <w:w w:val="99"/>
                <w:sz w:val="21"/>
              </w:rPr>
              <w:t>5</w:t>
            </w:r>
          </w:p>
        </w:tc>
        <w:tc>
          <w:tcPr>
            <w:tcW w:w="1434" w:type="dxa"/>
          </w:tcPr>
          <w:p w14:paraId="500E5170">
            <w:pPr>
              <w:pStyle w:val="14"/>
              <w:spacing w:before="77"/>
              <w:ind w:left="511" w:right="501"/>
              <w:jc w:val="center"/>
              <w:rPr>
                <w:rFonts w:ascii="Times New Roman"/>
                <w:b/>
                <w:sz w:val="21"/>
              </w:rPr>
            </w:pPr>
            <w:r>
              <w:rPr>
                <w:rFonts w:ascii="Times New Roman"/>
                <w:b/>
                <w:sz w:val="21"/>
              </w:rPr>
              <w:t>20</w:t>
            </w:r>
          </w:p>
        </w:tc>
        <w:tc>
          <w:tcPr>
            <w:tcW w:w="1434" w:type="dxa"/>
          </w:tcPr>
          <w:p w14:paraId="3284A5A1">
            <w:pPr>
              <w:pStyle w:val="14"/>
              <w:spacing w:before="77"/>
              <w:ind w:left="510" w:right="503"/>
              <w:jc w:val="center"/>
              <w:rPr>
                <w:rFonts w:ascii="Times New Roman"/>
                <w:b/>
                <w:sz w:val="21"/>
              </w:rPr>
            </w:pPr>
            <w:r>
              <w:rPr>
                <w:rFonts w:ascii="Times New Roman"/>
                <w:b/>
                <w:sz w:val="21"/>
              </w:rPr>
              <w:t>50</w:t>
            </w:r>
          </w:p>
        </w:tc>
        <w:tc>
          <w:tcPr>
            <w:tcW w:w="1434" w:type="dxa"/>
          </w:tcPr>
          <w:p w14:paraId="3C7D6215">
            <w:pPr>
              <w:pStyle w:val="14"/>
              <w:spacing w:before="77"/>
              <w:ind w:left="511" w:right="501"/>
              <w:jc w:val="center"/>
              <w:rPr>
                <w:rFonts w:ascii="Times New Roman"/>
                <w:b/>
                <w:sz w:val="21"/>
              </w:rPr>
            </w:pPr>
            <w:r>
              <w:rPr>
                <w:rFonts w:ascii="Times New Roman"/>
                <w:b/>
                <w:sz w:val="21"/>
              </w:rPr>
              <w:t>100</w:t>
            </w:r>
          </w:p>
        </w:tc>
      </w:tr>
      <w:tr w14:paraId="6D8CB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86" w:type="dxa"/>
            <w:vMerge w:val="restart"/>
          </w:tcPr>
          <w:p w14:paraId="0D3503DE">
            <w:pPr>
              <w:pStyle w:val="14"/>
              <w:spacing w:before="129" w:line="244" w:lineRule="auto"/>
              <w:ind w:left="299" w:right="111" w:hanging="135"/>
              <w:rPr>
                <w:sz w:val="21"/>
              </w:rPr>
            </w:pPr>
            <w:r>
              <w:rPr>
                <w:rFonts w:ascii="Times New Roman" w:eastAsia="Times New Roman"/>
                <w:sz w:val="21"/>
              </w:rPr>
              <w:t xml:space="preserve">TSP </w:t>
            </w:r>
            <w:r>
              <w:rPr>
                <w:sz w:val="21"/>
              </w:rPr>
              <w:t>小时平均浓度（</w:t>
            </w:r>
            <w:r>
              <w:rPr>
                <w:rFonts w:ascii="Times New Roman" w:eastAsia="Times New Roman"/>
                <w:sz w:val="21"/>
              </w:rPr>
              <w:t>mg/m</w:t>
            </w:r>
            <w:r>
              <w:rPr>
                <w:rFonts w:ascii="Times New Roman" w:eastAsia="Times New Roman"/>
                <w:position w:val="7"/>
                <w:sz w:val="13"/>
              </w:rPr>
              <w:t>3</w:t>
            </w:r>
            <w:r>
              <w:rPr>
                <w:sz w:val="21"/>
              </w:rPr>
              <w:t>）</w:t>
            </w:r>
          </w:p>
        </w:tc>
        <w:tc>
          <w:tcPr>
            <w:tcW w:w="1092" w:type="dxa"/>
          </w:tcPr>
          <w:p w14:paraId="5D5C33F5">
            <w:pPr>
              <w:pStyle w:val="14"/>
              <w:spacing w:before="62"/>
              <w:ind w:left="209" w:right="203"/>
              <w:jc w:val="center"/>
              <w:rPr>
                <w:sz w:val="21"/>
              </w:rPr>
            </w:pPr>
            <w:r>
              <w:rPr>
                <w:sz w:val="21"/>
              </w:rPr>
              <w:t>不洒水</w:t>
            </w:r>
          </w:p>
        </w:tc>
        <w:tc>
          <w:tcPr>
            <w:tcW w:w="1437" w:type="dxa"/>
          </w:tcPr>
          <w:p w14:paraId="35436BA5">
            <w:pPr>
              <w:pStyle w:val="14"/>
              <w:spacing w:before="76"/>
              <w:ind w:left="462" w:right="452"/>
              <w:jc w:val="center"/>
              <w:rPr>
                <w:rFonts w:ascii="Times New Roman"/>
                <w:sz w:val="21"/>
              </w:rPr>
            </w:pPr>
            <w:r>
              <w:rPr>
                <w:rFonts w:ascii="Times New Roman"/>
                <w:sz w:val="21"/>
              </w:rPr>
              <w:t>10.14</w:t>
            </w:r>
          </w:p>
        </w:tc>
        <w:tc>
          <w:tcPr>
            <w:tcW w:w="1434" w:type="dxa"/>
          </w:tcPr>
          <w:p w14:paraId="307D2DC1">
            <w:pPr>
              <w:pStyle w:val="14"/>
              <w:spacing w:before="76"/>
              <w:ind w:left="511" w:right="501"/>
              <w:jc w:val="center"/>
              <w:rPr>
                <w:rFonts w:ascii="Times New Roman"/>
                <w:sz w:val="21"/>
              </w:rPr>
            </w:pPr>
            <w:r>
              <w:rPr>
                <w:rFonts w:ascii="Times New Roman"/>
                <w:sz w:val="21"/>
              </w:rPr>
              <w:t>2.89</w:t>
            </w:r>
          </w:p>
        </w:tc>
        <w:tc>
          <w:tcPr>
            <w:tcW w:w="1434" w:type="dxa"/>
          </w:tcPr>
          <w:p w14:paraId="3A0DA86D">
            <w:pPr>
              <w:pStyle w:val="14"/>
              <w:spacing w:before="76"/>
              <w:ind w:left="510" w:right="503"/>
              <w:jc w:val="center"/>
              <w:rPr>
                <w:rFonts w:ascii="Times New Roman"/>
                <w:sz w:val="21"/>
              </w:rPr>
            </w:pPr>
            <w:r>
              <w:rPr>
                <w:rFonts w:ascii="Times New Roman"/>
                <w:sz w:val="21"/>
              </w:rPr>
              <w:t>1.15</w:t>
            </w:r>
          </w:p>
        </w:tc>
        <w:tc>
          <w:tcPr>
            <w:tcW w:w="1434" w:type="dxa"/>
          </w:tcPr>
          <w:p w14:paraId="15BB990E">
            <w:pPr>
              <w:pStyle w:val="14"/>
              <w:spacing w:before="76"/>
              <w:ind w:left="511" w:right="501"/>
              <w:jc w:val="center"/>
              <w:rPr>
                <w:rFonts w:ascii="Times New Roman"/>
                <w:sz w:val="21"/>
              </w:rPr>
            </w:pPr>
            <w:r>
              <w:rPr>
                <w:rFonts w:ascii="Times New Roman"/>
                <w:sz w:val="21"/>
              </w:rPr>
              <w:t>0.86</w:t>
            </w:r>
          </w:p>
        </w:tc>
      </w:tr>
      <w:tr w14:paraId="57FDB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86" w:type="dxa"/>
            <w:vMerge w:val="continue"/>
            <w:tcBorders>
              <w:top w:val="nil"/>
            </w:tcBorders>
          </w:tcPr>
          <w:p w14:paraId="46D18714">
            <w:pPr>
              <w:rPr>
                <w:sz w:val="2"/>
                <w:szCs w:val="2"/>
              </w:rPr>
            </w:pPr>
          </w:p>
        </w:tc>
        <w:tc>
          <w:tcPr>
            <w:tcW w:w="1092" w:type="dxa"/>
          </w:tcPr>
          <w:p w14:paraId="32507293">
            <w:pPr>
              <w:pStyle w:val="14"/>
              <w:spacing w:before="63"/>
              <w:ind w:left="209" w:right="203"/>
              <w:jc w:val="center"/>
              <w:rPr>
                <w:sz w:val="21"/>
              </w:rPr>
            </w:pPr>
            <w:r>
              <w:rPr>
                <w:sz w:val="21"/>
              </w:rPr>
              <w:t>洒水</w:t>
            </w:r>
          </w:p>
        </w:tc>
        <w:tc>
          <w:tcPr>
            <w:tcW w:w="1437" w:type="dxa"/>
          </w:tcPr>
          <w:p w14:paraId="2006FF52">
            <w:pPr>
              <w:pStyle w:val="14"/>
              <w:spacing w:before="77"/>
              <w:ind w:left="462" w:right="452"/>
              <w:jc w:val="center"/>
              <w:rPr>
                <w:rFonts w:ascii="Times New Roman"/>
                <w:sz w:val="21"/>
              </w:rPr>
            </w:pPr>
            <w:r>
              <w:rPr>
                <w:rFonts w:ascii="Times New Roman"/>
                <w:sz w:val="21"/>
              </w:rPr>
              <w:t>2.01</w:t>
            </w:r>
          </w:p>
        </w:tc>
        <w:tc>
          <w:tcPr>
            <w:tcW w:w="1434" w:type="dxa"/>
          </w:tcPr>
          <w:p w14:paraId="71C6AC2C">
            <w:pPr>
              <w:pStyle w:val="14"/>
              <w:spacing w:before="77"/>
              <w:ind w:left="511" w:right="501"/>
              <w:jc w:val="center"/>
              <w:rPr>
                <w:rFonts w:ascii="Times New Roman"/>
                <w:sz w:val="21"/>
              </w:rPr>
            </w:pPr>
            <w:r>
              <w:rPr>
                <w:rFonts w:ascii="Times New Roman"/>
                <w:sz w:val="21"/>
              </w:rPr>
              <w:t>1.40</w:t>
            </w:r>
          </w:p>
        </w:tc>
        <w:tc>
          <w:tcPr>
            <w:tcW w:w="1434" w:type="dxa"/>
          </w:tcPr>
          <w:p w14:paraId="3ECE9D01">
            <w:pPr>
              <w:pStyle w:val="14"/>
              <w:spacing w:before="77"/>
              <w:ind w:left="510" w:right="503"/>
              <w:jc w:val="center"/>
              <w:rPr>
                <w:rFonts w:ascii="Times New Roman"/>
                <w:sz w:val="21"/>
              </w:rPr>
            </w:pPr>
            <w:r>
              <w:rPr>
                <w:rFonts w:ascii="Times New Roman"/>
                <w:sz w:val="21"/>
              </w:rPr>
              <w:t>0.67</w:t>
            </w:r>
          </w:p>
        </w:tc>
        <w:tc>
          <w:tcPr>
            <w:tcW w:w="1434" w:type="dxa"/>
          </w:tcPr>
          <w:p w14:paraId="225FF3B1">
            <w:pPr>
              <w:pStyle w:val="14"/>
              <w:spacing w:before="77"/>
              <w:ind w:left="511" w:right="501"/>
              <w:jc w:val="center"/>
              <w:rPr>
                <w:rFonts w:ascii="Times New Roman"/>
                <w:sz w:val="21"/>
              </w:rPr>
            </w:pPr>
            <w:r>
              <w:rPr>
                <w:rFonts w:ascii="Times New Roman"/>
                <w:sz w:val="21"/>
              </w:rPr>
              <w:t>0.60</w:t>
            </w:r>
          </w:p>
        </w:tc>
      </w:tr>
    </w:tbl>
    <w:p w14:paraId="433726CD">
      <w:pPr>
        <w:pStyle w:val="7"/>
        <w:spacing w:before="3" w:line="362" w:lineRule="auto"/>
        <w:ind w:left="460" w:right="477" w:firstLine="480"/>
        <w:jc w:val="both"/>
      </w:pPr>
      <w:r>
        <w:rPr>
          <w:spacing w:val="-4"/>
        </w:rPr>
        <w:t xml:space="preserve">结果表明：每天洒水 </w:t>
      </w:r>
      <w:r>
        <w:rPr>
          <w:rFonts w:ascii="Times New Roman" w:eastAsia="Times New Roman"/>
        </w:rPr>
        <w:t>4~5</w:t>
      </w:r>
      <w:r>
        <w:rPr>
          <w:rFonts w:ascii="Times New Roman" w:eastAsia="Times New Roman"/>
          <w:spacing w:val="1"/>
        </w:rPr>
        <w:t xml:space="preserve"> </w:t>
      </w:r>
      <w:r>
        <w:rPr>
          <w:spacing w:val="1"/>
        </w:rPr>
        <w:t>次，可有效地控制施工扬尘，</w:t>
      </w:r>
      <w:r>
        <w:rPr>
          <w:rFonts w:ascii="Times New Roman" w:eastAsia="Times New Roman"/>
        </w:rPr>
        <w:t>TSP</w:t>
      </w:r>
      <w:r>
        <w:rPr>
          <w:rFonts w:ascii="Times New Roman" w:eastAsia="Times New Roman"/>
          <w:spacing w:val="-3"/>
        </w:rPr>
        <w:t xml:space="preserve"> </w:t>
      </w:r>
      <w:r>
        <w:rPr>
          <w:spacing w:val="1"/>
        </w:rPr>
        <w:t>污染物扩散距</w:t>
      </w:r>
      <w:r>
        <w:rPr>
          <w:spacing w:val="-8"/>
        </w:rPr>
        <w:t xml:space="preserve">离可缩小到 </w:t>
      </w:r>
      <w:r>
        <w:rPr>
          <w:rFonts w:ascii="Times New Roman" w:eastAsia="Times New Roman"/>
        </w:rPr>
        <w:t>20m~50m</w:t>
      </w:r>
      <w:r>
        <w:rPr>
          <w:rFonts w:ascii="Times New Roman" w:eastAsia="Times New Roman"/>
          <w:spacing w:val="-8"/>
        </w:rPr>
        <w:t xml:space="preserve"> </w:t>
      </w:r>
      <w:r>
        <w:t>范围。因此，限速行驶及保持路面清洁，同时适当洒水是减少汽车扬尘的有效手段之一。</w:t>
      </w:r>
    </w:p>
    <w:p w14:paraId="4041FFBF">
      <w:pPr>
        <w:pStyle w:val="7"/>
        <w:spacing w:before="6"/>
        <w:ind w:left="940"/>
      </w:pPr>
      <w:r>
        <w:t>（</w:t>
      </w:r>
      <w:r>
        <w:rPr>
          <w:rFonts w:ascii="Times New Roman" w:eastAsia="Times New Roman"/>
        </w:rPr>
        <w:t>2</w:t>
      </w:r>
      <w:r>
        <w:t>）风力扬尘</w:t>
      </w:r>
    </w:p>
    <w:p w14:paraId="38FDAD25">
      <w:pPr>
        <w:pStyle w:val="7"/>
        <w:spacing w:before="158" w:line="364" w:lineRule="auto"/>
        <w:ind w:left="460" w:right="477" w:firstLine="480"/>
        <w:jc w:val="both"/>
      </w:pPr>
      <w:r>
        <w:t>主要为露天堆场和裸露场地产生的风力扬尘，由于施工需要，一些建材需露天堆放，一些施工点表层土壤需人工开挖、堆放，在天气干燥又有风的情况下，会产生扬尘，其扬尘量可按堆场起尘的经验公式计算：</w:t>
      </w:r>
    </w:p>
    <w:p w14:paraId="120B3200">
      <w:pPr>
        <w:pStyle w:val="7"/>
        <w:ind w:left="3337"/>
        <w:rPr>
          <w:sz w:val="20"/>
        </w:rPr>
      </w:pPr>
      <w:r>
        <w:rPr>
          <w:sz w:val="20"/>
        </w:rPr>
        <w:drawing>
          <wp:inline distT="0" distB="0" distL="0" distR="0">
            <wp:extent cx="1548765" cy="359410"/>
            <wp:effectExtent l="0" t="0" r="0" b="0"/>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0.jpeg"/>
                    <pic:cNvPicPr>
                      <a:picLocks noChangeAspect="1"/>
                    </pic:cNvPicPr>
                  </pic:nvPicPr>
                  <pic:blipFill>
                    <a:blip r:embed="rId77" cstate="print"/>
                    <a:stretch>
                      <a:fillRect/>
                    </a:stretch>
                  </pic:blipFill>
                  <pic:spPr>
                    <a:xfrm>
                      <a:off x="0" y="0"/>
                      <a:ext cx="1548939" cy="359663"/>
                    </a:xfrm>
                    <a:prstGeom prst="rect">
                      <a:avLst/>
                    </a:prstGeom>
                  </pic:spPr>
                </pic:pic>
              </a:graphicData>
            </a:graphic>
          </wp:inline>
        </w:drawing>
      </w:r>
    </w:p>
    <w:p w14:paraId="09AC3BE3">
      <w:pPr>
        <w:pStyle w:val="7"/>
        <w:spacing w:before="191"/>
        <w:ind w:left="940"/>
      </w:pPr>
      <w:r>
        <w:t>式中：</w:t>
      </w:r>
      <w:r>
        <w:rPr>
          <w:rFonts w:ascii="Times New Roman" w:hAnsi="Times New Roman" w:eastAsia="Times New Roman"/>
        </w:rPr>
        <w:t>Q—</w:t>
      </w:r>
      <w:r>
        <w:t>起尘量，</w:t>
      </w:r>
      <w:r>
        <w:rPr>
          <w:rFonts w:ascii="Times New Roman" w:hAnsi="Times New Roman" w:eastAsia="Times New Roman"/>
        </w:rPr>
        <w:t>kg/</w:t>
      </w:r>
      <w:r>
        <w:t>吨</w:t>
      </w:r>
      <w:r>
        <w:rPr>
          <w:rFonts w:ascii="Times New Roman" w:hAnsi="Times New Roman" w:eastAsia="Times New Roman"/>
        </w:rPr>
        <w:t>•</w:t>
      </w:r>
      <w:r>
        <w:t>年；</w:t>
      </w:r>
    </w:p>
    <w:p w14:paraId="1EFD7EEA">
      <w:pPr>
        <w:pStyle w:val="7"/>
        <w:spacing w:before="158"/>
        <w:ind w:left="940"/>
      </w:pPr>
      <w:r>
        <w:rPr>
          <w:rFonts w:ascii="Times New Roman" w:hAnsi="Times New Roman" w:eastAsia="Times New Roman"/>
          <w:position w:val="2"/>
        </w:rPr>
        <w:t>V</w:t>
      </w:r>
      <w:r>
        <w:rPr>
          <w:rFonts w:ascii="Times New Roman" w:hAnsi="Times New Roman" w:eastAsia="Times New Roman"/>
          <w:position w:val="2"/>
          <w:vertAlign w:val="subscript"/>
        </w:rPr>
        <w:t>50</w:t>
      </w:r>
      <w:r>
        <w:rPr>
          <w:rFonts w:ascii="Times New Roman" w:hAnsi="Times New Roman" w:eastAsia="Times New Roman"/>
          <w:position w:val="2"/>
          <w:vertAlign w:val="baseline"/>
        </w:rPr>
        <w:t>—</w:t>
      </w:r>
      <w:r>
        <w:rPr>
          <w:position w:val="2"/>
          <w:vertAlign w:val="baseline"/>
        </w:rPr>
        <w:t xml:space="preserve">距地面 </w:t>
      </w:r>
      <w:r>
        <w:rPr>
          <w:rFonts w:ascii="Times New Roman" w:hAnsi="Times New Roman" w:eastAsia="Times New Roman"/>
          <w:position w:val="2"/>
          <w:vertAlign w:val="baseline"/>
        </w:rPr>
        <w:t xml:space="preserve">50 </w:t>
      </w:r>
      <w:r>
        <w:rPr>
          <w:position w:val="2"/>
          <w:vertAlign w:val="baseline"/>
        </w:rPr>
        <w:t>米处风速，</w:t>
      </w:r>
      <w:r>
        <w:rPr>
          <w:rFonts w:ascii="Times New Roman" w:hAnsi="Times New Roman" w:eastAsia="Times New Roman"/>
          <w:position w:val="2"/>
          <w:vertAlign w:val="baseline"/>
        </w:rPr>
        <w:t>m/s</w:t>
      </w:r>
      <w:r>
        <w:rPr>
          <w:position w:val="2"/>
          <w:vertAlign w:val="baseline"/>
        </w:rPr>
        <w:t>；</w:t>
      </w:r>
    </w:p>
    <w:p w14:paraId="021DAB29">
      <w:pPr>
        <w:pStyle w:val="7"/>
        <w:spacing w:before="153"/>
        <w:ind w:left="940"/>
      </w:pPr>
      <w:r>
        <w:rPr>
          <w:rFonts w:ascii="Times New Roman" w:hAnsi="Times New Roman" w:eastAsia="Times New Roman"/>
          <w:position w:val="2"/>
        </w:rPr>
        <w:t>V</w:t>
      </w:r>
      <w:r>
        <w:rPr>
          <w:rFonts w:ascii="Times New Roman" w:hAnsi="Times New Roman" w:eastAsia="Times New Roman"/>
          <w:position w:val="2"/>
          <w:vertAlign w:val="subscript"/>
        </w:rPr>
        <w:t>0</w:t>
      </w:r>
      <w:r>
        <w:rPr>
          <w:rFonts w:ascii="Times New Roman" w:hAnsi="Times New Roman" w:eastAsia="Times New Roman"/>
          <w:position w:val="2"/>
          <w:vertAlign w:val="baseline"/>
        </w:rPr>
        <w:t>—</w:t>
      </w:r>
      <w:r>
        <w:rPr>
          <w:position w:val="2"/>
          <w:vertAlign w:val="baseline"/>
        </w:rPr>
        <w:t>起尘风速，</w:t>
      </w:r>
      <w:r>
        <w:rPr>
          <w:rFonts w:ascii="Times New Roman" w:hAnsi="Times New Roman" w:eastAsia="Times New Roman"/>
          <w:position w:val="2"/>
          <w:vertAlign w:val="baseline"/>
        </w:rPr>
        <w:t>m/s</w:t>
      </w:r>
      <w:r>
        <w:rPr>
          <w:position w:val="2"/>
          <w:vertAlign w:val="baseline"/>
        </w:rPr>
        <w:t>；</w:t>
      </w:r>
    </w:p>
    <w:p w14:paraId="574FE436">
      <w:pPr>
        <w:pStyle w:val="7"/>
        <w:spacing w:before="159"/>
        <w:ind w:left="940"/>
      </w:pPr>
      <w:r>
        <w:rPr>
          <w:rFonts w:ascii="Times New Roman" w:hAnsi="Times New Roman" w:eastAsia="Times New Roman"/>
        </w:rPr>
        <w:t>W—</w:t>
      </w:r>
      <w:r>
        <w:t>尘粒含水率，</w:t>
      </w:r>
      <w:r>
        <w:rPr>
          <w:rFonts w:ascii="Times New Roman" w:hAnsi="Times New Roman" w:eastAsia="Times New Roman"/>
        </w:rPr>
        <w:t>%</w:t>
      </w:r>
      <w:r>
        <w:t>。</w:t>
      </w:r>
    </w:p>
    <w:p w14:paraId="458908A4">
      <w:pPr>
        <w:pStyle w:val="7"/>
        <w:spacing w:before="159" w:line="364" w:lineRule="auto"/>
        <w:ind w:left="460" w:right="625" w:firstLine="480"/>
        <w:jc w:val="both"/>
      </w:pPr>
      <w:r>
        <w:t>由公式可见，这类扬尘的主要特点与风速和尘粒含水率有关，因此，减少建材的露天堆放和保持物料一定的含水率是抑制这类扬尘的有效手段。扬尘在空气中的扩散稀散也与风速等气象条件、沉降速度有关。不同粒径的沉降速度见下表。</w:t>
      </w:r>
    </w:p>
    <w:p w14:paraId="426FA29F">
      <w:pPr>
        <w:spacing w:after="0" w:line="364" w:lineRule="auto"/>
        <w:jc w:val="both"/>
        <w:sectPr>
          <w:pgSz w:w="11910" w:h="16840"/>
          <w:pgMar w:top="1360" w:right="1320" w:bottom="1400" w:left="1340" w:header="878" w:footer="1204" w:gutter="0"/>
          <w:cols w:space="720" w:num="1"/>
        </w:sectPr>
      </w:pPr>
    </w:p>
    <w:p w14:paraId="67EBCF91">
      <w:pPr>
        <w:spacing w:before="67" w:after="3"/>
        <w:ind w:left="3049" w:right="0" w:firstLine="0"/>
        <w:jc w:val="left"/>
        <w:rPr>
          <w:b/>
          <w:sz w:val="21"/>
        </w:rPr>
      </w:pPr>
      <w:r>
        <w:rPr>
          <w:b/>
          <w:spacing w:val="-26"/>
          <w:sz w:val="21"/>
        </w:rPr>
        <w:t xml:space="preserve">表 </w:t>
      </w:r>
      <w:r>
        <w:rPr>
          <w:rFonts w:ascii="Times New Roman" w:eastAsia="Times New Roman"/>
          <w:b/>
          <w:sz w:val="21"/>
        </w:rPr>
        <w:t>5.1-3</w:t>
      </w:r>
      <w:r>
        <w:rPr>
          <w:rFonts w:ascii="Times New Roman" w:eastAsia="Times New Roman"/>
          <w:b/>
          <w:spacing w:val="50"/>
          <w:sz w:val="21"/>
        </w:rPr>
        <w:t xml:space="preserve"> </w:t>
      </w:r>
      <w:r>
        <w:rPr>
          <w:b/>
          <w:sz w:val="21"/>
        </w:rPr>
        <w:t>不同粒径尘粒的沉降速度</w:t>
      </w: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0"/>
        <w:gridCol w:w="939"/>
        <w:gridCol w:w="939"/>
        <w:gridCol w:w="939"/>
        <w:gridCol w:w="941"/>
        <w:gridCol w:w="939"/>
        <w:gridCol w:w="939"/>
        <w:gridCol w:w="941"/>
      </w:tblGrid>
      <w:tr w14:paraId="0D505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40" w:type="dxa"/>
          </w:tcPr>
          <w:p w14:paraId="3E1C9C87">
            <w:pPr>
              <w:pStyle w:val="14"/>
              <w:spacing w:before="63"/>
              <w:ind w:left="216" w:right="209"/>
              <w:jc w:val="center"/>
              <w:rPr>
                <w:b/>
                <w:sz w:val="21"/>
              </w:rPr>
            </w:pPr>
            <w:r>
              <w:rPr>
                <w:b/>
                <w:sz w:val="21"/>
              </w:rPr>
              <w:t>粉尘粒径（</w:t>
            </w:r>
            <w:r>
              <w:rPr>
                <w:rFonts w:ascii="Times New Roman" w:hAnsi="Times New Roman" w:eastAsia="Times New Roman"/>
                <w:b/>
                <w:sz w:val="21"/>
              </w:rPr>
              <w:t>μm</w:t>
            </w:r>
            <w:r>
              <w:rPr>
                <w:b/>
                <w:sz w:val="21"/>
              </w:rPr>
              <w:t>）</w:t>
            </w:r>
          </w:p>
        </w:tc>
        <w:tc>
          <w:tcPr>
            <w:tcW w:w="939" w:type="dxa"/>
          </w:tcPr>
          <w:p w14:paraId="693F5099">
            <w:pPr>
              <w:pStyle w:val="14"/>
              <w:spacing w:before="77"/>
              <w:ind w:left="212" w:right="202"/>
              <w:jc w:val="center"/>
              <w:rPr>
                <w:rFonts w:ascii="Times New Roman"/>
                <w:b/>
                <w:sz w:val="21"/>
              </w:rPr>
            </w:pPr>
            <w:r>
              <w:rPr>
                <w:rFonts w:ascii="Times New Roman"/>
                <w:b/>
                <w:sz w:val="21"/>
              </w:rPr>
              <w:t>10</w:t>
            </w:r>
          </w:p>
        </w:tc>
        <w:tc>
          <w:tcPr>
            <w:tcW w:w="939" w:type="dxa"/>
          </w:tcPr>
          <w:p w14:paraId="59AD5C64">
            <w:pPr>
              <w:pStyle w:val="14"/>
              <w:spacing w:before="77"/>
              <w:ind w:left="211" w:right="202"/>
              <w:jc w:val="center"/>
              <w:rPr>
                <w:rFonts w:ascii="Times New Roman"/>
                <w:b/>
                <w:sz w:val="21"/>
              </w:rPr>
            </w:pPr>
            <w:r>
              <w:rPr>
                <w:rFonts w:ascii="Times New Roman"/>
                <w:b/>
                <w:sz w:val="21"/>
              </w:rPr>
              <w:t>20</w:t>
            </w:r>
          </w:p>
        </w:tc>
        <w:tc>
          <w:tcPr>
            <w:tcW w:w="939" w:type="dxa"/>
          </w:tcPr>
          <w:p w14:paraId="21AE2AC4">
            <w:pPr>
              <w:pStyle w:val="14"/>
              <w:spacing w:before="77"/>
              <w:ind w:left="209" w:right="202"/>
              <w:jc w:val="center"/>
              <w:rPr>
                <w:rFonts w:ascii="Times New Roman"/>
                <w:b/>
                <w:sz w:val="21"/>
              </w:rPr>
            </w:pPr>
            <w:r>
              <w:rPr>
                <w:rFonts w:ascii="Times New Roman"/>
                <w:b/>
                <w:sz w:val="21"/>
              </w:rPr>
              <w:t>30</w:t>
            </w:r>
          </w:p>
        </w:tc>
        <w:tc>
          <w:tcPr>
            <w:tcW w:w="941" w:type="dxa"/>
          </w:tcPr>
          <w:p w14:paraId="17929832">
            <w:pPr>
              <w:pStyle w:val="14"/>
              <w:spacing w:before="77"/>
              <w:ind w:left="213" w:right="204"/>
              <w:jc w:val="center"/>
              <w:rPr>
                <w:rFonts w:ascii="Times New Roman"/>
                <w:b/>
                <w:sz w:val="21"/>
              </w:rPr>
            </w:pPr>
            <w:r>
              <w:rPr>
                <w:rFonts w:ascii="Times New Roman"/>
                <w:b/>
                <w:sz w:val="21"/>
              </w:rPr>
              <w:t>40</w:t>
            </w:r>
          </w:p>
        </w:tc>
        <w:tc>
          <w:tcPr>
            <w:tcW w:w="939" w:type="dxa"/>
          </w:tcPr>
          <w:p w14:paraId="757F961F">
            <w:pPr>
              <w:pStyle w:val="14"/>
              <w:spacing w:before="77"/>
              <w:ind w:left="208" w:right="202"/>
              <w:jc w:val="center"/>
              <w:rPr>
                <w:rFonts w:ascii="Times New Roman"/>
                <w:b/>
                <w:sz w:val="21"/>
              </w:rPr>
            </w:pPr>
            <w:r>
              <w:rPr>
                <w:rFonts w:ascii="Times New Roman"/>
                <w:b/>
                <w:sz w:val="21"/>
              </w:rPr>
              <w:t>50</w:t>
            </w:r>
          </w:p>
        </w:tc>
        <w:tc>
          <w:tcPr>
            <w:tcW w:w="939" w:type="dxa"/>
          </w:tcPr>
          <w:p w14:paraId="2C923618">
            <w:pPr>
              <w:pStyle w:val="14"/>
              <w:spacing w:before="77"/>
              <w:ind w:left="211" w:right="202"/>
              <w:jc w:val="center"/>
              <w:rPr>
                <w:rFonts w:ascii="Times New Roman"/>
                <w:b/>
                <w:sz w:val="21"/>
              </w:rPr>
            </w:pPr>
            <w:r>
              <w:rPr>
                <w:rFonts w:ascii="Times New Roman"/>
                <w:b/>
                <w:sz w:val="21"/>
              </w:rPr>
              <w:t>60</w:t>
            </w:r>
          </w:p>
        </w:tc>
        <w:tc>
          <w:tcPr>
            <w:tcW w:w="941" w:type="dxa"/>
          </w:tcPr>
          <w:p w14:paraId="30A8C0D8">
            <w:pPr>
              <w:pStyle w:val="14"/>
              <w:spacing w:before="77"/>
              <w:ind w:left="210" w:right="204"/>
              <w:jc w:val="center"/>
              <w:rPr>
                <w:rFonts w:ascii="Times New Roman"/>
                <w:b/>
                <w:sz w:val="21"/>
              </w:rPr>
            </w:pPr>
            <w:r>
              <w:rPr>
                <w:rFonts w:ascii="Times New Roman"/>
                <w:b/>
                <w:sz w:val="21"/>
              </w:rPr>
              <w:t>70</w:t>
            </w:r>
          </w:p>
        </w:tc>
      </w:tr>
      <w:tr w14:paraId="435FD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40" w:type="dxa"/>
          </w:tcPr>
          <w:p w14:paraId="0C4F02D2">
            <w:pPr>
              <w:pStyle w:val="14"/>
              <w:spacing w:before="62"/>
              <w:ind w:left="216" w:right="209"/>
              <w:jc w:val="center"/>
              <w:rPr>
                <w:sz w:val="21"/>
              </w:rPr>
            </w:pPr>
            <w:r>
              <w:rPr>
                <w:sz w:val="21"/>
              </w:rPr>
              <w:t>沉降速度（</w:t>
            </w:r>
            <w:r>
              <w:rPr>
                <w:rFonts w:ascii="Times New Roman" w:eastAsia="Times New Roman"/>
                <w:sz w:val="21"/>
              </w:rPr>
              <w:t>m/s</w:t>
            </w:r>
            <w:r>
              <w:rPr>
                <w:sz w:val="21"/>
              </w:rPr>
              <w:t>）</w:t>
            </w:r>
          </w:p>
        </w:tc>
        <w:tc>
          <w:tcPr>
            <w:tcW w:w="939" w:type="dxa"/>
          </w:tcPr>
          <w:p w14:paraId="39572A3D">
            <w:pPr>
              <w:pStyle w:val="14"/>
              <w:spacing w:before="76"/>
              <w:ind w:left="212" w:right="202"/>
              <w:jc w:val="center"/>
              <w:rPr>
                <w:rFonts w:ascii="Times New Roman"/>
                <w:sz w:val="21"/>
              </w:rPr>
            </w:pPr>
            <w:r>
              <w:rPr>
                <w:rFonts w:ascii="Times New Roman"/>
                <w:sz w:val="21"/>
              </w:rPr>
              <w:t>0.003</w:t>
            </w:r>
          </w:p>
        </w:tc>
        <w:tc>
          <w:tcPr>
            <w:tcW w:w="939" w:type="dxa"/>
          </w:tcPr>
          <w:p w14:paraId="5070F01B">
            <w:pPr>
              <w:pStyle w:val="14"/>
              <w:spacing w:before="76"/>
              <w:ind w:left="211" w:right="202"/>
              <w:jc w:val="center"/>
              <w:rPr>
                <w:rFonts w:ascii="Times New Roman"/>
                <w:sz w:val="21"/>
              </w:rPr>
            </w:pPr>
            <w:r>
              <w:rPr>
                <w:rFonts w:ascii="Times New Roman"/>
                <w:sz w:val="21"/>
              </w:rPr>
              <w:t>0.012</w:t>
            </w:r>
          </w:p>
        </w:tc>
        <w:tc>
          <w:tcPr>
            <w:tcW w:w="939" w:type="dxa"/>
          </w:tcPr>
          <w:p w14:paraId="031D8C37">
            <w:pPr>
              <w:pStyle w:val="14"/>
              <w:spacing w:before="76"/>
              <w:ind w:left="212" w:right="202"/>
              <w:jc w:val="center"/>
              <w:rPr>
                <w:rFonts w:ascii="Times New Roman"/>
                <w:sz w:val="21"/>
              </w:rPr>
            </w:pPr>
            <w:r>
              <w:rPr>
                <w:rFonts w:ascii="Times New Roman"/>
                <w:sz w:val="21"/>
              </w:rPr>
              <w:t>0.027</w:t>
            </w:r>
          </w:p>
        </w:tc>
        <w:tc>
          <w:tcPr>
            <w:tcW w:w="941" w:type="dxa"/>
          </w:tcPr>
          <w:p w14:paraId="7A2E4D42">
            <w:pPr>
              <w:pStyle w:val="14"/>
              <w:spacing w:before="76"/>
              <w:ind w:left="213" w:right="204"/>
              <w:jc w:val="center"/>
              <w:rPr>
                <w:rFonts w:ascii="Times New Roman"/>
                <w:sz w:val="21"/>
              </w:rPr>
            </w:pPr>
            <w:r>
              <w:rPr>
                <w:rFonts w:ascii="Times New Roman"/>
                <w:sz w:val="21"/>
              </w:rPr>
              <w:t>0.048</w:t>
            </w:r>
          </w:p>
        </w:tc>
        <w:tc>
          <w:tcPr>
            <w:tcW w:w="939" w:type="dxa"/>
          </w:tcPr>
          <w:p w14:paraId="25DEDA34">
            <w:pPr>
              <w:pStyle w:val="14"/>
              <w:spacing w:before="76"/>
              <w:ind w:left="212" w:right="201"/>
              <w:jc w:val="center"/>
              <w:rPr>
                <w:rFonts w:ascii="Times New Roman"/>
                <w:sz w:val="21"/>
              </w:rPr>
            </w:pPr>
            <w:r>
              <w:rPr>
                <w:rFonts w:ascii="Times New Roman"/>
                <w:sz w:val="21"/>
              </w:rPr>
              <w:t>0.075</w:t>
            </w:r>
          </w:p>
        </w:tc>
        <w:tc>
          <w:tcPr>
            <w:tcW w:w="939" w:type="dxa"/>
          </w:tcPr>
          <w:p w14:paraId="7FA09B9E">
            <w:pPr>
              <w:pStyle w:val="14"/>
              <w:spacing w:before="76"/>
              <w:ind w:left="211" w:right="202"/>
              <w:jc w:val="center"/>
              <w:rPr>
                <w:rFonts w:ascii="Times New Roman"/>
                <w:sz w:val="21"/>
              </w:rPr>
            </w:pPr>
            <w:r>
              <w:rPr>
                <w:rFonts w:ascii="Times New Roman"/>
                <w:sz w:val="21"/>
              </w:rPr>
              <w:t>0.108</w:t>
            </w:r>
          </w:p>
        </w:tc>
        <w:tc>
          <w:tcPr>
            <w:tcW w:w="941" w:type="dxa"/>
          </w:tcPr>
          <w:p w14:paraId="02379C4A">
            <w:pPr>
              <w:pStyle w:val="14"/>
              <w:spacing w:before="76"/>
              <w:ind w:left="213" w:right="204"/>
              <w:jc w:val="center"/>
              <w:rPr>
                <w:rFonts w:ascii="Times New Roman"/>
                <w:sz w:val="21"/>
              </w:rPr>
            </w:pPr>
            <w:r>
              <w:rPr>
                <w:rFonts w:ascii="Times New Roman"/>
                <w:sz w:val="21"/>
              </w:rPr>
              <w:t>0.147</w:t>
            </w:r>
          </w:p>
        </w:tc>
      </w:tr>
      <w:tr w14:paraId="2360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40" w:type="dxa"/>
          </w:tcPr>
          <w:p w14:paraId="126B8206">
            <w:pPr>
              <w:pStyle w:val="14"/>
              <w:spacing w:before="63"/>
              <w:ind w:left="216" w:right="209"/>
              <w:jc w:val="center"/>
              <w:rPr>
                <w:sz w:val="21"/>
              </w:rPr>
            </w:pPr>
            <w:r>
              <w:rPr>
                <w:sz w:val="21"/>
              </w:rPr>
              <w:t>粉尘粒径（</w:t>
            </w:r>
            <w:r>
              <w:rPr>
                <w:rFonts w:ascii="Times New Roman" w:hAnsi="Times New Roman" w:eastAsia="Times New Roman"/>
                <w:sz w:val="21"/>
              </w:rPr>
              <w:t>μm</w:t>
            </w:r>
            <w:r>
              <w:rPr>
                <w:sz w:val="21"/>
              </w:rPr>
              <w:t>）</w:t>
            </w:r>
          </w:p>
        </w:tc>
        <w:tc>
          <w:tcPr>
            <w:tcW w:w="939" w:type="dxa"/>
          </w:tcPr>
          <w:p w14:paraId="0D38D835">
            <w:pPr>
              <w:pStyle w:val="14"/>
              <w:spacing w:before="77"/>
              <w:ind w:left="212" w:right="202"/>
              <w:jc w:val="center"/>
              <w:rPr>
                <w:rFonts w:ascii="Times New Roman"/>
                <w:sz w:val="21"/>
              </w:rPr>
            </w:pPr>
            <w:r>
              <w:rPr>
                <w:rFonts w:ascii="Times New Roman"/>
                <w:sz w:val="21"/>
              </w:rPr>
              <w:t>80</w:t>
            </w:r>
          </w:p>
        </w:tc>
        <w:tc>
          <w:tcPr>
            <w:tcW w:w="939" w:type="dxa"/>
          </w:tcPr>
          <w:p w14:paraId="19AB1C63">
            <w:pPr>
              <w:pStyle w:val="14"/>
              <w:spacing w:before="77"/>
              <w:ind w:left="211" w:right="202"/>
              <w:jc w:val="center"/>
              <w:rPr>
                <w:rFonts w:ascii="Times New Roman"/>
                <w:sz w:val="21"/>
              </w:rPr>
            </w:pPr>
            <w:r>
              <w:rPr>
                <w:rFonts w:ascii="Times New Roman"/>
                <w:sz w:val="21"/>
              </w:rPr>
              <w:t>90</w:t>
            </w:r>
          </w:p>
        </w:tc>
        <w:tc>
          <w:tcPr>
            <w:tcW w:w="939" w:type="dxa"/>
          </w:tcPr>
          <w:p w14:paraId="6A5AC705">
            <w:pPr>
              <w:pStyle w:val="14"/>
              <w:spacing w:before="77"/>
              <w:ind w:left="209" w:right="202"/>
              <w:jc w:val="center"/>
              <w:rPr>
                <w:rFonts w:ascii="Times New Roman"/>
                <w:sz w:val="21"/>
              </w:rPr>
            </w:pPr>
            <w:r>
              <w:rPr>
                <w:rFonts w:ascii="Times New Roman"/>
                <w:sz w:val="21"/>
              </w:rPr>
              <w:t>100</w:t>
            </w:r>
          </w:p>
        </w:tc>
        <w:tc>
          <w:tcPr>
            <w:tcW w:w="941" w:type="dxa"/>
          </w:tcPr>
          <w:p w14:paraId="60B45F40">
            <w:pPr>
              <w:pStyle w:val="14"/>
              <w:spacing w:before="77"/>
              <w:ind w:left="213" w:right="204"/>
              <w:jc w:val="center"/>
              <w:rPr>
                <w:rFonts w:ascii="Times New Roman"/>
                <w:sz w:val="21"/>
              </w:rPr>
            </w:pPr>
            <w:r>
              <w:rPr>
                <w:rFonts w:ascii="Times New Roman"/>
                <w:sz w:val="21"/>
              </w:rPr>
              <w:t>150</w:t>
            </w:r>
          </w:p>
        </w:tc>
        <w:tc>
          <w:tcPr>
            <w:tcW w:w="939" w:type="dxa"/>
          </w:tcPr>
          <w:p w14:paraId="19FBC116">
            <w:pPr>
              <w:pStyle w:val="14"/>
              <w:spacing w:before="77"/>
              <w:ind w:left="212" w:right="201"/>
              <w:jc w:val="center"/>
              <w:rPr>
                <w:rFonts w:ascii="Times New Roman"/>
                <w:sz w:val="21"/>
              </w:rPr>
            </w:pPr>
            <w:r>
              <w:rPr>
                <w:rFonts w:ascii="Times New Roman"/>
                <w:sz w:val="21"/>
              </w:rPr>
              <w:t>200</w:t>
            </w:r>
          </w:p>
        </w:tc>
        <w:tc>
          <w:tcPr>
            <w:tcW w:w="939" w:type="dxa"/>
          </w:tcPr>
          <w:p w14:paraId="09809226">
            <w:pPr>
              <w:pStyle w:val="14"/>
              <w:spacing w:before="77"/>
              <w:ind w:left="211" w:right="202"/>
              <w:jc w:val="center"/>
              <w:rPr>
                <w:rFonts w:ascii="Times New Roman"/>
                <w:sz w:val="21"/>
              </w:rPr>
            </w:pPr>
            <w:r>
              <w:rPr>
                <w:rFonts w:ascii="Times New Roman"/>
                <w:sz w:val="21"/>
              </w:rPr>
              <w:t>250</w:t>
            </w:r>
          </w:p>
        </w:tc>
        <w:tc>
          <w:tcPr>
            <w:tcW w:w="941" w:type="dxa"/>
          </w:tcPr>
          <w:p w14:paraId="0B3E4AE9">
            <w:pPr>
              <w:pStyle w:val="14"/>
              <w:spacing w:before="77"/>
              <w:ind w:left="213" w:right="202"/>
              <w:jc w:val="center"/>
              <w:rPr>
                <w:rFonts w:ascii="Times New Roman"/>
                <w:sz w:val="21"/>
              </w:rPr>
            </w:pPr>
            <w:r>
              <w:rPr>
                <w:rFonts w:ascii="Times New Roman"/>
                <w:sz w:val="21"/>
              </w:rPr>
              <w:t>350</w:t>
            </w:r>
          </w:p>
        </w:tc>
      </w:tr>
      <w:tr w14:paraId="6AE0A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40" w:type="dxa"/>
          </w:tcPr>
          <w:p w14:paraId="5DC4687F">
            <w:pPr>
              <w:pStyle w:val="14"/>
              <w:spacing w:before="64"/>
              <w:ind w:left="216" w:right="209"/>
              <w:jc w:val="center"/>
              <w:rPr>
                <w:sz w:val="21"/>
              </w:rPr>
            </w:pPr>
            <w:r>
              <w:rPr>
                <w:sz w:val="21"/>
              </w:rPr>
              <w:t>沉降速度（</w:t>
            </w:r>
            <w:r>
              <w:rPr>
                <w:rFonts w:ascii="Times New Roman" w:eastAsia="Times New Roman"/>
                <w:sz w:val="21"/>
              </w:rPr>
              <w:t>m/s</w:t>
            </w:r>
            <w:r>
              <w:rPr>
                <w:sz w:val="21"/>
              </w:rPr>
              <w:t>）</w:t>
            </w:r>
          </w:p>
        </w:tc>
        <w:tc>
          <w:tcPr>
            <w:tcW w:w="939" w:type="dxa"/>
          </w:tcPr>
          <w:p w14:paraId="63825A77">
            <w:pPr>
              <w:pStyle w:val="14"/>
              <w:spacing w:before="78"/>
              <w:ind w:left="212" w:right="202"/>
              <w:jc w:val="center"/>
              <w:rPr>
                <w:rFonts w:ascii="Times New Roman"/>
                <w:sz w:val="21"/>
              </w:rPr>
            </w:pPr>
            <w:r>
              <w:rPr>
                <w:rFonts w:ascii="Times New Roman"/>
                <w:sz w:val="21"/>
              </w:rPr>
              <w:t>0.158</w:t>
            </w:r>
          </w:p>
        </w:tc>
        <w:tc>
          <w:tcPr>
            <w:tcW w:w="939" w:type="dxa"/>
          </w:tcPr>
          <w:p w14:paraId="034A0CD2">
            <w:pPr>
              <w:pStyle w:val="14"/>
              <w:spacing w:before="78"/>
              <w:ind w:left="211" w:right="202"/>
              <w:jc w:val="center"/>
              <w:rPr>
                <w:rFonts w:ascii="Times New Roman"/>
                <w:sz w:val="21"/>
              </w:rPr>
            </w:pPr>
            <w:r>
              <w:rPr>
                <w:rFonts w:ascii="Times New Roman"/>
                <w:sz w:val="21"/>
              </w:rPr>
              <w:t>0.170</w:t>
            </w:r>
          </w:p>
        </w:tc>
        <w:tc>
          <w:tcPr>
            <w:tcW w:w="939" w:type="dxa"/>
          </w:tcPr>
          <w:p w14:paraId="7A4499F2">
            <w:pPr>
              <w:pStyle w:val="14"/>
              <w:spacing w:before="78"/>
              <w:ind w:left="212" w:right="202"/>
              <w:jc w:val="center"/>
              <w:rPr>
                <w:rFonts w:ascii="Times New Roman"/>
                <w:sz w:val="21"/>
              </w:rPr>
            </w:pPr>
            <w:r>
              <w:rPr>
                <w:rFonts w:ascii="Times New Roman"/>
                <w:sz w:val="21"/>
              </w:rPr>
              <w:t>0.170</w:t>
            </w:r>
          </w:p>
        </w:tc>
        <w:tc>
          <w:tcPr>
            <w:tcW w:w="941" w:type="dxa"/>
          </w:tcPr>
          <w:p w14:paraId="4EC439FA">
            <w:pPr>
              <w:pStyle w:val="14"/>
              <w:spacing w:before="78"/>
              <w:ind w:left="213" w:right="204"/>
              <w:jc w:val="center"/>
              <w:rPr>
                <w:rFonts w:ascii="Times New Roman"/>
                <w:sz w:val="21"/>
              </w:rPr>
            </w:pPr>
            <w:r>
              <w:rPr>
                <w:rFonts w:ascii="Times New Roman"/>
                <w:sz w:val="21"/>
              </w:rPr>
              <w:t>0.239</w:t>
            </w:r>
          </w:p>
        </w:tc>
        <w:tc>
          <w:tcPr>
            <w:tcW w:w="939" w:type="dxa"/>
          </w:tcPr>
          <w:p w14:paraId="6494A149">
            <w:pPr>
              <w:pStyle w:val="14"/>
              <w:spacing w:before="78"/>
              <w:ind w:left="212" w:right="201"/>
              <w:jc w:val="center"/>
              <w:rPr>
                <w:rFonts w:ascii="Times New Roman"/>
                <w:sz w:val="21"/>
              </w:rPr>
            </w:pPr>
            <w:r>
              <w:rPr>
                <w:rFonts w:ascii="Times New Roman"/>
                <w:sz w:val="21"/>
              </w:rPr>
              <w:t>0.804</w:t>
            </w:r>
          </w:p>
        </w:tc>
        <w:tc>
          <w:tcPr>
            <w:tcW w:w="939" w:type="dxa"/>
          </w:tcPr>
          <w:p w14:paraId="2F5875BD">
            <w:pPr>
              <w:pStyle w:val="14"/>
              <w:spacing w:before="78"/>
              <w:ind w:left="211" w:right="202"/>
              <w:jc w:val="center"/>
              <w:rPr>
                <w:rFonts w:ascii="Times New Roman"/>
                <w:sz w:val="21"/>
              </w:rPr>
            </w:pPr>
            <w:r>
              <w:rPr>
                <w:rFonts w:ascii="Times New Roman"/>
                <w:sz w:val="21"/>
              </w:rPr>
              <w:t>1.005</w:t>
            </w:r>
          </w:p>
        </w:tc>
        <w:tc>
          <w:tcPr>
            <w:tcW w:w="941" w:type="dxa"/>
          </w:tcPr>
          <w:p w14:paraId="17550776">
            <w:pPr>
              <w:pStyle w:val="14"/>
              <w:spacing w:before="78"/>
              <w:ind w:left="213" w:right="204"/>
              <w:jc w:val="center"/>
              <w:rPr>
                <w:rFonts w:ascii="Times New Roman"/>
                <w:sz w:val="21"/>
              </w:rPr>
            </w:pPr>
            <w:r>
              <w:rPr>
                <w:rFonts w:ascii="Times New Roman"/>
                <w:sz w:val="21"/>
              </w:rPr>
              <w:t>1.829</w:t>
            </w:r>
          </w:p>
        </w:tc>
      </w:tr>
    </w:tbl>
    <w:p w14:paraId="55900E42">
      <w:pPr>
        <w:pStyle w:val="7"/>
        <w:spacing w:before="1"/>
        <w:ind w:left="940"/>
      </w:pPr>
      <w:r>
        <w:t>由表可知，粉尘的沉降速度随着粒径的增大而迅速增大，当粒径大于</w:t>
      </w:r>
    </w:p>
    <w:p w14:paraId="057476D1">
      <w:pPr>
        <w:pStyle w:val="7"/>
        <w:spacing w:before="161" w:line="362" w:lineRule="auto"/>
        <w:ind w:left="460" w:right="577"/>
      </w:pPr>
      <w:r>
        <w:rPr>
          <w:rFonts w:ascii="Times New Roman" w:hAnsi="Times New Roman" w:eastAsia="Times New Roman"/>
        </w:rPr>
        <w:t xml:space="preserve">250μm </w:t>
      </w:r>
      <w:r>
        <w:t>时，主要影响范围在扬尘产生点下风向近距离范围内，而对外环境影响较大的是一些粒径微小的粉尘。</w:t>
      </w:r>
    </w:p>
    <w:p w14:paraId="4137F38D">
      <w:pPr>
        <w:pStyle w:val="7"/>
        <w:spacing w:before="5" w:line="364" w:lineRule="auto"/>
        <w:ind w:left="460" w:right="537" w:firstLine="480"/>
      </w:pPr>
      <w:r>
        <w:t xml:space="preserve">因本项目在施工阶段，伴随着土方的挖掘、装卸和运输等施工活动，其扬尘周围环境会有一定影响的。因此建设单位必须充分重视扬尘所带来的环境污染问题，应从车辆途经路段、车辆行驶速度以及车辆轮胎清洁度，施工工地堆场、裸露地表等方面采取合理可行的污染控制措施，最大程度减轻其污染程 </w:t>
      </w:r>
      <w:r>
        <w:rPr>
          <w:spacing w:val="-8"/>
        </w:rPr>
        <w:t>度。根据《大气污染防治行动计划》</w:t>
      </w:r>
      <w:r>
        <w:t>（国发</w:t>
      </w:r>
      <w:r>
        <w:rPr>
          <w:rFonts w:ascii="Times New Roman" w:eastAsia="Times New Roman"/>
        </w:rPr>
        <w:t>[2013]37</w:t>
      </w:r>
      <w:r>
        <w:rPr>
          <w:rFonts w:ascii="Times New Roman" w:eastAsia="Times New Roman"/>
          <w:spacing w:val="-15"/>
        </w:rPr>
        <w:t xml:space="preserve"> </w:t>
      </w:r>
      <w:r>
        <w:t>号</w:t>
      </w:r>
      <w:r>
        <w:rPr>
          <w:spacing w:val="-120"/>
        </w:rPr>
        <w:t>）</w:t>
      </w:r>
      <w:r>
        <w:rPr>
          <w:spacing w:val="-13"/>
        </w:rPr>
        <w:t>、《建设工程施工场地文</w:t>
      </w:r>
      <w:r>
        <w:rPr>
          <w:spacing w:val="-21"/>
        </w:rPr>
        <w:t>明施工及环境管理暂行规定》。</w:t>
      </w:r>
    </w:p>
    <w:p w14:paraId="455204AF">
      <w:pPr>
        <w:pStyle w:val="7"/>
        <w:spacing w:line="304" w:lineRule="exact"/>
        <w:ind w:left="940"/>
      </w:pPr>
      <w:r>
        <w:t>工程施工应当符合下列一般要求：</w:t>
      </w:r>
    </w:p>
    <w:p w14:paraId="2305BB05">
      <w:pPr>
        <w:pStyle w:val="7"/>
        <w:spacing w:before="160"/>
        <w:ind w:left="940"/>
      </w:pPr>
      <w:r>
        <w:t>①施工工地周围按照规范要求设置硬质围挡；</w:t>
      </w:r>
    </w:p>
    <w:p w14:paraId="484CF103">
      <w:pPr>
        <w:pStyle w:val="7"/>
        <w:spacing w:before="159" w:line="362" w:lineRule="auto"/>
        <w:ind w:left="460" w:right="625" w:firstLine="480"/>
      </w:pPr>
      <w:r>
        <w:t>②施工工地出入口、内部主要道路、加工区和物料堆放场地硬化并辅以喷淋、洒水等有效措施；</w:t>
      </w:r>
    </w:p>
    <w:p w14:paraId="58800D89">
      <w:pPr>
        <w:pStyle w:val="7"/>
        <w:spacing w:before="4" w:line="364" w:lineRule="auto"/>
        <w:ind w:left="460" w:right="625" w:firstLine="480"/>
      </w:pPr>
      <w:r>
        <w:t>③有施工车辆出入的施工工地出口内侧建设冲洗平台，安装车辆冲洗设 备，车辆冲洗干净后方可驶出，确实不具备建设冲洗平台设施条件的，采取其他有效措施防止运输车辆造成扬尘污染；</w:t>
      </w:r>
    </w:p>
    <w:p w14:paraId="015AE144">
      <w:pPr>
        <w:pStyle w:val="7"/>
        <w:spacing w:line="307" w:lineRule="exact"/>
        <w:ind w:left="940"/>
      </w:pPr>
      <w:r>
        <w:t>④施工工地内的裸露地面绿化或者覆盖密闭式防尘网（布</w:t>
      </w:r>
      <w:r>
        <w:rPr>
          <w:spacing w:val="-120"/>
        </w:rPr>
        <w:t>）</w:t>
      </w:r>
      <w:r>
        <w:t>；</w:t>
      </w:r>
    </w:p>
    <w:p w14:paraId="22475105">
      <w:pPr>
        <w:pStyle w:val="7"/>
        <w:spacing w:before="159" w:line="364" w:lineRule="auto"/>
        <w:ind w:left="460" w:right="625" w:firstLine="480"/>
      </w:pPr>
      <w:r>
        <w:t>⑤施工过程中易产生扬尘环节实行湿法作业，但是按照规范要求不宜采取湿法作业的除外；</w:t>
      </w:r>
    </w:p>
    <w:p w14:paraId="14198108">
      <w:pPr>
        <w:pStyle w:val="7"/>
        <w:spacing w:line="306" w:lineRule="exact"/>
        <w:ind w:left="940"/>
      </w:pPr>
      <w:r>
        <w:t>⑥施工工地作业产生泥浆的，设置泥浆池、泥浆沟，确保泥浆不溢流。</w:t>
      </w:r>
    </w:p>
    <w:p w14:paraId="2590B89E">
      <w:pPr>
        <w:pStyle w:val="7"/>
        <w:spacing w:before="160"/>
        <w:ind w:left="940"/>
      </w:pPr>
      <w:r>
        <w:t>（</w:t>
      </w:r>
      <w:r>
        <w:rPr>
          <w:rFonts w:ascii="Times New Roman" w:eastAsia="Times New Roman"/>
        </w:rPr>
        <w:t>3</w:t>
      </w:r>
      <w:r>
        <w:t>）汽车尾气</w:t>
      </w:r>
    </w:p>
    <w:p w14:paraId="2188539C">
      <w:pPr>
        <w:pStyle w:val="7"/>
        <w:spacing w:before="158" w:line="364" w:lineRule="auto"/>
        <w:ind w:left="460" w:right="505" w:firstLine="480"/>
      </w:pPr>
      <w:r>
        <w:t>施工车辆（工程车</w:t>
      </w:r>
      <w:r>
        <w:rPr>
          <w:spacing w:val="-120"/>
        </w:rPr>
        <w:t>）</w:t>
      </w:r>
      <w:r>
        <w:t>、施工机械（挖掘机、推土机等）等一般均采用柴油为</w:t>
      </w:r>
      <w:r>
        <w:rPr>
          <w:spacing w:val="-11"/>
        </w:rPr>
        <w:t xml:space="preserve">燃料，产生 </w:t>
      </w:r>
      <w:r>
        <w:rPr>
          <w:rFonts w:ascii="Times New Roman" w:eastAsia="Times New Roman"/>
        </w:rPr>
        <w:t>CO</w:t>
      </w:r>
      <w:r>
        <w:t>、</w:t>
      </w:r>
      <w:r>
        <w:rPr>
          <w:rFonts w:ascii="Times New Roman" w:eastAsia="Times New Roman"/>
        </w:rPr>
        <w:t>HC</w:t>
      </w:r>
      <w:r>
        <w:t>、</w:t>
      </w:r>
      <w:r>
        <w:rPr>
          <w:rFonts w:ascii="Times New Roman" w:eastAsia="Times New Roman"/>
        </w:rPr>
        <w:t xml:space="preserve">NOx </w:t>
      </w:r>
      <w:r>
        <w:t>等尾气污染物，车辆以及施工机械分布较散，大部分为流动性，产生情况表现为局部和间歇性，其排放量也较小，经自然扩散</w:t>
      </w:r>
    </w:p>
    <w:p w14:paraId="71FBF38A">
      <w:pPr>
        <w:pStyle w:val="7"/>
        <w:spacing w:line="307" w:lineRule="exact"/>
        <w:ind w:left="460"/>
      </w:pPr>
      <w:r>
        <w:t>后，其对周边环境敏感点以及周边大气环境影响不大。</w:t>
      </w:r>
    </w:p>
    <w:p w14:paraId="2EC5FFFE">
      <w:pPr>
        <w:pStyle w:val="7"/>
        <w:spacing w:before="161"/>
        <w:ind w:left="940"/>
      </w:pPr>
      <w:r>
        <w:t>在采取上述措施之后，施工扬尘可得到较大的控制，一般在施工现场周围</w:t>
      </w:r>
    </w:p>
    <w:p w14:paraId="4361D622">
      <w:pPr>
        <w:spacing w:after="0"/>
        <w:sectPr>
          <w:pgSz w:w="11910" w:h="16840"/>
          <w:pgMar w:top="1360" w:right="1320" w:bottom="1400" w:left="1340" w:header="878" w:footer="1204" w:gutter="0"/>
          <w:cols w:space="720" w:num="1"/>
        </w:sectPr>
      </w:pPr>
    </w:p>
    <w:p w14:paraId="349A6509">
      <w:pPr>
        <w:pStyle w:val="7"/>
        <w:spacing w:before="68" w:line="364" w:lineRule="auto"/>
        <w:ind w:left="460" w:right="625"/>
        <w:jc w:val="both"/>
      </w:pPr>
      <w:r>
        <w:rPr>
          <w:rFonts w:ascii="Times New Roman" w:eastAsia="Times New Roman"/>
        </w:rPr>
        <w:t xml:space="preserve">100m </w:t>
      </w:r>
      <w:r>
        <w:rPr>
          <w:spacing w:val="-8"/>
        </w:rPr>
        <w:t>范围内可满足《环境空气质量标准》</w:t>
      </w:r>
      <w:r>
        <w:t>（</w:t>
      </w:r>
      <w:r>
        <w:rPr>
          <w:rFonts w:ascii="Times New Roman" w:eastAsia="Times New Roman"/>
        </w:rPr>
        <w:t>GB3095-2012</w:t>
      </w:r>
      <w:r>
        <w:t>）二级标准要求。施工扬尘的影响随着施工过程的结束而自行消除。因此，项目的施工过程不会对当地大气环境构成较明显的不利影响，也不会对当地居民的生活构成影响。</w:t>
      </w:r>
    </w:p>
    <w:p w14:paraId="4FE51ACF">
      <w:pPr>
        <w:pStyle w:val="6"/>
        <w:numPr>
          <w:ilvl w:val="2"/>
          <w:numId w:val="19"/>
        </w:numPr>
        <w:tabs>
          <w:tab w:val="left" w:pos="991"/>
        </w:tabs>
        <w:spacing w:before="0" w:after="0" w:line="307" w:lineRule="exact"/>
        <w:ind w:left="990" w:right="0" w:hanging="530"/>
        <w:jc w:val="left"/>
        <w:rPr>
          <w:rFonts w:ascii="Times New Roman" w:eastAsia="Times New Roman"/>
        </w:rPr>
      </w:pPr>
      <w:bookmarkStart w:id="159" w:name="5.1.2地表水环境影响分析"/>
      <w:bookmarkEnd w:id="159"/>
      <w:bookmarkStart w:id="160" w:name="5.1.2地表水环境影响分析"/>
      <w:bookmarkEnd w:id="160"/>
      <w:r>
        <w:t>地表水环境影响分析</w:t>
      </w:r>
    </w:p>
    <w:p w14:paraId="3FF59764">
      <w:pPr>
        <w:pStyle w:val="7"/>
        <w:spacing w:before="158"/>
        <w:ind w:left="940"/>
      </w:pPr>
      <w:r>
        <w:t>（</w:t>
      </w:r>
      <w:r>
        <w:rPr>
          <w:rFonts w:ascii="Times New Roman" w:eastAsia="Times New Roman"/>
        </w:rPr>
        <w:t>1</w:t>
      </w:r>
      <w:r>
        <w:t>）施工期水环境影响分析</w:t>
      </w:r>
    </w:p>
    <w:p w14:paraId="130B8F98">
      <w:pPr>
        <w:pStyle w:val="7"/>
        <w:spacing w:before="160"/>
        <w:ind w:left="940"/>
      </w:pPr>
      <w:r>
        <w:t>①施工工艺废水</w:t>
      </w:r>
    </w:p>
    <w:p w14:paraId="327EC8DB">
      <w:pPr>
        <w:pStyle w:val="7"/>
        <w:spacing w:before="159" w:line="364" w:lineRule="auto"/>
        <w:ind w:left="460" w:right="625" w:firstLine="480"/>
        <w:jc w:val="both"/>
      </w:pPr>
      <w:r>
        <w:t>本项目土方挖掘施工和桩基础施工时，会产生少量泥浆，由于其产生量较少且大部分循环利用，施工单位一般会将剩余泥浆集中收集，晾晒后处理或由专用罐车运输至当地相关主管部门指定的地点排放，所以基础处理产生的泥浆不会对受纳水体产生明显影响。</w:t>
      </w:r>
    </w:p>
    <w:p w14:paraId="73648C52">
      <w:pPr>
        <w:pStyle w:val="7"/>
        <w:spacing w:line="364" w:lineRule="auto"/>
        <w:ind w:left="460" w:right="451" w:firstLine="480"/>
      </w:pPr>
      <w:r>
        <w:t>工程施工过程中机械设备和车辆冲洗会产生一定量的废水，其主要污染物</w:t>
      </w:r>
      <w:r>
        <w:rPr>
          <w:spacing w:val="-30"/>
        </w:rPr>
        <w:t xml:space="preserve">为 </w:t>
      </w:r>
      <w:r>
        <w:rPr>
          <w:rFonts w:ascii="Times New Roman" w:eastAsia="Times New Roman"/>
        </w:rPr>
        <w:t xml:space="preserve">SS </w:t>
      </w:r>
      <w:r>
        <w:t>和石油类。对普通建筑施工工地车辆冲洗废水类比调查分析，废水产生量</w:t>
      </w:r>
      <w:r>
        <w:rPr>
          <w:spacing w:val="-21"/>
        </w:rPr>
        <w:t xml:space="preserve">约为 </w:t>
      </w:r>
      <w:r>
        <w:rPr>
          <w:rFonts w:ascii="Times New Roman" w:eastAsia="Times New Roman"/>
        </w:rPr>
        <w:t>0.2m</w:t>
      </w:r>
      <w:r>
        <w:rPr>
          <w:rFonts w:ascii="Times New Roman" w:eastAsia="Times New Roman"/>
          <w:position w:val="8"/>
          <w:sz w:val="15"/>
        </w:rPr>
        <w:t>3</w:t>
      </w:r>
      <w:r>
        <w:rPr>
          <w:rFonts w:ascii="Times New Roman" w:eastAsia="Times New Roman"/>
        </w:rPr>
        <w:t>/</w:t>
      </w:r>
      <w:r>
        <w:t>辆，</w:t>
      </w:r>
      <w:r>
        <w:rPr>
          <w:rFonts w:ascii="Times New Roman" w:eastAsia="Times New Roman"/>
        </w:rPr>
        <w:t xml:space="preserve">SS </w:t>
      </w:r>
      <w:r>
        <w:rPr>
          <w:spacing w:val="-13"/>
        </w:rPr>
        <w:t xml:space="preserve">含量约为 </w:t>
      </w:r>
      <w:r>
        <w:rPr>
          <w:rFonts w:ascii="Times New Roman" w:eastAsia="Times New Roman"/>
        </w:rPr>
        <w:t>350~620mg/L</w:t>
      </w:r>
      <w:r>
        <w:rPr>
          <w:spacing w:val="-7"/>
        </w:rPr>
        <w:t xml:space="preserve">，石油类含量约为 </w:t>
      </w:r>
      <w:r>
        <w:rPr>
          <w:rFonts w:ascii="Times New Roman" w:eastAsia="Times New Roman"/>
        </w:rPr>
        <w:t>12~25mg/L</w:t>
      </w:r>
      <w:r>
        <w:t>，这些废水水量虽然不大，但如果不经处理直接排放会对受纳水体的环境质量产生一定影响，因此这部分废水的处理必须引起施工单位的高度重视。</w:t>
      </w:r>
    </w:p>
    <w:p w14:paraId="6490FCDF">
      <w:pPr>
        <w:pStyle w:val="7"/>
        <w:spacing w:line="306" w:lineRule="exact"/>
        <w:ind w:left="940"/>
      </w:pPr>
      <w:r>
        <w:t>②生活污水</w:t>
      </w:r>
    </w:p>
    <w:p w14:paraId="777B99C8">
      <w:pPr>
        <w:pStyle w:val="7"/>
        <w:spacing w:before="158" w:line="364" w:lineRule="auto"/>
        <w:ind w:left="460" w:right="625" w:firstLine="480"/>
        <w:jc w:val="both"/>
      </w:pPr>
      <w:r>
        <w:t>施工期不设置施工营地，利用厂区繁殖场现有民房，生活污水排入现有化粪池处理后排入市政污水管网。因此，本项目施工人员的生活污水不会对受纳水体产生明显影响。</w:t>
      </w:r>
    </w:p>
    <w:p w14:paraId="0F4EC0C6">
      <w:pPr>
        <w:pStyle w:val="7"/>
        <w:spacing w:line="304" w:lineRule="exact"/>
        <w:ind w:left="940"/>
      </w:pPr>
      <w:r>
        <w:t>③地表径流水</w:t>
      </w:r>
    </w:p>
    <w:p w14:paraId="00EAF9FF">
      <w:pPr>
        <w:pStyle w:val="7"/>
        <w:spacing w:before="160" w:line="364" w:lineRule="auto"/>
        <w:ind w:left="460" w:right="625" w:firstLine="480"/>
        <w:jc w:val="both"/>
      </w:pPr>
      <w:r>
        <w:t>项目所在位置属亚热带季风气候，降雨量充沛，特别是夏季暴雨易对施工场地的浮土造成的冲刷，造成含有大量悬浮物的地表径流水污染周围环境，严重时可导致堵塞市政排水系统，但是根据同类型建设项目施工经验，只要本项目施工单位加强施工期的环境管理，特别是雨季对地表浮土的管理并采取导排水和沉沙池等预处理措施，则本项目施工期的地表径流水不会对周围环境产生明显的影响。</w:t>
      </w:r>
    </w:p>
    <w:p w14:paraId="6662D376">
      <w:pPr>
        <w:pStyle w:val="7"/>
        <w:spacing w:line="304" w:lineRule="exact"/>
        <w:ind w:left="940"/>
      </w:pPr>
      <w:r>
        <w:t>（</w:t>
      </w:r>
      <w:r>
        <w:rPr>
          <w:rFonts w:ascii="Times New Roman" w:eastAsia="Times New Roman"/>
        </w:rPr>
        <w:t>2</w:t>
      </w:r>
      <w:r>
        <w:t>）施工期水环境污染防治措施</w:t>
      </w:r>
    </w:p>
    <w:p w14:paraId="6B858B5E">
      <w:pPr>
        <w:pStyle w:val="7"/>
        <w:spacing w:before="158" w:line="364" w:lineRule="auto"/>
        <w:ind w:left="460" w:right="505" w:firstLine="480"/>
      </w:pPr>
      <w:r>
        <w:t>工程施工期间，施工单位应严格执行《建设工程施工场地文明施工及环境</w:t>
      </w:r>
      <w:r>
        <w:rPr>
          <w:spacing w:val="-12"/>
        </w:rPr>
        <w:t>管理暂行规定》，对地面水的排放进行组织设计，严禁乱排、乱流污染道路、环境或淹没市政设施。施工期污水污染防治措施如下：</w:t>
      </w:r>
    </w:p>
    <w:p w14:paraId="3F16D71E">
      <w:pPr>
        <w:spacing w:after="0" w:line="364" w:lineRule="auto"/>
        <w:sectPr>
          <w:footerReference r:id="rId33" w:type="default"/>
          <w:pgSz w:w="11910" w:h="16840"/>
          <w:pgMar w:top="1360" w:right="1320" w:bottom="1400" w:left="1340" w:header="878" w:footer="1204" w:gutter="0"/>
          <w:pgNumType w:start="100"/>
          <w:cols w:space="720" w:num="1"/>
        </w:sectPr>
      </w:pPr>
    </w:p>
    <w:p w14:paraId="19CCDF85">
      <w:pPr>
        <w:pStyle w:val="7"/>
        <w:spacing w:before="68" w:line="364" w:lineRule="auto"/>
        <w:ind w:left="460" w:right="625" w:firstLine="480"/>
      </w:pPr>
      <w:r>
        <w:t>①在施工场地四周建设临时导流沟，同时在导流沟末端必须设置足够容量的沉砂池，并落实防渗措施，沉砂池废水经沉淀后，回用于施工、绿化或降 尘，未能够回用的废水排入市政管网，严禁施工期（包括正常情况和事故情况下）将未经处理的施工废水直接排入周围环境。</w:t>
      </w:r>
    </w:p>
    <w:p w14:paraId="1AB5C32A">
      <w:pPr>
        <w:pStyle w:val="7"/>
        <w:spacing w:line="364" w:lineRule="auto"/>
        <w:ind w:left="460" w:right="625" w:firstLine="480"/>
        <w:jc w:val="both"/>
      </w:pPr>
      <w:r>
        <w:t>②施工场地内应设置足够容量的泥浆池，将废泥浆收集后晾晒处理或由专用罐车运至当地余泥渣土排放管理部门指定的地点排放，严禁直接排入周围环境。</w:t>
      </w:r>
    </w:p>
    <w:p w14:paraId="5F748C8F">
      <w:pPr>
        <w:pStyle w:val="7"/>
        <w:spacing w:line="364" w:lineRule="auto"/>
        <w:ind w:left="460" w:right="625" w:firstLine="480"/>
        <w:jc w:val="both"/>
      </w:pPr>
      <w:r>
        <w:t>③在施工过程中应加强环境管理。挖方时应边施工边清运，填方时应做好压实覆盖工作，不设土方临时堆放点，以减少雨季的水土流失。</w:t>
      </w:r>
    </w:p>
    <w:p w14:paraId="54405D62">
      <w:pPr>
        <w:pStyle w:val="7"/>
        <w:spacing w:line="364" w:lineRule="auto"/>
        <w:ind w:left="460" w:right="625" w:firstLine="480"/>
        <w:jc w:val="both"/>
      </w:pPr>
      <w:r>
        <w:t>④施工单位应加强施工期雨污水、地表径流及开挖基坑水等的防治措施。根据当地市的降雨特征，制定雨季、特别是暴雨期的排水应急响应工作方案， 设置沉淀池，对暴雨期的排水进行收集，充分沉淀处理后，引入附近的市政雨水管网排放，避免雨季排水不畅对周围环境敏感点的影响。</w:t>
      </w:r>
    </w:p>
    <w:p w14:paraId="216D1C97">
      <w:pPr>
        <w:pStyle w:val="7"/>
        <w:spacing w:line="364" w:lineRule="auto"/>
        <w:ind w:left="460" w:right="625" w:firstLine="480"/>
        <w:jc w:val="both"/>
      </w:pPr>
      <w:r>
        <w:t>⑤施工现场设置专用油料、化学品堆放库，库房地面做防渗漏处理，库房周边做导流处理，并设置事故池。油料、化学品的储存、使用、保管由专人负责，防止油料、化学品的跑、冒、滴、漏等现象，制定事故应急响应工作，对事故泄露的油料、化学品及时收集处理。</w:t>
      </w:r>
    </w:p>
    <w:p w14:paraId="45A64BB3">
      <w:pPr>
        <w:pStyle w:val="7"/>
        <w:spacing w:line="364" w:lineRule="auto"/>
        <w:ind w:left="460" w:right="625" w:firstLine="480"/>
        <w:jc w:val="both"/>
      </w:pPr>
      <w:r>
        <w:t>⑥施工人员粪便污水须经三级化粪池预处理会回用于周边林地灌溉，杜绝随意泼洒生活污水，避免生活污水溢流至施工场地外。</w:t>
      </w:r>
    </w:p>
    <w:p w14:paraId="023A15FF">
      <w:pPr>
        <w:pStyle w:val="7"/>
        <w:spacing w:line="364" w:lineRule="auto"/>
        <w:ind w:left="460" w:right="625" w:firstLine="480"/>
        <w:jc w:val="both"/>
      </w:pPr>
      <w:r>
        <w:t>⑦施工场地主要出入口应设置洗车槽、隔油沉沙池、排水沟等设施，以收集冲洗车辆、施工机械产生的废水，经隔油沉沙预处理回用于施工场地，严禁直接排出。</w:t>
      </w:r>
    </w:p>
    <w:p w14:paraId="41AD15F7">
      <w:pPr>
        <w:pStyle w:val="7"/>
        <w:spacing w:line="364" w:lineRule="auto"/>
        <w:ind w:left="460" w:right="625" w:firstLine="480"/>
        <w:jc w:val="both"/>
      </w:pPr>
      <w:r>
        <w:t>⑧原则上不得在施工场地内设置施工机械维修点，对施工过程中清洁施工机械产生的润滑油及其他油污妥善处理，然后交由专门公司处理。加强施工机械设备的维修保养，避免施工机械在施工过程中燃料用油跑、冒、滴、漏现象的发生。</w:t>
      </w:r>
    </w:p>
    <w:p w14:paraId="555C612B">
      <w:pPr>
        <w:pStyle w:val="7"/>
        <w:spacing w:line="364" w:lineRule="auto"/>
        <w:ind w:left="460" w:right="625" w:firstLine="480"/>
        <w:jc w:val="both"/>
      </w:pPr>
      <w:r>
        <w:t>⑨建设单位应编制水环境污染事故处理应急预案，建立责任明确、规范有序、高效到位的应急指挥系统和工作机制，提高水源污染事故应急处置综合能力，及时有效地控制和消除突发性水污染事故危害。</w:t>
      </w:r>
    </w:p>
    <w:p w14:paraId="682211EC">
      <w:pPr>
        <w:pStyle w:val="7"/>
        <w:spacing w:line="307" w:lineRule="exact"/>
        <w:ind w:left="940"/>
      </w:pPr>
      <w:r>
        <w:t>采取上述治理措施后，可以有效地做好施工废水的污染治理，对施工场地</w:t>
      </w:r>
    </w:p>
    <w:p w14:paraId="38CD8237">
      <w:pPr>
        <w:spacing w:after="0" w:line="307" w:lineRule="exact"/>
        <w:sectPr>
          <w:pgSz w:w="11910" w:h="16840"/>
          <w:pgMar w:top="1360" w:right="1320" w:bottom="1400" w:left="1340" w:header="878" w:footer="1204" w:gutter="0"/>
          <w:cols w:space="720" w:num="1"/>
        </w:sectPr>
      </w:pPr>
    </w:p>
    <w:p w14:paraId="3A115B5F">
      <w:pPr>
        <w:pStyle w:val="7"/>
        <w:spacing w:before="68"/>
        <w:ind w:left="460"/>
      </w:pPr>
      <w:r>
        <w:t>周围水环境影响不大。</w:t>
      </w:r>
    </w:p>
    <w:p w14:paraId="38572A3B">
      <w:pPr>
        <w:pStyle w:val="6"/>
        <w:numPr>
          <w:ilvl w:val="2"/>
          <w:numId w:val="19"/>
        </w:numPr>
        <w:tabs>
          <w:tab w:val="left" w:pos="991"/>
        </w:tabs>
        <w:spacing w:before="160" w:after="0" w:line="240" w:lineRule="auto"/>
        <w:ind w:left="990" w:right="0" w:hanging="530"/>
        <w:jc w:val="left"/>
        <w:rPr>
          <w:rFonts w:ascii="Times New Roman" w:eastAsia="Times New Roman"/>
        </w:rPr>
      </w:pPr>
      <w:bookmarkStart w:id="161" w:name="5.1.3声环境影响分析"/>
      <w:bookmarkEnd w:id="161"/>
      <w:bookmarkStart w:id="162" w:name="5.1.3声环境影响分析"/>
      <w:bookmarkEnd w:id="162"/>
      <w:r>
        <w:rPr>
          <w:w w:val="95"/>
        </w:rPr>
        <w:t>声环境影响分析</w:t>
      </w:r>
    </w:p>
    <w:p w14:paraId="49A47015">
      <w:pPr>
        <w:pStyle w:val="7"/>
        <w:spacing w:before="159"/>
        <w:ind w:left="940"/>
      </w:pPr>
      <w:r>
        <w:t>（</w:t>
      </w:r>
      <w:r>
        <w:rPr>
          <w:rFonts w:ascii="Times New Roman" w:eastAsia="Times New Roman"/>
        </w:rPr>
        <w:t>1</w:t>
      </w:r>
      <w:r>
        <w:t>）主要噪声源及其特性</w:t>
      </w:r>
    </w:p>
    <w:p w14:paraId="24DA1CCC">
      <w:pPr>
        <w:pStyle w:val="7"/>
        <w:spacing w:before="160" w:line="364" w:lineRule="auto"/>
        <w:ind w:left="460" w:right="518" w:firstLine="480"/>
      </w:pPr>
      <w:r>
        <w:t xml:space="preserve">施工期噪声源主要是施工机械和运输机械交通噪声。根据类比调查可知， 不同施工阶段具有各自的噪声特性。当多台设备同时作业时，产生噪声叠加， </w:t>
      </w:r>
      <w:r>
        <w:rPr>
          <w:spacing w:val="-4"/>
        </w:rPr>
        <w:t xml:space="preserve">根据类比调查，叠加后的噪声增加 </w:t>
      </w:r>
      <w:r>
        <w:rPr>
          <w:rFonts w:ascii="Times New Roman" w:eastAsia="Times New Roman"/>
        </w:rPr>
        <w:t>3</w:t>
      </w:r>
      <w:r>
        <w:rPr>
          <w:rFonts w:ascii="Times New Roman" w:eastAsia="Times New Roman"/>
          <w:spacing w:val="-1"/>
        </w:rPr>
        <w:t>-</w:t>
      </w:r>
      <w:r>
        <w:rPr>
          <w:rFonts w:ascii="Times New Roman" w:eastAsia="Times New Roman"/>
        </w:rPr>
        <w:t>8dB</w:t>
      </w:r>
      <w:r>
        <w:t>（</w:t>
      </w:r>
      <w:r>
        <w:rPr>
          <w:rFonts w:ascii="Times New Roman" w:eastAsia="Times New Roman"/>
          <w:spacing w:val="-1"/>
        </w:rPr>
        <w:t>A</w:t>
      </w:r>
      <w:r>
        <w:rPr>
          <w:spacing w:val="-120"/>
        </w:rPr>
        <w:t>）</w:t>
      </w:r>
      <w:r>
        <w:rPr>
          <w:spacing w:val="-8"/>
        </w:rPr>
        <w:t xml:space="preserve">，一般不会超过 </w:t>
      </w:r>
      <w:r>
        <w:rPr>
          <w:rFonts w:ascii="Times New Roman" w:eastAsia="Times New Roman"/>
        </w:rPr>
        <w:t>10dB</w:t>
      </w:r>
      <w:r>
        <w:t>（</w:t>
      </w:r>
      <w:r>
        <w:rPr>
          <w:rFonts w:ascii="Times New Roman" w:eastAsia="Times New Roman"/>
          <w:spacing w:val="-1"/>
        </w:rPr>
        <w:t>A</w:t>
      </w:r>
      <w:r>
        <w:rPr>
          <w:spacing w:val="-120"/>
        </w:rPr>
        <w:t>）</w:t>
      </w:r>
      <w:r>
        <w:t>。根</w:t>
      </w:r>
      <w:r>
        <w:rPr>
          <w:spacing w:val="-7"/>
        </w:rPr>
        <w:t>据《环境噪声与振动控制工程技术导则》</w:t>
      </w:r>
      <w:r>
        <w:t>（</w:t>
      </w:r>
      <w:r>
        <w:rPr>
          <w:rFonts w:ascii="Times New Roman" w:eastAsia="Times New Roman"/>
          <w:spacing w:val="-1"/>
        </w:rPr>
        <w:t>H</w:t>
      </w:r>
      <w:r>
        <w:rPr>
          <w:rFonts w:ascii="Times New Roman" w:eastAsia="Times New Roman"/>
          <w:spacing w:val="1"/>
        </w:rPr>
        <w:t>J</w:t>
      </w:r>
      <w:r>
        <w:rPr>
          <w:rFonts w:ascii="Times New Roman" w:eastAsia="Times New Roman"/>
        </w:rPr>
        <w:t>2034</w:t>
      </w:r>
      <w:r>
        <w:rPr>
          <w:rFonts w:ascii="Times New Roman" w:eastAsia="Times New Roman"/>
          <w:spacing w:val="-1"/>
        </w:rPr>
        <w:t>-</w:t>
      </w:r>
      <w:r>
        <w:rPr>
          <w:rFonts w:ascii="Times New Roman" w:eastAsia="Times New Roman"/>
        </w:rPr>
        <w:t>201</w:t>
      </w:r>
      <w:r>
        <w:rPr>
          <w:rFonts w:ascii="Times New Roman" w:eastAsia="Times New Roman"/>
          <w:spacing w:val="-3"/>
        </w:rPr>
        <w:t>3</w:t>
      </w:r>
      <w:r>
        <w:rPr>
          <w:spacing w:val="-120"/>
        </w:rPr>
        <w:t>）</w:t>
      </w:r>
      <w:r>
        <w:t>，项目施工期的产噪设备噪声级见下表。</w:t>
      </w:r>
    </w:p>
    <w:p w14:paraId="5176F13B">
      <w:pPr>
        <w:spacing w:before="0" w:line="266" w:lineRule="exact"/>
        <w:ind w:left="2732" w:right="0" w:firstLine="0"/>
        <w:jc w:val="left"/>
        <w:rPr>
          <w:b/>
          <w:sz w:val="21"/>
        </w:rPr>
      </w:pPr>
      <w:r>
        <w:rPr>
          <w:b/>
          <w:spacing w:val="-26"/>
          <w:sz w:val="21"/>
        </w:rPr>
        <w:t xml:space="preserve">表 </w:t>
      </w:r>
      <w:r>
        <w:rPr>
          <w:rFonts w:ascii="Times New Roman" w:eastAsia="Times New Roman"/>
          <w:b/>
          <w:sz w:val="21"/>
        </w:rPr>
        <w:t>5.1-4</w:t>
      </w:r>
      <w:r>
        <w:rPr>
          <w:rFonts w:ascii="Times New Roman" w:eastAsia="Times New Roman"/>
          <w:b/>
          <w:spacing w:val="50"/>
          <w:sz w:val="21"/>
        </w:rPr>
        <w:t xml:space="preserve"> </w:t>
      </w:r>
      <w:r>
        <w:rPr>
          <w:b/>
          <w:sz w:val="21"/>
        </w:rPr>
        <w:t>施工阶段主要噪声源特性一览表</w:t>
      </w: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3"/>
        <w:gridCol w:w="2207"/>
        <w:gridCol w:w="2187"/>
        <w:gridCol w:w="2440"/>
      </w:tblGrid>
      <w:tr w14:paraId="3C51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tcPr>
          <w:p w14:paraId="41CD8DA0">
            <w:pPr>
              <w:pStyle w:val="14"/>
              <w:spacing w:before="34"/>
              <w:ind w:left="470"/>
              <w:rPr>
                <w:b/>
                <w:sz w:val="21"/>
              </w:rPr>
            </w:pPr>
            <w:r>
              <w:rPr>
                <w:b/>
                <w:sz w:val="21"/>
              </w:rPr>
              <w:t>施工阶段</w:t>
            </w:r>
          </w:p>
        </w:tc>
        <w:tc>
          <w:tcPr>
            <w:tcW w:w="2207" w:type="dxa"/>
          </w:tcPr>
          <w:p w14:paraId="5E25393E">
            <w:pPr>
              <w:pStyle w:val="14"/>
              <w:spacing w:before="34"/>
              <w:ind w:left="451" w:right="443"/>
              <w:jc w:val="center"/>
              <w:rPr>
                <w:b/>
                <w:sz w:val="21"/>
              </w:rPr>
            </w:pPr>
            <w:r>
              <w:rPr>
                <w:b/>
                <w:sz w:val="21"/>
              </w:rPr>
              <w:t>设备名称</w:t>
            </w:r>
          </w:p>
        </w:tc>
        <w:tc>
          <w:tcPr>
            <w:tcW w:w="2187" w:type="dxa"/>
          </w:tcPr>
          <w:p w14:paraId="3590579D">
            <w:pPr>
              <w:pStyle w:val="14"/>
              <w:spacing w:before="34"/>
              <w:ind w:left="246" w:right="240"/>
              <w:jc w:val="center"/>
              <w:rPr>
                <w:b/>
                <w:sz w:val="21"/>
              </w:rPr>
            </w:pPr>
            <w:r>
              <w:rPr>
                <w:b/>
                <w:sz w:val="21"/>
              </w:rPr>
              <w:t>距声源距离（</w:t>
            </w:r>
            <w:r>
              <w:rPr>
                <w:rFonts w:ascii="Times New Roman" w:eastAsia="Times New Roman"/>
                <w:b/>
                <w:sz w:val="21"/>
              </w:rPr>
              <w:t>m</w:t>
            </w:r>
            <w:r>
              <w:rPr>
                <w:b/>
                <w:sz w:val="21"/>
              </w:rPr>
              <w:t>）</w:t>
            </w:r>
          </w:p>
        </w:tc>
        <w:tc>
          <w:tcPr>
            <w:tcW w:w="2440" w:type="dxa"/>
          </w:tcPr>
          <w:p w14:paraId="373C13C7">
            <w:pPr>
              <w:pStyle w:val="14"/>
              <w:spacing w:before="34"/>
              <w:ind w:left="291" w:right="285"/>
              <w:jc w:val="center"/>
              <w:rPr>
                <w:rFonts w:ascii="Times New Roman" w:eastAsia="Times New Roman"/>
                <w:b/>
                <w:sz w:val="21"/>
              </w:rPr>
            </w:pPr>
            <w:r>
              <w:rPr>
                <w:b/>
                <w:sz w:val="21"/>
              </w:rPr>
              <w:t>噪声强度</w:t>
            </w:r>
            <w:r>
              <w:rPr>
                <w:rFonts w:ascii="Times New Roman" w:eastAsia="Times New Roman"/>
                <w:b/>
                <w:sz w:val="21"/>
              </w:rPr>
              <w:t>[dB</w:t>
            </w:r>
            <w:r>
              <w:rPr>
                <w:b/>
                <w:sz w:val="21"/>
              </w:rPr>
              <w:t>（</w:t>
            </w:r>
            <w:r>
              <w:rPr>
                <w:rFonts w:ascii="Times New Roman" w:eastAsia="Times New Roman"/>
                <w:b/>
                <w:sz w:val="21"/>
              </w:rPr>
              <w:t>A</w:t>
            </w:r>
            <w:r>
              <w:rPr>
                <w:b/>
                <w:sz w:val="21"/>
              </w:rPr>
              <w:t>）</w:t>
            </w:r>
            <w:r>
              <w:rPr>
                <w:rFonts w:ascii="Times New Roman" w:eastAsia="Times New Roman"/>
                <w:b/>
                <w:sz w:val="21"/>
              </w:rPr>
              <w:t>]</w:t>
            </w:r>
          </w:p>
        </w:tc>
      </w:tr>
      <w:tr w14:paraId="23710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restart"/>
          </w:tcPr>
          <w:p w14:paraId="36F3AB01">
            <w:pPr>
              <w:pStyle w:val="14"/>
              <w:rPr>
                <w:b/>
                <w:sz w:val="20"/>
              </w:rPr>
            </w:pPr>
          </w:p>
          <w:p w14:paraId="77D0CC67">
            <w:pPr>
              <w:pStyle w:val="14"/>
              <w:spacing w:before="128"/>
              <w:ind w:left="364"/>
              <w:rPr>
                <w:sz w:val="21"/>
              </w:rPr>
            </w:pPr>
            <w:r>
              <w:rPr>
                <w:sz w:val="21"/>
              </w:rPr>
              <w:t>土石方阶段</w:t>
            </w:r>
          </w:p>
        </w:tc>
        <w:tc>
          <w:tcPr>
            <w:tcW w:w="2207" w:type="dxa"/>
          </w:tcPr>
          <w:p w14:paraId="5573BF3D">
            <w:pPr>
              <w:pStyle w:val="14"/>
              <w:spacing w:before="34"/>
              <w:ind w:left="451" w:right="443"/>
              <w:jc w:val="center"/>
              <w:rPr>
                <w:sz w:val="21"/>
              </w:rPr>
            </w:pPr>
            <w:r>
              <w:rPr>
                <w:sz w:val="21"/>
              </w:rPr>
              <w:t>液压挖掘机</w:t>
            </w:r>
          </w:p>
        </w:tc>
        <w:tc>
          <w:tcPr>
            <w:tcW w:w="2187" w:type="dxa"/>
          </w:tcPr>
          <w:p w14:paraId="20ABC3E3">
            <w:pPr>
              <w:pStyle w:val="14"/>
              <w:spacing w:before="48"/>
              <w:ind w:left="7"/>
              <w:jc w:val="center"/>
              <w:rPr>
                <w:rFonts w:ascii="Times New Roman"/>
                <w:sz w:val="21"/>
              </w:rPr>
            </w:pPr>
            <w:r>
              <w:rPr>
                <w:rFonts w:ascii="Times New Roman"/>
                <w:w w:val="99"/>
                <w:sz w:val="21"/>
              </w:rPr>
              <w:t>5</w:t>
            </w:r>
          </w:p>
        </w:tc>
        <w:tc>
          <w:tcPr>
            <w:tcW w:w="2440" w:type="dxa"/>
          </w:tcPr>
          <w:p w14:paraId="58517056">
            <w:pPr>
              <w:pStyle w:val="14"/>
              <w:spacing w:before="48"/>
              <w:ind w:left="291" w:right="281"/>
              <w:jc w:val="center"/>
              <w:rPr>
                <w:rFonts w:ascii="Times New Roman"/>
                <w:sz w:val="21"/>
              </w:rPr>
            </w:pPr>
            <w:r>
              <w:rPr>
                <w:rFonts w:ascii="Times New Roman"/>
                <w:sz w:val="21"/>
              </w:rPr>
              <w:t>82~90</w:t>
            </w:r>
          </w:p>
        </w:tc>
      </w:tr>
      <w:tr w14:paraId="329EF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2ABA12A4">
            <w:pPr>
              <w:rPr>
                <w:sz w:val="2"/>
                <w:szCs w:val="2"/>
              </w:rPr>
            </w:pPr>
          </w:p>
        </w:tc>
        <w:tc>
          <w:tcPr>
            <w:tcW w:w="2207" w:type="dxa"/>
          </w:tcPr>
          <w:p w14:paraId="78692B65">
            <w:pPr>
              <w:pStyle w:val="14"/>
              <w:spacing w:before="35"/>
              <w:ind w:left="451" w:right="445"/>
              <w:jc w:val="center"/>
              <w:rPr>
                <w:sz w:val="21"/>
              </w:rPr>
            </w:pPr>
            <w:r>
              <w:rPr>
                <w:sz w:val="21"/>
              </w:rPr>
              <w:t>推土机</w:t>
            </w:r>
          </w:p>
        </w:tc>
        <w:tc>
          <w:tcPr>
            <w:tcW w:w="2187" w:type="dxa"/>
          </w:tcPr>
          <w:p w14:paraId="6F2CF75E">
            <w:pPr>
              <w:pStyle w:val="14"/>
              <w:spacing w:before="49"/>
              <w:ind w:left="7"/>
              <w:jc w:val="center"/>
              <w:rPr>
                <w:rFonts w:ascii="Times New Roman"/>
                <w:sz w:val="21"/>
              </w:rPr>
            </w:pPr>
            <w:r>
              <w:rPr>
                <w:rFonts w:ascii="Times New Roman"/>
                <w:w w:val="99"/>
                <w:sz w:val="21"/>
              </w:rPr>
              <w:t>5</w:t>
            </w:r>
          </w:p>
        </w:tc>
        <w:tc>
          <w:tcPr>
            <w:tcW w:w="2440" w:type="dxa"/>
          </w:tcPr>
          <w:p w14:paraId="17990396">
            <w:pPr>
              <w:pStyle w:val="14"/>
              <w:spacing w:before="49"/>
              <w:ind w:left="291" w:right="281"/>
              <w:jc w:val="center"/>
              <w:rPr>
                <w:rFonts w:ascii="Times New Roman"/>
                <w:sz w:val="21"/>
              </w:rPr>
            </w:pPr>
            <w:r>
              <w:rPr>
                <w:rFonts w:ascii="Times New Roman"/>
                <w:sz w:val="21"/>
              </w:rPr>
              <w:t>83~88</w:t>
            </w:r>
          </w:p>
        </w:tc>
      </w:tr>
      <w:tr w14:paraId="3119D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83" w:type="dxa"/>
            <w:vMerge w:val="continue"/>
            <w:tcBorders>
              <w:top w:val="nil"/>
            </w:tcBorders>
          </w:tcPr>
          <w:p w14:paraId="602B1BE3">
            <w:pPr>
              <w:rPr>
                <w:sz w:val="2"/>
                <w:szCs w:val="2"/>
              </w:rPr>
            </w:pPr>
          </w:p>
        </w:tc>
        <w:tc>
          <w:tcPr>
            <w:tcW w:w="2207" w:type="dxa"/>
          </w:tcPr>
          <w:p w14:paraId="31E5683D">
            <w:pPr>
              <w:pStyle w:val="14"/>
              <w:spacing w:before="33"/>
              <w:ind w:left="451" w:right="445"/>
              <w:jc w:val="center"/>
              <w:rPr>
                <w:sz w:val="21"/>
              </w:rPr>
            </w:pPr>
            <w:r>
              <w:rPr>
                <w:sz w:val="21"/>
              </w:rPr>
              <w:t>装载机</w:t>
            </w:r>
          </w:p>
        </w:tc>
        <w:tc>
          <w:tcPr>
            <w:tcW w:w="2187" w:type="dxa"/>
          </w:tcPr>
          <w:p w14:paraId="024D6DDA">
            <w:pPr>
              <w:pStyle w:val="14"/>
              <w:spacing w:before="49"/>
              <w:ind w:left="7"/>
              <w:jc w:val="center"/>
              <w:rPr>
                <w:rFonts w:ascii="Times New Roman"/>
                <w:sz w:val="21"/>
              </w:rPr>
            </w:pPr>
            <w:r>
              <w:rPr>
                <w:rFonts w:ascii="Times New Roman"/>
                <w:w w:val="99"/>
                <w:sz w:val="21"/>
              </w:rPr>
              <w:t>5</w:t>
            </w:r>
          </w:p>
        </w:tc>
        <w:tc>
          <w:tcPr>
            <w:tcW w:w="2440" w:type="dxa"/>
          </w:tcPr>
          <w:p w14:paraId="584D2DD3">
            <w:pPr>
              <w:pStyle w:val="14"/>
              <w:spacing w:before="49"/>
              <w:ind w:left="291" w:right="281"/>
              <w:jc w:val="center"/>
              <w:rPr>
                <w:rFonts w:ascii="Times New Roman"/>
                <w:sz w:val="21"/>
              </w:rPr>
            </w:pPr>
            <w:r>
              <w:rPr>
                <w:rFonts w:ascii="Times New Roman"/>
                <w:sz w:val="21"/>
              </w:rPr>
              <w:t>90~95</w:t>
            </w:r>
          </w:p>
        </w:tc>
      </w:tr>
      <w:tr w14:paraId="4F97B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restart"/>
          </w:tcPr>
          <w:p w14:paraId="6488220E">
            <w:pPr>
              <w:pStyle w:val="14"/>
              <w:rPr>
                <w:b/>
                <w:sz w:val="20"/>
              </w:rPr>
            </w:pPr>
          </w:p>
          <w:p w14:paraId="1D221990">
            <w:pPr>
              <w:pStyle w:val="14"/>
              <w:rPr>
                <w:b/>
                <w:sz w:val="20"/>
              </w:rPr>
            </w:pPr>
          </w:p>
          <w:p w14:paraId="6208559C">
            <w:pPr>
              <w:pStyle w:val="14"/>
              <w:rPr>
                <w:b/>
                <w:sz w:val="20"/>
              </w:rPr>
            </w:pPr>
          </w:p>
          <w:p w14:paraId="18DFDBAD">
            <w:pPr>
              <w:pStyle w:val="14"/>
              <w:spacing w:before="8"/>
              <w:rPr>
                <w:b/>
                <w:sz w:val="24"/>
              </w:rPr>
            </w:pPr>
          </w:p>
          <w:p w14:paraId="25890525">
            <w:pPr>
              <w:pStyle w:val="14"/>
              <w:ind w:left="470"/>
              <w:rPr>
                <w:sz w:val="21"/>
              </w:rPr>
            </w:pPr>
            <w:r>
              <w:rPr>
                <w:sz w:val="21"/>
              </w:rPr>
              <w:t>基础施工</w:t>
            </w:r>
          </w:p>
        </w:tc>
        <w:tc>
          <w:tcPr>
            <w:tcW w:w="2207" w:type="dxa"/>
          </w:tcPr>
          <w:p w14:paraId="5A3DEC72">
            <w:pPr>
              <w:pStyle w:val="14"/>
              <w:spacing w:before="33"/>
              <w:ind w:left="451" w:right="445"/>
              <w:jc w:val="center"/>
              <w:rPr>
                <w:sz w:val="21"/>
              </w:rPr>
            </w:pPr>
            <w:r>
              <w:rPr>
                <w:sz w:val="21"/>
              </w:rPr>
              <w:t>打桩机</w:t>
            </w:r>
          </w:p>
        </w:tc>
        <w:tc>
          <w:tcPr>
            <w:tcW w:w="2187" w:type="dxa"/>
          </w:tcPr>
          <w:p w14:paraId="4E5197DD">
            <w:pPr>
              <w:pStyle w:val="14"/>
              <w:spacing w:before="49"/>
              <w:ind w:left="7"/>
              <w:jc w:val="center"/>
              <w:rPr>
                <w:rFonts w:ascii="Times New Roman"/>
                <w:sz w:val="21"/>
              </w:rPr>
            </w:pPr>
            <w:r>
              <w:rPr>
                <w:rFonts w:ascii="Times New Roman"/>
                <w:w w:val="99"/>
                <w:sz w:val="21"/>
              </w:rPr>
              <w:t>5</w:t>
            </w:r>
          </w:p>
        </w:tc>
        <w:tc>
          <w:tcPr>
            <w:tcW w:w="2440" w:type="dxa"/>
          </w:tcPr>
          <w:p w14:paraId="5F7CEBAA">
            <w:pPr>
              <w:pStyle w:val="14"/>
              <w:spacing w:before="49"/>
              <w:ind w:left="291" w:right="281"/>
              <w:jc w:val="center"/>
              <w:rPr>
                <w:rFonts w:ascii="Times New Roman"/>
                <w:sz w:val="21"/>
              </w:rPr>
            </w:pPr>
            <w:r>
              <w:rPr>
                <w:rFonts w:ascii="Times New Roman"/>
                <w:sz w:val="21"/>
              </w:rPr>
              <w:t>100~110</w:t>
            </w:r>
          </w:p>
        </w:tc>
      </w:tr>
      <w:tr w14:paraId="3CF98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67D7DC26">
            <w:pPr>
              <w:rPr>
                <w:sz w:val="2"/>
                <w:szCs w:val="2"/>
              </w:rPr>
            </w:pPr>
          </w:p>
        </w:tc>
        <w:tc>
          <w:tcPr>
            <w:tcW w:w="2207" w:type="dxa"/>
          </w:tcPr>
          <w:p w14:paraId="0865D356">
            <w:pPr>
              <w:pStyle w:val="14"/>
              <w:spacing w:before="34"/>
              <w:ind w:left="451" w:right="443"/>
              <w:jc w:val="center"/>
              <w:rPr>
                <w:sz w:val="21"/>
              </w:rPr>
            </w:pPr>
            <w:r>
              <w:rPr>
                <w:sz w:val="21"/>
              </w:rPr>
              <w:t>静力压桩机</w:t>
            </w:r>
          </w:p>
        </w:tc>
        <w:tc>
          <w:tcPr>
            <w:tcW w:w="2187" w:type="dxa"/>
          </w:tcPr>
          <w:p w14:paraId="2AB375E7">
            <w:pPr>
              <w:pStyle w:val="14"/>
              <w:spacing w:before="50"/>
              <w:ind w:left="7"/>
              <w:jc w:val="center"/>
              <w:rPr>
                <w:rFonts w:ascii="Times New Roman"/>
                <w:sz w:val="21"/>
              </w:rPr>
            </w:pPr>
            <w:r>
              <w:rPr>
                <w:rFonts w:ascii="Times New Roman"/>
                <w:w w:val="99"/>
                <w:sz w:val="21"/>
              </w:rPr>
              <w:t>5</w:t>
            </w:r>
          </w:p>
        </w:tc>
        <w:tc>
          <w:tcPr>
            <w:tcW w:w="2440" w:type="dxa"/>
          </w:tcPr>
          <w:p w14:paraId="6465D0EB">
            <w:pPr>
              <w:pStyle w:val="14"/>
              <w:spacing w:before="50"/>
              <w:ind w:left="291" w:right="281"/>
              <w:jc w:val="center"/>
              <w:rPr>
                <w:rFonts w:ascii="Times New Roman"/>
                <w:sz w:val="21"/>
              </w:rPr>
            </w:pPr>
            <w:r>
              <w:rPr>
                <w:rFonts w:ascii="Times New Roman"/>
                <w:sz w:val="21"/>
              </w:rPr>
              <w:t>70~75</w:t>
            </w:r>
          </w:p>
        </w:tc>
      </w:tr>
      <w:tr w14:paraId="27AEE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5E0C7913">
            <w:pPr>
              <w:rPr>
                <w:sz w:val="2"/>
                <w:szCs w:val="2"/>
              </w:rPr>
            </w:pPr>
          </w:p>
        </w:tc>
        <w:tc>
          <w:tcPr>
            <w:tcW w:w="2207" w:type="dxa"/>
          </w:tcPr>
          <w:p w14:paraId="0BDA617A">
            <w:pPr>
              <w:pStyle w:val="14"/>
              <w:spacing w:before="34"/>
              <w:ind w:left="451" w:right="445"/>
              <w:jc w:val="center"/>
              <w:rPr>
                <w:sz w:val="21"/>
              </w:rPr>
            </w:pPr>
            <w:r>
              <w:rPr>
                <w:sz w:val="21"/>
              </w:rPr>
              <w:t>风镐</w:t>
            </w:r>
          </w:p>
        </w:tc>
        <w:tc>
          <w:tcPr>
            <w:tcW w:w="2187" w:type="dxa"/>
          </w:tcPr>
          <w:p w14:paraId="3D6DE4F9">
            <w:pPr>
              <w:pStyle w:val="14"/>
              <w:spacing w:before="48"/>
              <w:ind w:left="7"/>
              <w:jc w:val="center"/>
              <w:rPr>
                <w:rFonts w:ascii="Times New Roman"/>
                <w:sz w:val="21"/>
              </w:rPr>
            </w:pPr>
            <w:r>
              <w:rPr>
                <w:rFonts w:ascii="Times New Roman"/>
                <w:w w:val="99"/>
                <w:sz w:val="21"/>
              </w:rPr>
              <w:t>5</w:t>
            </w:r>
          </w:p>
        </w:tc>
        <w:tc>
          <w:tcPr>
            <w:tcW w:w="2440" w:type="dxa"/>
          </w:tcPr>
          <w:p w14:paraId="44D380EE">
            <w:pPr>
              <w:pStyle w:val="14"/>
              <w:spacing w:before="48"/>
              <w:ind w:left="291" w:right="281"/>
              <w:jc w:val="center"/>
              <w:rPr>
                <w:rFonts w:ascii="Times New Roman"/>
                <w:sz w:val="21"/>
              </w:rPr>
            </w:pPr>
            <w:r>
              <w:rPr>
                <w:rFonts w:ascii="Times New Roman"/>
                <w:sz w:val="21"/>
              </w:rPr>
              <w:t>88~92</w:t>
            </w:r>
          </w:p>
        </w:tc>
      </w:tr>
      <w:tr w14:paraId="51955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41E4CED6">
            <w:pPr>
              <w:rPr>
                <w:sz w:val="2"/>
                <w:szCs w:val="2"/>
              </w:rPr>
            </w:pPr>
          </w:p>
        </w:tc>
        <w:tc>
          <w:tcPr>
            <w:tcW w:w="2207" w:type="dxa"/>
          </w:tcPr>
          <w:p w14:paraId="6EAB7D8D">
            <w:pPr>
              <w:pStyle w:val="14"/>
              <w:spacing w:before="34"/>
              <w:ind w:left="448" w:right="445"/>
              <w:jc w:val="center"/>
              <w:rPr>
                <w:sz w:val="21"/>
              </w:rPr>
            </w:pPr>
            <w:r>
              <w:rPr>
                <w:sz w:val="21"/>
              </w:rPr>
              <w:t>振动夯锤</w:t>
            </w:r>
          </w:p>
        </w:tc>
        <w:tc>
          <w:tcPr>
            <w:tcW w:w="2187" w:type="dxa"/>
          </w:tcPr>
          <w:p w14:paraId="7E0EC85D">
            <w:pPr>
              <w:pStyle w:val="14"/>
              <w:spacing w:before="48"/>
              <w:ind w:left="7"/>
              <w:jc w:val="center"/>
              <w:rPr>
                <w:rFonts w:ascii="Times New Roman"/>
                <w:sz w:val="21"/>
              </w:rPr>
            </w:pPr>
            <w:r>
              <w:rPr>
                <w:rFonts w:ascii="Times New Roman"/>
                <w:w w:val="99"/>
                <w:sz w:val="21"/>
              </w:rPr>
              <w:t>5</w:t>
            </w:r>
          </w:p>
        </w:tc>
        <w:tc>
          <w:tcPr>
            <w:tcW w:w="2440" w:type="dxa"/>
          </w:tcPr>
          <w:p w14:paraId="404D8C36">
            <w:pPr>
              <w:pStyle w:val="14"/>
              <w:spacing w:before="48"/>
              <w:ind w:left="291" w:right="281"/>
              <w:jc w:val="center"/>
              <w:rPr>
                <w:rFonts w:ascii="Times New Roman"/>
                <w:sz w:val="21"/>
              </w:rPr>
            </w:pPr>
            <w:r>
              <w:rPr>
                <w:rFonts w:ascii="Times New Roman"/>
                <w:sz w:val="21"/>
              </w:rPr>
              <w:t>92~100</w:t>
            </w:r>
          </w:p>
        </w:tc>
      </w:tr>
      <w:tr w14:paraId="6BC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03DC1884">
            <w:pPr>
              <w:rPr>
                <w:sz w:val="2"/>
                <w:szCs w:val="2"/>
              </w:rPr>
            </w:pPr>
          </w:p>
        </w:tc>
        <w:tc>
          <w:tcPr>
            <w:tcW w:w="2207" w:type="dxa"/>
          </w:tcPr>
          <w:p w14:paraId="28313C3F">
            <w:pPr>
              <w:pStyle w:val="14"/>
              <w:spacing w:before="35"/>
              <w:ind w:left="451" w:right="445"/>
              <w:jc w:val="center"/>
              <w:rPr>
                <w:sz w:val="21"/>
              </w:rPr>
            </w:pPr>
            <w:r>
              <w:rPr>
                <w:sz w:val="21"/>
              </w:rPr>
              <w:t>空压机</w:t>
            </w:r>
          </w:p>
        </w:tc>
        <w:tc>
          <w:tcPr>
            <w:tcW w:w="2187" w:type="dxa"/>
          </w:tcPr>
          <w:p w14:paraId="43F54542">
            <w:pPr>
              <w:pStyle w:val="14"/>
              <w:spacing w:before="49"/>
              <w:ind w:left="7"/>
              <w:jc w:val="center"/>
              <w:rPr>
                <w:rFonts w:ascii="Times New Roman"/>
                <w:sz w:val="21"/>
              </w:rPr>
            </w:pPr>
            <w:r>
              <w:rPr>
                <w:rFonts w:ascii="Times New Roman"/>
                <w:w w:val="99"/>
                <w:sz w:val="21"/>
              </w:rPr>
              <w:t>5</w:t>
            </w:r>
          </w:p>
        </w:tc>
        <w:tc>
          <w:tcPr>
            <w:tcW w:w="2440" w:type="dxa"/>
          </w:tcPr>
          <w:p w14:paraId="474AAD34">
            <w:pPr>
              <w:pStyle w:val="14"/>
              <w:spacing w:before="49"/>
              <w:ind w:left="291" w:right="281"/>
              <w:jc w:val="center"/>
              <w:rPr>
                <w:rFonts w:ascii="Times New Roman"/>
                <w:sz w:val="21"/>
              </w:rPr>
            </w:pPr>
            <w:r>
              <w:rPr>
                <w:rFonts w:ascii="Times New Roman"/>
                <w:sz w:val="21"/>
              </w:rPr>
              <w:t>88~92</w:t>
            </w:r>
          </w:p>
        </w:tc>
      </w:tr>
      <w:tr w14:paraId="7203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13BFF001">
            <w:pPr>
              <w:rPr>
                <w:sz w:val="2"/>
                <w:szCs w:val="2"/>
              </w:rPr>
            </w:pPr>
          </w:p>
        </w:tc>
        <w:tc>
          <w:tcPr>
            <w:tcW w:w="2207" w:type="dxa"/>
          </w:tcPr>
          <w:p w14:paraId="61E50CB5">
            <w:pPr>
              <w:pStyle w:val="14"/>
              <w:spacing w:before="33"/>
              <w:ind w:left="451" w:right="445"/>
              <w:jc w:val="center"/>
              <w:rPr>
                <w:sz w:val="21"/>
              </w:rPr>
            </w:pPr>
            <w:r>
              <w:rPr>
                <w:sz w:val="21"/>
              </w:rPr>
              <w:t>移动式发电机</w:t>
            </w:r>
          </w:p>
        </w:tc>
        <w:tc>
          <w:tcPr>
            <w:tcW w:w="2187" w:type="dxa"/>
          </w:tcPr>
          <w:p w14:paraId="4043F5D6">
            <w:pPr>
              <w:pStyle w:val="14"/>
              <w:spacing w:before="49"/>
              <w:ind w:left="7"/>
              <w:jc w:val="center"/>
              <w:rPr>
                <w:rFonts w:ascii="Times New Roman"/>
                <w:sz w:val="21"/>
              </w:rPr>
            </w:pPr>
            <w:r>
              <w:rPr>
                <w:rFonts w:ascii="Times New Roman"/>
                <w:w w:val="99"/>
                <w:sz w:val="21"/>
              </w:rPr>
              <w:t>5</w:t>
            </w:r>
          </w:p>
        </w:tc>
        <w:tc>
          <w:tcPr>
            <w:tcW w:w="2440" w:type="dxa"/>
          </w:tcPr>
          <w:p w14:paraId="36D4061B">
            <w:pPr>
              <w:pStyle w:val="14"/>
              <w:spacing w:before="49"/>
              <w:ind w:left="291" w:right="281"/>
              <w:jc w:val="center"/>
              <w:rPr>
                <w:rFonts w:ascii="Times New Roman"/>
                <w:sz w:val="21"/>
              </w:rPr>
            </w:pPr>
            <w:r>
              <w:rPr>
                <w:rFonts w:ascii="Times New Roman"/>
                <w:sz w:val="21"/>
              </w:rPr>
              <w:t>95~102</w:t>
            </w:r>
          </w:p>
        </w:tc>
      </w:tr>
      <w:tr w14:paraId="7C44F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6C8F5312">
            <w:pPr>
              <w:rPr>
                <w:sz w:val="2"/>
                <w:szCs w:val="2"/>
              </w:rPr>
            </w:pPr>
          </w:p>
        </w:tc>
        <w:tc>
          <w:tcPr>
            <w:tcW w:w="2207" w:type="dxa"/>
          </w:tcPr>
          <w:p w14:paraId="11302171">
            <w:pPr>
              <w:pStyle w:val="14"/>
              <w:spacing w:before="33"/>
              <w:ind w:left="451" w:right="445"/>
              <w:jc w:val="center"/>
              <w:rPr>
                <w:sz w:val="21"/>
              </w:rPr>
            </w:pPr>
            <w:r>
              <w:rPr>
                <w:sz w:val="21"/>
              </w:rPr>
              <w:t>混凝土输送泵</w:t>
            </w:r>
          </w:p>
        </w:tc>
        <w:tc>
          <w:tcPr>
            <w:tcW w:w="2187" w:type="dxa"/>
          </w:tcPr>
          <w:p w14:paraId="0ECD47EA">
            <w:pPr>
              <w:pStyle w:val="14"/>
              <w:spacing w:before="49"/>
              <w:ind w:left="7"/>
              <w:jc w:val="center"/>
              <w:rPr>
                <w:rFonts w:ascii="Times New Roman"/>
                <w:sz w:val="21"/>
              </w:rPr>
            </w:pPr>
            <w:r>
              <w:rPr>
                <w:rFonts w:ascii="Times New Roman"/>
                <w:w w:val="99"/>
                <w:sz w:val="21"/>
              </w:rPr>
              <w:t>5</w:t>
            </w:r>
          </w:p>
        </w:tc>
        <w:tc>
          <w:tcPr>
            <w:tcW w:w="2440" w:type="dxa"/>
          </w:tcPr>
          <w:p w14:paraId="02B72862">
            <w:pPr>
              <w:pStyle w:val="14"/>
              <w:spacing w:before="49"/>
              <w:ind w:left="291" w:right="281"/>
              <w:jc w:val="center"/>
              <w:rPr>
                <w:rFonts w:ascii="Times New Roman"/>
                <w:sz w:val="21"/>
              </w:rPr>
            </w:pPr>
            <w:r>
              <w:rPr>
                <w:rFonts w:ascii="Times New Roman"/>
                <w:sz w:val="21"/>
              </w:rPr>
              <w:t>88~95</w:t>
            </w:r>
          </w:p>
        </w:tc>
      </w:tr>
      <w:tr w14:paraId="301CA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restart"/>
          </w:tcPr>
          <w:p w14:paraId="0D38034D">
            <w:pPr>
              <w:pStyle w:val="14"/>
              <w:rPr>
                <w:b/>
                <w:sz w:val="20"/>
              </w:rPr>
            </w:pPr>
          </w:p>
          <w:p w14:paraId="6E026A2A">
            <w:pPr>
              <w:pStyle w:val="14"/>
              <w:rPr>
                <w:b/>
                <w:sz w:val="20"/>
              </w:rPr>
            </w:pPr>
          </w:p>
          <w:p w14:paraId="49BE60BF">
            <w:pPr>
              <w:pStyle w:val="14"/>
              <w:rPr>
                <w:b/>
                <w:sz w:val="20"/>
              </w:rPr>
            </w:pPr>
          </w:p>
          <w:p w14:paraId="0281A06C">
            <w:pPr>
              <w:pStyle w:val="14"/>
              <w:spacing w:before="8"/>
              <w:rPr>
                <w:b/>
                <w:sz w:val="24"/>
              </w:rPr>
            </w:pPr>
          </w:p>
          <w:p w14:paraId="57D04F65">
            <w:pPr>
              <w:pStyle w:val="14"/>
              <w:ind w:left="470"/>
              <w:rPr>
                <w:sz w:val="21"/>
              </w:rPr>
            </w:pPr>
            <w:r>
              <w:rPr>
                <w:sz w:val="21"/>
              </w:rPr>
              <w:t>结构阶段</w:t>
            </w:r>
          </w:p>
        </w:tc>
        <w:tc>
          <w:tcPr>
            <w:tcW w:w="2207" w:type="dxa"/>
          </w:tcPr>
          <w:p w14:paraId="14B77953">
            <w:pPr>
              <w:pStyle w:val="14"/>
              <w:spacing w:before="34"/>
              <w:ind w:left="451" w:right="445"/>
              <w:jc w:val="center"/>
              <w:rPr>
                <w:sz w:val="21"/>
              </w:rPr>
            </w:pPr>
            <w:r>
              <w:rPr>
                <w:sz w:val="21"/>
              </w:rPr>
              <w:t>混凝土振捣器</w:t>
            </w:r>
          </w:p>
        </w:tc>
        <w:tc>
          <w:tcPr>
            <w:tcW w:w="2187" w:type="dxa"/>
          </w:tcPr>
          <w:p w14:paraId="6AE8D199">
            <w:pPr>
              <w:pStyle w:val="14"/>
              <w:spacing w:before="50"/>
              <w:ind w:left="7"/>
              <w:jc w:val="center"/>
              <w:rPr>
                <w:rFonts w:ascii="Times New Roman"/>
                <w:sz w:val="21"/>
              </w:rPr>
            </w:pPr>
            <w:r>
              <w:rPr>
                <w:rFonts w:ascii="Times New Roman"/>
                <w:w w:val="99"/>
                <w:sz w:val="21"/>
              </w:rPr>
              <w:t>5</w:t>
            </w:r>
          </w:p>
        </w:tc>
        <w:tc>
          <w:tcPr>
            <w:tcW w:w="2440" w:type="dxa"/>
          </w:tcPr>
          <w:p w14:paraId="392160C9">
            <w:pPr>
              <w:pStyle w:val="14"/>
              <w:spacing w:before="50"/>
              <w:ind w:left="291" w:right="281"/>
              <w:jc w:val="center"/>
              <w:rPr>
                <w:rFonts w:ascii="Times New Roman"/>
                <w:sz w:val="21"/>
              </w:rPr>
            </w:pPr>
            <w:r>
              <w:rPr>
                <w:rFonts w:ascii="Times New Roman"/>
                <w:sz w:val="21"/>
              </w:rPr>
              <w:t>80~88</w:t>
            </w:r>
          </w:p>
        </w:tc>
      </w:tr>
      <w:tr w14:paraId="733B6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6AC853EA">
            <w:pPr>
              <w:rPr>
                <w:sz w:val="2"/>
                <w:szCs w:val="2"/>
              </w:rPr>
            </w:pPr>
          </w:p>
        </w:tc>
        <w:tc>
          <w:tcPr>
            <w:tcW w:w="2207" w:type="dxa"/>
          </w:tcPr>
          <w:p w14:paraId="5DC33B50">
            <w:pPr>
              <w:pStyle w:val="14"/>
              <w:spacing w:before="34"/>
              <w:ind w:left="451" w:right="443"/>
              <w:jc w:val="center"/>
              <w:rPr>
                <w:sz w:val="21"/>
              </w:rPr>
            </w:pPr>
            <w:r>
              <w:rPr>
                <w:sz w:val="21"/>
              </w:rPr>
              <w:t>电锯、电刨</w:t>
            </w:r>
          </w:p>
        </w:tc>
        <w:tc>
          <w:tcPr>
            <w:tcW w:w="2187" w:type="dxa"/>
          </w:tcPr>
          <w:p w14:paraId="3C44C308">
            <w:pPr>
              <w:pStyle w:val="14"/>
              <w:spacing w:before="48"/>
              <w:ind w:left="7"/>
              <w:jc w:val="center"/>
              <w:rPr>
                <w:rFonts w:ascii="Times New Roman"/>
                <w:sz w:val="21"/>
              </w:rPr>
            </w:pPr>
            <w:r>
              <w:rPr>
                <w:rFonts w:ascii="Times New Roman"/>
                <w:w w:val="99"/>
                <w:sz w:val="21"/>
              </w:rPr>
              <w:t>5</w:t>
            </w:r>
          </w:p>
        </w:tc>
        <w:tc>
          <w:tcPr>
            <w:tcW w:w="2440" w:type="dxa"/>
          </w:tcPr>
          <w:p w14:paraId="31E43BB0">
            <w:pPr>
              <w:pStyle w:val="14"/>
              <w:spacing w:before="48"/>
              <w:ind w:left="291" w:right="281"/>
              <w:jc w:val="center"/>
              <w:rPr>
                <w:rFonts w:ascii="Times New Roman"/>
                <w:sz w:val="21"/>
              </w:rPr>
            </w:pPr>
            <w:r>
              <w:rPr>
                <w:rFonts w:ascii="Times New Roman"/>
                <w:sz w:val="21"/>
              </w:rPr>
              <w:t>93~99</w:t>
            </w:r>
          </w:p>
        </w:tc>
      </w:tr>
      <w:tr w14:paraId="1B82E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3BB82875">
            <w:pPr>
              <w:rPr>
                <w:sz w:val="2"/>
                <w:szCs w:val="2"/>
              </w:rPr>
            </w:pPr>
          </w:p>
        </w:tc>
        <w:tc>
          <w:tcPr>
            <w:tcW w:w="2207" w:type="dxa"/>
          </w:tcPr>
          <w:p w14:paraId="015CD729">
            <w:pPr>
              <w:pStyle w:val="14"/>
              <w:spacing w:before="34"/>
              <w:ind w:left="451" w:right="445"/>
              <w:jc w:val="center"/>
              <w:rPr>
                <w:sz w:val="21"/>
              </w:rPr>
            </w:pPr>
            <w:r>
              <w:rPr>
                <w:sz w:val="21"/>
              </w:rPr>
              <w:t>空压机</w:t>
            </w:r>
          </w:p>
        </w:tc>
        <w:tc>
          <w:tcPr>
            <w:tcW w:w="2187" w:type="dxa"/>
          </w:tcPr>
          <w:p w14:paraId="40F7AF5E">
            <w:pPr>
              <w:pStyle w:val="14"/>
              <w:spacing w:before="48"/>
              <w:ind w:left="7"/>
              <w:jc w:val="center"/>
              <w:rPr>
                <w:rFonts w:ascii="Times New Roman"/>
                <w:sz w:val="21"/>
              </w:rPr>
            </w:pPr>
            <w:r>
              <w:rPr>
                <w:rFonts w:ascii="Times New Roman"/>
                <w:w w:val="99"/>
                <w:sz w:val="21"/>
              </w:rPr>
              <w:t>5</w:t>
            </w:r>
          </w:p>
        </w:tc>
        <w:tc>
          <w:tcPr>
            <w:tcW w:w="2440" w:type="dxa"/>
          </w:tcPr>
          <w:p w14:paraId="08CCE2CB">
            <w:pPr>
              <w:pStyle w:val="14"/>
              <w:spacing w:before="48"/>
              <w:ind w:left="291" w:right="281"/>
              <w:jc w:val="center"/>
              <w:rPr>
                <w:rFonts w:ascii="Times New Roman"/>
                <w:sz w:val="21"/>
              </w:rPr>
            </w:pPr>
            <w:r>
              <w:rPr>
                <w:rFonts w:ascii="Times New Roman"/>
                <w:sz w:val="21"/>
              </w:rPr>
              <w:t>88~92</w:t>
            </w:r>
          </w:p>
        </w:tc>
      </w:tr>
      <w:tr w14:paraId="4BDF8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769A2B21">
            <w:pPr>
              <w:rPr>
                <w:sz w:val="2"/>
                <w:szCs w:val="2"/>
              </w:rPr>
            </w:pPr>
          </w:p>
        </w:tc>
        <w:tc>
          <w:tcPr>
            <w:tcW w:w="2207" w:type="dxa"/>
          </w:tcPr>
          <w:p w14:paraId="334F961A">
            <w:pPr>
              <w:pStyle w:val="14"/>
              <w:spacing w:before="35"/>
              <w:ind w:left="448" w:right="445"/>
              <w:jc w:val="center"/>
              <w:rPr>
                <w:sz w:val="21"/>
              </w:rPr>
            </w:pPr>
            <w:r>
              <w:rPr>
                <w:sz w:val="21"/>
              </w:rPr>
              <w:t>木工电锯</w:t>
            </w:r>
          </w:p>
        </w:tc>
        <w:tc>
          <w:tcPr>
            <w:tcW w:w="2187" w:type="dxa"/>
          </w:tcPr>
          <w:p w14:paraId="768F6026">
            <w:pPr>
              <w:pStyle w:val="14"/>
              <w:spacing w:before="49"/>
              <w:ind w:left="7"/>
              <w:jc w:val="center"/>
              <w:rPr>
                <w:rFonts w:ascii="Times New Roman"/>
                <w:sz w:val="21"/>
              </w:rPr>
            </w:pPr>
            <w:r>
              <w:rPr>
                <w:rFonts w:ascii="Times New Roman"/>
                <w:w w:val="99"/>
                <w:sz w:val="21"/>
              </w:rPr>
              <w:t>5</w:t>
            </w:r>
          </w:p>
        </w:tc>
        <w:tc>
          <w:tcPr>
            <w:tcW w:w="2440" w:type="dxa"/>
          </w:tcPr>
          <w:p w14:paraId="39B281F1">
            <w:pPr>
              <w:pStyle w:val="14"/>
              <w:spacing w:before="49"/>
              <w:ind w:left="291" w:right="281"/>
              <w:jc w:val="center"/>
              <w:rPr>
                <w:rFonts w:ascii="Times New Roman"/>
                <w:sz w:val="21"/>
              </w:rPr>
            </w:pPr>
            <w:r>
              <w:rPr>
                <w:rFonts w:ascii="Times New Roman"/>
                <w:sz w:val="21"/>
              </w:rPr>
              <w:t>93~99</w:t>
            </w:r>
          </w:p>
        </w:tc>
      </w:tr>
      <w:tr w14:paraId="17C2F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1FBAD850">
            <w:pPr>
              <w:rPr>
                <w:sz w:val="2"/>
                <w:szCs w:val="2"/>
              </w:rPr>
            </w:pPr>
          </w:p>
        </w:tc>
        <w:tc>
          <w:tcPr>
            <w:tcW w:w="2207" w:type="dxa"/>
          </w:tcPr>
          <w:p w14:paraId="62D4E89B">
            <w:pPr>
              <w:pStyle w:val="14"/>
              <w:spacing w:before="33"/>
              <w:ind w:left="451" w:right="445"/>
              <w:jc w:val="center"/>
              <w:rPr>
                <w:sz w:val="21"/>
              </w:rPr>
            </w:pPr>
            <w:r>
              <w:rPr>
                <w:sz w:val="21"/>
              </w:rPr>
              <w:t>云石机</w:t>
            </w:r>
          </w:p>
        </w:tc>
        <w:tc>
          <w:tcPr>
            <w:tcW w:w="2187" w:type="dxa"/>
          </w:tcPr>
          <w:p w14:paraId="71FD0CBA">
            <w:pPr>
              <w:pStyle w:val="14"/>
              <w:spacing w:before="49"/>
              <w:ind w:left="7"/>
              <w:jc w:val="center"/>
              <w:rPr>
                <w:rFonts w:ascii="Times New Roman"/>
                <w:sz w:val="21"/>
              </w:rPr>
            </w:pPr>
            <w:r>
              <w:rPr>
                <w:rFonts w:ascii="Times New Roman"/>
                <w:w w:val="99"/>
                <w:sz w:val="21"/>
              </w:rPr>
              <w:t>5</w:t>
            </w:r>
          </w:p>
        </w:tc>
        <w:tc>
          <w:tcPr>
            <w:tcW w:w="2440" w:type="dxa"/>
          </w:tcPr>
          <w:p w14:paraId="64522546">
            <w:pPr>
              <w:pStyle w:val="14"/>
              <w:spacing w:before="49"/>
              <w:ind w:left="291" w:right="281"/>
              <w:jc w:val="center"/>
              <w:rPr>
                <w:rFonts w:ascii="Times New Roman"/>
                <w:sz w:val="21"/>
              </w:rPr>
            </w:pPr>
            <w:r>
              <w:rPr>
                <w:rFonts w:ascii="Times New Roman"/>
                <w:sz w:val="21"/>
              </w:rPr>
              <w:t>90~96</w:t>
            </w:r>
          </w:p>
        </w:tc>
      </w:tr>
      <w:tr w14:paraId="66F21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38FA3224">
            <w:pPr>
              <w:rPr>
                <w:sz w:val="2"/>
                <w:szCs w:val="2"/>
              </w:rPr>
            </w:pPr>
          </w:p>
        </w:tc>
        <w:tc>
          <w:tcPr>
            <w:tcW w:w="2207" w:type="dxa"/>
          </w:tcPr>
          <w:p w14:paraId="308E9C2A">
            <w:pPr>
              <w:pStyle w:val="14"/>
              <w:spacing w:before="33"/>
              <w:ind w:left="451" w:right="443"/>
              <w:jc w:val="center"/>
              <w:rPr>
                <w:sz w:val="21"/>
              </w:rPr>
            </w:pPr>
            <w:r>
              <w:rPr>
                <w:sz w:val="21"/>
              </w:rPr>
              <w:t>角向磨光机</w:t>
            </w:r>
          </w:p>
        </w:tc>
        <w:tc>
          <w:tcPr>
            <w:tcW w:w="2187" w:type="dxa"/>
          </w:tcPr>
          <w:p w14:paraId="7965C28D">
            <w:pPr>
              <w:pStyle w:val="14"/>
              <w:spacing w:before="49"/>
              <w:ind w:left="7"/>
              <w:jc w:val="center"/>
              <w:rPr>
                <w:rFonts w:ascii="Times New Roman"/>
                <w:sz w:val="21"/>
              </w:rPr>
            </w:pPr>
            <w:r>
              <w:rPr>
                <w:rFonts w:ascii="Times New Roman"/>
                <w:w w:val="99"/>
                <w:sz w:val="21"/>
              </w:rPr>
              <w:t>5</w:t>
            </w:r>
          </w:p>
        </w:tc>
        <w:tc>
          <w:tcPr>
            <w:tcW w:w="2440" w:type="dxa"/>
          </w:tcPr>
          <w:p w14:paraId="161334AC">
            <w:pPr>
              <w:pStyle w:val="14"/>
              <w:spacing w:before="49"/>
              <w:ind w:left="291" w:right="281"/>
              <w:jc w:val="center"/>
              <w:rPr>
                <w:rFonts w:ascii="Times New Roman"/>
                <w:sz w:val="21"/>
              </w:rPr>
            </w:pPr>
            <w:r>
              <w:rPr>
                <w:rFonts w:ascii="Times New Roman"/>
                <w:sz w:val="21"/>
              </w:rPr>
              <w:t>90~96</w:t>
            </w:r>
          </w:p>
        </w:tc>
      </w:tr>
      <w:tr w14:paraId="77055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83" w:type="dxa"/>
            <w:vMerge w:val="continue"/>
            <w:tcBorders>
              <w:top w:val="nil"/>
            </w:tcBorders>
          </w:tcPr>
          <w:p w14:paraId="5A252988">
            <w:pPr>
              <w:rPr>
                <w:sz w:val="2"/>
                <w:szCs w:val="2"/>
              </w:rPr>
            </w:pPr>
          </w:p>
        </w:tc>
        <w:tc>
          <w:tcPr>
            <w:tcW w:w="2207" w:type="dxa"/>
          </w:tcPr>
          <w:p w14:paraId="4FCB0ACD">
            <w:pPr>
              <w:pStyle w:val="14"/>
              <w:spacing w:before="34"/>
              <w:ind w:left="451" w:right="443"/>
              <w:jc w:val="center"/>
              <w:rPr>
                <w:sz w:val="21"/>
              </w:rPr>
            </w:pPr>
            <w:r>
              <w:rPr>
                <w:sz w:val="21"/>
              </w:rPr>
              <w:t>移动式吊车</w:t>
            </w:r>
          </w:p>
        </w:tc>
        <w:tc>
          <w:tcPr>
            <w:tcW w:w="2187" w:type="dxa"/>
          </w:tcPr>
          <w:p w14:paraId="4057E091">
            <w:pPr>
              <w:pStyle w:val="14"/>
              <w:spacing w:before="50"/>
              <w:ind w:left="7"/>
              <w:jc w:val="center"/>
              <w:rPr>
                <w:rFonts w:ascii="Times New Roman"/>
                <w:sz w:val="21"/>
              </w:rPr>
            </w:pPr>
            <w:r>
              <w:rPr>
                <w:rFonts w:ascii="Times New Roman"/>
                <w:w w:val="99"/>
                <w:sz w:val="21"/>
              </w:rPr>
              <w:t>5</w:t>
            </w:r>
          </w:p>
        </w:tc>
        <w:tc>
          <w:tcPr>
            <w:tcW w:w="2440" w:type="dxa"/>
          </w:tcPr>
          <w:p w14:paraId="456AF73E">
            <w:pPr>
              <w:pStyle w:val="14"/>
              <w:spacing w:before="50"/>
              <w:ind w:left="291" w:right="281"/>
              <w:jc w:val="center"/>
              <w:rPr>
                <w:rFonts w:ascii="Times New Roman"/>
                <w:sz w:val="21"/>
              </w:rPr>
            </w:pPr>
            <w:r>
              <w:rPr>
                <w:rFonts w:ascii="Times New Roman"/>
                <w:sz w:val="21"/>
              </w:rPr>
              <w:t>85~88</w:t>
            </w:r>
          </w:p>
        </w:tc>
      </w:tr>
    </w:tbl>
    <w:p w14:paraId="118925DC">
      <w:pPr>
        <w:pStyle w:val="7"/>
        <w:spacing w:before="2"/>
        <w:ind w:left="940"/>
      </w:pPr>
      <w:r>
        <w:t>（</w:t>
      </w:r>
      <w:r>
        <w:rPr>
          <w:rFonts w:ascii="Times New Roman" w:eastAsia="Times New Roman"/>
        </w:rPr>
        <w:t>2</w:t>
      </w:r>
      <w:r>
        <w:t>）预测模式及结果</w:t>
      </w:r>
    </w:p>
    <w:p w14:paraId="5C513114">
      <w:pPr>
        <w:pStyle w:val="7"/>
        <w:spacing w:before="160" w:line="362" w:lineRule="auto"/>
        <w:ind w:left="460" w:right="625" w:firstLine="480"/>
        <w:jc w:val="both"/>
      </w:pPr>
      <w:r>
        <w:t>施工期噪声对环境的影响，一方面取决于声源大小和施工强度，另一方面还与周围敏感点分布及其与声源间距离有关。不同作业性质和作业阶段，施工强度和所用到的施工机械不同，对声环境影响有所差别。</w:t>
      </w:r>
    </w:p>
    <w:p w14:paraId="304B7D95">
      <w:pPr>
        <w:pStyle w:val="7"/>
        <w:spacing w:before="6"/>
        <w:ind w:left="940"/>
      </w:pPr>
      <w:r>
        <w:t>施工期噪声单个噪声源近似按照点声源计算，计算公式如下：</w:t>
      </w:r>
    </w:p>
    <w:p w14:paraId="574729E8">
      <w:pPr>
        <w:pStyle w:val="7"/>
        <w:spacing w:before="7"/>
        <w:rPr>
          <w:sz w:val="26"/>
        </w:rPr>
      </w:pPr>
      <w:r>
        <w:drawing>
          <wp:anchor distT="0" distB="0" distL="0" distR="0" simplePos="0" relativeHeight="251659264" behindDoc="0" locked="0" layoutInCell="1" allowOverlap="1">
            <wp:simplePos x="0" y="0"/>
            <wp:positionH relativeFrom="page">
              <wp:posOffset>2848610</wp:posOffset>
            </wp:positionH>
            <wp:positionV relativeFrom="paragraph">
              <wp:posOffset>240665</wp:posOffset>
            </wp:positionV>
            <wp:extent cx="2045970" cy="189230"/>
            <wp:effectExtent l="0" t="0" r="0" b="0"/>
            <wp:wrapTopAndBottom/>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jpeg"/>
                    <pic:cNvPicPr>
                      <a:picLocks noChangeAspect="1"/>
                    </pic:cNvPicPr>
                  </pic:nvPicPr>
                  <pic:blipFill>
                    <a:blip r:embed="rId78" cstate="print"/>
                    <a:stretch>
                      <a:fillRect/>
                    </a:stretch>
                  </pic:blipFill>
                  <pic:spPr>
                    <a:xfrm>
                      <a:off x="0" y="0"/>
                      <a:ext cx="2046268" cy="188975"/>
                    </a:xfrm>
                    <a:prstGeom prst="rect">
                      <a:avLst/>
                    </a:prstGeom>
                  </pic:spPr>
                </pic:pic>
              </a:graphicData>
            </a:graphic>
          </wp:anchor>
        </w:drawing>
      </w:r>
    </w:p>
    <w:p w14:paraId="3216F661">
      <w:pPr>
        <w:pStyle w:val="7"/>
        <w:spacing w:before="9"/>
        <w:rPr>
          <w:sz w:val="10"/>
        </w:rPr>
      </w:pPr>
    </w:p>
    <w:p w14:paraId="417120CA">
      <w:pPr>
        <w:pStyle w:val="7"/>
        <w:spacing w:before="73"/>
        <w:ind w:left="940"/>
      </w:pPr>
      <w:r>
        <w:rPr>
          <w:position w:val="2"/>
        </w:rPr>
        <w:t>式中：</w:t>
      </w:r>
      <w:r>
        <w:rPr>
          <w:rFonts w:ascii="Times New Roman" w:hAnsi="Times New Roman" w:eastAsia="Times New Roman"/>
          <w:spacing w:val="-1"/>
          <w:position w:val="2"/>
        </w:rPr>
        <w:t>L</w:t>
      </w:r>
      <w:r>
        <w:rPr>
          <w:rFonts w:ascii="Times New Roman" w:hAnsi="Times New Roman" w:eastAsia="Times New Roman"/>
          <w:spacing w:val="-3"/>
          <w:w w:val="103"/>
          <w:position w:val="2"/>
          <w:vertAlign w:val="subscript"/>
        </w:rPr>
        <w:t>A</w:t>
      </w:r>
      <w:r>
        <w:rPr>
          <w:position w:val="2"/>
          <w:vertAlign w:val="baseline"/>
        </w:rPr>
        <w:t>（</w:t>
      </w:r>
      <w:r>
        <w:rPr>
          <w:rFonts w:ascii="Times New Roman" w:hAnsi="Times New Roman" w:eastAsia="Times New Roman"/>
          <w:spacing w:val="0"/>
          <w:position w:val="2"/>
          <w:vertAlign w:val="baseline"/>
        </w:rPr>
        <w:t>r</w:t>
      </w:r>
      <w:r>
        <w:rPr>
          <w:position w:val="2"/>
          <w:vertAlign w:val="baseline"/>
        </w:rPr>
        <w:t>）</w:t>
      </w:r>
      <w:r>
        <w:rPr>
          <w:rFonts w:ascii="Times New Roman" w:hAnsi="Times New Roman" w:eastAsia="Times New Roman"/>
          <w:position w:val="2"/>
          <w:vertAlign w:val="baseline"/>
        </w:rPr>
        <w:t>—</w:t>
      </w:r>
      <w:r>
        <w:rPr>
          <w:spacing w:val="-15"/>
          <w:position w:val="2"/>
          <w:vertAlign w:val="baseline"/>
        </w:rPr>
        <w:t xml:space="preserve">距声源 </w:t>
      </w:r>
      <w:r>
        <w:rPr>
          <w:rFonts w:ascii="Times New Roman" w:hAnsi="Times New Roman" w:eastAsia="Times New Roman"/>
          <w:position w:val="2"/>
          <w:vertAlign w:val="baseline"/>
        </w:rPr>
        <w:t>r</w:t>
      </w:r>
      <w:r>
        <w:rPr>
          <w:rFonts w:ascii="Times New Roman" w:hAnsi="Times New Roman" w:eastAsia="Times New Roman"/>
          <w:spacing w:val="-13"/>
          <w:position w:val="2"/>
          <w:vertAlign w:val="baseline"/>
        </w:rPr>
        <w:t xml:space="preserve"> </w:t>
      </w:r>
      <w:r>
        <w:rPr>
          <w:position w:val="2"/>
          <w:vertAlign w:val="baseline"/>
        </w:rPr>
        <w:t>处的声级，</w:t>
      </w:r>
      <w:r>
        <w:rPr>
          <w:rFonts w:ascii="Times New Roman" w:hAnsi="Times New Roman" w:eastAsia="Times New Roman"/>
          <w:position w:val="2"/>
          <w:vertAlign w:val="baseline"/>
        </w:rPr>
        <w:t>dB</w:t>
      </w:r>
      <w:r>
        <w:rPr>
          <w:position w:val="2"/>
          <w:vertAlign w:val="baseline"/>
        </w:rPr>
        <w:t>（</w:t>
      </w:r>
      <w:r>
        <w:rPr>
          <w:rFonts w:ascii="Times New Roman" w:hAnsi="Times New Roman" w:eastAsia="Times New Roman"/>
          <w:spacing w:val="-1"/>
          <w:position w:val="2"/>
          <w:vertAlign w:val="baseline"/>
        </w:rPr>
        <w:t>A</w:t>
      </w:r>
      <w:r>
        <w:rPr>
          <w:spacing w:val="-120"/>
          <w:position w:val="2"/>
          <w:vertAlign w:val="baseline"/>
        </w:rPr>
        <w:t>）</w:t>
      </w:r>
      <w:r>
        <w:rPr>
          <w:position w:val="2"/>
          <w:vertAlign w:val="baseline"/>
        </w:rPr>
        <w:t>；</w:t>
      </w:r>
    </w:p>
    <w:p w14:paraId="07B35BC0">
      <w:pPr>
        <w:spacing w:after="0"/>
        <w:sectPr>
          <w:pgSz w:w="11910" w:h="16840"/>
          <w:pgMar w:top="1360" w:right="1320" w:bottom="1400" w:left="1340" w:header="878" w:footer="1204" w:gutter="0"/>
          <w:cols w:space="720" w:num="1"/>
        </w:sectPr>
      </w:pPr>
    </w:p>
    <w:p w14:paraId="39673D8F">
      <w:pPr>
        <w:pStyle w:val="7"/>
        <w:spacing w:before="65"/>
        <w:ind w:left="940"/>
      </w:pPr>
      <w:r>
        <w:rPr>
          <w:rFonts w:ascii="Times New Roman" w:hAnsi="Times New Roman" w:eastAsia="Times New Roman"/>
          <w:spacing w:val="-1"/>
          <w:position w:val="2"/>
        </w:rPr>
        <w:t>L</w:t>
      </w:r>
      <w:r>
        <w:rPr>
          <w:rFonts w:ascii="Times New Roman" w:hAnsi="Times New Roman" w:eastAsia="Times New Roman"/>
          <w:spacing w:val="-3"/>
          <w:w w:val="103"/>
          <w:position w:val="2"/>
          <w:vertAlign w:val="subscript"/>
        </w:rPr>
        <w:t>A</w:t>
      </w:r>
      <w:r>
        <w:rPr>
          <w:position w:val="2"/>
          <w:vertAlign w:val="baseline"/>
        </w:rPr>
        <w:t>（</w:t>
      </w:r>
      <w:r>
        <w:rPr>
          <w:rFonts w:ascii="Times New Roman" w:hAnsi="Times New Roman" w:eastAsia="Times New Roman"/>
          <w:spacing w:val="0"/>
          <w:position w:val="2"/>
          <w:vertAlign w:val="baseline"/>
        </w:rPr>
        <w:t>r</w:t>
      </w:r>
      <w:r>
        <w:rPr>
          <w:rFonts w:ascii="Times New Roman" w:hAnsi="Times New Roman" w:eastAsia="Times New Roman"/>
          <w:spacing w:val="-2"/>
          <w:w w:val="103"/>
          <w:position w:val="2"/>
          <w:vertAlign w:val="subscript"/>
        </w:rPr>
        <w:t>0</w:t>
      </w:r>
      <w:r>
        <w:rPr>
          <w:position w:val="2"/>
          <w:vertAlign w:val="baseline"/>
        </w:rPr>
        <w:t>）</w:t>
      </w:r>
      <w:r>
        <w:rPr>
          <w:rFonts w:ascii="Times New Roman" w:hAnsi="Times New Roman" w:eastAsia="Times New Roman"/>
          <w:position w:val="2"/>
          <w:vertAlign w:val="baseline"/>
        </w:rPr>
        <w:t>—</w:t>
      </w:r>
      <w:r>
        <w:rPr>
          <w:spacing w:val="-12"/>
          <w:position w:val="2"/>
          <w:vertAlign w:val="baseline"/>
        </w:rPr>
        <w:t xml:space="preserve">参考位置 </w:t>
      </w:r>
      <w:r>
        <w:rPr>
          <w:rFonts w:ascii="Times New Roman" w:hAnsi="Times New Roman" w:eastAsia="Times New Roman"/>
          <w:spacing w:val="-1"/>
          <w:position w:val="2"/>
          <w:vertAlign w:val="baseline"/>
        </w:rPr>
        <w:t>r</w:t>
      </w:r>
      <w:r>
        <w:rPr>
          <w:rFonts w:ascii="Times New Roman" w:hAnsi="Times New Roman" w:eastAsia="Times New Roman"/>
          <w:w w:val="103"/>
          <w:position w:val="2"/>
          <w:vertAlign w:val="subscript"/>
        </w:rPr>
        <w:t>0</w:t>
      </w:r>
      <w:r>
        <w:rPr>
          <w:rFonts w:ascii="Times New Roman" w:hAnsi="Times New Roman" w:eastAsia="Times New Roman"/>
          <w:spacing w:val="-28"/>
          <w:position w:val="2"/>
          <w:vertAlign w:val="baseline"/>
        </w:rPr>
        <w:t xml:space="preserve"> </w:t>
      </w:r>
      <w:r>
        <w:rPr>
          <w:position w:val="2"/>
          <w:vertAlign w:val="baseline"/>
        </w:rPr>
        <w:t>处的声级，</w:t>
      </w:r>
      <w:r>
        <w:rPr>
          <w:rFonts w:ascii="Times New Roman" w:hAnsi="Times New Roman" w:eastAsia="Times New Roman"/>
          <w:position w:val="2"/>
          <w:vertAlign w:val="baseline"/>
        </w:rPr>
        <w:t>d</w:t>
      </w:r>
      <w:r>
        <w:rPr>
          <w:rFonts w:ascii="Times New Roman" w:hAnsi="Times New Roman" w:eastAsia="Times New Roman"/>
          <w:spacing w:val="-2"/>
          <w:position w:val="2"/>
          <w:vertAlign w:val="baseline"/>
        </w:rPr>
        <w:t>B</w:t>
      </w:r>
      <w:r>
        <w:rPr>
          <w:position w:val="2"/>
          <w:vertAlign w:val="baseline"/>
        </w:rPr>
        <w:t>（</w:t>
      </w:r>
      <w:r>
        <w:rPr>
          <w:rFonts w:ascii="Times New Roman" w:hAnsi="Times New Roman" w:eastAsia="Times New Roman"/>
          <w:spacing w:val="-1"/>
          <w:position w:val="2"/>
          <w:vertAlign w:val="baseline"/>
        </w:rPr>
        <w:t>A</w:t>
      </w:r>
      <w:r>
        <w:rPr>
          <w:spacing w:val="-120"/>
          <w:position w:val="2"/>
          <w:vertAlign w:val="baseline"/>
        </w:rPr>
        <w:t>）</w:t>
      </w:r>
      <w:r>
        <w:rPr>
          <w:position w:val="2"/>
          <w:vertAlign w:val="baseline"/>
        </w:rPr>
        <w:t>；</w:t>
      </w:r>
    </w:p>
    <w:p w14:paraId="3412C2FA">
      <w:pPr>
        <w:pStyle w:val="7"/>
        <w:spacing w:before="159"/>
        <w:ind w:left="940"/>
      </w:pPr>
      <w:r>
        <w:rPr>
          <w:rFonts w:ascii="Times New Roman" w:hAnsi="Times New Roman" w:eastAsia="Times New Roman"/>
          <w:spacing w:val="-1"/>
        </w:rPr>
        <w:t>r</w:t>
      </w:r>
      <w:r>
        <w:rPr>
          <w:rFonts w:ascii="Times New Roman" w:hAnsi="Times New Roman" w:eastAsia="Times New Roman"/>
        </w:rPr>
        <w:t>—</w:t>
      </w:r>
      <w:r>
        <w:t>预测点与点声源之间的距离（</w:t>
      </w:r>
      <w:r>
        <w:rPr>
          <w:rFonts w:ascii="Times New Roman" w:hAnsi="Times New Roman" w:eastAsia="Times New Roman"/>
        </w:rPr>
        <w:t>m</w:t>
      </w:r>
      <w:r>
        <w:rPr>
          <w:spacing w:val="-120"/>
        </w:rPr>
        <w:t>）</w:t>
      </w:r>
      <w:r>
        <w:t>；</w:t>
      </w:r>
    </w:p>
    <w:p w14:paraId="67039FE5">
      <w:pPr>
        <w:pStyle w:val="7"/>
        <w:spacing w:before="155"/>
        <w:ind w:left="940"/>
      </w:pPr>
      <w:r>
        <w:rPr>
          <w:rFonts w:ascii="Times New Roman" w:hAnsi="Times New Roman" w:eastAsia="Times New Roman"/>
          <w:spacing w:val="-1"/>
          <w:position w:val="2"/>
        </w:rPr>
        <w:t>r</w:t>
      </w:r>
      <w:r>
        <w:rPr>
          <w:rFonts w:ascii="Times New Roman" w:hAnsi="Times New Roman" w:eastAsia="Times New Roman"/>
          <w:w w:val="103"/>
          <w:position w:val="2"/>
          <w:vertAlign w:val="subscript"/>
        </w:rPr>
        <w:t>0</w:t>
      </w:r>
      <w:r>
        <w:rPr>
          <w:rFonts w:ascii="Times New Roman" w:hAnsi="Times New Roman" w:eastAsia="Times New Roman"/>
          <w:spacing w:val="-11"/>
          <w:position w:val="2"/>
          <w:vertAlign w:val="baseline"/>
        </w:rPr>
        <w:t xml:space="preserve"> —</w:t>
      </w:r>
      <w:r>
        <w:rPr>
          <w:position w:val="2"/>
          <w:vertAlign w:val="baseline"/>
        </w:rPr>
        <w:t>参考位置与点声源之间的距离（</w:t>
      </w:r>
      <w:r>
        <w:rPr>
          <w:rFonts w:ascii="Times New Roman" w:hAnsi="Times New Roman" w:eastAsia="Times New Roman"/>
          <w:spacing w:val="-2"/>
          <w:position w:val="2"/>
          <w:vertAlign w:val="baseline"/>
        </w:rPr>
        <w:t>m</w:t>
      </w:r>
      <w:r>
        <w:rPr>
          <w:spacing w:val="-120"/>
          <w:position w:val="2"/>
          <w:vertAlign w:val="baseline"/>
        </w:rPr>
        <w:t>）</w:t>
      </w:r>
      <w:r>
        <w:rPr>
          <w:position w:val="2"/>
          <w:vertAlign w:val="baseline"/>
        </w:rPr>
        <w:t>；</w:t>
      </w:r>
    </w:p>
    <w:p w14:paraId="5CC3398A">
      <w:pPr>
        <w:pStyle w:val="7"/>
        <w:spacing w:before="159"/>
        <w:ind w:left="940"/>
      </w:pPr>
      <w:r>
        <w:t>根据上式计算的单台施工机械或车辆噪声随距离衰减的情况见下表。</w:t>
      </w:r>
    </w:p>
    <w:p w14:paraId="47CCA258">
      <w:pPr>
        <w:spacing w:before="157" w:after="4"/>
        <w:ind w:left="267" w:right="286" w:firstLine="0"/>
        <w:jc w:val="center"/>
        <w:rPr>
          <w:b/>
          <w:sz w:val="21"/>
        </w:rPr>
      </w:pPr>
      <w:r>
        <w:pict>
          <v:shape id="_x0000_s1387" o:spid="_x0000_s1387" style="position:absolute;left:0pt;margin-left:83.15pt;margin-top:22pt;height:27.25pt;width:91.95pt;mso-position-horizontal-relative:page;z-index:-251649024;mso-width-relative:page;mso-height-relative:page;" fillcolor="#000000" filled="t" stroked="f" coordorigin="1663,440" coordsize="1839,545" path="m3498,985l1663,452,1667,440,3502,973,3498,985xe">
            <v:path arrowok="t"/>
            <v:fill on="t" focussize="0,0"/>
            <v:stroke on="f"/>
            <v:imagedata o:title=""/>
            <o:lock v:ext="edit"/>
          </v:shape>
        </w:pict>
      </w:r>
      <w:r>
        <w:rPr>
          <w:b/>
          <w:w w:val="99"/>
          <w:sz w:val="21"/>
        </w:rPr>
        <w:t>表</w:t>
      </w:r>
      <w:r>
        <w:rPr>
          <w:b/>
          <w:spacing w:val="-54"/>
          <w:sz w:val="21"/>
        </w:rPr>
        <w:t xml:space="preserve"> </w:t>
      </w:r>
      <w:r>
        <w:rPr>
          <w:rFonts w:ascii="Times New Roman" w:eastAsia="Times New Roman"/>
          <w:b/>
          <w:spacing w:val="0"/>
          <w:w w:val="99"/>
          <w:sz w:val="21"/>
        </w:rPr>
        <w:t>5</w:t>
      </w:r>
      <w:r>
        <w:rPr>
          <w:rFonts w:ascii="Times New Roman" w:eastAsia="Times New Roman"/>
          <w:b/>
          <w:w w:val="99"/>
          <w:sz w:val="21"/>
        </w:rPr>
        <w:t>.</w:t>
      </w:r>
      <w:r>
        <w:rPr>
          <w:rFonts w:ascii="Times New Roman" w:eastAsia="Times New Roman"/>
          <w:b/>
          <w:spacing w:val="0"/>
          <w:w w:val="99"/>
          <w:sz w:val="21"/>
        </w:rPr>
        <w:t>1</w:t>
      </w:r>
      <w:r>
        <w:rPr>
          <w:rFonts w:ascii="Times New Roman" w:eastAsia="Times New Roman"/>
          <w:b/>
          <w:spacing w:val="-1"/>
          <w:w w:val="99"/>
          <w:sz w:val="21"/>
        </w:rPr>
        <w:t>-</w:t>
      </w:r>
      <w:r>
        <w:rPr>
          <w:rFonts w:ascii="Times New Roman" w:eastAsia="Times New Roman"/>
          <w:b/>
          <w:w w:val="99"/>
          <w:sz w:val="21"/>
        </w:rPr>
        <w:t>5</w:t>
      </w:r>
      <w:r>
        <w:rPr>
          <w:rFonts w:ascii="Times New Roman" w:eastAsia="Times New Roman"/>
          <w:b/>
          <w:spacing w:val="-1"/>
          <w:sz w:val="21"/>
        </w:rPr>
        <w:t xml:space="preserve">  </w:t>
      </w:r>
      <w:r>
        <w:rPr>
          <w:b/>
          <w:spacing w:val="-1"/>
          <w:w w:val="99"/>
          <w:sz w:val="21"/>
        </w:rPr>
        <w:t>施工设备噪声随距离衰减预测结果（</w:t>
      </w:r>
      <w:r>
        <w:rPr>
          <w:b/>
          <w:w w:val="99"/>
          <w:sz w:val="21"/>
        </w:rPr>
        <w:t>单位：</w:t>
      </w:r>
      <w:r>
        <w:rPr>
          <w:rFonts w:ascii="Times New Roman" w:eastAsia="Times New Roman"/>
          <w:b/>
          <w:spacing w:val="-2"/>
          <w:w w:val="99"/>
          <w:sz w:val="21"/>
        </w:rPr>
        <w:t>d</w:t>
      </w:r>
      <w:r>
        <w:rPr>
          <w:rFonts w:ascii="Times New Roman" w:eastAsia="Times New Roman"/>
          <w:b/>
          <w:spacing w:val="3"/>
          <w:w w:val="99"/>
          <w:sz w:val="21"/>
        </w:rPr>
        <w:t>B</w:t>
      </w:r>
      <w:r>
        <w:rPr>
          <w:b/>
          <w:spacing w:val="-1"/>
          <w:w w:val="99"/>
          <w:sz w:val="21"/>
        </w:rPr>
        <w:t>（</w:t>
      </w:r>
      <w:r>
        <w:rPr>
          <w:rFonts w:ascii="Times New Roman" w:eastAsia="Times New Roman"/>
          <w:b/>
          <w:w w:val="99"/>
          <w:sz w:val="21"/>
        </w:rPr>
        <w:t>A</w:t>
      </w:r>
      <w:r>
        <w:rPr>
          <w:b/>
          <w:spacing w:val="-101"/>
          <w:w w:val="99"/>
          <w:sz w:val="21"/>
        </w:rPr>
        <w:t>）</w:t>
      </w:r>
      <w:r>
        <w:rPr>
          <w:b/>
          <w:w w:val="99"/>
          <w:sz w:val="21"/>
        </w:rPr>
        <w:t>）</w:t>
      </w: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9"/>
        <w:gridCol w:w="676"/>
        <w:gridCol w:w="541"/>
        <w:gridCol w:w="544"/>
        <w:gridCol w:w="544"/>
        <w:gridCol w:w="544"/>
        <w:gridCol w:w="544"/>
        <w:gridCol w:w="675"/>
        <w:gridCol w:w="675"/>
        <w:gridCol w:w="675"/>
        <w:gridCol w:w="675"/>
        <w:gridCol w:w="675"/>
      </w:tblGrid>
      <w:tr w14:paraId="1E16C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49" w:type="dxa"/>
          </w:tcPr>
          <w:p w14:paraId="5D2EBC1E">
            <w:pPr>
              <w:pStyle w:val="14"/>
              <w:ind w:left="597"/>
              <w:rPr>
                <w:b/>
                <w:sz w:val="21"/>
              </w:rPr>
            </w:pPr>
            <w:r>
              <w:rPr>
                <w:b/>
                <w:sz w:val="21"/>
              </w:rPr>
              <w:t>距离（</w:t>
            </w:r>
            <w:r>
              <w:rPr>
                <w:rFonts w:ascii="Times New Roman" w:eastAsia="Times New Roman"/>
                <w:b/>
                <w:sz w:val="21"/>
              </w:rPr>
              <w:t>m</w:t>
            </w:r>
            <w:r>
              <w:rPr>
                <w:b/>
                <w:sz w:val="21"/>
              </w:rPr>
              <w:t>）</w:t>
            </w:r>
          </w:p>
          <w:p w14:paraId="4C517F62">
            <w:pPr>
              <w:pStyle w:val="14"/>
              <w:spacing w:before="2" w:line="253" w:lineRule="exact"/>
              <w:ind w:left="107"/>
              <w:rPr>
                <w:b/>
                <w:sz w:val="21"/>
              </w:rPr>
            </w:pPr>
            <w:r>
              <w:rPr>
                <w:b/>
                <w:sz w:val="21"/>
              </w:rPr>
              <w:t>施工设备</w:t>
            </w:r>
          </w:p>
        </w:tc>
        <w:tc>
          <w:tcPr>
            <w:tcW w:w="676" w:type="dxa"/>
          </w:tcPr>
          <w:p w14:paraId="7257C14C">
            <w:pPr>
              <w:pStyle w:val="14"/>
              <w:spacing w:before="151"/>
              <w:ind w:right="222"/>
              <w:jc w:val="right"/>
              <w:rPr>
                <w:rFonts w:ascii="Times New Roman"/>
                <w:b/>
                <w:sz w:val="21"/>
              </w:rPr>
            </w:pPr>
            <w:r>
              <w:rPr>
                <w:rFonts w:ascii="Times New Roman"/>
                <w:b/>
                <w:sz w:val="21"/>
              </w:rPr>
              <w:t>10</w:t>
            </w:r>
          </w:p>
        </w:tc>
        <w:tc>
          <w:tcPr>
            <w:tcW w:w="541" w:type="dxa"/>
          </w:tcPr>
          <w:p w14:paraId="7812A522">
            <w:pPr>
              <w:pStyle w:val="14"/>
              <w:spacing w:before="151"/>
              <w:ind w:left="145" w:right="136"/>
              <w:jc w:val="center"/>
              <w:rPr>
                <w:rFonts w:ascii="Times New Roman"/>
                <w:b/>
                <w:sz w:val="21"/>
              </w:rPr>
            </w:pPr>
            <w:r>
              <w:rPr>
                <w:rFonts w:ascii="Times New Roman"/>
                <w:b/>
                <w:sz w:val="21"/>
              </w:rPr>
              <w:t>20</w:t>
            </w:r>
          </w:p>
        </w:tc>
        <w:tc>
          <w:tcPr>
            <w:tcW w:w="544" w:type="dxa"/>
          </w:tcPr>
          <w:p w14:paraId="60A4859F">
            <w:pPr>
              <w:pStyle w:val="14"/>
              <w:spacing w:before="151"/>
              <w:ind w:left="146" w:right="137"/>
              <w:jc w:val="center"/>
              <w:rPr>
                <w:rFonts w:ascii="Times New Roman"/>
                <w:b/>
                <w:sz w:val="21"/>
              </w:rPr>
            </w:pPr>
            <w:r>
              <w:rPr>
                <w:rFonts w:ascii="Times New Roman"/>
                <w:b/>
                <w:sz w:val="21"/>
              </w:rPr>
              <w:t>30</w:t>
            </w:r>
          </w:p>
        </w:tc>
        <w:tc>
          <w:tcPr>
            <w:tcW w:w="544" w:type="dxa"/>
          </w:tcPr>
          <w:p w14:paraId="2E5E7B21">
            <w:pPr>
              <w:pStyle w:val="14"/>
              <w:spacing w:before="151"/>
              <w:ind w:left="146" w:right="136"/>
              <w:jc w:val="center"/>
              <w:rPr>
                <w:rFonts w:ascii="Times New Roman"/>
                <w:b/>
                <w:sz w:val="21"/>
              </w:rPr>
            </w:pPr>
            <w:r>
              <w:rPr>
                <w:rFonts w:ascii="Times New Roman"/>
                <w:b/>
                <w:sz w:val="21"/>
              </w:rPr>
              <w:t>40</w:t>
            </w:r>
          </w:p>
        </w:tc>
        <w:tc>
          <w:tcPr>
            <w:tcW w:w="544" w:type="dxa"/>
          </w:tcPr>
          <w:p w14:paraId="5F5B6476">
            <w:pPr>
              <w:pStyle w:val="14"/>
              <w:spacing w:before="151"/>
              <w:ind w:right="156"/>
              <w:jc w:val="right"/>
              <w:rPr>
                <w:rFonts w:ascii="Times New Roman"/>
                <w:b/>
                <w:sz w:val="21"/>
              </w:rPr>
            </w:pPr>
            <w:r>
              <w:rPr>
                <w:rFonts w:ascii="Times New Roman"/>
                <w:b/>
                <w:sz w:val="21"/>
              </w:rPr>
              <w:t>60</w:t>
            </w:r>
          </w:p>
        </w:tc>
        <w:tc>
          <w:tcPr>
            <w:tcW w:w="544" w:type="dxa"/>
          </w:tcPr>
          <w:p w14:paraId="4AA0A7D7">
            <w:pPr>
              <w:pStyle w:val="14"/>
              <w:spacing w:before="151"/>
              <w:ind w:left="146" w:right="137"/>
              <w:jc w:val="center"/>
              <w:rPr>
                <w:rFonts w:ascii="Times New Roman"/>
                <w:b/>
                <w:sz w:val="21"/>
              </w:rPr>
            </w:pPr>
            <w:r>
              <w:rPr>
                <w:rFonts w:ascii="Times New Roman"/>
                <w:b/>
                <w:sz w:val="21"/>
              </w:rPr>
              <w:t>80</w:t>
            </w:r>
          </w:p>
        </w:tc>
        <w:tc>
          <w:tcPr>
            <w:tcW w:w="675" w:type="dxa"/>
          </w:tcPr>
          <w:p w14:paraId="3FAFF7B7">
            <w:pPr>
              <w:pStyle w:val="14"/>
              <w:spacing w:before="151"/>
              <w:ind w:left="179"/>
              <w:rPr>
                <w:rFonts w:ascii="Times New Roman"/>
                <w:b/>
                <w:sz w:val="21"/>
              </w:rPr>
            </w:pPr>
            <w:r>
              <w:rPr>
                <w:rFonts w:ascii="Times New Roman"/>
                <w:b/>
                <w:sz w:val="21"/>
              </w:rPr>
              <w:t>100</w:t>
            </w:r>
          </w:p>
        </w:tc>
        <w:tc>
          <w:tcPr>
            <w:tcW w:w="675" w:type="dxa"/>
          </w:tcPr>
          <w:p w14:paraId="2708CC4A">
            <w:pPr>
              <w:pStyle w:val="14"/>
              <w:spacing w:before="151"/>
              <w:ind w:left="178"/>
              <w:rPr>
                <w:rFonts w:ascii="Times New Roman"/>
                <w:b/>
                <w:sz w:val="21"/>
              </w:rPr>
            </w:pPr>
            <w:r>
              <w:rPr>
                <w:rFonts w:ascii="Times New Roman"/>
                <w:b/>
                <w:sz w:val="21"/>
              </w:rPr>
              <w:t>150</w:t>
            </w:r>
          </w:p>
        </w:tc>
        <w:tc>
          <w:tcPr>
            <w:tcW w:w="675" w:type="dxa"/>
          </w:tcPr>
          <w:p w14:paraId="3B449EB0">
            <w:pPr>
              <w:pStyle w:val="14"/>
              <w:spacing w:before="151"/>
              <w:ind w:left="159" w:right="148"/>
              <w:jc w:val="center"/>
              <w:rPr>
                <w:rFonts w:ascii="Times New Roman"/>
                <w:b/>
                <w:sz w:val="21"/>
              </w:rPr>
            </w:pPr>
            <w:r>
              <w:rPr>
                <w:rFonts w:ascii="Times New Roman"/>
                <w:b/>
                <w:sz w:val="21"/>
              </w:rPr>
              <w:t>200</w:t>
            </w:r>
          </w:p>
        </w:tc>
        <w:tc>
          <w:tcPr>
            <w:tcW w:w="675" w:type="dxa"/>
          </w:tcPr>
          <w:p w14:paraId="757CE3AC">
            <w:pPr>
              <w:pStyle w:val="14"/>
              <w:spacing w:before="151"/>
              <w:ind w:left="179"/>
              <w:rPr>
                <w:rFonts w:ascii="Times New Roman"/>
                <w:b/>
                <w:sz w:val="21"/>
              </w:rPr>
            </w:pPr>
            <w:r>
              <w:rPr>
                <w:rFonts w:ascii="Times New Roman"/>
                <w:b/>
                <w:sz w:val="21"/>
              </w:rPr>
              <w:t>250</w:t>
            </w:r>
          </w:p>
        </w:tc>
        <w:tc>
          <w:tcPr>
            <w:tcW w:w="675" w:type="dxa"/>
          </w:tcPr>
          <w:p w14:paraId="6666552F">
            <w:pPr>
              <w:pStyle w:val="14"/>
              <w:spacing w:before="151"/>
              <w:ind w:left="158" w:right="149"/>
              <w:jc w:val="center"/>
              <w:rPr>
                <w:rFonts w:ascii="Times New Roman"/>
                <w:b/>
                <w:sz w:val="21"/>
              </w:rPr>
            </w:pPr>
            <w:r>
              <w:rPr>
                <w:rFonts w:ascii="Times New Roman"/>
                <w:b/>
                <w:sz w:val="21"/>
              </w:rPr>
              <w:t>300</w:t>
            </w:r>
          </w:p>
        </w:tc>
      </w:tr>
      <w:tr w14:paraId="0F11D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428BF588">
            <w:pPr>
              <w:pStyle w:val="14"/>
              <w:spacing w:before="33"/>
              <w:ind w:left="271" w:right="265"/>
              <w:jc w:val="center"/>
              <w:rPr>
                <w:sz w:val="21"/>
              </w:rPr>
            </w:pPr>
            <w:r>
              <w:rPr>
                <w:sz w:val="21"/>
              </w:rPr>
              <w:t>液压挖掘机</w:t>
            </w:r>
          </w:p>
        </w:tc>
        <w:tc>
          <w:tcPr>
            <w:tcW w:w="676" w:type="dxa"/>
          </w:tcPr>
          <w:p w14:paraId="04EC98DF">
            <w:pPr>
              <w:pStyle w:val="14"/>
              <w:spacing w:before="47"/>
              <w:ind w:right="222"/>
              <w:jc w:val="right"/>
              <w:rPr>
                <w:rFonts w:ascii="Times New Roman"/>
                <w:sz w:val="21"/>
              </w:rPr>
            </w:pPr>
            <w:r>
              <w:rPr>
                <w:rFonts w:ascii="Times New Roman"/>
                <w:sz w:val="21"/>
              </w:rPr>
              <w:t>86</w:t>
            </w:r>
          </w:p>
        </w:tc>
        <w:tc>
          <w:tcPr>
            <w:tcW w:w="541" w:type="dxa"/>
          </w:tcPr>
          <w:p w14:paraId="141191F9">
            <w:pPr>
              <w:pStyle w:val="14"/>
              <w:spacing w:before="47"/>
              <w:ind w:left="145" w:right="136"/>
              <w:jc w:val="center"/>
              <w:rPr>
                <w:rFonts w:ascii="Times New Roman"/>
                <w:sz w:val="21"/>
              </w:rPr>
            </w:pPr>
            <w:r>
              <w:rPr>
                <w:rFonts w:ascii="Times New Roman"/>
                <w:sz w:val="21"/>
              </w:rPr>
              <w:t>80</w:t>
            </w:r>
          </w:p>
        </w:tc>
        <w:tc>
          <w:tcPr>
            <w:tcW w:w="544" w:type="dxa"/>
          </w:tcPr>
          <w:p w14:paraId="741D9425">
            <w:pPr>
              <w:pStyle w:val="14"/>
              <w:spacing w:before="47"/>
              <w:ind w:left="146" w:right="137"/>
              <w:jc w:val="center"/>
              <w:rPr>
                <w:rFonts w:ascii="Times New Roman"/>
                <w:sz w:val="21"/>
              </w:rPr>
            </w:pPr>
            <w:r>
              <w:rPr>
                <w:rFonts w:ascii="Times New Roman"/>
                <w:sz w:val="21"/>
              </w:rPr>
              <w:t>76</w:t>
            </w:r>
          </w:p>
        </w:tc>
        <w:tc>
          <w:tcPr>
            <w:tcW w:w="544" w:type="dxa"/>
          </w:tcPr>
          <w:p w14:paraId="1EBE4048">
            <w:pPr>
              <w:pStyle w:val="14"/>
              <w:spacing w:before="47"/>
              <w:ind w:left="146" w:right="136"/>
              <w:jc w:val="center"/>
              <w:rPr>
                <w:rFonts w:ascii="Times New Roman"/>
                <w:sz w:val="21"/>
              </w:rPr>
            </w:pPr>
            <w:r>
              <w:rPr>
                <w:rFonts w:ascii="Times New Roman"/>
                <w:sz w:val="21"/>
              </w:rPr>
              <w:t>74</w:t>
            </w:r>
          </w:p>
        </w:tc>
        <w:tc>
          <w:tcPr>
            <w:tcW w:w="544" w:type="dxa"/>
          </w:tcPr>
          <w:p w14:paraId="21F354EC">
            <w:pPr>
              <w:pStyle w:val="14"/>
              <w:spacing w:before="47"/>
              <w:ind w:right="156"/>
              <w:jc w:val="right"/>
              <w:rPr>
                <w:rFonts w:ascii="Times New Roman"/>
                <w:sz w:val="21"/>
              </w:rPr>
            </w:pPr>
            <w:r>
              <w:rPr>
                <w:rFonts w:ascii="Times New Roman"/>
                <w:sz w:val="21"/>
              </w:rPr>
              <w:t>70</w:t>
            </w:r>
          </w:p>
        </w:tc>
        <w:tc>
          <w:tcPr>
            <w:tcW w:w="544" w:type="dxa"/>
          </w:tcPr>
          <w:p w14:paraId="72E76F40">
            <w:pPr>
              <w:pStyle w:val="14"/>
              <w:spacing w:before="47"/>
              <w:ind w:left="146" w:right="137"/>
              <w:jc w:val="center"/>
              <w:rPr>
                <w:rFonts w:ascii="Times New Roman"/>
                <w:sz w:val="21"/>
              </w:rPr>
            </w:pPr>
            <w:r>
              <w:rPr>
                <w:rFonts w:ascii="Times New Roman"/>
                <w:sz w:val="21"/>
              </w:rPr>
              <w:t>68</w:t>
            </w:r>
          </w:p>
        </w:tc>
        <w:tc>
          <w:tcPr>
            <w:tcW w:w="675" w:type="dxa"/>
          </w:tcPr>
          <w:p w14:paraId="1E296558">
            <w:pPr>
              <w:pStyle w:val="14"/>
              <w:spacing w:before="47"/>
              <w:ind w:left="232"/>
              <w:rPr>
                <w:rFonts w:ascii="Times New Roman"/>
                <w:sz w:val="21"/>
              </w:rPr>
            </w:pPr>
            <w:r>
              <w:rPr>
                <w:rFonts w:ascii="Times New Roman"/>
                <w:sz w:val="21"/>
              </w:rPr>
              <w:t>66</w:t>
            </w:r>
          </w:p>
        </w:tc>
        <w:tc>
          <w:tcPr>
            <w:tcW w:w="675" w:type="dxa"/>
          </w:tcPr>
          <w:p w14:paraId="1029A702">
            <w:pPr>
              <w:pStyle w:val="14"/>
              <w:spacing w:before="47"/>
              <w:ind w:left="231"/>
              <w:rPr>
                <w:rFonts w:ascii="Times New Roman"/>
                <w:sz w:val="21"/>
              </w:rPr>
            </w:pPr>
            <w:r>
              <w:rPr>
                <w:rFonts w:ascii="Times New Roman"/>
                <w:sz w:val="21"/>
              </w:rPr>
              <w:t>62</w:t>
            </w:r>
          </w:p>
        </w:tc>
        <w:tc>
          <w:tcPr>
            <w:tcW w:w="675" w:type="dxa"/>
          </w:tcPr>
          <w:p w14:paraId="1B6BD15B">
            <w:pPr>
              <w:pStyle w:val="14"/>
              <w:spacing w:before="47"/>
              <w:ind w:left="156" w:right="149"/>
              <w:jc w:val="center"/>
              <w:rPr>
                <w:rFonts w:ascii="Times New Roman"/>
                <w:sz w:val="21"/>
              </w:rPr>
            </w:pPr>
            <w:r>
              <w:rPr>
                <w:rFonts w:ascii="Times New Roman"/>
                <w:sz w:val="21"/>
              </w:rPr>
              <w:t>60</w:t>
            </w:r>
          </w:p>
        </w:tc>
        <w:tc>
          <w:tcPr>
            <w:tcW w:w="675" w:type="dxa"/>
          </w:tcPr>
          <w:p w14:paraId="44560AE9">
            <w:pPr>
              <w:pStyle w:val="14"/>
              <w:spacing w:before="47"/>
              <w:ind w:left="232"/>
              <w:rPr>
                <w:rFonts w:ascii="Times New Roman"/>
                <w:sz w:val="21"/>
              </w:rPr>
            </w:pPr>
            <w:r>
              <w:rPr>
                <w:rFonts w:ascii="Times New Roman"/>
                <w:sz w:val="21"/>
              </w:rPr>
              <w:t>58</w:t>
            </w:r>
          </w:p>
        </w:tc>
        <w:tc>
          <w:tcPr>
            <w:tcW w:w="675" w:type="dxa"/>
          </w:tcPr>
          <w:p w14:paraId="6D4B7D42">
            <w:pPr>
              <w:pStyle w:val="14"/>
              <w:spacing w:before="47"/>
              <w:ind w:left="158" w:right="149"/>
              <w:jc w:val="center"/>
              <w:rPr>
                <w:rFonts w:ascii="Times New Roman"/>
                <w:sz w:val="21"/>
              </w:rPr>
            </w:pPr>
            <w:r>
              <w:rPr>
                <w:rFonts w:ascii="Times New Roman"/>
                <w:sz w:val="21"/>
              </w:rPr>
              <w:t>56</w:t>
            </w:r>
          </w:p>
        </w:tc>
      </w:tr>
      <w:tr w14:paraId="5CB53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153E8BDC">
            <w:pPr>
              <w:pStyle w:val="14"/>
              <w:spacing w:before="34"/>
              <w:ind w:left="271" w:right="263"/>
              <w:jc w:val="center"/>
              <w:rPr>
                <w:sz w:val="21"/>
              </w:rPr>
            </w:pPr>
            <w:r>
              <w:rPr>
                <w:sz w:val="21"/>
              </w:rPr>
              <w:t>推土机</w:t>
            </w:r>
          </w:p>
        </w:tc>
        <w:tc>
          <w:tcPr>
            <w:tcW w:w="676" w:type="dxa"/>
          </w:tcPr>
          <w:p w14:paraId="21B01AA1">
            <w:pPr>
              <w:pStyle w:val="14"/>
              <w:spacing w:before="47"/>
              <w:ind w:right="222"/>
              <w:jc w:val="right"/>
              <w:rPr>
                <w:rFonts w:ascii="Times New Roman"/>
                <w:sz w:val="21"/>
              </w:rPr>
            </w:pPr>
            <w:r>
              <w:rPr>
                <w:rFonts w:ascii="Times New Roman"/>
                <w:sz w:val="21"/>
              </w:rPr>
              <w:t>85</w:t>
            </w:r>
          </w:p>
        </w:tc>
        <w:tc>
          <w:tcPr>
            <w:tcW w:w="541" w:type="dxa"/>
          </w:tcPr>
          <w:p w14:paraId="14CA97E2">
            <w:pPr>
              <w:pStyle w:val="14"/>
              <w:spacing w:before="47"/>
              <w:ind w:left="145" w:right="136"/>
              <w:jc w:val="center"/>
              <w:rPr>
                <w:rFonts w:ascii="Times New Roman"/>
                <w:sz w:val="21"/>
              </w:rPr>
            </w:pPr>
            <w:r>
              <w:rPr>
                <w:rFonts w:ascii="Times New Roman"/>
                <w:sz w:val="21"/>
              </w:rPr>
              <w:t>79</w:t>
            </w:r>
          </w:p>
        </w:tc>
        <w:tc>
          <w:tcPr>
            <w:tcW w:w="544" w:type="dxa"/>
          </w:tcPr>
          <w:p w14:paraId="53F9D8DB">
            <w:pPr>
              <w:pStyle w:val="14"/>
              <w:spacing w:before="47"/>
              <w:ind w:left="146" w:right="137"/>
              <w:jc w:val="center"/>
              <w:rPr>
                <w:rFonts w:ascii="Times New Roman"/>
                <w:sz w:val="21"/>
              </w:rPr>
            </w:pPr>
            <w:r>
              <w:rPr>
                <w:rFonts w:ascii="Times New Roman"/>
                <w:sz w:val="21"/>
              </w:rPr>
              <w:t>74</w:t>
            </w:r>
          </w:p>
        </w:tc>
        <w:tc>
          <w:tcPr>
            <w:tcW w:w="544" w:type="dxa"/>
          </w:tcPr>
          <w:p w14:paraId="64A04F73">
            <w:pPr>
              <w:pStyle w:val="14"/>
              <w:spacing w:before="47"/>
              <w:ind w:left="146" w:right="136"/>
              <w:jc w:val="center"/>
              <w:rPr>
                <w:rFonts w:ascii="Times New Roman"/>
                <w:sz w:val="21"/>
              </w:rPr>
            </w:pPr>
            <w:r>
              <w:rPr>
                <w:rFonts w:ascii="Times New Roman"/>
                <w:sz w:val="21"/>
              </w:rPr>
              <w:t>72</w:t>
            </w:r>
          </w:p>
        </w:tc>
        <w:tc>
          <w:tcPr>
            <w:tcW w:w="544" w:type="dxa"/>
          </w:tcPr>
          <w:p w14:paraId="4F4FD396">
            <w:pPr>
              <w:pStyle w:val="14"/>
              <w:spacing w:before="47"/>
              <w:ind w:right="156"/>
              <w:jc w:val="right"/>
              <w:rPr>
                <w:rFonts w:ascii="Times New Roman"/>
                <w:sz w:val="21"/>
              </w:rPr>
            </w:pPr>
            <w:r>
              <w:rPr>
                <w:rFonts w:ascii="Times New Roman"/>
                <w:sz w:val="21"/>
              </w:rPr>
              <w:t>69</w:t>
            </w:r>
          </w:p>
        </w:tc>
        <w:tc>
          <w:tcPr>
            <w:tcW w:w="544" w:type="dxa"/>
          </w:tcPr>
          <w:p w14:paraId="651FB821">
            <w:pPr>
              <w:pStyle w:val="14"/>
              <w:spacing w:before="47"/>
              <w:ind w:left="146" w:right="137"/>
              <w:jc w:val="center"/>
              <w:rPr>
                <w:rFonts w:ascii="Times New Roman"/>
                <w:sz w:val="21"/>
              </w:rPr>
            </w:pPr>
            <w:r>
              <w:rPr>
                <w:rFonts w:ascii="Times New Roman"/>
                <w:sz w:val="21"/>
              </w:rPr>
              <w:t>67</w:t>
            </w:r>
          </w:p>
        </w:tc>
        <w:tc>
          <w:tcPr>
            <w:tcW w:w="675" w:type="dxa"/>
          </w:tcPr>
          <w:p w14:paraId="15110E82">
            <w:pPr>
              <w:pStyle w:val="14"/>
              <w:spacing w:before="47"/>
              <w:ind w:left="232"/>
              <w:rPr>
                <w:rFonts w:ascii="Times New Roman"/>
                <w:sz w:val="21"/>
              </w:rPr>
            </w:pPr>
            <w:r>
              <w:rPr>
                <w:rFonts w:ascii="Times New Roman"/>
                <w:sz w:val="21"/>
              </w:rPr>
              <w:t>65</w:t>
            </w:r>
          </w:p>
        </w:tc>
        <w:tc>
          <w:tcPr>
            <w:tcW w:w="675" w:type="dxa"/>
          </w:tcPr>
          <w:p w14:paraId="0425D039">
            <w:pPr>
              <w:pStyle w:val="14"/>
              <w:spacing w:before="47"/>
              <w:ind w:left="231"/>
              <w:rPr>
                <w:rFonts w:ascii="Times New Roman"/>
                <w:sz w:val="21"/>
              </w:rPr>
            </w:pPr>
            <w:r>
              <w:rPr>
                <w:rFonts w:ascii="Times New Roman"/>
                <w:sz w:val="21"/>
              </w:rPr>
              <w:t>61</w:t>
            </w:r>
          </w:p>
        </w:tc>
        <w:tc>
          <w:tcPr>
            <w:tcW w:w="675" w:type="dxa"/>
          </w:tcPr>
          <w:p w14:paraId="137719EE">
            <w:pPr>
              <w:pStyle w:val="14"/>
              <w:spacing w:before="47"/>
              <w:ind w:left="156" w:right="149"/>
              <w:jc w:val="center"/>
              <w:rPr>
                <w:rFonts w:ascii="Times New Roman"/>
                <w:sz w:val="21"/>
              </w:rPr>
            </w:pPr>
            <w:r>
              <w:rPr>
                <w:rFonts w:ascii="Times New Roman"/>
                <w:sz w:val="21"/>
              </w:rPr>
              <w:t>59</w:t>
            </w:r>
          </w:p>
        </w:tc>
        <w:tc>
          <w:tcPr>
            <w:tcW w:w="675" w:type="dxa"/>
          </w:tcPr>
          <w:p w14:paraId="37A75305">
            <w:pPr>
              <w:pStyle w:val="14"/>
              <w:spacing w:before="47"/>
              <w:ind w:left="232"/>
              <w:rPr>
                <w:rFonts w:ascii="Times New Roman"/>
                <w:sz w:val="21"/>
              </w:rPr>
            </w:pPr>
            <w:r>
              <w:rPr>
                <w:rFonts w:ascii="Times New Roman"/>
                <w:sz w:val="21"/>
              </w:rPr>
              <w:t>57</w:t>
            </w:r>
          </w:p>
        </w:tc>
        <w:tc>
          <w:tcPr>
            <w:tcW w:w="675" w:type="dxa"/>
          </w:tcPr>
          <w:p w14:paraId="7BEA2A5C">
            <w:pPr>
              <w:pStyle w:val="14"/>
              <w:spacing w:before="47"/>
              <w:ind w:left="158" w:right="149"/>
              <w:jc w:val="center"/>
              <w:rPr>
                <w:rFonts w:ascii="Times New Roman"/>
                <w:sz w:val="21"/>
              </w:rPr>
            </w:pPr>
            <w:r>
              <w:rPr>
                <w:rFonts w:ascii="Times New Roman"/>
                <w:sz w:val="21"/>
              </w:rPr>
              <w:t>55</w:t>
            </w:r>
          </w:p>
        </w:tc>
      </w:tr>
      <w:tr w14:paraId="7C2EC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7F28317F">
            <w:pPr>
              <w:pStyle w:val="14"/>
              <w:spacing w:before="34"/>
              <w:ind w:left="271" w:right="263"/>
              <w:jc w:val="center"/>
              <w:rPr>
                <w:sz w:val="21"/>
              </w:rPr>
            </w:pPr>
            <w:r>
              <w:rPr>
                <w:sz w:val="21"/>
              </w:rPr>
              <w:t>装载机</w:t>
            </w:r>
          </w:p>
        </w:tc>
        <w:tc>
          <w:tcPr>
            <w:tcW w:w="676" w:type="dxa"/>
          </w:tcPr>
          <w:p w14:paraId="0B5F6F69">
            <w:pPr>
              <w:pStyle w:val="14"/>
              <w:spacing w:before="48"/>
              <w:ind w:right="222"/>
              <w:jc w:val="right"/>
              <w:rPr>
                <w:rFonts w:ascii="Times New Roman"/>
                <w:sz w:val="21"/>
              </w:rPr>
            </w:pPr>
            <w:r>
              <w:rPr>
                <w:rFonts w:ascii="Times New Roman"/>
                <w:sz w:val="21"/>
              </w:rPr>
              <w:t>91</w:t>
            </w:r>
          </w:p>
        </w:tc>
        <w:tc>
          <w:tcPr>
            <w:tcW w:w="541" w:type="dxa"/>
          </w:tcPr>
          <w:p w14:paraId="42090AE4">
            <w:pPr>
              <w:pStyle w:val="14"/>
              <w:spacing w:before="48"/>
              <w:ind w:left="145" w:right="136"/>
              <w:jc w:val="center"/>
              <w:rPr>
                <w:rFonts w:ascii="Times New Roman"/>
                <w:sz w:val="21"/>
              </w:rPr>
            </w:pPr>
            <w:r>
              <w:rPr>
                <w:rFonts w:ascii="Times New Roman"/>
                <w:sz w:val="21"/>
              </w:rPr>
              <w:t>85</w:t>
            </w:r>
          </w:p>
        </w:tc>
        <w:tc>
          <w:tcPr>
            <w:tcW w:w="544" w:type="dxa"/>
          </w:tcPr>
          <w:p w14:paraId="28EC9ADB">
            <w:pPr>
              <w:pStyle w:val="14"/>
              <w:spacing w:before="48"/>
              <w:ind w:left="146" w:right="137"/>
              <w:jc w:val="center"/>
              <w:rPr>
                <w:rFonts w:ascii="Times New Roman"/>
                <w:sz w:val="21"/>
              </w:rPr>
            </w:pPr>
            <w:r>
              <w:rPr>
                <w:rFonts w:ascii="Times New Roman"/>
                <w:sz w:val="21"/>
              </w:rPr>
              <w:t>91</w:t>
            </w:r>
          </w:p>
        </w:tc>
        <w:tc>
          <w:tcPr>
            <w:tcW w:w="544" w:type="dxa"/>
          </w:tcPr>
          <w:p w14:paraId="4512E5E5">
            <w:pPr>
              <w:pStyle w:val="14"/>
              <w:spacing w:before="48"/>
              <w:ind w:left="146" w:right="136"/>
              <w:jc w:val="center"/>
              <w:rPr>
                <w:rFonts w:ascii="Times New Roman"/>
                <w:sz w:val="21"/>
              </w:rPr>
            </w:pPr>
            <w:r>
              <w:rPr>
                <w:rFonts w:ascii="Times New Roman"/>
                <w:sz w:val="21"/>
              </w:rPr>
              <w:t>79</w:t>
            </w:r>
          </w:p>
        </w:tc>
        <w:tc>
          <w:tcPr>
            <w:tcW w:w="544" w:type="dxa"/>
          </w:tcPr>
          <w:p w14:paraId="20F20622">
            <w:pPr>
              <w:pStyle w:val="14"/>
              <w:spacing w:before="48"/>
              <w:ind w:right="156"/>
              <w:jc w:val="right"/>
              <w:rPr>
                <w:rFonts w:ascii="Times New Roman"/>
                <w:sz w:val="21"/>
              </w:rPr>
            </w:pPr>
            <w:r>
              <w:rPr>
                <w:rFonts w:ascii="Times New Roman"/>
                <w:sz w:val="21"/>
              </w:rPr>
              <w:t>75</w:t>
            </w:r>
          </w:p>
        </w:tc>
        <w:tc>
          <w:tcPr>
            <w:tcW w:w="544" w:type="dxa"/>
          </w:tcPr>
          <w:p w14:paraId="1313F648">
            <w:pPr>
              <w:pStyle w:val="14"/>
              <w:spacing w:before="48"/>
              <w:ind w:left="146" w:right="137"/>
              <w:jc w:val="center"/>
              <w:rPr>
                <w:rFonts w:ascii="Times New Roman"/>
                <w:sz w:val="21"/>
              </w:rPr>
            </w:pPr>
            <w:r>
              <w:rPr>
                <w:rFonts w:ascii="Times New Roman"/>
                <w:sz w:val="21"/>
              </w:rPr>
              <w:t>73</w:t>
            </w:r>
          </w:p>
        </w:tc>
        <w:tc>
          <w:tcPr>
            <w:tcW w:w="675" w:type="dxa"/>
          </w:tcPr>
          <w:p w14:paraId="57420A4B">
            <w:pPr>
              <w:pStyle w:val="14"/>
              <w:spacing w:before="48"/>
              <w:ind w:left="232"/>
              <w:rPr>
                <w:rFonts w:ascii="Times New Roman"/>
                <w:sz w:val="21"/>
              </w:rPr>
            </w:pPr>
            <w:r>
              <w:rPr>
                <w:rFonts w:ascii="Times New Roman"/>
                <w:sz w:val="21"/>
              </w:rPr>
              <w:t>71</w:t>
            </w:r>
          </w:p>
        </w:tc>
        <w:tc>
          <w:tcPr>
            <w:tcW w:w="675" w:type="dxa"/>
          </w:tcPr>
          <w:p w14:paraId="02EA1062">
            <w:pPr>
              <w:pStyle w:val="14"/>
              <w:spacing w:before="48"/>
              <w:ind w:left="231"/>
              <w:rPr>
                <w:rFonts w:ascii="Times New Roman"/>
                <w:sz w:val="21"/>
              </w:rPr>
            </w:pPr>
            <w:r>
              <w:rPr>
                <w:rFonts w:ascii="Times New Roman"/>
                <w:sz w:val="21"/>
              </w:rPr>
              <w:t>67</w:t>
            </w:r>
          </w:p>
        </w:tc>
        <w:tc>
          <w:tcPr>
            <w:tcW w:w="675" w:type="dxa"/>
          </w:tcPr>
          <w:p w14:paraId="7EB4846D">
            <w:pPr>
              <w:pStyle w:val="14"/>
              <w:spacing w:before="48"/>
              <w:ind w:left="156" w:right="149"/>
              <w:jc w:val="center"/>
              <w:rPr>
                <w:rFonts w:ascii="Times New Roman"/>
                <w:sz w:val="21"/>
              </w:rPr>
            </w:pPr>
            <w:r>
              <w:rPr>
                <w:rFonts w:ascii="Times New Roman"/>
                <w:sz w:val="21"/>
              </w:rPr>
              <w:t>65</w:t>
            </w:r>
          </w:p>
        </w:tc>
        <w:tc>
          <w:tcPr>
            <w:tcW w:w="675" w:type="dxa"/>
          </w:tcPr>
          <w:p w14:paraId="105C8657">
            <w:pPr>
              <w:pStyle w:val="14"/>
              <w:spacing w:before="48"/>
              <w:ind w:left="232"/>
              <w:rPr>
                <w:rFonts w:ascii="Times New Roman"/>
                <w:sz w:val="21"/>
              </w:rPr>
            </w:pPr>
            <w:r>
              <w:rPr>
                <w:rFonts w:ascii="Times New Roman"/>
                <w:sz w:val="21"/>
              </w:rPr>
              <w:t>63</w:t>
            </w:r>
          </w:p>
        </w:tc>
        <w:tc>
          <w:tcPr>
            <w:tcW w:w="675" w:type="dxa"/>
          </w:tcPr>
          <w:p w14:paraId="27F05CA6">
            <w:pPr>
              <w:pStyle w:val="14"/>
              <w:spacing w:before="48"/>
              <w:ind w:left="158" w:right="149"/>
              <w:jc w:val="center"/>
              <w:rPr>
                <w:rFonts w:ascii="Times New Roman"/>
                <w:sz w:val="21"/>
              </w:rPr>
            </w:pPr>
            <w:r>
              <w:rPr>
                <w:rFonts w:ascii="Times New Roman"/>
                <w:sz w:val="21"/>
              </w:rPr>
              <w:t>61</w:t>
            </w:r>
          </w:p>
        </w:tc>
      </w:tr>
      <w:tr w14:paraId="0CD4C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3A29115C">
            <w:pPr>
              <w:pStyle w:val="14"/>
              <w:spacing w:before="32"/>
              <w:ind w:left="271" w:right="265"/>
              <w:jc w:val="center"/>
              <w:rPr>
                <w:sz w:val="21"/>
              </w:rPr>
            </w:pPr>
            <w:r>
              <w:rPr>
                <w:sz w:val="21"/>
              </w:rPr>
              <w:t>运输车辆</w:t>
            </w:r>
          </w:p>
        </w:tc>
        <w:tc>
          <w:tcPr>
            <w:tcW w:w="676" w:type="dxa"/>
          </w:tcPr>
          <w:p w14:paraId="104F1DD1">
            <w:pPr>
              <w:pStyle w:val="14"/>
              <w:spacing w:before="48"/>
              <w:ind w:right="222"/>
              <w:jc w:val="right"/>
              <w:rPr>
                <w:rFonts w:ascii="Times New Roman"/>
                <w:sz w:val="21"/>
              </w:rPr>
            </w:pPr>
            <w:r>
              <w:rPr>
                <w:rFonts w:ascii="Times New Roman"/>
                <w:sz w:val="21"/>
              </w:rPr>
              <w:t>79</w:t>
            </w:r>
          </w:p>
        </w:tc>
        <w:tc>
          <w:tcPr>
            <w:tcW w:w="541" w:type="dxa"/>
          </w:tcPr>
          <w:p w14:paraId="2812DD85">
            <w:pPr>
              <w:pStyle w:val="14"/>
              <w:spacing w:before="48"/>
              <w:ind w:left="145" w:right="136"/>
              <w:jc w:val="center"/>
              <w:rPr>
                <w:rFonts w:ascii="Times New Roman"/>
                <w:sz w:val="21"/>
              </w:rPr>
            </w:pPr>
            <w:r>
              <w:rPr>
                <w:rFonts w:ascii="Times New Roman"/>
                <w:sz w:val="21"/>
              </w:rPr>
              <w:t>73</w:t>
            </w:r>
          </w:p>
        </w:tc>
        <w:tc>
          <w:tcPr>
            <w:tcW w:w="544" w:type="dxa"/>
          </w:tcPr>
          <w:p w14:paraId="761E82C3">
            <w:pPr>
              <w:pStyle w:val="14"/>
              <w:spacing w:before="48"/>
              <w:ind w:left="146" w:right="137"/>
              <w:jc w:val="center"/>
              <w:rPr>
                <w:rFonts w:ascii="Times New Roman"/>
                <w:sz w:val="21"/>
              </w:rPr>
            </w:pPr>
            <w:r>
              <w:rPr>
                <w:rFonts w:ascii="Times New Roman"/>
                <w:sz w:val="21"/>
              </w:rPr>
              <w:t>69</w:t>
            </w:r>
          </w:p>
        </w:tc>
        <w:tc>
          <w:tcPr>
            <w:tcW w:w="544" w:type="dxa"/>
          </w:tcPr>
          <w:p w14:paraId="304F7BF0">
            <w:pPr>
              <w:pStyle w:val="14"/>
              <w:spacing w:before="48"/>
              <w:ind w:left="146" w:right="136"/>
              <w:jc w:val="center"/>
              <w:rPr>
                <w:rFonts w:ascii="Times New Roman"/>
                <w:sz w:val="21"/>
              </w:rPr>
            </w:pPr>
            <w:r>
              <w:rPr>
                <w:rFonts w:ascii="Times New Roman"/>
                <w:sz w:val="21"/>
              </w:rPr>
              <w:t>67</w:t>
            </w:r>
          </w:p>
        </w:tc>
        <w:tc>
          <w:tcPr>
            <w:tcW w:w="544" w:type="dxa"/>
          </w:tcPr>
          <w:p w14:paraId="150284B0">
            <w:pPr>
              <w:pStyle w:val="14"/>
              <w:spacing w:before="48"/>
              <w:ind w:right="156"/>
              <w:jc w:val="right"/>
              <w:rPr>
                <w:rFonts w:ascii="Times New Roman"/>
                <w:sz w:val="21"/>
              </w:rPr>
            </w:pPr>
            <w:r>
              <w:rPr>
                <w:rFonts w:ascii="Times New Roman"/>
                <w:sz w:val="21"/>
              </w:rPr>
              <w:t>63</w:t>
            </w:r>
          </w:p>
        </w:tc>
        <w:tc>
          <w:tcPr>
            <w:tcW w:w="544" w:type="dxa"/>
          </w:tcPr>
          <w:p w14:paraId="162D140B">
            <w:pPr>
              <w:pStyle w:val="14"/>
              <w:spacing w:before="48"/>
              <w:ind w:left="146" w:right="137"/>
              <w:jc w:val="center"/>
              <w:rPr>
                <w:rFonts w:ascii="Times New Roman"/>
                <w:sz w:val="21"/>
              </w:rPr>
            </w:pPr>
            <w:r>
              <w:rPr>
                <w:rFonts w:ascii="Times New Roman"/>
                <w:sz w:val="21"/>
              </w:rPr>
              <w:t>61</w:t>
            </w:r>
          </w:p>
        </w:tc>
        <w:tc>
          <w:tcPr>
            <w:tcW w:w="675" w:type="dxa"/>
          </w:tcPr>
          <w:p w14:paraId="2B622A08">
            <w:pPr>
              <w:pStyle w:val="14"/>
              <w:spacing w:before="48"/>
              <w:ind w:left="232"/>
              <w:rPr>
                <w:rFonts w:ascii="Times New Roman"/>
                <w:sz w:val="21"/>
              </w:rPr>
            </w:pPr>
            <w:r>
              <w:rPr>
                <w:rFonts w:ascii="Times New Roman"/>
                <w:sz w:val="21"/>
              </w:rPr>
              <w:t>59</w:t>
            </w:r>
          </w:p>
        </w:tc>
        <w:tc>
          <w:tcPr>
            <w:tcW w:w="675" w:type="dxa"/>
          </w:tcPr>
          <w:p w14:paraId="34CE3C5E">
            <w:pPr>
              <w:pStyle w:val="14"/>
              <w:spacing w:before="48"/>
              <w:ind w:left="231"/>
              <w:rPr>
                <w:rFonts w:ascii="Times New Roman"/>
                <w:sz w:val="21"/>
              </w:rPr>
            </w:pPr>
            <w:r>
              <w:rPr>
                <w:rFonts w:ascii="Times New Roman"/>
                <w:sz w:val="21"/>
              </w:rPr>
              <w:t>55</w:t>
            </w:r>
          </w:p>
        </w:tc>
        <w:tc>
          <w:tcPr>
            <w:tcW w:w="675" w:type="dxa"/>
          </w:tcPr>
          <w:p w14:paraId="16F2C0DA">
            <w:pPr>
              <w:pStyle w:val="14"/>
              <w:spacing w:before="48"/>
              <w:ind w:left="156" w:right="149"/>
              <w:jc w:val="center"/>
              <w:rPr>
                <w:rFonts w:ascii="Times New Roman"/>
                <w:sz w:val="21"/>
              </w:rPr>
            </w:pPr>
            <w:r>
              <w:rPr>
                <w:rFonts w:ascii="Times New Roman"/>
                <w:sz w:val="21"/>
              </w:rPr>
              <w:t>53</w:t>
            </w:r>
          </w:p>
        </w:tc>
        <w:tc>
          <w:tcPr>
            <w:tcW w:w="675" w:type="dxa"/>
          </w:tcPr>
          <w:p w14:paraId="4E1809C8">
            <w:pPr>
              <w:pStyle w:val="14"/>
              <w:spacing w:before="48"/>
              <w:ind w:left="232"/>
              <w:rPr>
                <w:rFonts w:ascii="Times New Roman"/>
                <w:sz w:val="21"/>
              </w:rPr>
            </w:pPr>
            <w:r>
              <w:rPr>
                <w:rFonts w:ascii="Times New Roman"/>
                <w:sz w:val="21"/>
              </w:rPr>
              <w:t>51</w:t>
            </w:r>
          </w:p>
        </w:tc>
        <w:tc>
          <w:tcPr>
            <w:tcW w:w="675" w:type="dxa"/>
          </w:tcPr>
          <w:p w14:paraId="46EA5DE8">
            <w:pPr>
              <w:pStyle w:val="14"/>
              <w:spacing w:before="48"/>
              <w:ind w:left="158" w:right="149"/>
              <w:jc w:val="center"/>
              <w:rPr>
                <w:rFonts w:ascii="Times New Roman"/>
                <w:sz w:val="21"/>
              </w:rPr>
            </w:pPr>
            <w:r>
              <w:rPr>
                <w:rFonts w:ascii="Times New Roman"/>
                <w:sz w:val="21"/>
              </w:rPr>
              <w:t>49</w:t>
            </w:r>
          </w:p>
        </w:tc>
      </w:tr>
      <w:tr w14:paraId="6974A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48F77C90">
            <w:pPr>
              <w:pStyle w:val="14"/>
              <w:spacing w:before="32"/>
              <w:ind w:left="271" w:right="268"/>
              <w:jc w:val="center"/>
              <w:rPr>
                <w:sz w:val="21"/>
              </w:rPr>
            </w:pPr>
            <w:r>
              <w:rPr>
                <w:sz w:val="21"/>
              </w:rPr>
              <w:t>电锯</w:t>
            </w:r>
          </w:p>
        </w:tc>
        <w:tc>
          <w:tcPr>
            <w:tcW w:w="676" w:type="dxa"/>
          </w:tcPr>
          <w:p w14:paraId="10849089">
            <w:pPr>
              <w:pStyle w:val="14"/>
              <w:spacing w:before="49"/>
              <w:ind w:right="222"/>
              <w:jc w:val="right"/>
              <w:rPr>
                <w:rFonts w:ascii="Times New Roman"/>
                <w:sz w:val="21"/>
              </w:rPr>
            </w:pPr>
            <w:r>
              <w:rPr>
                <w:rFonts w:ascii="Times New Roman"/>
                <w:sz w:val="21"/>
              </w:rPr>
              <w:t>95</w:t>
            </w:r>
          </w:p>
        </w:tc>
        <w:tc>
          <w:tcPr>
            <w:tcW w:w="541" w:type="dxa"/>
          </w:tcPr>
          <w:p w14:paraId="322FD6CA">
            <w:pPr>
              <w:pStyle w:val="14"/>
              <w:spacing w:before="49"/>
              <w:ind w:left="145" w:right="136"/>
              <w:jc w:val="center"/>
              <w:rPr>
                <w:rFonts w:ascii="Times New Roman"/>
                <w:sz w:val="21"/>
              </w:rPr>
            </w:pPr>
            <w:r>
              <w:rPr>
                <w:rFonts w:ascii="Times New Roman"/>
                <w:sz w:val="21"/>
              </w:rPr>
              <w:t>89</w:t>
            </w:r>
          </w:p>
        </w:tc>
        <w:tc>
          <w:tcPr>
            <w:tcW w:w="544" w:type="dxa"/>
          </w:tcPr>
          <w:p w14:paraId="6C30C05A">
            <w:pPr>
              <w:pStyle w:val="14"/>
              <w:spacing w:before="49"/>
              <w:ind w:left="146" w:right="137"/>
              <w:jc w:val="center"/>
              <w:rPr>
                <w:rFonts w:ascii="Times New Roman"/>
                <w:sz w:val="21"/>
              </w:rPr>
            </w:pPr>
            <w:r>
              <w:rPr>
                <w:rFonts w:ascii="Times New Roman"/>
                <w:sz w:val="21"/>
              </w:rPr>
              <w:t>85</w:t>
            </w:r>
          </w:p>
        </w:tc>
        <w:tc>
          <w:tcPr>
            <w:tcW w:w="544" w:type="dxa"/>
          </w:tcPr>
          <w:p w14:paraId="55C75CF8">
            <w:pPr>
              <w:pStyle w:val="14"/>
              <w:spacing w:before="49"/>
              <w:ind w:left="146" w:right="136"/>
              <w:jc w:val="center"/>
              <w:rPr>
                <w:rFonts w:ascii="Times New Roman"/>
                <w:sz w:val="21"/>
              </w:rPr>
            </w:pPr>
            <w:r>
              <w:rPr>
                <w:rFonts w:ascii="Times New Roman"/>
                <w:sz w:val="21"/>
              </w:rPr>
              <w:t>83</w:t>
            </w:r>
          </w:p>
        </w:tc>
        <w:tc>
          <w:tcPr>
            <w:tcW w:w="544" w:type="dxa"/>
          </w:tcPr>
          <w:p w14:paraId="7BFA83A6">
            <w:pPr>
              <w:pStyle w:val="14"/>
              <w:spacing w:before="49"/>
              <w:ind w:right="156"/>
              <w:jc w:val="right"/>
              <w:rPr>
                <w:rFonts w:ascii="Times New Roman"/>
                <w:sz w:val="21"/>
              </w:rPr>
            </w:pPr>
            <w:r>
              <w:rPr>
                <w:rFonts w:ascii="Times New Roman"/>
                <w:sz w:val="21"/>
              </w:rPr>
              <w:t>79</w:t>
            </w:r>
          </w:p>
        </w:tc>
        <w:tc>
          <w:tcPr>
            <w:tcW w:w="544" w:type="dxa"/>
          </w:tcPr>
          <w:p w14:paraId="0F7249E0">
            <w:pPr>
              <w:pStyle w:val="14"/>
              <w:spacing w:before="49"/>
              <w:ind w:left="146" w:right="137"/>
              <w:jc w:val="center"/>
              <w:rPr>
                <w:rFonts w:ascii="Times New Roman"/>
                <w:sz w:val="21"/>
              </w:rPr>
            </w:pPr>
            <w:r>
              <w:rPr>
                <w:rFonts w:ascii="Times New Roman"/>
                <w:sz w:val="21"/>
              </w:rPr>
              <w:t>77</w:t>
            </w:r>
          </w:p>
        </w:tc>
        <w:tc>
          <w:tcPr>
            <w:tcW w:w="675" w:type="dxa"/>
          </w:tcPr>
          <w:p w14:paraId="6E184F0A">
            <w:pPr>
              <w:pStyle w:val="14"/>
              <w:spacing w:before="49"/>
              <w:ind w:left="232"/>
              <w:rPr>
                <w:rFonts w:ascii="Times New Roman"/>
                <w:sz w:val="21"/>
              </w:rPr>
            </w:pPr>
            <w:r>
              <w:rPr>
                <w:rFonts w:ascii="Times New Roman"/>
                <w:sz w:val="21"/>
              </w:rPr>
              <w:t>75</w:t>
            </w:r>
          </w:p>
        </w:tc>
        <w:tc>
          <w:tcPr>
            <w:tcW w:w="675" w:type="dxa"/>
          </w:tcPr>
          <w:p w14:paraId="313A0BB4">
            <w:pPr>
              <w:pStyle w:val="14"/>
              <w:spacing w:before="49"/>
              <w:ind w:left="231"/>
              <w:rPr>
                <w:rFonts w:ascii="Times New Roman"/>
                <w:sz w:val="21"/>
              </w:rPr>
            </w:pPr>
            <w:r>
              <w:rPr>
                <w:rFonts w:ascii="Times New Roman"/>
                <w:sz w:val="21"/>
              </w:rPr>
              <w:t>71</w:t>
            </w:r>
          </w:p>
        </w:tc>
        <w:tc>
          <w:tcPr>
            <w:tcW w:w="675" w:type="dxa"/>
          </w:tcPr>
          <w:p w14:paraId="7F4F79AC">
            <w:pPr>
              <w:pStyle w:val="14"/>
              <w:spacing w:before="49"/>
              <w:ind w:left="156" w:right="149"/>
              <w:jc w:val="center"/>
              <w:rPr>
                <w:rFonts w:ascii="Times New Roman"/>
                <w:sz w:val="21"/>
              </w:rPr>
            </w:pPr>
            <w:r>
              <w:rPr>
                <w:rFonts w:ascii="Times New Roman"/>
                <w:sz w:val="21"/>
              </w:rPr>
              <w:t>69</w:t>
            </w:r>
          </w:p>
        </w:tc>
        <w:tc>
          <w:tcPr>
            <w:tcW w:w="675" w:type="dxa"/>
          </w:tcPr>
          <w:p w14:paraId="4E69B664">
            <w:pPr>
              <w:pStyle w:val="14"/>
              <w:spacing w:before="49"/>
              <w:ind w:left="232"/>
              <w:rPr>
                <w:rFonts w:ascii="Times New Roman"/>
                <w:sz w:val="21"/>
              </w:rPr>
            </w:pPr>
            <w:r>
              <w:rPr>
                <w:rFonts w:ascii="Times New Roman"/>
                <w:sz w:val="21"/>
              </w:rPr>
              <w:t>67</w:t>
            </w:r>
          </w:p>
        </w:tc>
        <w:tc>
          <w:tcPr>
            <w:tcW w:w="675" w:type="dxa"/>
          </w:tcPr>
          <w:p w14:paraId="636D3A42">
            <w:pPr>
              <w:pStyle w:val="14"/>
              <w:spacing w:before="49"/>
              <w:ind w:left="158" w:right="149"/>
              <w:jc w:val="center"/>
              <w:rPr>
                <w:rFonts w:ascii="Times New Roman"/>
                <w:sz w:val="21"/>
              </w:rPr>
            </w:pPr>
            <w:r>
              <w:rPr>
                <w:rFonts w:ascii="Times New Roman"/>
                <w:sz w:val="21"/>
              </w:rPr>
              <w:t>65</w:t>
            </w:r>
          </w:p>
        </w:tc>
      </w:tr>
      <w:tr w14:paraId="27E9E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2C68C2DA">
            <w:pPr>
              <w:pStyle w:val="14"/>
              <w:spacing w:before="33"/>
              <w:ind w:left="271" w:right="263"/>
              <w:jc w:val="center"/>
              <w:rPr>
                <w:sz w:val="21"/>
              </w:rPr>
            </w:pPr>
            <w:r>
              <w:rPr>
                <w:sz w:val="21"/>
              </w:rPr>
              <w:t>空压机</w:t>
            </w:r>
          </w:p>
        </w:tc>
        <w:tc>
          <w:tcPr>
            <w:tcW w:w="676" w:type="dxa"/>
          </w:tcPr>
          <w:p w14:paraId="61C3FE26">
            <w:pPr>
              <w:pStyle w:val="14"/>
              <w:spacing w:before="47"/>
              <w:ind w:right="222"/>
              <w:jc w:val="right"/>
              <w:rPr>
                <w:rFonts w:ascii="Times New Roman"/>
                <w:sz w:val="21"/>
              </w:rPr>
            </w:pPr>
            <w:r>
              <w:rPr>
                <w:rFonts w:ascii="Times New Roman"/>
                <w:sz w:val="21"/>
              </w:rPr>
              <w:t>88</w:t>
            </w:r>
          </w:p>
        </w:tc>
        <w:tc>
          <w:tcPr>
            <w:tcW w:w="541" w:type="dxa"/>
          </w:tcPr>
          <w:p w14:paraId="1E73B3C6">
            <w:pPr>
              <w:pStyle w:val="14"/>
              <w:spacing w:before="47"/>
              <w:ind w:left="145" w:right="136"/>
              <w:jc w:val="center"/>
              <w:rPr>
                <w:rFonts w:ascii="Times New Roman"/>
                <w:sz w:val="21"/>
              </w:rPr>
            </w:pPr>
            <w:r>
              <w:rPr>
                <w:rFonts w:ascii="Times New Roman"/>
                <w:sz w:val="21"/>
              </w:rPr>
              <w:t>82</w:t>
            </w:r>
          </w:p>
        </w:tc>
        <w:tc>
          <w:tcPr>
            <w:tcW w:w="544" w:type="dxa"/>
          </w:tcPr>
          <w:p w14:paraId="59F99C78">
            <w:pPr>
              <w:pStyle w:val="14"/>
              <w:spacing w:before="47"/>
              <w:ind w:left="146" w:right="137"/>
              <w:jc w:val="center"/>
              <w:rPr>
                <w:rFonts w:ascii="Times New Roman"/>
                <w:sz w:val="21"/>
              </w:rPr>
            </w:pPr>
            <w:r>
              <w:rPr>
                <w:rFonts w:ascii="Times New Roman"/>
                <w:sz w:val="21"/>
              </w:rPr>
              <w:t>78</w:t>
            </w:r>
          </w:p>
        </w:tc>
        <w:tc>
          <w:tcPr>
            <w:tcW w:w="544" w:type="dxa"/>
          </w:tcPr>
          <w:p w14:paraId="4A1904A3">
            <w:pPr>
              <w:pStyle w:val="14"/>
              <w:spacing w:before="47"/>
              <w:ind w:left="146" w:right="136"/>
              <w:jc w:val="center"/>
              <w:rPr>
                <w:rFonts w:ascii="Times New Roman"/>
                <w:sz w:val="21"/>
              </w:rPr>
            </w:pPr>
            <w:r>
              <w:rPr>
                <w:rFonts w:ascii="Times New Roman"/>
                <w:sz w:val="21"/>
              </w:rPr>
              <w:t>76</w:t>
            </w:r>
          </w:p>
        </w:tc>
        <w:tc>
          <w:tcPr>
            <w:tcW w:w="544" w:type="dxa"/>
          </w:tcPr>
          <w:p w14:paraId="0163D7B2">
            <w:pPr>
              <w:pStyle w:val="14"/>
              <w:spacing w:before="47"/>
              <w:ind w:right="156"/>
              <w:jc w:val="right"/>
              <w:rPr>
                <w:rFonts w:ascii="Times New Roman"/>
                <w:sz w:val="21"/>
              </w:rPr>
            </w:pPr>
            <w:r>
              <w:rPr>
                <w:rFonts w:ascii="Times New Roman"/>
                <w:sz w:val="21"/>
              </w:rPr>
              <w:t>72</w:t>
            </w:r>
          </w:p>
        </w:tc>
        <w:tc>
          <w:tcPr>
            <w:tcW w:w="544" w:type="dxa"/>
          </w:tcPr>
          <w:p w14:paraId="407CE9DD">
            <w:pPr>
              <w:pStyle w:val="14"/>
              <w:spacing w:before="47"/>
              <w:ind w:left="146" w:right="137"/>
              <w:jc w:val="center"/>
              <w:rPr>
                <w:rFonts w:ascii="Times New Roman"/>
                <w:sz w:val="21"/>
              </w:rPr>
            </w:pPr>
            <w:r>
              <w:rPr>
                <w:rFonts w:ascii="Times New Roman"/>
                <w:sz w:val="21"/>
              </w:rPr>
              <w:t>70</w:t>
            </w:r>
          </w:p>
        </w:tc>
        <w:tc>
          <w:tcPr>
            <w:tcW w:w="675" w:type="dxa"/>
          </w:tcPr>
          <w:p w14:paraId="54557116">
            <w:pPr>
              <w:pStyle w:val="14"/>
              <w:spacing w:before="47"/>
              <w:ind w:left="232"/>
              <w:rPr>
                <w:rFonts w:ascii="Times New Roman"/>
                <w:sz w:val="21"/>
              </w:rPr>
            </w:pPr>
            <w:r>
              <w:rPr>
                <w:rFonts w:ascii="Times New Roman"/>
                <w:sz w:val="21"/>
              </w:rPr>
              <w:t>68</w:t>
            </w:r>
          </w:p>
        </w:tc>
        <w:tc>
          <w:tcPr>
            <w:tcW w:w="675" w:type="dxa"/>
          </w:tcPr>
          <w:p w14:paraId="45411747">
            <w:pPr>
              <w:pStyle w:val="14"/>
              <w:spacing w:before="47"/>
              <w:ind w:left="231"/>
              <w:rPr>
                <w:rFonts w:ascii="Times New Roman"/>
                <w:sz w:val="21"/>
              </w:rPr>
            </w:pPr>
            <w:r>
              <w:rPr>
                <w:rFonts w:ascii="Times New Roman"/>
                <w:sz w:val="21"/>
              </w:rPr>
              <w:t>64</w:t>
            </w:r>
          </w:p>
        </w:tc>
        <w:tc>
          <w:tcPr>
            <w:tcW w:w="675" w:type="dxa"/>
          </w:tcPr>
          <w:p w14:paraId="0331E99C">
            <w:pPr>
              <w:pStyle w:val="14"/>
              <w:spacing w:before="47"/>
              <w:ind w:left="156" w:right="149"/>
              <w:jc w:val="center"/>
              <w:rPr>
                <w:rFonts w:ascii="Times New Roman"/>
                <w:sz w:val="21"/>
              </w:rPr>
            </w:pPr>
            <w:r>
              <w:rPr>
                <w:rFonts w:ascii="Times New Roman"/>
                <w:sz w:val="21"/>
              </w:rPr>
              <w:t>62</w:t>
            </w:r>
          </w:p>
        </w:tc>
        <w:tc>
          <w:tcPr>
            <w:tcW w:w="675" w:type="dxa"/>
          </w:tcPr>
          <w:p w14:paraId="72CF8787">
            <w:pPr>
              <w:pStyle w:val="14"/>
              <w:spacing w:before="47"/>
              <w:ind w:left="232"/>
              <w:rPr>
                <w:rFonts w:ascii="Times New Roman"/>
                <w:sz w:val="21"/>
              </w:rPr>
            </w:pPr>
            <w:r>
              <w:rPr>
                <w:rFonts w:ascii="Times New Roman"/>
                <w:sz w:val="21"/>
              </w:rPr>
              <w:t>56</w:t>
            </w:r>
          </w:p>
        </w:tc>
        <w:tc>
          <w:tcPr>
            <w:tcW w:w="675" w:type="dxa"/>
          </w:tcPr>
          <w:p w14:paraId="2FA0B3A6">
            <w:pPr>
              <w:pStyle w:val="14"/>
              <w:spacing w:before="47"/>
              <w:ind w:left="158" w:right="149"/>
              <w:jc w:val="center"/>
              <w:rPr>
                <w:rFonts w:ascii="Times New Roman"/>
                <w:sz w:val="21"/>
              </w:rPr>
            </w:pPr>
            <w:r>
              <w:rPr>
                <w:rFonts w:ascii="Times New Roman"/>
                <w:sz w:val="21"/>
              </w:rPr>
              <w:t>50</w:t>
            </w:r>
          </w:p>
        </w:tc>
      </w:tr>
      <w:tr w14:paraId="419DD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7CB2CABA">
            <w:pPr>
              <w:pStyle w:val="14"/>
              <w:spacing w:before="33"/>
              <w:ind w:left="271" w:right="268"/>
              <w:jc w:val="center"/>
              <w:rPr>
                <w:sz w:val="21"/>
              </w:rPr>
            </w:pPr>
            <w:r>
              <w:rPr>
                <w:sz w:val="21"/>
              </w:rPr>
              <w:t>风镐</w:t>
            </w:r>
          </w:p>
        </w:tc>
        <w:tc>
          <w:tcPr>
            <w:tcW w:w="676" w:type="dxa"/>
          </w:tcPr>
          <w:p w14:paraId="08972042">
            <w:pPr>
              <w:pStyle w:val="14"/>
              <w:spacing w:before="47"/>
              <w:ind w:right="222"/>
              <w:jc w:val="right"/>
              <w:rPr>
                <w:rFonts w:ascii="Times New Roman"/>
                <w:sz w:val="21"/>
              </w:rPr>
            </w:pPr>
            <w:r>
              <w:rPr>
                <w:rFonts w:ascii="Times New Roman"/>
                <w:sz w:val="21"/>
              </w:rPr>
              <w:t>87</w:t>
            </w:r>
          </w:p>
        </w:tc>
        <w:tc>
          <w:tcPr>
            <w:tcW w:w="541" w:type="dxa"/>
          </w:tcPr>
          <w:p w14:paraId="0616EDBA">
            <w:pPr>
              <w:pStyle w:val="14"/>
              <w:spacing w:before="47"/>
              <w:ind w:left="145" w:right="136"/>
              <w:jc w:val="center"/>
              <w:rPr>
                <w:rFonts w:ascii="Times New Roman"/>
                <w:sz w:val="21"/>
              </w:rPr>
            </w:pPr>
            <w:r>
              <w:rPr>
                <w:rFonts w:ascii="Times New Roman"/>
                <w:sz w:val="21"/>
              </w:rPr>
              <w:t>81</w:t>
            </w:r>
          </w:p>
        </w:tc>
        <w:tc>
          <w:tcPr>
            <w:tcW w:w="544" w:type="dxa"/>
          </w:tcPr>
          <w:p w14:paraId="0D1D7EC7">
            <w:pPr>
              <w:pStyle w:val="14"/>
              <w:spacing w:before="47"/>
              <w:ind w:left="146" w:right="137"/>
              <w:jc w:val="center"/>
              <w:rPr>
                <w:rFonts w:ascii="Times New Roman"/>
                <w:sz w:val="21"/>
              </w:rPr>
            </w:pPr>
            <w:r>
              <w:rPr>
                <w:rFonts w:ascii="Times New Roman"/>
                <w:sz w:val="21"/>
              </w:rPr>
              <w:t>77</w:t>
            </w:r>
          </w:p>
        </w:tc>
        <w:tc>
          <w:tcPr>
            <w:tcW w:w="544" w:type="dxa"/>
          </w:tcPr>
          <w:p w14:paraId="17D89E5F">
            <w:pPr>
              <w:pStyle w:val="14"/>
              <w:spacing w:before="47"/>
              <w:ind w:left="146" w:right="136"/>
              <w:jc w:val="center"/>
              <w:rPr>
                <w:rFonts w:ascii="Times New Roman"/>
                <w:sz w:val="21"/>
              </w:rPr>
            </w:pPr>
            <w:r>
              <w:rPr>
                <w:rFonts w:ascii="Times New Roman"/>
                <w:sz w:val="21"/>
              </w:rPr>
              <w:t>75</w:t>
            </w:r>
          </w:p>
        </w:tc>
        <w:tc>
          <w:tcPr>
            <w:tcW w:w="544" w:type="dxa"/>
          </w:tcPr>
          <w:p w14:paraId="138E58C8">
            <w:pPr>
              <w:pStyle w:val="14"/>
              <w:spacing w:before="47"/>
              <w:ind w:right="156"/>
              <w:jc w:val="right"/>
              <w:rPr>
                <w:rFonts w:ascii="Times New Roman"/>
                <w:sz w:val="21"/>
              </w:rPr>
            </w:pPr>
            <w:r>
              <w:rPr>
                <w:rFonts w:ascii="Times New Roman"/>
                <w:sz w:val="21"/>
              </w:rPr>
              <w:t>71</w:t>
            </w:r>
          </w:p>
        </w:tc>
        <w:tc>
          <w:tcPr>
            <w:tcW w:w="544" w:type="dxa"/>
          </w:tcPr>
          <w:p w14:paraId="29E574D7">
            <w:pPr>
              <w:pStyle w:val="14"/>
              <w:spacing w:before="47"/>
              <w:ind w:left="146" w:right="137"/>
              <w:jc w:val="center"/>
              <w:rPr>
                <w:rFonts w:ascii="Times New Roman"/>
                <w:sz w:val="21"/>
              </w:rPr>
            </w:pPr>
            <w:r>
              <w:rPr>
                <w:rFonts w:ascii="Times New Roman"/>
                <w:sz w:val="21"/>
              </w:rPr>
              <w:t>69</w:t>
            </w:r>
          </w:p>
        </w:tc>
        <w:tc>
          <w:tcPr>
            <w:tcW w:w="675" w:type="dxa"/>
          </w:tcPr>
          <w:p w14:paraId="7B630115">
            <w:pPr>
              <w:pStyle w:val="14"/>
              <w:spacing w:before="47"/>
              <w:ind w:left="232"/>
              <w:rPr>
                <w:rFonts w:ascii="Times New Roman"/>
                <w:sz w:val="21"/>
              </w:rPr>
            </w:pPr>
            <w:r>
              <w:rPr>
                <w:rFonts w:ascii="Times New Roman"/>
                <w:sz w:val="21"/>
              </w:rPr>
              <w:t>67</w:t>
            </w:r>
          </w:p>
        </w:tc>
        <w:tc>
          <w:tcPr>
            <w:tcW w:w="675" w:type="dxa"/>
          </w:tcPr>
          <w:p w14:paraId="66B75C54">
            <w:pPr>
              <w:pStyle w:val="14"/>
              <w:spacing w:before="47"/>
              <w:ind w:left="231"/>
              <w:rPr>
                <w:rFonts w:ascii="Times New Roman"/>
                <w:sz w:val="21"/>
              </w:rPr>
            </w:pPr>
            <w:r>
              <w:rPr>
                <w:rFonts w:ascii="Times New Roman"/>
                <w:sz w:val="21"/>
              </w:rPr>
              <w:t>63</w:t>
            </w:r>
          </w:p>
        </w:tc>
        <w:tc>
          <w:tcPr>
            <w:tcW w:w="675" w:type="dxa"/>
          </w:tcPr>
          <w:p w14:paraId="0BD8B6DA">
            <w:pPr>
              <w:pStyle w:val="14"/>
              <w:spacing w:before="47"/>
              <w:ind w:left="156" w:right="149"/>
              <w:jc w:val="center"/>
              <w:rPr>
                <w:rFonts w:ascii="Times New Roman"/>
                <w:sz w:val="21"/>
              </w:rPr>
            </w:pPr>
            <w:r>
              <w:rPr>
                <w:rFonts w:ascii="Times New Roman"/>
                <w:sz w:val="21"/>
              </w:rPr>
              <w:t>61</w:t>
            </w:r>
          </w:p>
        </w:tc>
        <w:tc>
          <w:tcPr>
            <w:tcW w:w="675" w:type="dxa"/>
          </w:tcPr>
          <w:p w14:paraId="77CA0542">
            <w:pPr>
              <w:pStyle w:val="14"/>
              <w:spacing w:before="47"/>
              <w:ind w:left="232"/>
              <w:rPr>
                <w:rFonts w:ascii="Times New Roman"/>
                <w:sz w:val="21"/>
              </w:rPr>
            </w:pPr>
            <w:r>
              <w:rPr>
                <w:rFonts w:ascii="Times New Roman"/>
                <w:sz w:val="21"/>
              </w:rPr>
              <w:t>59</w:t>
            </w:r>
          </w:p>
        </w:tc>
        <w:tc>
          <w:tcPr>
            <w:tcW w:w="675" w:type="dxa"/>
          </w:tcPr>
          <w:p w14:paraId="448E20C7">
            <w:pPr>
              <w:pStyle w:val="14"/>
              <w:spacing w:before="47"/>
              <w:ind w:left="158" w:right="149"/>
              <w:jc w:val="center"/>
              <w:rPr>
                <w:rFonts w:ascii="Times New Roman"/>
                <w:sz w:val="21"/>
              </w:rPr>
            </w:pPr>
            <w:r>
              <w:rPr>
                <w:rFonts w:ascii="Times New Roman"/>
                <w:sz w:val="21"/>
              </w:rPr>
              <w:t>57</w:t>
            </w:r>
          </w:p>
        </w:tc>
      </w:tr>
      <w:tr w14:paraId="011F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2A3FFD75">
            <w:pPr>
              <w:pStyle w:val="14"/>
              <w:spacing w:before="33"/>
              <w:ind w:left="271" w:right="268"/>
              <w:jc w:val="center"/>
              <w:rPr>
                <w:sz w:val="21"/>
              </w:rPr>
            </w:pPr>
            <w:r>
              <w:rPr>
                <w:sz w:val="21"/>
              </w:rPr>
              <w:t>混凝土振捣器</w:t>
            </w:r>
          </w:p>
        </w:tc>
        <w:tc>
          <w:tcPr>
            <w:tcW w:w="676" w:type="dxa"/>
          </w:tcPr>
          <w:p w14:paraId="40E0B827">
            <w:pPr>
              <w:pStyle w:val="14"/>
              <w:spacing w:before="47"/>
              <w:ind w:right="222"/>
              <w:jc w:val="right"/>
              <w:rPr>
                <w:rFonts w:ascii="Times New Roman"/>
                <w:sz w:val="21"/>
              </w:rPr>
            </w:pPr>
            <w:r>
              <w:rPr>
                <w:rFonts w:ascii="Times New Roman"/>
                <w:sz w:val="21"/>
              </w:rPr>
              <w:t>84</w:t>
            </w:r>
          </w:p>
        </w:tc>
        <w:tc>
          <w:tcPr>
            <w:tcW w:w="541" w:type="dxa"/>
          </w:tcPr>
          <w:p w14:paraId="2C4273B2">
            <w:pPr>
              <w:pStyle w:val="14"/>
              <w:spacing w:before="47"/>
              <w:ind w:left="145" w:right="136"/>
              <w:jc w:val="center"/>
              <w:rPr>
                <w:rFonts w:ascii="Times New Roman"/>
                <w:sz w:val="21"/>
              </w:rPr>
            </w:pPr>
            <w:r>
              <w:rPr>
                <w:rFonts w:ascii="Times New Roman"/>
                <w:sz w:val="21"/>
              </w:rPr>
              <w:t>78</w:t>
            </w:r>
          </w:p>
        </w:tc>
        <w:tc>
          <w:tcPr>
            <w:tcW w:w="544" w:type="dxa"/>
          </w:tcPr>
          <w:p w14:paraId="39B4BAB7">
            <w:pPr>
              <w:pStyle w:val="14"/>
              <w:spacing w:before="47"/>
              <w:ind w:left="146" w:right="137"/>
              <w:jc w:val="center"/>
              <w:rPr>
                <w:rFonts w:ascii="Times New Roman"/>
                <w:sz w:val="21"/>
              </w:rPr>
            </w:pPr>
            <w:r>
              <w:rPr>
                <w:rFonts w:ascii="Times New Roman"/>
                <w:sz w:val="21"/>
              </w:rPr>
              <w:t>74</w:t>
            </w:r>
          </w:p>
        </w:tc>
        <w:tc>
          <w:tcPr>
            <w:tcW w:w="544" w:type="dxa"/>
          </w:tcPr>
          <w:p w14:paraId="0771B198">
            <w:pPr>
              <w:pStyle w:val="14"/>
              <w:spacing w:before="47"/>
              <w:ind w:left="146" w:right="136"/>
              <w:jc w:val="center"/>
              <w:rPr>
                <w:rFonts w:ascii="Times New Roman"/>
                <w:sz w:val="21"/>
              </w:rPr>
            </w:pPr>
            <w:r>
              <w:rPr>
                <w:rFonts w:ascii="Times New Roman"/>
                <w:sz w:val="21"/>
              </w:rPr>
              <w:t>72</w:t>
            </w:r>
          </w:p>
        </w:tc>
        <w:tc>
          <w:tcPr>
            <w:tcW w:w="544" w:type="dxa"/>
          </w:tcPr>
          <w:p w14:paraId="65B89C3E">
            <w:pPr>
              <w:pStyle w:val="14"/>
              <w:spacing w:before="47"/>
              <w:ind w:right="156"/>
              <w:jc w:val="right"/>
              <w:rPr>
                <w:rFonts w:ascii="Times New Roman"/>
                <w:sz w:val="21"/>
              </w:rPr>
            </w:pPr>
            <w:r>
              <w:rPr>
                <w:rFonts w:ascii="Times New Roman"/>
                <w:sz w:val="21"/>
              </w:rPr>
              <w:t>68</w:t>
            </w:r>
          </w:p>
        </w:tc>
        <w:tc>
          <w:tcPr>
            <w:tcW w:w="544" w:type="dxa"/>
          </w:tcPr>
          <w:p w14:paraId="7E17EAA8">
            <w:pPr>
              <w:pStyle w:val="14"/>
              <w:spacing w:before="47"/>
              <w:ind w:left="146" w:right="137"/>
              <w:jc w:val="center"/>
              <w:rPr>
                <w:rFonts w:ascii="Times New Roman"/>
                <w:sz w:val="21"/>
              </w:rPr>
            </w:pPr>
            <w:r>
              <w:rPr>
                <w:rFonts w:ascii="Times New Roman"/>
                <w:sz w:val="21"/>
              </w:rPr>
              <w:t>66</w:t>
            </w:r>
          </w:p>
        </w:tc>
        <w:tc>
          <w:tcPr>
            <w:tcW w:w="675" w:type="dxa"/>
          </w:tcPr>
          <w:p w14:paraId="09AE981B">
            <w:pPr>
              <w:pStyle w:val="14"/>
              <w:spacing w:before="47"/>
              <w:ind w:left="232"/>
              <w:rPr>
                <w:rFonts w:ascii="Times New Roman"/>
                <w:sz w:val="21"/>
              </w:rPr>
            </w:pPr>
            <w:r>
              <w:rPr>
                <w:rFonts w:ascii="Times New Roman"/>
                <w:sz w:val="21"/>
              </w:rPr>
              <w:t>64</w:t>
            </w:r>
          </w:p>
        </w:tc>
        <w:tc>
          <w:tcPr>
            <w:tcW w:w="675" w:type="dxa"/>
          </w:tcPr>
          <w:p w14:paraId="2CDE50AB">
            <w:pPr>
              <w:pStyle w:val="14"/>
              <w:spacing w:before="47"/>
              <w:ind w:left="231"/>
              <w:rPr>
                <w:rFonts w:ascii="Times New Roman"/>
                <w:sz w:val="21"/>
              </w:rPr>
            </w:pPr>
            <w:r>
              <w:rPr>
                <w:rFonts w:ascii="Times New Roman"/>
                <w:sz w:val="21"/>
              </w:rPr>
              <w:t>60</w:t>
            </w:r>
          </w:p>
        </w:tc>
        <w:tc>
          <w:tcPr>
            <w:tcW w:w="675" w:type="dxa"/>
          </w:tcPr>
          <w:p w14:paraId="5CEEDE8D">
            <w:pPr>
              <w:pStyle w:val="14"/>
              <w:spacing w:before="47"/>
              <w:ind w:left="156" w:right="149"/>
              <w:jc w:val="center"/>
              <w:rPr>
                <w:rFonts w:ascii="Times New Roman"/>
                <w:sz w:val="21"/>
              </w:rPr>
            </w:pPr>
            <w:r>
              <w:rPr>
                <w:rFonts w:ascii="Times New Roman"/>
                <w:sz w:val="21"/>
              </w:rPr>
              <w:t>58</w:t>
            </w:r>
          </w:p>
        </w:tc>
        <w:tc>
          <w:tcPr>
            <w:tcW w:w="675" w:type="dxa"/>
          </w:tcPr>
          <w:p w14:paraId="539AA039">
            <w:pPr>
              <w:pStyle w:val="14"/>
              <w:spacing w:before="47"/>
              <w:ind w:left="232"/>
              <w:rPr>
                <w:rFonts w:ascii="Times New Roman"/>
                <w:sz w:val="21"/>
              </w:rPr>
            </w:pPr>
            <w:r>
              <w:rPr>
                <w:rFonts w:ascii="Times New Roman"/>
                <w:sz w:val="21"/>
              </w:rPr>
              <w:t>56</w:t>
            </w:r>
          </w:p>
        </w:tc>
        <w:tc>
          <w:tcPr>
            <w:tcW w:w="675" w:type="dxa"/>
          </w:tcPr>
          <w:p w14:paraId="0CD8E371">
            <w:pPr>
              <w:pStyle w:val="14"/>
              <w:spacing w:before="47"/>
              <w:ind w:left="158" w:right="149"/>
              <w:jc w:val="center"/>
              <w:rPr>
                <w:rFonts w:ascii="Times New Roman"/>
                <w:sz w:val="21"/>
              </w:rPr>
            </w:pPr>
            <w:r>
              <w:rPr>
                <w:rFonts w:ascii="Times New Roman"/>
                <w:sz w:val="21"/>
              </w:rPr>
              <w:t>54</w:t>
            </w:r>
          </w:p>
        </w:tc>
      </w:tr>
      <w:tr w14:paraId="729C7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086AAD7F">
            <w:pPr>
              <w:pStyle w:val="14"/>
              <w:spacing w:before="34"/>
              <w:ind w:left="271" w:right="268"/>
              <w:jc w:val="center"/>
              <w:rPr>
                <w:sz w:val="21"/>
              </w:rPr>
            </w:pPr>
            <w:r>
              <w:rPr>
                <w:sz w:val="21"/>
              </w:rPr>
              <w:t>混凝土输送泵</w:t>
            </w:r>
          </w:p>
        </w:tc>
        <w:tc>
          <w:tcPr>
            <w:tcW w:w="676" w:type="dxa"/>
          </w:tcPr>
          <w:p w14:paraId="42EC6EA1">
            <w:pPr>
              <w:pStyle w:val="14"/>
              <w:spacing w:before="48"/>
              <w:ind w:right="222"/>
              <w:jc w:val="right"/>
              <w:rPr>
                <w:rFonts w:ascii="Times New Roman"/>
                <w:sz w:val="21"/>
              </w:rPr>
            </w:pPr>
            <w:r>
              <w:rPr>
                <w:rFonts w:ascii="Times New Roman"/>
                <w:sz w:val="21"/>
              </w:rPr>
              <w:t>90</w:t>
            </w:r>
          </w:p>
        </w:tc>
        <w:tc>
          <w:tcPr>
            <w:tcW w:w="541" w:type="dxa"/>
          </w:tcPr>
          <w:p w14:paraId="50C51CC0">
            <w:pPr>
              <w:pStyle w:val="14"/>
              <w:spacing w:before="48"/>
              <w:ind w:left="145" w:right="136"/>
              <w:jc w:val="center"/>
              <w:rPr>
                <w:rFonts w:ascii="Times New Roman"/>
                <w:sz w:val="21"/>
              </w:rPr>
            </w:pPr>
            <w:r>
              <w:rPr>
                <w:rFonts w:ascii="Times New Roman"/>
                <w:sz w:val="21"/>
              </w:rPr>
              <w:t>84</w:t>
            </w:r>
          </w:p>
        </w:tc>
        <w:tc>
          <w:tcPr>
            <w:tcW w:w="544" w:type="dxa"/>
          </w:tcPr>
          <w:p w14:paraId="1564721C">
            <w:pPr>
              <w:pStyle w:val="14"/>
              <w:spacing w:before="48"/>
              <w:ind w:left="146" w:right="137"/>
              <w:jc w:val="center"/>
              <w:rPr>
                <w:rFonts w:ascii="Times New Roman"/>
                <w:sz w:val="21"/>
              </w:rPr>
            </w:pPr>
            <w:r>
              <w:rPr>
                <w:rFonts w:ascii="Times New Roman"/>
                <w:sz w:val="21"/>
              </w:rPr>
              <w:t>80</w:t>
            </w:r>
          </w:p>
        </w:tc>
        <w:tc>
          <w:tcPr>
            <w:tcW w:w="544" w:type="dxa"/>
          </w:tcPr>
          <w:p w14:paraId="51F58860">
            <w:pPr>
              <w:pStyle w:val="14"/>
              <w:spacing w:before="48"/>
              <w:ind w:left="146" w:right="136"/>
              <w:jc w:val="center"/>
              <w:rPr>
                <w:rFonts w:ascii="Times New Roman"/>
                <w:sz w:val="21"/>
              </w:rPr>
            </w:pPr>
            <w:r>
              <w:rPr>
                <w:rFonts w:ascii="Times New Roman"/>
                <w:sz w:val="21"/>
              </w:rPr>
              <w:t>78</w:t>
            </w:r>
          </w:p>
        </w:tc>
        <w:tc>
          <w:tcPr>
            <w:tcW w:w="544" w:type="dxa"/>
          </w:tcPr>
          <w:p w14:paraId="68C0BA44">
            <w:pPr>
              <w:pStyle w:val="14"/>
              <w:spacing w:before="48"/>
              <w:ind w:right="156"/>
              <w:jc w:val="right"/>
              <w:rPr>
                <w:rFonts w:ascii="Times New Roman"/>
                <w:sz w:val="21"/>
              </w:rPr>
            </w:pPr>
            <w:r>
              <w:rPr>
                <w:rFonts w:ascii="Times New Roman"/>
                <w:sz w:val="21"/>
              </w:rPr>
              <w:t>74</w:t>
            </w:r>
          </w:p>
        </w:tc>
        <w:tc>
          <w:tcPr>
            <w:tcW w:w="544" w:type="dxa"/>
          </w:tcPr>
          <w:p w14:paraId="0774F1C1">
            <w:pPr>
              <w:pStyle w:val="14"/>
              <w:spacing w:before="48"/>
              <w:ind w:left="146" w:right="137"/>
              <w:jc w:val="center"/>
              <w:rPr>
                <w:rFonts w:ascii="Times New Roman"/>
                <w:sz w:val="21"/>
              </w:rPr>
            </w:pPr>
            <w:r>
              <w:rPr>
                <w:rFonts w:ascii="Times New Roman"/>
                <w:sz w:val="21"/>
              </w:rPr>
              <w:t>72</w:t>
            </w:r>
          </w:p>
        </w:tc>
        <w:tc>
          <w:tcPr>
            <w:tcW w:w="675" w:type="dxa"/>
          </w:tcPr>
          <w:p w14:paraId="697E070F">
            <w:pPr>
              <w:pStyle w:val="14"/>
              <w:spacing w:before="48"/>
              <w:ind w:left="232"/>
              <w:rPr>
                <w:rFonts w:ascii="Times New Roman"/>
                <w:sz w:val="21"/>
              </w:rPr>
            </w:pPr>
            <w:r>
              <w:rPr>
                <w:rFonts w:ascii="Times New Roman"/>
                <w:sz w:val="21"/>
              </w:rPr>
              <w:t>70</w:t>
            </w:r>
          </w:p>
        </w:tc>
        <w:tc>
          <w:tcPr>
            <w:tcW w:w="675" w:type="dxa"/>
          </w:tcPr>
          <w:p w14:paraId="041F3BD2">
            <w:pPr>
              <w:pStyle w:val="14"/>
              <w:spacing w:before="48"/>
              <w:ind w:left="231"/>
              <w:rPr>
                <w:rFonts w:ascii="Times New Roman"/>
                <w:sz w:val="21"/>
              </w:rPr>
            </w:pPr>
            <w:r>
              <w:rPr>
                <w:rFonts w:ascii="Times New Roman"/>
                <w:sz w:val="21"/>
              </w:rPr>
              <w:t>66</w:t>
            </w:r>
          </w:p>
        </w:tc>
        <w:tc>
          <w:tcPr>
            <w:tcW w:w="675" w:type="dxa"/>
          </w:tcPr>
          <w:p w14:paraId="4D46A9ED">
            <w:pPr>
              <w:pStyle w:val="14"/>
              <w:spacing w:before="48"/>
              <w:ind w:left="156" w:right="149"/>
              <w:jc w:val="center"/>
              <w:rPr>
                <w:rFonts w:ascii="Times New Roman"/>
                <w:sz w:val="21"/>
              </w:rPr>
            </w:pPr>
            <w:r>
              <w:rPr>
                <w:rFonts w:ascii="Times New Roman"/>
                <w:sz w:val="21"/>
              </w:rPr>
              <w:t>64</w:t>
            </w:r>
          </w:p>
        </w:tc>
        <w:tc>
          <w:tcPr>
            <w:tcW w:w="675" w:type="dxa"/>
          </w:tcPr>
          <w:p w14:paraId="49BD8F03">
            <w:pPr>
              <w:pStyle w:val="14"/>
              <w:spacing w:before="48"/>
              <w:ind w:left="232"/>
              <w:rPr>
                <w:rFonts w:ascii="Times New Roman"/>
                <w:sz w:val="21"/>
              </w:rPr>
            </w:pPr>
            <w:r>
              <w:rPr>
                <w:rFonts w:ascii="Times New Roman"/>
                <w:sz w:val="21"/>
              </w:rPr>
              <w:t>62</w:t>
            </w:r>
          </w:p>
        </w:tc>
        <w:tc>
          <w:tcPr>
            <w:tcW w:w="675" w:type="dxa"/>
          </w:tcPr>
          <w:p w14:paraId="3169D112">
            <w:pPr>
              <w:pStyle w:val="14"/>
              <w:spacing w:before="48"/>
              <w:ind w:left="158" w:right="149"/>
              <w:jc w:val="center"/>
              <w:rPr>
                <w:rFonts w:ascii="Times New Roman"/>
                <w:sz w:val="21"/>
              </w:rPr>
            </w:pPr>
            <w:r>
              <w:rPr>
                <w:rFonts w:ascii="Times New Roman"/>
                <w:sz w:val="21"/>
              </w:rPr>
              <w:t>60</w:t>
            </w:r>
          </w:p>
        </w:tc>
      </w:tr>
      <w:tr w14:paraId="48A44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07871C9E">
            <w:pPr>
              <w:pStyle w:val="14"/>
              <w:spacing w:before="32"/>
              <w:ind w:left="271" w:right="263"/>
              <w:jc w:val="center"/>
              <w:rPr>
                <w:sz w:val="21"/>
              </w:rPr>
            </w:pPr>
            <w:r>
              <w:rPr>
                <w:sz w:val="21"/>
              </w:rPr>
              <w:t>打桩机</w:t>
            </w:r>
          </w:p>
        </w:tc>
        <w:tc>
          <w:tcPr>
            <w:tcW w:w="676" w:type="dxa"/>
          </w:tcPr>
          <w:p w14:paraId="254B9546">
            <w:pPr>
              <w:pStyle w:val="14"/>
              <w:spacing w:before="48"/>
              <w:ind w:right="169"/>
              <w:jc w:val="right"/>
              <w:rPr>
                <w:rFonts w:ascii="Times New Roman"/>
                <w:sz w:val="21"/>
              </w:rPr>
            </w:pPr>
            <w:r>
              <w:rPr>
                <w:rFonts w:ascii="Times New Roman"/>
                <w:sz w:val="21"/>
              </w:rPr>
              <w:t>106</w:t>
            </w:r>
          </w:p>
        </w:tc>
        <w:tc>
          <w:tcPr>
            <w:tcW w:w="541" w:type="dxa"/>
          </w:tcPr>
          <w:p w14:paraId="66950127">
            <w:pPr>
              <w:pStyle w:val="14"/>
              <w:spacing w:before="48"/>
              <w:ind w:left="145" w:right="136"/>
              <w:jc w:val="center"/>
              <w:rPr>
                <w:rFonts w:ascii="Times New Roman"/>
                <w:sz w:val="21"/>
              </w:rPr>
            </w:pPr>
            <w:r>
              <w:rPr>
                <w:rFonts w:ascii="Times New Roman"/>
                <w:sz w:val="21"/>
              </w:rPr>
              <w:t>88</w:t>
            </w:r>
          </w:p>
        </w:tc>
        <w:tc>
          <w:tcPr>
            <w:tcW w:w="544" w:type="dxa"/>
          </w:tcPr>
          <w:p w14:paraId="40801E7C">
            <w:pPr>
              <w:pStyle w:val="14"/>
              <w:spacing w:before="48"/>
              <w:ind w:left="146" w:right="137"/>
              <w:jc w:val="center"/>
              <w:rPr>
                <w:rFonts w:ascii="Times New Roman"/>
                <w:sz w:val="21"/>
              </w:rPr>
            </w:pPr>
            <w:r>
              <w:rPr>
                <w:rFonts w:ascii="Times New Roman"/>
                <w:sz w:val="21"/>
              </w:rPr>
              <w:t>84</w:t>
            </w:r>
          </w:p>
        </w:tc>
        <w:tc>
          <w:tcPr>
            <w:tcW w:w="544" w:type="dxa"/>
          </w:tcPr>
          <w:p w14:paraId="1849B7A9">
            <w:pPr>
              <w:pStyle w:val="14"/>
              <w:spacing w:before="48"/>
              <w:ind w:left="146" w:right="136"/>
              <w:jc w:val="center"/>
              <w:rPr>
                <w:rFonts w:ascii="Times New Roman"/>
                <w:sz w:val="21"/>
              </w:rPr>
            </w:pPr>
            <w:r>
              <w:rPr>
                <w:rFonts w:ascii="Times New Roman"/>
                <w:sz w:val="21"/>
              </w:rPr>
              <w:t>82</w:t>
            </w:r>
          </w:p>
        </w:tc>
        <w:tc>
          <w:tcPr>
            <w:tcW w:w="544" w:type="dxa"/>
          </w:tcPr>
          <w:p w14:paraId="54BFDFDC">
            <w:pPr>
              <w:pStyle w:val="14"/>
              <w:spacing w:before="48"/>
              <w:ind w:right="156"/>
              <w:jc w:val="right"/>
              <w:rPr>
                <w:rFonts w:ascii="Times New Roman"/>
                <w:sz w:val="21"/>
              </w:rPr>
            </w:pPr>
            <w:r>
              <w:rPr>
                <w:rFonts w:ascii="Times New Roman"/>
                <w:sz w:val="21"/>
              </w:rPr>
              <w:t>78</w:t>
            </w:r>
          </w:p>
        </w:tc>
        <w:tc>
          <w:tcPr>
            <w:tcW w:w="544" w:type="dxa"/>
          </w:tcPr>
          <w:p w14:paraId="3D386EF2">
            <w:pPr>
              <w:pStyle w:val="14"/>
              <w:spacing w:before="48"/>
              <w:ind w:left="146" w:right="137"/>
              <w:jc w:val="center"/>
              <w:rPr>
                <w:rFonts w:ascii="Times New Roman"/>
                <w:sz w:val="21"/>
              </w:rPr>
            </w:pPr>
            <w:r>
              <w:rPr>
                <w:rFonts w:ascii="Times New Roman"/>
                <w:sz w:val="21"/>
              </w:rPr>
              <w:t>76</w:t>
            </w:r>
          </w:p>
        </w:tc>
        <w:tc>
          <w:tcPr>
            <w:tcW w:w="675" w:type="dxa"/>
          </w:tcPr>
          <w:p w14:paraId="665E2491">
            <w:pPr>
              <w:pStyle w:val="14"/>
              <w:spacing w:before="48"/>
              <w:ind w:left="232"/>
              <w:rPr>
                <w:rFonts w:ascii="Times New Roman"/>
                <w:sz w:val="21"/>
              </w:rPr>
            </w:pPr>
            <w:r>
              <w:rPr>
                <w:rFonts w:ascii="Times New Roman"/>
                <w:sz w:val="21"/>
              </w:rPr>
              <w:t>74</w:t>
            </w:r>
          </w:p>
        </w:tc>
        <w:tc>
          <w:tcPr>
            <w:tcW w:w="675" w:type="dxa"/>
          </w:tcPr>
          <w:p w14:paraId="292429E1">
            <w:pPr>
              <w:pStyle w:val="14"/>
              <w:spacing w:before="48"/>
              <w:ind w:left="231"/>
              <w:rPr>
                <w:rFonts w:ascii="Times New Roman"/>
                <w:sz w:val="21"/>
              </w:rPr>
            </w:pPr>
            <w:r>
              <w:rPr>
                <w:rFonts w:ascii="Times New Roman"/>
                <w:sz w:val="21"/>
              </w:rPr>
              <w:t>70</w:t>
            </w:r>
          </w:p>
        </w:tc>
        <w:tc>
          <w:tcPr>
            <w:tcW w:w="675" w:type="dxa"/>
          </w:tcPr>
          <w:p w14:paraId="4871719E">
            <w:pPr>
              <w:pStyle w:val="14"/>
              <w:spacing w:before="48"/>
              <w:ind w:left="156" w:right="149"/>
              <w:jc w:val="center"/>
              <w:rPr>
                <w:rFonts w:ascii="Times New Roman"/>
                <w:sz w:val="21"/>
              </w:rPr>
            </w:pPr>
            <w:r>
              <w:rPr>
                <w:rFonts w:ascii="Times New Roman"/>
                <w:sz w:val="21"/>
              </w:rPr>
              <w:t>68</w:t>
            </w:r>
          </w:p>
        </w:tc>
        <w:tc>
          <w:tcPr>
            <w:tcW w:w="675" w:type="dxa"/>
          </w:tcPr>
          <w:p w14:paraId="2866145B">
            <w:pPr>
              <w:pStyle w:val="14"/>
              <w:spacing w:before="48"/>
              <w:ind w:left="232"/>
              <w:rPr>
                <w:rFonts w:ascii="Times New Roman"/>
                <w:sz w:val="21"/>
              </w:rPr>
            </w:pPr>
            <w:r>
              <w:rPr>
                <w:rFonts w:ascii="Times New Roman"/>
                <w:sz w:val="21"/>
              </w:rPr>
              <w:t>66</w:t>
            </w:r>
          </w:p>
        </w:tc>
        <w:tc>
          <w:tcPr>
            <w:tcW w:w="675" w:type="dxa"/>
          </w:tcPr>
          <w:p w14:paraId="30342CD6">
            <w:pPr>
              <w:pStyle w:val="14"/>
              <w:spacing w:before="48"/>
              <w:ind w:left="158" w:right="149"/>
              <w:jc w:val="center"/>
              <w:rPr>
                <w:rFonts w:ascii="Times New Roman"/>
                <w:sz w:val="21"/>
              </w:rPr>
            </w:pPr>
            <w:r>
              <w:rPr>
                <w:rFonts w:ascii="Times New Roman"/>
                <w:sz w:val="21"/>
              </w:rPr>
              <w:t>64</w:t>
            </w:r>
          </w:p>
        </w:tc>
      </w:tr>
      <w:tr w14:paraId="368BA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29938843">
            <w:pPr>
              <w:pStyle w:val="14"/>
              <w:spacing w:before="32"/>
              <w:ind w:left="271" w:right="265"/>
              <w:jc w:val="center"/>
              <w:rPr>
                <w:sz w:val="21"/>
              </w:rPr>
            </w:pPr>
            <w:r>
              <w:rPr>
                <w:sz w:val="21"/>
              </w:rPr>
              <w:t>移动式吊车</w:t>
            </w:r>
          </w:p>
        </w:tc>
        <w:tc>
          <w:tcPr>
            <w:tcW w:w="676" w:type="dxa"/>
          </w:tcPr>
          <w:p w14:paraId="3C6B3A4E">
            <w:pPr>
              <w:pStyle w:val="14"/>
              <w:spacing w:before="49"/>
              <w:ind w:right="222"/>
              <w:jc w:val="right"/>
              <w:rPr>
                <w:rFonts w:ascii="Times New Roman"/>
                <w:sz w:val="21"/>
              </w:rPr>
            </w:pPr>
            <w:r>
              <w:rPr>
                <w:rFonts w:ascii="Times New Roman"/>
                <w:sz w:val="21"/>
              </w:rPr>
              <w:t>88</w:t>
            </w:r>
          </w:p>
        </w:tc>
        <w:tc>
          <w:tcPr>
            <w:tcW w:w="541" w:type="dxa"/>
          </w:tcPr>
          <w:p w14:paraId="086DFF1B">
            <w:pPr>
              <w:pStyle w:val="14"/>
              <w:spacing w:before="49"/>
              <w:ind w:left="145" w:right="136"/>
              <w:jc w:val="center"/>
              <w:rPr>
                <w:rFonts w:ascii="Times New Roman"/>
                <w:sz w:val="21"/>
              </w:rPr>
            </w:pPr>
            <w:r>
              <w:rPr>
                <w:rFonts w:ascii="Times New Roman"/>
                <w:sz w:val="21"/>
              </w:rPr>
              <w:t>82</w:t>
            </w:r>
          </w:p>
        </w:tc>
        <w:tc>
          <w:tcPr>
            <w:tcW w:w="544" w:type="dxa"/>
          </w:tcPr>
          <w:p w14:paraId="718AD979">
            <w:pPr>
              <w:pStyle w:val="14"/>
              <w:spacing w:before="49"/>
              <w:ind w:left="146" w:right="137"/>
              <w:jc w:val="center"/>
              <w:rPr>
                <w:rFonts w:ascii="Times New Roman"/>
                <w:sz w:val="21"/>
              </w:rPr>
            </w:pPr>
            <w:r>
              <w:rPr>
                <w:rFonts w:ascii="Times New Roman"/>
                <w:sz w:val="21"/>
              </w:rPr>
              <w:t>78</w:t>
            </w:r>
          </w:p>
        </w:tc>
        <w:tc>
          <w:tcPr>
            <w:tcW w:w="544" w:type="dxa"/>
          </w:tcPr>
          <w:p w14:paraId="25E4C318">
            <w:pPr>
              <w:pStyle w:val="14"/>
              <w:spacing w:before="49"/>
              <w:ind w:left="146" w:right="136"/>
              <w:jc w:val="center"/>
              <w:rPr>
                <w:rFonts w:ascii="Times New Roman"/>
                <w:sz w:val="21"/>
              </w:rPr>
            </w:pPr>
            <w:r>
              <w:rPr>
                <w:rFonts w:ascii="Times New Roman"/>
                <w:sz w:val="21"/>
              </w:rPr>
              <w:t>76</w:t>
            </w:r>
          </w:p>
        </w:tc>
        <w:tc>
          <w:tcPr>
            <w:tcW w:w="544" w:type="dxa"/>
          </w:tcPr>
          <w:p w14:paraId="6FEDD667">
            <w:pPr>
              <w:pStyle w:val="14"/>
              <w:spacing w:before="49"/>
              <w:ind w:right="156"/>
              <w:jc w:val="right"/>
              <w:rPr>
                <w:rFonts w:ascii="Times New Roman"/>
                <w:sz w:val="21"/>
              </w:rPr>
            </w:pPr>
            <w:r>
              <w:rPr>
                <w:rFonts w:ascii="Times New Roman"/>
                <w:sz w:val="21"/>
              </w:rPr>
              <w:t>72</w:t>
            </w:r>
          </w:p>
        </w:tc>
        <w:tc>
          <w:tcPr>
            <w:tcW w:w="544" w:type="dxa"/>
          </w:tcPr>
          <w:p w14:paraId="752A288C">
            <w:pPr>
              <w:pStyle w:val="14"/>
              <w:spacing w:before="49"/>
              <w:ind w:left="146" w:right="137"/>
              <w:jc w:val="center"/>
              <w:rPr>
                <w:rFonts w:ascii="Times New Roman"/>
                <w:sz w:val="21"/>
              </w:rPr>
            </w:pPr>
            <w:r>
              <w:rPr>
                <w:rFonts w:ascii="Times New Roman"/>
                <w:sz w:val="21"/>
              </w:rPr>
              <w:t>70</w:t>
            </w:r>
          </w:p>
        </w:tc>
        <w:tc>
          <w:tcPr>
            <w:tcW w:w="675" w:type="dxa"/>
          </w:tcPr>
          <w:p w14:paraId="2B257358">
            <w:pPr>
              <w:pStyle w:val="14"/>
              <w:spacing w:before="49"/>
              <w:ind w:left="232"/>
              <w:rPr>
                <w:rFonts w:ascii="Times New Roman"/>
                <w:sz w:val="21"/>
              </w:rPr>
            </w:pPr>
            <w:r>
              <w:rPr>
                <w:rFonts w:ascii="Times New Roman"/>
                <w:sz w:val="21"/>
              </w:rPr>
              <w:t>68</w:t>
            </w:r>
          </w:p>
        </w:tc>
        <w:tc>
          <w:tcPr>
            <w:tcW w:w="675" w:type="dxa"/>
          </w:tcPr>
          <w:p w14:paraId="2C406987">
            <w:pPr>
              <w:pStyle w:val="14"/>
              <w:spacing w:before="49"/>
              <w:ind w:left="231"/>
              <w:rPr>
                <w:rFonts w:ascii="Times New Roman"/>
                <w:sz w:val="21"/>
              </w:rPr>
            </w:pPr>
            <w:r>
              <w:rPr>
                <w:rFonts w:ascii="Times New Roman"/>
                <w:sz w:val="21"/>
              </w:rPr>
              <w:t>64</w:t>
            </w:r>
          </w:p>
        </w:tc>
        <w:tc>
          <w:tcPr>
            <w:tcW w:w="675" w:type="dxa"/>
          </w:tcPr>
          <w:p w14:paraId="603D5578">
            <w:pPr>
              <w:pStyle w:val="14"/>
              <w:spacing w:before="49"/>
              <w:ind w:left="156" w:right="149"/>
              <w:jc w:val="center"/>
              <w:rPr>
                <w:rFonts w:ascii="Times New Roman"/>
                <w:sz w:val="21"/>
              </w:rPr>
            </w:pPr>
            <w:r>
              <w:rPr>
                <w:rFonts w:ascii="Times New Roman"/>
                <w:sz w:val="21"/>
              </w:rPr>
              <w:t>62</w:t>
            </w:r>
          </w:p>
        </w:tc>
        <w:tc>
          <w:tcPr>
            <w:tcW w:w="675" w:type="dxa"/>
          </w:tcPr>
          <w:p w14:paraId="6037BA1A">
            <w:pPr>
              <w:pStyle w:val="14"/>
              <w:spacing w:before="49"/>
              <w:ind w:left="232"/>
              <w:rPr>
                <w:rFonts w:ascii="Times New Roman"/>
                <w:sz w:val="21"/>
              </w:rPr>
            </w:pPr>
            <w:r>
              <w:rPr>
                <w:rFonts w:ascii="Times New Roman"/>
                <w:sz w:val="21"/>
              </w:rPr>
              <w:t>60</w:t>
            </w:r>
          </w:p>
        </w:tc>
        <w:tc>
          <w:tcPr>
            <w:tcW w:w="675" w:type="dxa"/>
          </w:tcPr>
          <w:p w14:paraId="1232CCCF">
            <w:pPr>
              <w:pStyle w:val="14"/>
              <w:spacing w:before="49"/>
              <w:ind w:left="158" w:right="149"/>
              <w:jc w:val="center"/>
              <w:rPr>
                <w:rFonts w:ascii="Times New Roman"/>
                <w:sz w:val="21"/>
              </w:rPr>
            </w:pPr>
            <w:r>
              <w:rPr>
                <w:rFonts w:ascii="Times New Roman"/>
                <w:sz w:val="21"/>
              </w:rPr>
              <w:t>58</w:t>
            </w:r>
          </w:p>
        </w:tc>
      </w:tr>
      <w:tr w14:paraId="34CCF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dxa"/>
          </w:tcPr>
          <w:p w14:paraId="0D237B89">
            <w:pPr>
              <w:pStyle w:val="14"/>
              <w:spacing w:before="33"/>
              <w:ind w:left="271" w:right="265"/>
              <w:jc w:val="center"/>
              <w:rPr>
                <w:sz w:val="21"/>
              </w:rPr>
            </w:pPr>
            <w:r>
              <w:rPr>
                <w:sz w:val="21"/>
              </w:rPr>
              <w:t>静力压桩机</w:t>
            </w:r>
          </w:p>
        </w:tc>
        <w:tc>
          <w:tcPr>
            <w:tcW w:w="676" w:type="dxa"/>
          </w:tcPr>
          <w:p w14:paraId="11317043">
            <w:pPr>
              <w:pStyle w:val="14"/>
              <w:spacing w:before="47"/>
              <w:ind w:right="222"/>
              <w:jc w:val="right"/>
              <w:rPr>
                <w:rFonts w:ascii="Times New Roman"/>
                <w:sz w:val="21"/>
              </w:rPr>
            </w:pPr>
            <w:r>
              <w:rPr>
                <w:rFonts w:ascii="Times New Roman"/>
                <w:sz w:val="21"/>
              </w:rPr>
              <w:t>73</w:t>
            </w:r>
          </w:p>
        </w:tc>
        <w:tc>
          <w:tcPr>
            <w:tcW w:w="541" w:type="dxa"/>
          </w:tcPr>
          <w:p w14:paraId="1F59A683">
            <w:pPr>
              <w:pStyle w:val="14"/>
              <w:spacing w:before="47"/>
              <w:ind w:left="145" w:right="136"/>
              <w:jc w:val="center"/>
              <w:rPr>
                <w:rFonts w:ascii="Times New Roman"/>
                <w:sz w:val="21"/>
              </w:rPr>
            </w:pPr>
            <w:r>
              <w:rPr>
                <w:rFonts w:ascii="Times New Roman"/>
                <w:sz w:val="21"/>
              </w:rPr>
              <w:t>67</w:t>
            </w:r>
          </w:p>
        </w:tc>
        <w:tc>
          <w:tcPr>
            <w:tcW w:w="544" w:type="dxa"/>
          </w:tcPr>
          <w:p w14:paraId="6B10C22E">
            <w:pPr>
              <w:pStyle w:val="14"/>
              <w:spacing w:before="47"/>
              <w:ind w:left="146" w:right="137"/>
              <w:jc w:val="center"/>
              <w:rPr>
                <w:rFonts w:ascii="Times New Roman"/>
                <w:sz w:val="21"/>
              </w:rPr>
            </w:pPr>
            <w:r>
              <w:rPr>
                <w:rFonts w:ascii="Times New Roman"/>
                <w:sz w:val="21"/>
              </w:rPr>
              <w:t>63</w:t>
            </w:r>
          </w:p>
        </w:tc>
        <w:tc>
          <w:tcPr>
            <w:tcW w:w="544" w:type="dxa"/>
          </w:tcPr>
          <w:p w14:paraId="0F9C587C">
            <w:pPr>
              <w:pStyle w:val="14"/>
              <w:spacing w:before="47"/>
              <w:ind w:left="146" w:right="136"/>
              <w:jc w:val="center"/>
              <w:rPr>
                <w:rFonts w:ascii="Times New Roman"/>
                <w:sz w:val="21"/>
              </w:rPr>
            </w:pPr>
            <w:r>
              <w:rPr>
                <w:rFonts w:ascii="Times New Roman"/>
                <w:sz w:val="21"/>
              </w:rPr>
              <w:t>61</w:t>
            </w:r>
          </w:p>
        </w:tc>
        <w:tc>
          <w:tcPr>
            <w:tcW w:w="544" w:type="dxa"/>
          </w:tcPr>
          <w:p w14:paraId="4B41975B">
            <w:pPr>
              <w:pStyle w:val="14"/>
              <w:spacing w:before="47"/>
              <w:ind w:right="156"/>
              <w:jc w:val="right"/>
              <w:rPr>
                <w:rFonts w:ascii="Times New Roman"/>
                <w:sz w:val="21"/>
              </w:rPr>
            </w:pPr>
            <w:r>
              <w:rPr>
                <w:rFonts w:ascii="Times New Roman"/>
                <w:sz w:val="21"/>
              </w:rPr>
              <w:t>57</w:t>
            </w:r>
          </w:p>
        </w:tc>
        <w:tc>
          <w:tcPr>
            <w:tcW w:w="544" w:type="dxa"/>
          </w:tcPr>
          <w:p w14:paraId="6ED8D464">
            <w:pPr>
              <w:pStyle w:val="14"/>
              <w:spacing w:before="47"/>
              <w:ind w:left="146" w:right="137"/>
              <w:jc w:val="center"/>
              <w:rPr>
                <w:rFonts w:ascii="Times New Roman"/>
                <w:sz w:val="21"/>
              </w:rPr>
            </w:pPr>
            <w:r>
              <w:rPr>
                <w:rFonts w:ascii="Times New Roman"/>
                <w:sz w:val="21"/>
              </w:rPr>
              <w:t>55</w:t>
            </w:r>
          </w:p>
        </w:tc>
        <w:tc>
          <w:tcPr>
            <w:tcW w:w="675" w:type="dxa"/>
          </w:tcPr>
          <w:p w14:paraId="7FC635FE">
            <w:pPr>
              <w:pStyle w:val="14"/>
              <w:spacing w:before="47"/>
              <w:ind w:left="232"/>
              <w:rPr>
                <w:rFonts w:ascii="Times New Roman"/>
                <w:sz w:val="21"/>
              </w:rPr>
            </w:pPr>
            <w:r>
              <w:rPr>
                <w:rFonts w:ascii="Times New Roman"/>
                <w:sz w:val="21"/>
              </w:rPr>
              <w:t>53</w:t>
            </w:r>
          </w:p>
        </w:tc>
        <w:tc>
          <w:tcPr>
            <w:tcW w:w="675" w:type="dxa"/>
          </w:tcPr>
          <w:p w14:paraId="29F53BF8">
            <w:pPr>
              <w:pStyle w:val="14"/>
              <w:spacing w:before="47"/>
              <w:ind w:left="231"/>
              <w:rPr>
                <w:rFonts w:ascii="Times New Roman"/>
                <w:sz w:val="21"/>
              </w:rPr>
            </w:pPr>
            <w:r>
              <w:rPr>
                <w:rFonts w:ascii="Times New Roman"/>
                <w:sz w:val="21"/>
              </w:rPr>
              <w:t>49</w:t>
            </w:r>
          </w:p>
        </w:tc>
        <w:tc>
          <w:tcPr>
            <w:tcW w:w="675" w:type="dxa"/>
          </w:tcPr>
          <w:p w14:paraId="6920C186">
            <w:pPr>
              <w:pStyle w:val="14"/>
              <w:spacing w:before="47"/>
              <w:ind w:left="156" w:right="149"/>
              <w:jc w:val="center"/>
              <w:rPr>
                <w:rFonts w:ascii="Times New Roman"/>
                <w:sz w:val="21"/>
              </w:rPr>
            </w:pPr>
            <w:r>
              <w:rPr>
                <w:rFonts w:ascii="Times New Roman"/>
                <w:sz w:val="21"/>
              </w:rPr>
              <w:t>47</w:t>
            </w:r>
          </w:p>
        </w:tc>
        <w:tc>
          <w:tcPr>
            <w:tcW w:w="675" w:type="dxa"/>
          </w:tcPr>
          <w:p w14:paraId="5557ADD6">
            <w:pPr>
              <w:pStyle w:val="14"/>
              <w:spacing w:before="47"/>
              <w:ind w:left="232"/>
              <w:rPr>
                <w:rFonts w:ascii="Times New Roman"/>
                <w:sz w:val="21"/>
              </w:rPr>
            </w:pPr>
            <w:r>
              <w:rPr>
                <w:rFonts w:ascii="Times New Roman"/>
                <w:sz w:val="21"/>
              </w:rPr>
              <w:t>45</w:t>
            </w:r>
          </w:p>
        </w:tc>
        <w:tc>
          <w:tcPr>
            <w:tcW w:w="675" w:type="dxa"/>
          </w:tcPr>
          <w:p w14:paraId="6E7160C7">
            <w:pPr>
              <w:pStyle w:val="14"/>
              <w:spacing w:before="47"/>
              <w:ind w:left="158" w:right="149"/>
              <w:jc w:val="center"/>
              <w:rPr>
                <w:rFonts w:ascii="Times New Roman"/>
                <w:sz w:val="21"/>
              </w:rPr>
            </w:pPr>
            <w:r>
              <w:rPr>
                <w:rFonts w:ascii="Times New Roman"/>
                <w:sz w:val="21"/>
              </w:rPr>
              <w:t>43</w:t>
            </w:r>
          </w:p>
        </w:tc>
      </w:tr>
    </w:tbl>
    <w:p w14:paraId="5CFA8BEC">
      <w:pPr>
        <w:pStyle w:val="7"/>
        <w:spacing w:before="1" w:line="364" w:lineRule="auto"/>
        <w:ind w:left="460" w:right="477" w:firstLine="480"/>
        <w:jc w:val="both"/>
      </w:pPr>
      <w:r>
        <w:t xml:space="preserve">各施工机械单独连续作业时，部分施工机械距声源 </w:t>
      </w:r>
      <w:r>
        <w:rPr>
          <w:rFonts w:ascii="Times New Roman" w:eastAsia="Times New Roman"/>
        </w:rPr>
        <w:t xml:space="preserve">100m </w:t>
      </w:r>
      <w:r>
        <w:t xml:space="preserve">处噪声可满足施工场界昼间 </w:t>
      </w:r>
      <w:r>
        <w:rPr>
          <w:rFonts w:ascii="Times New Roman" w:eastAsia="Times New Roman"/>
        </w:rPr>
        <w:t>70dB</w:t>
      </w:r>
      <w:r>
        <w:t>（</w:t>
      </w:r>
      <w:r>
        <w:rPr>
          <w:rFonts w:ascii="Times New Roman" w:eastAsia="Times New Roman"/>
        </w:rPr>
        <w:t>A</w:t>
      </w:r>
      <w:r>
        <w:t xml:space="preserve">）标准要求，部分高噪声设备在 </w:t>
      </w:r>
      <w:r>
        <w:rPr>
          <w:rFonts w:ascii="Times New Roman" w:eastAsia="Times New Roman"/>
        </w:rPr>
        <w:t xml:space="preserve">150-200m </w:t>
      </w:r>
      <w:r>
        <w:t xml:space="preserve">噪声方可满足施工场界昼间 </w:t>
      </w:r>
      <w:r>
        <w:rPr>
          <w:rFonts w:ascii="Times New Roman" w:eastAsia="Times New Roman"/>
        </w:rPr>
        <w:t>70dB</w:t>
      </w:r>
      <w:r>
        <w:t>（</w:t>
      </w:r>
      <w:r>
        <w:rPr>
          <w:rFonts w:ascii="Times New Roman" w:eastAsia="Times New Roman"/>
        </w:rPr>
        <w:t>A</w:t>
      </w:r>
      <w:r>
        <w:t xml:space="preserve">）标准要求；夜间部分施工机械要在 </w:t>
      </w:r>
      <w:r>
        <w:rPr>
          <w:rFonts w:ascii="Times New Roman" w:eastAsia="Times New Roman"/>
        </w:rPr>
        <w:t xml:space="preserve">300m </w:t>
      </w:r>
      <w:r>
        <w:t xml:space="preserve">以外才能满足夜间 </w:t>
      </w:r>
      <w:r>
        <w:rPr>
          <w:rFonts w:ascii="Times New Roman" w:eastAsia="Times New Roman"/>
        </w:rPr>
        <w:t>55dB</w:t>
      </w:r>
      <w:r>
        <w:t>（</w:t>
      </w:r>
      <w:r>
        <w:rPr>
          <w:rFonts w:ascii="Times New Roman" w:eastAsia="Times New Roman"/>
        </w:rPr>
        <w:t>A</w:t>
      </w:r>
      <w:r>
        <w:t xml:space="preserve">）标准要求，大部分高噪声设备在 </w:t>
      </w:r>
      <w:r>
        <w:rPr>
          <w:rFonts w:ascii="Times New Roman" w:eastAsia="Times New Roman"/>
        </w:rPr>
        <w:t xml:space="preserve">500m </w:t>
      </w:r>
      <w:r>
        <w:t>左右才能满足夜间</w:t>
      </w:r>
    </w:p>
    <w:p w14:paraId="6DAD3349">
      <w:pPr>
        <w:pStyle w:val="7"/>
        <w:spacing w:line="305" w:lineRule="exact"/>
        <w:ind w:left="460"/>
      </w:pPr>
      <w:r>
        <w:rPr>
          <w:rFonts w:ascii="Times New Roman" w:eastAsia="Times New Roman"/>
        </w:rPr>
        <w:t>55dB</w:t>
      </w:r>
      <w:r>
        <w:t>（</w:t>
      </w:r>
      <w:r>
        <w:rPr>
          <w:rFonts w:ascii="Times New Roman" w:eastAsia="Times New Roman"/>
        </w:rPr>
        <w:t>A</w:t>
      </w:r>
      <w:r>
        <w:t>）标准要求。本项目夜间不施工，不会对周边的居民产生影响。</w:t>
      </w:r>
    </w:p>
    <w:p w14:paraId="3661B578">
      <w:pPr>
        <w:pStyle w:val="7"/>
        <w:spacing w:before="160"/>
        <w:ind w:left="940"/>
      </w:pPr>
      <w:r>
        <w:t>（</w:t>
      </w:r>
      <w:r>
        <w:rPr>
          <w:rFonts w:ascii="Times New Roman" w:eastAsia="Times New Roman"/>
        </w:rPr>
        <w:t>3</w:t>
      </w:r>
      <w:r>
        <w:t>）施工期建议采取噪声防治措施</w:t>
      </w:r>
    </w:p>
    <w:p w14:paraId="0EDDB5FA">
      <w:pPr>
        <w:pStyle w:val="7"/>
        <w:spacing w:before="159"/>
        <w:ind w:left="940"/>
        <w:rPr>
          <w:rFonts w:ascii="Times New Roman" w:hAnsi="Times New Roman" w:eastAsia="Times New Roman"/>
        </w:rPr>
      </w:pPr>
      <w:r>
        <w:rPr>
          <w:spacing w:val="5"/>
        </w:rPr>
        <w:t>① 施工期应严格执行《建筑施工场界环境噪声排放标准》</w:t>
      </w:r>
      <w:r>
        <w:t>（</w:t>
      </w:r>
      <w:r>
        <w:rPr>
          <w:spacing w:val="-91"/>
        </w:rPr>
        <w:t xml:space="preserve"> </w:t>
      </w:r>
      <w:r>
        <w:rPr>
          <w:rFonts w:ascii="Times New Roman" w:hAnsi="Times New Roman" w:eastAsia="Times New Roman"/>
        </w:rPr>
        <w:t>GB12523-</w:t>
      </w:r>
    </w:p>
    <w:p w14:paraId="3C0842C9">
      <w:pPr>
        <w:pStyle w:val="7"/>
        <w:spacing w:before="160" w:line="362" w:lineRule="auto"/>
        <w:ind w:left="460" w:right="477"/>
      </w:pPr>
      <w:r>
        <w:rPr>
          <w:rFonts w:ascii="Times New Roman" w:eastAsia="Times New Roman"/>
        </w:rPr>
        <w:t>2011</w:t>
      </w:r>
      <w:r>
        <w:t>）有关规定，加强施工管理，文明施工，控制同时作业的高噪声设备的数量。</w:t>
      </w:r>
    </w:p>
    <w:p w14:paraId="4F6262EF">
      <w:pPr>
        <w:pStyle w:val="7"/>
        <w:spacing w:before="5" w:line="362" w:lineRule="auto"/>
        <w:ind w:left="460" w:right="477" w:firstLine="480"/>
      </w:pPr>
      <w:r>
        <w:t>②尽量采用低噪声施工设备和噪声低的施工方法；施工期高噪声设备尽量在项目场区中心布置。</w:t>
      </w:r>
    </w:p>
    <w:p w14:paraId="395B47D9">
      <w:pPr>
        <w:pStyle w:val="7"/>
        <w:spacing w:before="5"/>
        <w:ind w:left="940"/>
      </w:pPr>
      <w:r>
        <w:t>③业时在高噪声设备周围设置屏蔽。</w:t>
      </w:r>
    </w:p>
    <w:p w14:paraId="190E3430">
      <w:pPr>
        <w:pStyle w:val="7"/>
        <w:spacing w:before="160"/>
        <w:ind w:left="940"/>
      </w:pPr>
      <w:r>
        <w:t>④尽量采用商品混凝土。</w:t>
      </w:r>
    </w:p>
    <w:p w14:paraId="605A0808">
      <w:pPr>
        <w:pStyle w:val="7"/>
        <w:spacing w:before="158"/>
        <w:ind w:left="940"/>
      </w:pPr>
      <w:r>
        <w:t>⑤加强运输车辆的管理，建材等运输尽量在白天进行，并控制车辆鸣笛。</w:t>
      </w:r>
    </w:p>
    <w:p w14:paraId="564B664B">
      <w:pPr>
        <w:pStyle w:val="7"/>
        <w:spacing w:before="159"/>
        <w:ind w:left="940"/>
      </w:pPr>
      <w:r>
        <w:t>⑥理安排作业时间，严格按照施工噪声管理的有关规定，避免夜间施工，</w:t>
      </w:r>
    </w:p>
    <w:p w14:paraId="2BD97E37">
      <w:pPr>
        <w:spacing w:after="0"/>
        <w:sectPr>
          <w:pgSz w:w="11910" w:h="16840"/>
          <w:pgMar w:top="1360" w:right="1320" w:bottom="1400" w:left="1340" w:header="878" w:footer="1204" w:gutter="0"/>
          <w:cols w:space="720" w:num="1"/>
        </w:sectPr>
      </w:pPr>
    </w:p>
    <w:p w14:paraId="73FA7D10">
      <w:pPr>
        <w:pStyle w:val="7"/>
        <w:spacing w:before="68" w:line="364" w:lineRule="auto"/>
        <w:ind w:left="460" w:right="477"/>
      </w:pPr>
      <w:r>
        <w:t>如需进行夜间施工作业，需征得当地生态环境部门的同意，并告知周围居民， 取得当地居民的谅解和支持。</w:t>
      </w:r>
    </w:p>
    <w:p w14:paraId="2CD44402">
      <w:pPr>
        <w:pStyle w:val="6"/>
        <w:numPr>
          <w:ilvl w:val="2"/>
          <w:numId w:val="19"/>
        </w:numPr>
        <w:tabs>
          <w:tab w:val="left" w:pos="1000"/>
        </w:tabs>
        <w:spacing w:before="0" w:after="0" w:line="306" w:lineRule="exact"/>
        <w:ind w:left="1000" w:right="0" w:hanging="540"/>
        <w:jc w:val="left"/>
        <w:rPr>
          <w:rFonts w:ascii="Times New Roman" w:eastAsia="Times New Roman"/>
        </w:rPr>
      </w:pPr>
      <w:bookmarkStart w:id="163" w:name="5.1.4 固体废物环境影响分析"/>
      <w:bookmarkEnd w:id="163"/>
      <w:bookmarkStart w:id="164" w:name="5.1.4 固体废物环境影响分析"/>
      <w:bookmarkEnd w:id="164"/>
      <w:r>
        <w:t>固体废物环境影响分析</w:t>
      </w:r>
    </w:p>
    <w:p w14:paraId="51472B19">
      <w:pPr>
        <w:pStyle w:val="7"/>
        <w:spacing w:before="160"/>
        <w:ind w:left="940"/>
      </w:pPr>
      <w:r>
        <w:t>本项目施工期产生的固体废物主要为建筑垃圾和施工人员生活垃圾。</w:t>
      </w:r>
    </w:p>
    <w:p w14:paraId="029CF09F">
      <w:pPr>
        <w:pStyle w:val="7"/>
        <w:spacing w:before="158"/>
        <w:ind w:left="940"/>
      </w:pPr>
      <w:r>
        <w:t>（</w:t>
      </w:r>
      <w:r>
        <w:rPr>
          <w:rFonts w:ascii="Times New Roman" w:eastAsia="Times New Roman"/>
        </w:rPr>
        <w:t>1</w:t>
      </w:r>
      <w:r>
        <w:t>）固废来源</w:t>
      </w:r>
    </w:p>
    <w:p w14:paraId="28B515D1">
      <w:pPr>
        <w:pStyle w:val="7"/>
        <w:spacing w:before="161" w:line="364" w:lineRule="auto"/>
        <w:ind w:left="460" w:right="477" w:firstLine="480"/>
        <w:jc w:val="both"/>
      </w:pPr>
      <w:r>
        <w:t>本项目在施工期产生的建筑垃圾其主要成份为：废弃的沙土石、水泥、木屑、碎木块、弃砖、水泥袋、纤维、塑料泡沫、碎玻璃、废金属、废瓷砖等。此外，施工期间建筑工地会产生大量余泥、渣土，以及在运输过程中，车辆不注意清洁运输而沿途撒漏的泥土。施工期施工人员生活垃圾的主要成分为：残剩食物、塑料、废纸、各种玻璃瓶、动物骨刺皮壳等。</w:t>
      </w:r>
    </w:p>
    <w:p w14:paraId="7EEECAB1">
      <w:pPr>
        <w:pStyle w:val="7"/>
        <w:spacing w:line="364" w:lineRule="auto"/>
        <w:ind w:left="460" w:right="477" w:firstLine="480"/>
        <w:jc w:val="both"/>
      </w:pPr>
      <w:r>
        <w:t>根据本项目固体废物的产生种类、产生量以及类比同类型建设项目可知， 如不妥善处理这些固体废弃物，则会污染环境，其不利影响包括：</w:t>
      </w:r>
    </w:p>
    <w:p w14:paraId="6B67D103">
      <w:pPr>
        <w:pStyle w:val="7"/>
        <w:spacing w:line="362" w:lineRule="auto"/>
        <w:ind w:left="460" w:right="477" w:firstLine="480"/>
        <w:jc w:val="both"/>
      </w:pPr>
      <w:r>
        <w:t>①在运输过程中，车辆如不注意清洁运输，沿途撒漏泥土，污染街道和公路，将会影响市容与交通，给城市环境卫生带来不利影响。</w:t>
      </w:r>
    </w:p>
    <w:p w14:paraId="0FCDA110">
      <w:pPr>
        <w:pStyle w:val="7"/>
        <w:spacing w:before="2" w:line="362" w:lineRule="auto"/>
        <w:ind w:left="460" w:right="477" w:firstLine="480"/>
        <w:jc w:val="both"/>
      </w:pPr>
      <w:r>
        <w:t>②施工期将产生工程弃土运输车辆行走市区道路，不但会给沿线地区增加车流量，造成交通堵塞，尘土的撒漏也会给城市环境卫生带来危害。</w:t>
      </w:r>
    </w:p>
    <w:p w14:paraId="4BEF914A">
      <w:pPr>
        <w:pStyle w:val="7"/>
        <w:spacing w:before="5" w:line="364" w:lineRule="auto"/>
        <w:ind w:left="460" w:right="477" w:firstLine="480"/>
        <w:jc w:val="both"/>
      </w:pPr>
      <w:r>
        <w:t>③在工程弃土堆放过程中，开挖弃土如果无组织堆放、倒弃，如遇暴雨冲刷，则会造成水土流失。同时泥浆水还夹带施工场地上的水泥、油污等污染物进入水体，造成水体污染。</w:t>
      </w:r>
    </w:p>
    <w:p w14:paraId="25242774">
      <w:pPr>
        <w:pStyle w:val="7"/>
        <w:spacing w:line="304" w:lineRule="exact"/>
        <w:ind w:left="940"/>
      </w:pPr>
      <w:r>
        <w:t>（</w:t>
      </w:r>
      <w:r>
        <w:rPr>
          <w:rFonts w:ascii="Times New Roman" w:eastAsia="Times New Roman"/>
        </w:rPr>
        <w:t>2</w:t>
      </w:r>
      <w:r>
        <w:t>）施工期固体废物防治措施</w:t>
      </w:r>
    </w:p>
    <w:p w14:paraId="298ACA8D">
      <w:pPr>
        <w:pStyle w:val="7"/>
        <w:spacing w:before="160" w:line="364" w:lineRule="auto"/>
        <w:ind w:left="460" w:right="477" w:firstLine="480"/>
        <w:jc w:val="both"/>
      </w:pPr>
      <w:r>
        <w:rPr>
          <w:spacing w:val="0"/>
        </w:rPr>
        <w:t>根据《中华人民共和国固体废弃物污染环境防治法》第十六条和第十七条</w:t>
      </w:r>
      <w:r>
        <w:rPr>
          <w:spacing w:val="-5"/>
        </w:rPr>
        <w:t xml:space="preserve">的规定和建设部 </w:t>
      </w:r>
      <w:r>
        <w:rPr>
          <w:rFonts w:ascii="Times New Roman" w:eastAsia="Times New Roman"/>
        </w:rPr>
        <w:t xml:space="preserve">2005 </w:t>
      </w:r>
      <w:r>
        <w:rPr>
          <w:spacing w:val="-25"/>
        </w:rPr>
        <w:t xml:space="preserve">年 </w:t>
      </w:r>
      <w:r>
        <w:rPr>
          <w:rFonts w:ascii="Times New Roman" w:eastAsia="Times New Roman"/>
        </w:rPr>
        <w:t xml:space="preserve">139 </w:t>
      </w:r>
      <w:r>
        <w:rPr>
          <w:spacing w:val="-6"/>
        </w:rPr>
        <w:t>号令《城市建筑垃圾管理规定》，必须对这些固废</w:t>
      </w:r>
      <w:r>
        <w:t>妥善收集、合理处置。为减少弃土在堆放和运输过程中对环境的影响，建议采取如下措施：</w:t>
      </w:r>
    </w:p>
    <w:p w14:paraId="6738487A">
      <w:pPr>
        <w:pStyle w:val="7"/>
        <w:spacing w:line="364" w:lineRule="auto"/>
        <w:ind w:left="460" w:right="477" w:firstLine="480"/>
        <w:jc w:val="both"/>
      </w:pPr>
      <w:r>
        <w:t>①根据施工产生的工程垃圾和渣土的量，设置容量足够的、有围栏和覆盖设施的堆放场地，分类管理，可利用的渣土尽量在场址内周转，就地利用，以防污染周围的水体水质和影响周围的卫生环境。</w:t>
      </w:r>
    </w:p>
    <w:p w14:paraId="5B2E1364">
      <w:pPr>
        <w:pStyle w:val="7"/>
        <w:spacing w:line="364" w:lineRule="auto"/>
        <w:ind w:left="460" w:right="477" w:firstLine="480"/>
        <w:jc w:val="both"/>
      </w:pPr>
      <w:r>
        <w:t>②施工单位必须严格执行当地余泥渣土排放管理的相关办法，在指定的受纳地点弃土；尽可避免对项目选址周边环境的影响。</w:t>
      </w:r>
    </w:p>
    <w:p w14:paraId="218729BE">
      <w:pPr>
        <w:pStyle w:val="7"/>
        <w:ind w:left="940"/>
      </w:pPr>
      <w:r>
        <w:t>③车辆运输散体物料和废弃物时，必须密闭、包扎、覆盖，不得沿途漏</w:t>
      </w:r>
    </w:p>
    <w:p w14:paraId="5C27283D">
      <w:pPr>
        <w:spacing w:after="0"/>
        <w:sectPr>
          <w:pgSz w:w="11910" w:h="16840"/>
          <w:pgMar w:top="1360" w:right="1320" w:bottom="1400" w:left="1340" w:header="878" w:footer="1204" w:gutter="0"/>
          <w:cols w:space="720" w:num="1"/>
        </w:sectPr>
      </w:pPr>
    </w:p>
    <w:p w14:paraId="63C4977F">
      <w:pPr>
        <w:pStyle w:val="7"/>
        <w:spacing w:before="68"/>
        <w:ind w:left="460"/>
      </w:pPr>
      <w:r>
        <w:t>撒；运载土方的车辆必须在规定的时间内，按指定路段行驶。</w:t>
      </w:r>
    </w:p>
    <w:p w14:paraId="382B21A3">
      <w:pPr>
        <w:pStyle w:val="7"/>
        <w:spacing w:before="160" w:line="362" w:lineRule="auto"/>
        <w:ind w:left="460" w:right="477" w:firstLine="480"/>
        <w:jc w:val="both"/>
      </w:pPr>
      <w:r>
        <w:t>④建筑垃圾和工程弃土的运输应委托有相关资质的单位承担，运输时间和车辆行驶线路应报交通部门批准后方可实施。</w:t>
      </w:r>
    </w:p>
    <w:p w14:paraId="46773E0E">
      <w:pPr>
        <w:pStyle w:val="7"/>
        <w:spacing w:before="5" w:line="364" w:lineRule="auto"/>
        <w:ind w:left="460" w:right="477" w:firstLine="480"/>
        <w:jc w:val="both"/>
      </w:pPr>
      <w:r>
        <w:t>⑤施工期间如产生属于严控废物或危险废物的固体废物，应在场地内设置防风、防雨及防渗漏的场所进行收集暂存，交相关有资质单位进行处理，严禁混入其他建筑垃圾或生活垃圾进行处理处置。</w:t>
      </w:r>
    </w:p>
    <w:p w14:paraId="37067D07">
      <w:pPr>
        <w:pStyle w:val="7"/>
        <w:spacing w:line="364" w:lineRule="auto"/>
        <w:ind w:left="460" w:right="477" w:firstLine="480"/>
        <w:jc w:val="both"/>
      </w:pPr>
      <w:r>
        <w:t>⑥施工期产生的垃圾应运送至城管、环卫、生态环境局等部门规定的地点合理处置。</w:t>
      </w:r>
    </w:p>
    <w:p w14:paraId="09B61E59">
      <w:pPr>
        <w:pStyle w:val="7"/>
        <w:spacing w:line="362" w:lineRule="auto"/>
        <w:ind w:left="460" w:right="477" w:firstLine="480"/>
        <w:jc w:val="both"/>
      </w:pPr>
      <w:r>
        <w:t>⑦在工程竣工以后，施工单位应立即拆除各种临时施工设施，并负责将工地剩余的建筑垃圾、工程渣土处理干净。</w:t>
      </w:r>
    </w:p>
    <w:p w14:paraId="41E9F370">
      <w:pPr>
        <w:pStyle w:val="7"/>
        <w:spacing w:before="1" w:line="364" w:lineRule="auto"/>
        <w:ind w:left="460" w:right="477" w:firstLine="480"/>
        <w:jc w:val="both"/>
      </w:pPr>
      <w:r>
        <w:t>⑧生活垃圾应由施工单位集中收集，交由环卫部门统一处理，严禁将生活垃圾混入建筑垃圾或工程弃土处理。</w:t>
      </w:r>
    </w:p>
    <w:p w14:paraId="0BC1A31C">
      <w:pPr>
        <w:pStyle w:val="7"/>
        <w:spacing w:before="1"/>
        <w:ind w:left="940"/>
      </w:pPr>
      <w:r>
        <w:t>⑨严禁在施工现场焚烧各种垃圾。</w:t>
      </w:r>
    </w:p>
    <w:p w14:paraId="2945D11C">
      <w:pPr>
        <w:pStyle w:val="7"/>
        <w:spacing w:before="158" w:line="364" w:lineRule="auto"/>
        <w:ind w:left="460" w:right="477" w:firstLine="480"/>
        <w:jc w:val="both"/>
      </w:pPr>
      <w:r>
        <w:t>综上所述，本项目在施工期间产生的固体废物，对周围环境会产生一定影响。建设单位应该要求施工单位通过加强管理、文明施工的手段来减少施工期对周围环境和敏感点的影响。从其他工地的经验来看，只要做好上述建议措施，是可以把施工期对周围环境的影响减少到较低的限度的，做到发展与保护环境的协调。</w:t>
      </w:r>
    </w:p>
    <w:p w14:paraId="6570BB63">
      <w:pPr>
        <w:pStyle w:val="6"/>
        <w:numPr>
          <w:ilvl w:val="2"/>
          <w:numId w:val="19"/>
        </w:numPr>
        <w:tabs>
          <w:tab w:val="left" w:pos="1471"/>
        </w:tabs>
        <w:spacing w:before="0" w:after="0" w:line="306" w:lineRule="exact"/>
        <w:ind w:left="1470" w:right="0" w:hanging="530"/>
        <w:jc w:val="left"/>
        <w:rPr>
          <w:rFonts w:ascii="Times New Roman" w:eastAsia="Times New Roman"/>
        </w:rPr>
      </w:pPr>
      <w:r>
        <w:t>生态环境影响分析</w:t>
      </w:r>
    </w:p>
    <w:p w14:paraId="73CFE7B6">
      <w:pPr>
        <w:pStyle w:val="7"/>
        <w:spacing w:before="158" w:line="364" w:lineRule="auto"/>
        <w:ind w:left="460" w:right="477" w:firstLine="480"/>
        <w:jc w:val="both"/>
      </w:pPr>
      <w:r>
        <w:t>根据现场勘查，本项目所在地目前为荒地，项目施工建设会给当地的生态环境带来一定的破坏。</w:t>
      </w:r>
    </w:p>
    <w:p w14:paraId="706AEAD5">
      <w:pPr>
        <w:pStyle w:val="7"/>
        <w:spacing w:line="306" w:lineRule="exact"/>
        <w:ind w:left="940"/>
      </w:pPr>
      <w:r>
        <w:t>（</w:t>
      </w:r>
      <w:r>
        <w:rPr>
          <w:rFonts w:ascii="Times New Roman" w:eastAsia="Times New Roman"/>
        </w:rPr>
        <w:t>1</w:t>
      </w:r>
      <w:r>
        <w:t>）施工期对植被的影响</w:t>
      </w:r>
    </w:p>
    <w:p w14:paraId="13296A44">
      <w:pPr>
        <w:pStyle w:val="7"/>
        <w:spacing w:before="161" w:line="364" w:lineRule="auto"/>
        <w:ind w:left="460" w:right="477" w:firstLine="480"/>
        <w:jc w:val="both"/>
      </w:pPr>
      <w:r>
        <w:t>本项目的开发活动使现有的土地利用类型发生变化，同时各种机具车辆碾压和施工人员的践踏及土石的堆放，也会对植被造成较为严重的破坏和影响。随着开发建设活动的进行，用地范围内的一些植物种类将会消失。据调查，本项目范围内没有珍稀濒危的保护植物种类，而随着开发建设期的结束，经过绿化建设，植被会得到逐步恢复，将可弥补植物种属多样性的损失，但开发建设期对植被的破坏将可能会降低区域生态系统的服务功能，此影响将会延续到开发建设期后的运营期，其影响见下表。</w:t>
      </w:r>
    </w:p>
    <w:p w14:paraId="5BFD8BF9">
      <w:pPr>
        <w:spacing w:before="0" w:line="265" w:lineRule="exact"/>
        <w:ind w:left="264" w:right="286" w:firstLine="0"/>
        <w:jc w:val="center"/>
        <w:rPr>
          <w:b/>
          <w:sz w:val="21"/>
        </w:rPr>
      </w:pPr>
      <w:r>
        <w:rPr>
          <w:b/>
          <w:sz w:val="21"/>
        </w:rPr>
        <w:t xml:space="preserve">表 </w:t>
      </w:r>
      <w:r>
        <w:rPr>
          <w:rFonts w:ascii="Times New Roman" w:eastAsia="Times New Roman"/>
          <w:b/>
          <w:sz w:val="21"/>
        </w:rPr>
        <w:t xml:space="preserve">5.1-6 </w:t>
      </w:r>
      <w:r>
        <w:rPr>
          <w:b/>
          <w:sz w:val="21"/>
        </w:rPr>
        <w:t>施工期对植被的影响</w:t>
      </w:r>
    </w:p>
    <w:p w14:paraId="4A058ECE">
      <w:pPr>
        <w:spacing w:after="0" w:line="265" w:lineRule="exact"/>
        <w:jc w:val="center"/>
        <w:rPr>
          <w:sz w:val="21"/>
        </w:rPr>
        <w:sectPr>
          <w:pgSz w:w="11910" w:h="16840"/>
          <w:pgMar w:top="1360" w:right="1320" w:bottom="1400" w:left="1340" w:header="878" w:footer="1204" w:gutter="0"/>
          <w:cols w:space="720" w:num="1"/>
        </w:sectPr>
      </w:pPr>
    </w:p>
    <w:p w14:paraId="7BF0AA63">
      <w:pPr>
        <w:pStyle w:val="7"/>
        <w:spacing w:before="3"/>
        <w:rPr>
          <w:b/>
          <w:sz w:val="5"/>
        </w:rPr>
      </w:pP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6"/>
        <w:gridCol w:w="1557"/>
        <w:gridCol w:w="4423"/>
        <w:gridCol w:w="1761"/>
      </w:tblGrid>
      <w:tr w14:paraId="79B34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76" w:type="dxa"/>
          </w:tcPr>
          <w:p w14:paraId="372FA86C">
            <w:pPr>
              <w:pStyle w:val="14"/>
              <w:spacing w:before="57"/>
              <w:ind w:left="206" w:right="197"/>
              <w:jc w:val="center"/>
              <w:rPr>
                <w:b/>
                <w:sz w:val="21"/>
              </w:rPr>
            </w:pPr>
            <w:r>
              <w:rPr>
                <w:b/>
                <w:sz w:val="21"/>
              </w:rPr>
              <w:t>序号</w:t>
            </w:r>
          </w:p>
        </w:tc>
        <w:tc>
          <w:tcPr>
            <w:tcW w:w="1557" w:type="dxa"/>
          </w:tcPr>
          <w:p w14:paraId="72CE5BE8">
            <w:pPr>
              <w:pStyle w:val="14"/>
              <w:spacing w:before="57"/>
              <w:ind w:left="336" w:right="331"/>
              <w:jc w:val="center"/>
              <w:rPr>
                <w:b/>
                <w:sz w:val="21"/>
              </w:rPr>
            </w:pPr>
            <w:r>
              <w:rPr>
                <w:b/>
                <w:sz w:val="21"/>
              </w:rPr>
              <w:t>作业</w:t>
            </w:r>
          </w:p>
        </w:tc>
        <w:tc>
          <w:tcPr>
            <w:tcW w:w="4423" w:type="dxa"/>
          </w:tcPr>
          <w:p w14:paraId="064B9A48">
            <w:pPr>
              <w:pStyle w:val="14"/>
              <w:spacing w:before="57"/>
              <w:ind w:left="195" w:right="184"/>
              <w:jc w:val="center"/>
              <w:rPr>
                <w:b/>
                <w:sz w:val="21"/>
              </w:rPr>
            </w:pPr>
            <w:r>
              <w:rPr>
                <w:b/>
                <w:sz w:val="21"/>
              </w:rPr>
              <w:t>影响原因</w:t>
            </w:r>
          </w:p>
        </w:tc>
        <w:tc>
          <w:tcPr>
            <w:tcW w:w="1761" w:type="dxa"/>
          </w:tcPr>
          <w:p w14:paraId="142998DC">
            <w:pPr>
              <w:pStyle w:val="14"/>
              <w:spacing w:before="57"/>
              <w:ind w:left="147" w:right="138"/>
              <w:jc w:val="center"/>
              <w:rPr>
                <w:b/>
                <w:sz w:val="21"/>
              </w:rPr>
            </w:pPr>
            <w:r>
              <w:rPr>
                <w:b/>
                <w:sz w:val="21"/>
              </w:rPr>
              <w:t>影响范围</w:t>
            </w:r>
          </w:p>
        </w:tc>
      </w:tr>
      <w:tr w14:paraId="78673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76" w:type="dxa"/>
          </w:tcPr>
          <w:p w14:paraId="64D2FE56">
            <w:pPr>
              <w:pStyle w:val="14"/>
              <w:spacing w:before="72"/>
              <w:ind w:left="6"/>
              <w:jc w:val="center"/>
              <w:rPr>
                <w:rFonts w:ascii="Times New Roman"/>
                <w:sz w:val="21"/>
              </w:rPr>
            </w:pPr>
            <w:r>
              <w:rPr>
                <w:rFonts w:ascii="Times New Roman"/>
                <w:w w:val="99"/>
                <w:sz w:val="21"/>
              </w:rPr>
              <w:t>1</w:t>
            </w:r>
          </w:p>
        </w:tc>
        <w:tc>
          <w:tcPr>
            <w:tcW w:w="1557" w:type="dxa"/>
          </w:tcPr>
          <w:p w14:paraId="0997A876">
            <w:pPr>
              <w:pStyle w:val="14"/>
              <w:spacing w:before="58"/>
              <w:ind w:left="336" w:right="331"/>
              <w:jc w:val="center"/>
              <w:rPr>
                <w:sz w:val="21"/>
              </w:rPr>
            </w:pPr>
            <w:r>
              <w:rPr>
                <w:sz w:val="21"/>
              </w:rPr>
              <w:t>人工开挖</w:t>
            </w:r>
          </w:p>
        </w:tc>
        <w:tc>
          <w:tcPr>
            <w:tcW w:w="4423" w:type="dxa"/>
          </w:tcPr>
          <w:p w14:paraId="7439DD70">
            <w:pPr>
              <w:pStyle w:val="14"/>
              <w:spacing w:before="58"/>
              <w:ind w:left="190" w:right="187"/>
              <w:jc w:val="center"/>
              <w:rPr>
                <w:sz w:val="21"/>
              </w:rPr>
            </w:pPr>
            <w:r>
              <w:rPr>
                <w:sz w:val="21"/>
              </w:rPr>
              <w:t>直接破坏开挖带的植被</w:t>
            </w:r>
          </w:p>
        </w:tc>
        <w:tc>
          <w:tcPr>
            <w:tcW w:w="1761" w:type="dxa"/>
          </w:tcPr>
          <w:p w14:paraId="4BE2489F">
            <w:pPr>
              <w:pStyle w:val="14"/>
              <w:spacing w:before="58"/>
              <w:ind w:left="147" w:right="139"/>
              <w:jc w:val="center"/>
              <w:rPr>
                <w:rFonts w:ascii="Times New Roman" w:eastAsia="Times New Roman"/>
                <w:sz w:val="21"/>
              </w:rPr>
            </w:pPr>
            <w:r>
              <w:rPr>
                <w:sz w:val="21"/>
              </w:rPr>
              <w:t xml:space="preserve">开挖带两侧 </w:t>
            </w:r>
            <w:r>
              <w:rPr>
                <w:rFonts w:ascii="Times New Roman" w:eastAsia="Times New Roman"/>
                <w:sz w:val="21"/>
              </w:rPr>
              <w:t>3m</w:t>
            </w:r>
          </w:p>
        </w:tc>
      </w:tr>
      <w:tr w14:paraId="542BA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76" w:type="dxa"/>
          </w:tcPr>
          <w:p w14:paraId="45B94F89">
            <w:pPr>
              <w:pStyle w:val="14"/>
              <w:spacing w:before="71"/>
              <w:ind w:left="6"/>
              <w:jc w:val="center"/>
              <w:rPr>
                <w:rFonts w:ascii="Times New Roman"/>
                <w:sz w:val="21"/>
              </w:rPr>
            </w:pPr>
            <w:r>
              <w:rPr>
                <w:rFonts w:ascii="Times New Roman"/>
                <w:w w:val="99"/>
                <w:sz w:val="21"/>
              </w:rPr>
              <w:t>2</w:t>
            </w:r>
          </w:p>
        </w:tc>
        <w:tc>
          <w:tcPr>
            <w:tcW w:w="1557" w:type="dxa"/>
          </w:tcPr>
          <w:p w14:paraId="4674FEB7">
            <w:pPr>
              <w:pStyle w:val="14"/>
              <w:spacing w:before="57"/>
              <w:ind w:left="336" w:right="329"/>
              <w:jc w:val="center"/>
              <w:rPr>
                <w:sz w:val="21"/>
              </w:rPr>
            </w:pPr>
            <w:r>
              <w:rPr>
                <w:sz w:val="21"/>
              </w:rPr>
              <w:t>回填土</w:t>
            </w:r>
          </w:p>
        </w:tc>
        <w:tc>
          <w:tcPr>
            <w:tcW w:w="4423" w:type="dxa"/>
          </w:tcPr>
          <w:p w14:paraId="7BF21FF8">
            <w:pPr>
              <w:pStyle w:val="14"/>
              <w:spacing w:before="57"/>
              <w:ind w:left="193" w:right="187"/>
              <w:jc w:val="center"/>
              <w:rPr>
                <w:sz w:val="21"/>
              </w:rPr>
            </w:pPr>
            <w:r>
              <w:rPr>
                <w:sz w:val="21"/>
              </w:rPr>
              <w:t>碾压施工场地的植被</w:t>
            </w:r>
          </w:p>
        </w:tc>
        <w:tc>
          <w:tcPr>
            <w:tcW w:w="1761" w:type="dxa"/>
          </w:tcPr>
          <w:p w14:paraId="72692A79">
            <w:pPr>
              <w:pStyle w:val="14"/>
              <w:spacing w:before="57"/>
              <w:ind w:left="147" w:right="139"/>
              <w:jc w:val="center"/>
              <w:rPr>
                <w:rFonts w:ascii="Times New Roman" w:eastAsia="Times New Roman"/>
                <w:sz w:val="21"/>
              </w:rPr>
            </w:pPr>
            <w:r>
              <w:rPr>
                <w:sz w:val="21"/>
              </w:rPr>
              <w:t xml:space="preserve">场地两侧 </w:t>
            </w:r>
            <w:r>
              <w:rPr>
                <w:rFonts w:ascii="Times New Roman" w:eastAsia="Times New Roman"/>
                <w:sz w:val="21"/>
              </w:rPr>
              <w:t>10m</w:t>
            </w:r>
          </w:p>
        </w:tc>
      </w:tr>
      <w:tr w14:paraId="1C21C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76" w:type="dxa"/>
          </w:tcPr>
          <w:p w14:paraId="7EDC123F">
            <w:pPr>
              <w:pStyle w:val="14"/>
              <w:spacing w:before="73"/>
              <w:ind w:left="6"/>
              <w:jc w:val="center"/>
              <w:rPr>
                <w:rFonts w:ascii="Times New Roman"/>
                <w:sz w:val="21"/>
              </w:rPr>
            </w:pPr>
            <w:r>
              <w:rPr>
                <w:rFonts w:ascii="Times New Roman"/>
                <w:w w:val="99"/>
                <w:sz w:val="21"/>
              </w:rPr>
              <w:t>3</w:t>
            </w:r>
          </w:p>
        </w:tc>
        <w:tc>
          <w:tcPr>
            <w:tcW w:w="1557" w:type="dxa"/>
          </w:tcPr>
          <w:p w14:paraId="0CFF3F12">
            <w:pPr>
              <w:pStyle w:val="14"/>
              <w:spacing w:before="59"/>
              <w:ind w:left="336" w:right="331"/>
              <w:jc w:val="center"/>
              <w:rPr>
                <w:sz w:val="21"/>
              </w:rPr>
            </w:pPr>
            <w:r>
              <w:rPr>
                <w:sz w:val="21"/>
              </w:rPr>
              <w:t>机械作业</w:t>
            </w:r>
          </w:p>
        </w:tc>
        <w:tc>
          <w:tcPr>
            <w:tcW w:w="4423" w:type="dxa"/>
          </w:tcPr>
          <w:p w14:paraId="632C7789">
            <w:pPr>
              <w:pStyle w:val="14"/>
              <w:spacing w:before="59"/>
              <w:ind w:left="195" w:right="187"/>
              <w:jc w:val="center"/>
              <w:rPr>
                <w:sz w:val="21"/>
              </w:rPr>
            </w:pPr>
            <w:r>
              <w:rPr>
                <w:sz w:val="21"/>
              </w:rPr>
              <w:t>若违反回填程序，将造成表层土壤严重损失</w:t>
            </w:r>
          </w:p>
        </w:tc>
        <w:tc>
          <w:tcPr>
            <w:tcW w:w="1761" w:type="dxa"/>
          </w:tcPr>
          <w:p w14:paraId="0E42718A">
            <w:pPr>
              <w:pStyle w:val="14"/>
              <w:spacing w:before="59"/>
              <w:ind w:left="146" w:right="139"/>
              <w:jc w:val="center"/>
              <w:rPr>
                <w:sz w:val="21"/>
              </w:rPr>
            </w:pPr>
            <w:r>
              <w:rPr>
                <w:sz w:val="21"/>
              </w:rPr>
              <w:t>局部</w:t>
            </w:r>
          </w:p>
        </w:tc>
      </w:tr>
      <w:tr w14:paraId="3B200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76" w:type="dxa"/>
          </w:tcPr>
          <w:p w14:paraId="420346ED">
            <w:pPr>
              <w:pStyle w:val="14"/>
              <w:spacing w:before="72"/>
              <w:ind w:left="6"/>
              <w:jc w:val="center"/>
              <w:rPr>
                <w:rFonts w:ascii="Times New Roman"/>
                <w:sz w:val="21"/>
              </w:rPr>
            </w:pPr>
            <w:r>
              <w:rPr>
                <w:rFonts w:ascii="Times New Roman"/>
                <w:w w:val="99"/>
                <w:sz w:val="21"/>
              </w:rPr>
              <w:t>4</w:t>
            </w:r>
          </w:p>
        </w:tc>
        <w:tc>
          <w:tcPr>
            <w:tcW w:w="1557" w:type="dxa"/>
          </w:tcPr>
          <w:p w14:paraId="0BFB46B9">
            <w:pPr>
              <w:pStyle w:val="14"/>
              <w:spacing w:before="58"/>
              <w:ind w:left="336" w:right="331"/>
              <w:jc w:val="center"/>
              <w:rPr>
                <w:sz w:val="21"/>
              </w:rPr>
            </w:pPr>
            <w:r>
              <w:rPr>
                <w:sz w:val="21"/>
              </w:rPr>
              <w:t>临时工棚</w:t>
            </w:r>
          </w:p>
        </w:tc>
        <w:tc>
          <w:tcPr>
            <w:tcW w:w="4423" w:type="dxa"/>
          </w:tcPr>
          <w:p w14:paraId="4B40F904">
            <w:pPr>
              <w:pStyle w:val="14"/>
              <w:spacing w:before="58"/>
              <w:ind w:left="193" w:right="187"/>
              <w:jc w:val="center"/>
              <w:rPr>
                <w:sz w:val="21"/>
              </w:rPr>
            </w:pPr>
            <w:r>
              <w:rPr>
                <w:sz w:val="21"/>
              </w:rPr>
              <w:t>短期局部临时占地，破坏植被</w:t>
            </w:r>
          </w:p>
        </w:tc>
        <w:tc>
          <w:tcPr>
            <w:tcW w:w="1761" w:type="dxa"/>
          </w:tcPr>
          <w:p w14:paraId="6A04998F">
            <w:pPr>
              <w:pStyle w:val="14"/>
              <w:spacing w:before="58"/>
              <w:ind w:left="146" w:right="139"/>
              <w:jc w:val="center"/>
              <w:rPr>
                <w:sz w:val="21"/>
              </w:rPr>
            </w:pPr>
            <w:r>
              <w:rPr>
                <w:sz w:val="21"/>
              </w:rPr>
              <w:t>局部</w:t>
            </w:r>
          </w:p>
        </w:tc>
      </w:tr>
    </w:tbl>
    <w:p w14:paraId="7ADD0A31">
      <w:pPr>
        <w:pStyle w:val="7"/>
        <w:spacing w:before="3"/>
        <w:ind w:left="940"/>
      </w:pPr>
      <w:r>
        <w:t>（</w:t>
      </w:r>
      <w:r>
        <w:rPr>
          <w:rFonts w:ascii="Times New Roman" w:eastAsia="Times New Roman"/>
        </w:rPr>
        <w:t>2</w:t>
      </w:r>
      <w:r>
        <w:t>）施工期对动物的影响</w:t>
      </w:r>
    </w:p>
    <w:p w14:paraId="0F6105E7">
      <w:pPr>
        <w:pStyle w:val="7"/>
        <w:spacing w:before="158" w:line="364" w:lineRule="auto"/>
        <w:ind w:left="460" w:right="477" w:firstLine="480"/>
        <w:jc w:val="both"/>
      </w:pPr>
      <w:r>
        <w:t>施工期对动物的直接影响是施工人员集中活动和工程施工过程对动物惊扰。间接影响是施工将严重破坏附近的植被和土壤，造成部分动物栖息地的丧失。但施工区没有发现重要的兽类及爬行动物的活动痕迹，主要动物是小型兽类、小型常见鸟类和蛙类、常见的蜥蜴类，且数量不多，具有较强的迁移能力，因此，施工期不会影响这些动物的生存。</w:t>
      </w:r>
    </w:p>
    <w:p w14:paraId="616EFF82">
      <w:pPr>
        <w:pStyle w:val="7"/>
        <w:spacing w:line="306" w:lineRule="exact"/>
        <w:ind w:left="940"/>
      </w:pPr>
      <w:r>
        <w:t>（</w:t>
      </w:r>
      <w:r>
        <w:rPr>
          <w:rFonts w:ascii="Times New Roman" w:eastAsia="Times New Roman"/>
        </w:rPr>
        <w:t>3</w:t>
      </w:r>
      <w:r>
        <w:t>）施工期对土壤和景观的影响</w:t>
      </w:r>
    </w:p>
    <w:p w14:paraId="0830A6A5">
      <w:pPr>
        <w:pStyle w:val="7"/>
        <w:spacing w:before="158" w:line="364" w:lineRule="auto"/>
        <w:ind w:left="460" w:right="477" w:firstLine="480"/>
        <w:jc w:val="both"/>
      </w:pPr>
      <w:r>
        <w:t>在施工作业区周围的土壤将被严重压实，部分施工区域的表土被移除，改变了区域现有景观。施工期间对厂区景观造成不利影响，但随着施工期的结束后绿化措施的落实，景观将会得到逐步恢复和改善。</w:t>
      </w:r>
    </w:p>
    <w:p w14:paraId="2C8255B2">
      <w:pPr>
        <w:pStyle w:val="7"/>
        <w:spacing w:line="307" w:lineRule="exact"/>
        <w:ind w:left="940"/>
      </w:pPr>
      <w:r>
        <w:t>（</w:t>
      </w:r>
      <w:r>
        <w:rPr>
          <w:rFonts w:ascii="Times New Roman" w:eastAsia="Times New Roman"/>
        </w:rPr>
        <w:t>4</w:t>
      </w:r>
      <w:r>
        <w:t>）施工期水土流失影响分析</w:t>
      </w:r>
    </w:p>
    <w:p w14:paraId="472059B7">
      <w:pPr>
        <w:pStyle w:val="7"/>
        <w:spacing w:before="158" w:line="364" w:lineRule="auto"/>
        <w:ind w:left="460" w:right="477" w:firstLine="480"/>
        <w:jc w:val="both"/>
      </w:pPr>
      <w:r>
        <w:t>本项目施工期间，将破坏施工区内自然状态下的植被和土体的稳定与平衡，造成土体抗蚀指数降低，土体侵蚀加剧。地表土体破坏后，松散堆积物径流系数减小，相应的入渗量必然增大，这样土体容易达到饱和，土体的抗蚀性显著降低。</w:t>
      </w:r>
    </w:p>
    <w:p w14:paraId="0477DBF5">
      <w:pPr>
        <w:pStyle w:val="7"/>
        <w:ind w:left="940"/>
      </w:pPr>
      <w:r>
        <w:t>为减少水土流失对环境的影响，建设单位应采取以下措施：</w:t>
      </w:r>
    </w:p>
    <w:p w14:paraId="390309C6">
      <w:pPr>
        <w:pStyle w:val="7"/>
        <w:spacing w:before="158" w:line="364" w:lineRule="auto"/>
        <w:ind w:left="460" w:right="477" w:firstLine="480"/>
        <w:jc w:val="both"/>
      </w:pPr>
      <w:r>
        <w:rPr>
          <w:spacing w:val="0"/>
        </w:rPr>
        <w:t>①工程施工期，分片、分批进行挖方与填方，有秩序按规划进行施工。项</w:t>
      </w:r>
      <w:r>
        <w:rPr>
          <w:spacing w:val="-3"/>
        </w:rPr>
        <w:t xml:space="preserve">目所在地降雨量主要集中在 </w:t>
      </w:r>
      <w:r>
        <w:rPr>
          <w:rFonts w:ascii="Times New Roman" w:hAnsi="Times New Roman" w:eastAsia="Times New Roman"/>
        </w:rPr>
        <w:t>4</w:t>
      </w:r>
      <w:r>
        <w:t>～</w:t>
      </w:r>
      <w:r>
        <w:rPr>
          <w:rFonts w:ascii="Times New Roman" w:hAnsi="Times New Roman" w:eastAsia="Times New Roman"/>
        </w:rPr>
        <w:t xml:space="preserve">9 </w:t>
      </w:r>
      <w:r>
        <w:t>月，且常有暴雨发生，暴雨是造成水土流失的主要原因，施工期选择应尽可能避开雨季，以减少土壤流失量；</w:t>
      </w:r>
    </w:p>
    <w:p w14:paraId="11680B28">
      <w:pPr>
        <w:pStyle w:val="7"/>
        <w:spacing w:line="305" w:lineRule="exact"/>
        <w:ind w:left="940"/>
      </w:pPr>
      <w:r>
        <w:t>②对开挖后的裸露坡地，需盖上覆盖物，避免降雨时的水流直接冲刷；</w:t>
      </w:r>
    </w:p>
    <w:p w14:paraId="14C03166">
      <w:pPr>
        <w:pStyle w:val="7"/>
        <w:spacing w:before="161"/>
        <w:ind w:left="940"/>
      </w:pPr>
      <w:r>
        <w:t>③减缓推松的土壤边坡坡度，及早将松土压实；</w:t>
      </w:r>
    </w:p>
    <w:p w14:paraId="02BE5221">
      <w:pPr>
        <w:pStyle w:val="7"/>
        <w:spacing w:before="160" w:line="362" w:lineRule="auto"/>
        <w:ind w:left="460" w:right="477" w:firstLine="480"/>
        <w:jc w:val="both"/>
      </w:pPr>
      <w:r>
        <w:t>④在低洼处修建截水沟和沉砂池，使降雨径流中的砂土经沉淀后再向外排放，并及时清理沉淀池；</w:t>
      </w:r>
    </w:p>
    <w:p w14:paraId="0D908EB2">
      <w:pPr>
        <w:pStyle w:val="7"/>
        <w:spacing w:before="5" w:line="362" w:lineRule="auto"/>
        <w:ind w:left="460" w:right="477" w:firstLine="480"/>
        <w:jc w:val="both"/>
      </w:pPr>
      <w:r>
        <w:t>⑤为减少雨季水土流失和对附近水体的影响，在挖、填方时，采取其它有效措施，防止塌方和水土流失：在土方工程完成后，应加强绿化工作，尽快规</w:t>
      </w:r>
    </w:p>
    <w:p w14:paraId="0BC814C0">
      <w:pPr>
        <w:spacing w:after="0" w:line="362" w:lineRule="auto"/>
        <w:jc w:val="both"/>
        <w:sectPr>
          <w:pgSz w:w="11910" w:h="16840"/>
          <w:pgMar w:top="1360" w:right="1320" w:bottom="1400" w:left="1340" w:header="878" w:footer="1204" w:gutter="0"/>
          <w:cols w:space="720" w:num="1"/>
        </w:sectPr>
      </w:pPr>
    </w:p>
    <w:p w14:paraId="31C40DC1">
      <w:pPr>
        <w:pStyle w:val="7"/>
        <w:spacing w:before="68"/>
        <w:ind w:left="460"/>
      </w:pPr>
      <w:r>
        <w:t>划绿地和各种裸露地面绿化工作，恢复绿化，使生态景观得到好转。</w:t>
      </w:r>
    </w:p>
    <w:p w14:paraId="1C26AB95">
      <w:pPr>
        <w:pStyle w:val="7"/>
        <w:spacing w:before="160" w:line="364" w:lineRule="auto"/>
        <w:ind w:left="460" w:right="477" w:firstLine="480"/>
        <w:jc w:val="both"/>
      </w:pPr>
      <w:r>
        <w:t>建设单位应对施工过程及施工完毕影响区域的水土保持有足够的重视，落实建设资金，做到按计划有步骤地进行水土流失的防治，确保开发区域良好的自然生态环境不受水土流失的严重影响。</w:t>
      </w:r>
    </w:p>
    <w:p w14:paraId="144ED278">
      <w:pPr>
        <w:pStyle w:val="7"/>
        <w:spacing w:line="364" w:lineRule="auto"/>
        <w:ind w:left="460" w:right="477" w:firstLine="480"/>
        <w:jc w:val="both"/>
      </w:pPr>
      <w:r>
        <w:t>总之，在本项目建设期间，对周围环境会产生一定的影响，应尽可能通过加强管理、文明施工的手段来减少项目施工建设对周围环境的影响，从其它工地的经验来看，只要做好上述建议措施，是可以把建设期间对周围环境的影响减少到较低的限度内，做到发展与保护环境的协调。</w:t>
      </w:r>
    </w:p>
    <w:p w14:paraId="16010C81">
      <w:pPr>
        <w:pStyle w:val="13"/>
        <w:numPr>
          <w:ilvl w:val="1"/>
          <w:numId w:val="19"/>
        </w:numPr>
        <w:tabs>
          <w:tab w:val="left" w:pos="900"/>
        </w:tabs>
        <w:spacing w:before="0" w:after="0" w:line="240" w:lineRule="auto"/>
        <w:ind w:left="899" w:right="0" w:hanging="439"/>
        <w:jc w:val="left"/>
        <w:rPr>
          <w:rFonts w:ascii="Times New Roman" w:eastAsia="Times New Roman"/>
          <w:b/>
          <w:sz w:val="30"/>
        </w:rPr>
      </w:pPr>
      <w:bookmarkStart w:id="165" w:name="5.2营运期环境影响预测与评价"/>
      <w:bookmarkEnd w:id="165"/>
      <w:bookmarkStart w:id="166" w:name="_bookmark27"/>
      <w:bookmarkEnd w:id="166"/>
      <w:bookmarkStart w:id="167" w:name="_bookmark27"/>
      <w:bookmarkEnd w:id="167"/>
      <w:r>
        <w:rPr>
          <w:b/>
          <w:sz w:val="30"/>
        </w:rPr>
        <w:t>营运期环境影响预测与评价</w:t>
      </w:r>
    </w:p>
    <w:p w14:paraId="22494906">
      <w:pPr>
        <w:pStyle w:val="13"/>
        <w:numPr>
          <w:ilvl w:val="2"/>
          <w:numId w:val="19"/>
        </w:numPr>
        <w:tabs>
          <w:tab w:val="left" w:pos="1080"/>
        </w:tabs>
        <w:spacing w:before="197" w:after="0" w:line="240" w:lineRule="auto"/>
        <w:ind w:left="1079" w:right="0" w:hanging="619"/>
        <w:jc w:val="left"/>
        <w:rPr>
          <w:rFonts w:ascii="Times New Roman" w:eastAsia="Times New Roman"/>
          <w:b/>
          <w:sz w:val="28"/>
        </w:rPr>
      </w:pPr>
      <w:bookmarkStart w:id="168" w:name="5.2.1环境空气影响分析"/>
      <w:bookmarkEnd w:id="168"/>
      <w:bookmarkStart w:id="169" w:name="5.2.1环境空气影响分析"/>
      <w:bookmarkEnd w:id="169"/>
      <w:r>
        <w:rPr>
          <w:b/>
          <w:sz w:val="28"/>
        </w:rPr>
        <w:t>环境空气影响分析</w:t>
      </w:r>
    </w:p>
    <w:p w14:paraId="30E7A9C9">
      <w:pPr>
        <w:pStyle w:val="7"/>
        <w:spacing w:before="185" w:line="364" w:lineRule="auto"/>
        <w:ind w:left="460" w:right="477" w:firstLine="480"/>
        <w:jc w:val="both"/>
      </w:pPr>
      <w:r>
        <w:t>本项目大气环境影响评价工作等级为二级，根据《环境影响评价技术导则</w:t>
      </w:r>
      <w:r>
        <w:rPr>
          <w:rFonts w:ascii="Times New Roman" w:hAnsi="Times New Roman" w:eastAsia="Times New Roman"/>
        </w:rPr>
        <w:t xml:space="preserve">- </w:t>
      </w:r>
      <w:r>
        <w:t>大气环境》（</w:t>
      </w:r>
      <w:r>
        <w:rPr>
          <w:rFonts w:ascii="Times New Roman" w:hAnsi="Times New Roman" w:eastAsia="Times New Roman"/>
        </w:rPr>
        <w:t>HJ2.2-2018</w:t>
      </w:r>
      <w:r>
        <w:t>）</w:t>
      </w:r>
      <w:r>
        <w:rPr>
          <w:spacing w:val="-30"/>
        </w:rPr>
        <w:t xml:space="preserve">第 </w:t>
      </w:r>
      <w:r>
        <w:rPr>
          <w:rFonts w:ascii="Times New Roman" w:hAnsi="Times New Roman" w:eastAsia="Times New Roman"/>
        </w:rPr>
        <w:t>8.1.2</w:t>
      </w:r>
      <w:r>
        <w:rPr>
          <w:rFonts w:ascii="Times New Roman" w:hAnsi="Times New Roman" w:eastAsia="Times New Roman"/>
          <w:spacing w:val="-11"/>
        </w:rPr>
        <w:t xml:space="preserve"> </w:t>
      </w:r>
      <w:r>
        <w:t>条</w:t>
      </w:r>
      <w:r>
        <w:rPr>
          <w:rFonts w:ascii="Times New Roman" w:hAnsi="Times New Roman" w:eastAsia="Times New Roman"/>
        </w:rPr>
        <w:t>“</w:t>
      </w:r>
      <w:r>
        <w:t>二级评价项目不进行进一步预测与评价， 只对污染物排放量进行核算</w:t>
      </w:r>
      <w:r>
        <w:rPr>
          <w:rFonts w:ascii="Times New Roman" w:hAnsi="Times New Roman" w:eastAsia="Times New Roman"/>
        </w:rPr>
        <w:t>”</w:t>
      </w:r>
      <w:r>
        <w:t>，因此不进行大气环境影响进一步预测与评价，仅依据估算模式预测结果进行分析。</w:t>
      </w:r>
    </w:p>
    <w:p w14:paraId="1E921584">
      <w:pPr>
        <w:pStyle w:val="6"/>
        <w:spacing w:line="305" w:lineRule="exact"/>
        <w:ind w:left="460"/>
      </w:pPr>
      <w:bookmarkStart w:id="170" w:name="5.2.1.1正常工况环境空气影响评价"/>
      <w:bookmarkEnd w:id="170"/>
      <w:r>
        <w:rPr>
          <w:rFonts w:ascii="Times New Roman" w:eastAsia="Times New Roman"/>
        </w:rPr>
        <w:t xml:space="preserve">5.2.1.1 </w:t>
      </w:r>
      <w:r>
        <w:t>正常工况环境空气影响评价</w:t>
      </w:r>
    </w:p>
    <w:p w14:paraId="6C9026DB">
      <w:pPr>
        <w:pStyle w:val="7"/>
        <w:spacing w:before="158"/>
        <w:ind w:left="940"/>
      </w:pPr>
      <w:r>
        <w:t>根据工程分析，本项目产生的废气主要为暂养间及待宰圈、加工车间恶</w:t>
      </w:r>
    </w:p>
    <w:p w14:paraId="14FAF257">
      <w:pPr>
        <w:pStyle w:val="7"/>
        <w:spacing w:before="161" w:line="364" w:lineRule="auto"/>
        <w:ind w:left="460" w:right="489"/>
      </w:pPr>
      <w:r>
        <w:t>臭、污水处理站恶臭气体。恶臭污染物通过负压收集后由喷淋吸收塔</w:t>
      </w:r>
      <w:r>
        <w:rPr>
          <w:rFonts w:ascii="Times New Roman" w:eastAsia="Times New Roman"/>
        </w:rPr>
        <w:t>+</w:t>
      </w:r>
      <w:r>
        <w:t xml:space="preserve">生物除臭处理，再经 </w:t>
      </w:r>
      <w:r>
        <w:rPr>
          <w:rFonts w:ascii="Times New Roman" w:eastAsia="Times New Roman"/>
        </w:rPr>
        <w:t xml:space="preserve">15m </w:t>
      </w:r>
      <w:r>
        <w:t xml:space="preserve">高排气筒排放；另设有锅炉房内置天然气锅炉产生的燃烧废气，主要污染物为二氧化硫、氮氧化物，通过 </w:t>
      </w:r>
      <w:r>
        <w:rPr>
          <w:rFonts w:ascii="Times New Roman" w:eastAsia="Times New Roman"/>
        </w:rPr>
        <w:t xml:space="preserve">15m </w:t>
      </w:r>
      <w:r>
        <w:t>排气筒高空排放。</w:t>
      </w:r>
    </w:p>
    <w:p w14:paraId="45BE8E72">
      <w:pPr>
        <w:pStyle w:val="7"/>
        <w:spacing w:line="305" w:lineRule="exact"/>
        <w:ind w:left="940"/>
      </w:pPr>
      <w:r>
        <w:t>各污染源具体排放参数如下表：</w:t>
      </w:r>
    </w:p>
    <w:p w14:paraId="4CDE9D87">
      <w:pPr>
        <w:spacing w:before="159" w:after="3"/>
        <w:ind w:left="264" w:right="286" w:firstLine="0"/>
        <w:jc w:val="center"/>
        <w:rPr>
          <w:b/>
          <w:sz w:val="21"/>
        </w:rPr>
      </w:pPr>
      <w:r>
        <w:rPr>
          <w:b/>
          <w:sz w:val="21"/>
        </w:rPr>
        <w:t xml:space="preserve">表 </w:t>
      </w:r>
      <w:r>
        <w:rPr>
          <w:rFonts w:ascii="Times New Roman" w:eastAsia="Times New Roman"/>
          <w:b/>
          <w:sz w:val="21"/>
        </w:rPr>
        <w:t xml:space="preserve">5.2-1 </w:t>
      </w:r>
      <w:r>
        <w:rPr>
          <w:b/>
          <w:sz w:val="21"/>
        </w:rPr>
        <w:t>废气排放源达标排放情况</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869"/>
        <w:gridCol w:w="644"/>
        <w:gridCol w:w="1156"/>
        <w:gridCol w:w="994"/>
        <w:gridCol w:w="910"/>
        <w:gridCol w:w="856"/>
        <w:gridCol w:w="670"/>
        <w:gridCol w:w="551"/>
        <w:gridCol w:w="908"/>
      </w:tblGrid>
      <w:tr w14:paraId="5F50D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4" w:type="dxa"/>
            <w:vMerge w:val="restart"/>
          </w:tcPr>
          <w:p w14:paraId="5D7F25D2">
            <w:pPr>
              <w:pStyle w:val="14"/>
              <w:rPr>
                <w:b/>
                <w:sz w:val="20"/>
              </w:rPr>
            </w:pPr>
          </w:p>
          <w:p w14:paraId="1F187191">
            <w:pPr>
              <w:pStyle w:val="14"/>
              <w:rPr>
                <w:b/>
                <w:sz w:val="20"/>
              </w:rPr>
            </w:pPr>
          </w:p>
          <w:p w14:paraId="06E1FE2E">
            <w:pPr>
              <w:pStyle w:val="14"/>
              <w:spacing w:before="8"/>
              <w:rPr>
                <w:b/>
                <w:sz w:val="14"/>
              </w:rPr>
            </w:pPr>
          </w:p>
          <w:p w14:paraId="6196A9B1">
            <w:pPr>
              <w:pStyle w:val="14"/>
              <w:ind w:left="165"/>
              <w:rPr>
                <w:b/>
                <w:sz w:val="21"/>
              </w:rPr>
            </w:pPr>
            <w:r>
              <w:rPr>
                <w:b/>
                <w:sz w:val="21"/>
              </w:rPr>
              <w:t>排放源</w:t>
            </w:r>
          </w:p>
        </w:tc>
        <w:tc>
          <w:tcPr>
            <w:tcW w:w="869" w:type="dxa"/>
            <w:vMerge w:val="restart"/>
          </w:tcPr>
          <w:p w14:paraId="72C520C7">
            <w:pPr>
              <w:pStyle w:val="14"/>
              <w:rPr>
                <w:b/>
                <w:sz w:val="20"/>
              </w:rPr>
            </w:pPr>
          </w:p>
          <w:p w14:paraId="1CCCCD78">
            <w:pPr>
              <w:pStyle w:val="14"/>
              <w:spacing w:before="3"/>
              <w:rPr>
                <w:b/>
                <w:sz w:val="25"/>
              </w:rPr>
            </w:pPr>
          </w:p>
          <w:p w14:paraId="405E59DA">
            <w:pPr>
              <w:pStyle w:val="14"/>
              <w:spacing w:before="1"/>
              <w:ind w:left="118"/>
              <w:rPr>
                <w:b/>
                <w:sz w:val="21"/>
              </w:rPr>
            </w:pPr>
            <w:r>
              <w:rPr>
                <w:b/>
                <w:w w:val="95"/>
                <w:sz w:val="21"/>
              </w:rPr>
              <w:t>排气量</w:t>
            </w:r>
          </w:p>
          <w:p w14:paraId="269768A1">
            <w:pPr>
              <w:pStyle w:val="14"/>
              <w:spacing w:before="1"/>
              <w:ind w:left="149"/>
              <w:rPr>
                <w:rFonts w:ascii="Times New Roman"/>
                <w:b/>
                <w:sz w:val="21"/>
              </w:rPr>
            </w:pPr>
            <w:r>
              <w:rPr>
                <w:rFonts w:ascii="Times New Roman"/>
                <w:b/>
                <w:sz w:val="21"/>
              </w:rPr>
              <w:t>Nm</w:t>
            </w:r>
            <w:r>
              <w:rPr>
                <w:rFonts w:ascii="Times New Roman"/>
                <w:b/>
                <w:position w:val="7"/>
                <w:sz w:val="13"/>
              </w:rPr>
              <w:t>3</w:t>
            </w:r>
            <w:r>
              <w:rPr>
                <w:rFonts w:ascii="Times New Roman"/>
                <w:b/>
                <w:sz w:val="21"/>
              </w:rPr>
              <w:t>/h</w:t>
            </w:r>
          </w:p>
        </w:tc>
        <w:tc>
          <w:tcPr>
            <w:tcW w:w="2794" w:type="dxa"/>
            <w:gridSpan w:val="3"/>
          </w:tcPr>
          <w:p w14:paraId="76714DBA">
            <w:pPr>
              <w:pStyle w:val="14"/>
              <w:spacing w:before="21"/>
              <w:ind w:left="1165" w:right="1157"/>
              <w:jc w:val="center"/>
              <w:rPr>
                <w:b/>
                <w:sz w:val="21"/>
              </w:rPr>
            </w:pPr>
            <w:r>
              <w:rPr>
                <w:b/>
                <w:sz w:val="21"/>
              </w:rPr>
              <w:t>源强</w:t>
            </w:r>
          </w:p>
        </w:tc>
        <w:tc>
          <w:tcPr>
            <w:tcW w:w="910" w:type="dxa"/>
            <w:vMerge w:val="restart"/>
          </w:tcPr>
          <w:p w14:paraId="5E0B0D63">
            <w:pPr>
              <w:pStyle w:val="14"/>
              <w:rPr>
                <w:b/>
                <w:sz w:val="22"/>
              </w:rPr>
            </w:pPr>
          </w:p>
          <w:p w14:paraId="764524BD">
            <w:pPr>
              <w:pStyle w:val="14"/>
              <w:spacing w:before="147" w:line="242" w:lineRule="auto"/>
              <w:ind w:left="129" w:right="119" w:firstLine="9"/>
              <w:jc w:val="both"/>
              <w:rPr>
                <w:rFonts w:ascii="Times New Roman" w:eastAsia="Times New Roman"/>
                <w:b/>
                <w:sz w:val="21"/>
              </w:rPr>
            </w:pPr>
            <w:r>
              <w:rPr>
                <w:b/>
                <w:sz w:val="21"/>
              </w:rPr>
              <w:t>排气筒高度及</w:t>
            </w:r>
            <w:r>
              <w:rPr>
                <w:b/>
                <w:spacing w:val="-18"/>
                <w:sz w:val="21"/>
              </w:rPr>
              <w:t xml:space="preserve">直径 </w:t>
            </w:r>
            <w:r>
              <w:rPr>
                <w:rFonts w:ascii="Times New Roman" w:eastAsia="Times New Roman"/>
                <w:b/>
                <w:sz w:val="21"/>
              </w:rPr>
              <w:t>m</w:t>
            </w:r>
          </w:p>
        </w:tc>
        <w:tc>
          <w:tcPr>
            <w:tcW w:w="1526" w:type="dxa"/>
            <w:gridSpan w:val="2"/>
          </w:tcPr>
          <w:p w14:paraId="564693DB">
            <w:pPr>
              <w:pStyle w:val="14"/>
              <w:spacing w:before="21"/>
              <w:ind w:left="129"/>
              <w:rPr>
                <w:b/>
                <w:sz w:val="21"/>
              </w:rPr>
            </w:pPr>
            <w:r>
              <w:rPr>
                <w:b/>
                <w:sz w:val="21"/>
              </w:rPr>
              <w:t>排放标准限值</w:t>
            </w:r>
          </w:p>
        </w:tc>
        <w:tc>
          <w:tcPr>
            <w:tcW w:w="551" w:type="dxa"/>
            <w:vMerge w:val="restart"/>
          </w:tcPr>
          <w:p w14:paraId="0E9E55FA">
            <w:pPr>
              <w:pStyle w:val="14"/>
              <w:spacing w:before="21" w:line="242" w:lineRule="auto"/>
              <w:ind w:left="170" w:right="159"/>
              <w:jc w:val="both"/>
              <w:rPr>
                <w:b/>
                <w:sz w:val="21"/>
              </w:rPr>
            </w:pPr>
            <w:r>
              <w:rPr>
                <w:b/>
                <w:sz w:val="21"/>
              </w:rPr>
              <w:t>是否达标排放</w:t>
            </w:r>
          </w:p>
        </w:tc>
        <w:tc>
          <w:tcPr>
            <w:tcW w:w="908" w:type="dxa"/>
            <w:vMerge w:val="restart"/>
          </w:tcPr>
          <w:p w14:paraId="40B1542F">
            <w:pPr>
              <w:pStyle w:val="14"/>
              <w:rPr>
                <w:b/>
                <w:sz w:val="20"/>
              </w:rPr>
            </w:pPr>
          </w:p>
          <w:p w14:paraId="3825F80D">
            <w:pPr>
              <w:pStyle w:val="14"/>
              <w:spacing w:before="2"/>
              <w:rPr>
                <w:b/>
                <w:sz w:val="24"/>
              </w:rPr>
            </w:pPr>
          </w:p>
          <w:p w14:paraId="7A79AA06">
            <w:pPr>
              <w:pStyle w:val="14"/>
              <w:spacing w:line="242" w:lineRule="auto"/>
              <w:ind w:left="346" w:right="126" w:hanging="209"/>
              <w:rPr>
                <w:b/>
                <w:sz w:val="21"/>
              </w:rPr>
            </w:pPr>
            <w:r>
              <w:rPr>
                <w:b/>
                <w:sz w:val="21"/>
              </w:rPr>
              <w:t>执行标准</w:t>
            </w:r>
          </w:p>
        </w:tc>
      </w:tr>
      <w:tr w14:paraId="5956F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964" w:type="dxa"/>
            <w:vMerge w:val="continue"/>
            <w:tcBorders>
              <w:top w:val="nil"/>
            </w:tcBorders>
          </w:tcPr>
          <w:p w14:paraId="096ED710">
            <w:pPr>
              <w:rPr>
                <w:sz w:val="2"/>
                <w:szCs w:val="2"/>
              </w:rPr>
            </w:pPr>
          </w:p>
        </w:tc>
        <w:tc>
          <w:tcPr>
            <w:tcW w:w="869" w:type="dxa"/>
            <w:vMerge w:val="continue"/>
            <w:tcBorders>
              <w:top w:val="nil"/>
            </w:tcBorders>
          </w:tcPr>
          <w:p w14:paraId="6DCF41A2">
            <w:pPr>
              <w:rPr>
                <w:sz w:val="2"/>
                <w:szCs w:val="2"/>
              </w:rPr>
            </w:pPr>
          </w:p>
        </w:tc>
        <w:tc>
          <w:tcPr>
            <w:tcW w:w="644" w:type="dxa"/>
          </w:tcPr>
          <w:p w14:paraId="3A533D34">
            <w:pPr>
              <w:pStyle w:val="14"/>
              <w:rPr>
                <w:b/>
                <w:sz w:val="20"/>
              </w:rPr>
            </w:pPr>
          </w:p>
          <w:p w14:paraId="6E4559A4">
            <w:pPr>
              <w:pStyle w:val="14"/>
              <w:spacing w:before="147" w:line="242" w:lineRule="auto"/>
              <w:ind w:left="216" w:right="101" w:hanging="106"/>
              <w:rPr>
                <w:b/>
                <w:sz w:val="21"/>
              </w:rPr>
            </w:pPr>
            <w:r>
              <w:rPr>
                <w:b/>
                <w:sz w:val="21"/>
              </w:rPr>
              <w:t>污染物</w:t>
            </w:r>
          </w:p>
        </w:tc>
        <w:tc>
          <w:tcPr>
            <w:tcW w:w="1156" w:type="dxa"/>
          </w:tcPr>
          <w:p w14:paraId="559027C1">
            <w:pPr>
              <w:pStyle w:val="14"/>
              <w:rPr>
                <w:b/>
                <w:sz w:val="20"/>
              </w:rPr>
            </w:pPr>
          </w:p>
          <w:p w14:paraId="2B044D34">
            <w:pPr>
              <w:pStyle w:val="14"/>
              <w:spacing w:before="162"/>
              <w:ind w:left="107" w:right="102"/>
              <w:jc w:val="center"/>
              <w:rPr>
                <w:b/>
                <w:sz w:val="21"/>
              </w:rPr>
            </w:pPr>
            <w:r>
              <w:rPr>
                <w:b/>
                <w:sz w:val="21"/>
              </w:rPr>
              <w:t>排放速率</w:t>
            </w:r>
          </w:p>
          <w:p w14:paraId="3100A3C2">
            <w:pPr>
              <w:pStyle w:val="14"/>
              <w:spacing w:before="1"/>
              <w:ind w:left="108" w:right="102"/>
              <w:jc w:val="center"/>
              <w:rPr>
                <w:rFonts w:ascii="Times New Roman"/>
                <w:b/>
                <w:sz w:val="21"/>
              </w:rPr>
            </w:pPr>
            <w:r>
              <w:rPr>
                <w:rFonts w:ascii="Times New Roman"/>
                <w:b/>
                <w:sz w:val="21"/>
              </w:rPr>
              <w:t>kg/h</w:t>
            </w:r>
          </w:p>
        </w:tc>
        <w:tc>
          <w:tcPr>
            <w:tcW w:w="994" w:type="dxa"/>
          </w:tcPr>
          <w:p w14:paraId="02BEF40A">
            <w:pPr>
              <w:pStyle w:val="14"/>
              <w:spacing w:before="12"/>
              <w:rPr>
                <w:b/>
                <w:sz w:val="21"/>
              </w:rPr>
            </w:pPr>
          </w:p>
          <w:p w14:paraId="2FC7DAE4">
            <w:pPr>
              <w:pStyle w:val="14"/>
              <w:spacing w:line="242" w:lineRule="auto"/>
              <w:ind w:left="180" w:right="170"/>
              <w:jc w:val="center"/>
              <w:rPr>
                <w:rFonts w:ascii="Times New Roman" w:eastAsia="Times New Roman"/>
                <w:b/>
                <w:sz w:val="13"/>
              </w:rPr>
            </w:pPr>
            <w:r>
              <w:rPr>
                <w:b/>
                <w:w w:val="95"/>
                <w:sz w:val="21"/>
              </w:rPr>
              <w:t>排放浓</w:t>
            </w:r>
            <w:r>
              <w:rPr>
                <w:b/>
                <w:sz w:val="21"/>
              </w:rPr>
              <w:t xml:space="preserve">度 </w:t>
            </w:r>
            <w:r>
              <w:rPr>
                <w:rFonts w:ascii="Times New Roman" w:eastAsia="Times New Roman"/>
                <w:b/>
                <w:sz w:val="21"/>
              </w:rPr>
              <w:t>mg/m</w:t>
            </w:r>
            <w:r>
              <w:rPr>
                <w:rFonts w:ascii="Times New Roman" w:eastAsia="Times New Roman"/>
                <w:b/>
                <w:position w:val="7"/>
                <w:sz w:val="13"/>
              </w:rPr>
              <w:t>3</w:t>
            </w:r>
          </w:p>
        </w:tc>
        <w:tc>
          <w:tcPr>
            <w:tcW w:w="910" w:type="dxa"/>
            <w:vMerge w:val="continue"/>
            <w:tcBorders>
              <w:top w:val="nil"/>
            </w:tcBorders>
          </w:tcPr>
          <w:p w14:paraId="237FDC85">
            <w:pPr>
              <w:rPr>
                <w:sz w:val="2"/>
                <w:szCs w:val="2"/>
              </w:rPr>
            </w:pPr>
          </w:p>
        </w:tc>
        <w:tc>
          <w:tcPr>
            <w:tcW w:w="856" w:type="dxa"/>
          </w:tcPr>
          <w:p w14:paraId="6494756D">
            <w:pPr>
              <w:pStyle w:val="14"/>
              <w:rPr>
                <w:b/>
                <w:sz w:val="20"/>
              </w:rPr>
            </w:pPr>
          </w:p>
          <w:p w14:paraId="3CFE9276">
            <w:pPr>
              <w:pStyle w:val="14"/>
              <w:spacing w:before="162"/>
              <w:ind w:left="215"/>
              <w:rPr>
                <w:b/>
                <w:sz w:val="21"/>
              </w:rPr>
            </w:pPr>
            <w:r>
              <w:rPr>
                <w:b/>
                <w:sz w:val="21"/>
              </w:rPr>
              <w:t>浓度</w:t>
            </w:r>
          </w:p>
          <w:p w14:paraId="7C1B2582">
            <w:pPr>
              <w:pStyle w:val="14"/>
              <w:spacing w:before="1"/>
              <w:ind w:left="136"/>
              <w:rPr>
                <w:rFonts w:ascii="Times New Roman"/>
                <w:b/>
                <w:sz w:val="13"/>
              </w:rPr>
            </w:pPr>
            <w:r>
              <w:rPr>
                <w:rFonts w:ascii="Times New Roman"/>
                <w:b/>
                <w:sz w:val="21"/>
              </w:rPr>
              <w:t>mg/m</w:t>
            </w:r>
            <w:r>
              <w:rPr>
                <w:rFonts w:ascii="Times New Roman"/>
                <w:b/>
                <w:position w:val="7"/>
                <w:sz w:val="13"/>
              </w:rPr>
              <w:t>3</w:t>
            </w:r>
          </w:p>
        </w:tc>
        <w:tc>
          <w:tcPr>
            <w:tcW w:w="670" w:type="dxa"/>
          </w:tcPr>
          <w:p w14:paraId="679F544D">
            <w:pPr>
              <w:pStyle w:val="14"/>
              <w:rPr>
                <w:b/>
                <w:sz w:val="20"/>
              </w:rPr>
            </w:pPr>
          </w:p>
          <w:p w14:paraId="11EDE85C">
            <w:pPr>
              <w:pStyle w:val="14"/>
              <w:spacing w:before="162"/>
              <w:ind w:left="122"/>
              <w:rPr>
                <w:b/>
                <w:sz w:val="21"/>
              </w:rPr>
            </w:pPr>
            <w:r>
              <w:rPr>
                <w:b/>
                <w:w w:val="95"/>
                <w:sz w:val="21"/>
              </w:rPr>
              <w:t>速率</w:t>
            </w:r>
          </w:p>
          <w:p w14:paraId="434ADA5A">
            <w:pPr>
              <w:pStyle w:val="14"/>
              <w:spacing w:before="1"/>
              <w:ind w:left="134"/>
              <w:rPr>
                <w:rFonts w:ascii="Times New Roman"/>
                <w:b/>
                <w:sz w:val="21"/>
              </w:rPr>
            </w:pPr>
            <w:r>
              <w:rPr>
                <w:rFonts w:ascii="Times New Roman"/>
                <w:b/>
                <w:sz w:val="21"/>
              </w:rPr>
              <w:t>kg/h</w:t>
            </w:r>
          </w:p>
        </w:tc>
        <w:tc>
          <w:tcPr>
            <w:tcW w:w="551" w:type="dxa"/>
            <w:vMerge w:val="continue"/>
            <w:tcBorders>
              <w:top w:val="nil"/>
            </w:tcBorders>
          </w:tcPr>
          <w:p w14:paraId="30B096DE">
            <w:pPr>
              <w:rPr>
                <w:sz w:val="2"/>
                <w:szCs w:val="2"/>
              </w:rPr>
            </w:pPr>
          </w:p>
        </w:tc>
        <w:tc>
          <w:tcPr>
            <w:tcW w:w="908" w:type="dxa"/>
            <w:vMerge w:val="continue"/>
            <w:tcBorders>
              <w:top w:val="nil"/>
            </w:tcBorders>
          </w:tcPr>
          <w:p w14:paraId="5DFD1F8D">
            <w:pPr>
              <w:rPr>
                <w:sz w:val="2"/>
                <w:szCs w:val="2"/>
              </w:rPr>
            </w:pPr>
          </w:p>
        </w:tc>
      </w:tr>
      <w:tr w14:paraId="770DB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4" w:type="dxa"/>
            <w:vMerge w:val="restart"/>
          </w:tcPr>
          <w:p w14:paraId="5307165E">
            <w:pPr>
              <w:pStyle w:val="14"/>
              <w:spacing w:before="22" w:line="242" w:lineRule="auto"/>
              <w:ind w:left="270" w:right="155" w:hanging="104"/>
              <w:rPr>
                <w:sz w:val="21"/>
              </w:rPr>
            </w:pPr>
            <w:r>
              <w:rPr>
                <w:sz w:val="21"/>
              </w:rPr>
              <w:t>暂养排气筒</w:t>
            </w:r>
          </w:p>
          <w:p w14:paraId="347FA27D">
            <w:pPr>
              <w:pStyle w:val="14"/>
              <w:spacing w:line="240" w:lineRule="exact"/>
              <w:ind w:left="172"/>
              <w:rPr>
                <w:rFonts w:ascii="Times New Roman"/>
                <w:sz w:val="21"/>
              </w:rPr>
            </w:pPr>
            <w:r>
              <w:rPr>
                <w:rFonts w:ascii="Times New Roman"/>
                <w:sz w:val="21"/>
              </w:rPr>
              <w:t>DA001</w:t>
            </w:r>
          </w:p>
        </w:tc>
        <w:tc>
          <w:tcPr>
            <w:tcW w:w="869" w:type="dxa"/>
            <w:vMerge w:val="restart"/>
          </w:tcPr>
          <w:p w14:paraId="6D2AD215">
            <w:pPr>
              <w:pStyle w:val="14"/>
              <w:spacing w:before="10"/>
              <w:rPr>
                <w:b/>
                <w:sz w:val="22"/>
              </w:rPr>
            </w:pPr>
          </w:p>
          <w:p w14:paraId="70556A1A">
            <w:pPr>
              <w:pStyle w:val="14"/>
              <w:spacing w:before="1"/>
              <w:ind w:left="170"/>
              <w:rPr>
                <w:rFonts w:ascii="Times New Roman"/>
                <w:sz w:val="21"/>
              </w:rPr>
            </w:pPr>
            <w:r>
              <w:rPr>
                <w:rFonts w:ascii="Times New Roman"/>
                <w:sz w:val="21"/>
              </w:rPr>
              <w:t>12000</w:t>
            </w:r>
          </w:p>
        </w:tc>
        <w:tc>
          <w:tcPr>
            <w:tcW w:w="644" w:type="dxa"/>
          </w:tcPr>
          <w:p w14:paraId="5570C60E">
            <w:pPr>
              <w:pStyle w:val="14"/>
              <w:spacing w:before="32" w:line="260" w:lineRule="exact"/>
              <w:ind w:left="115" w:right="107"/>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156" w:type="dxa"/>
          </w:tcPr>
          <w:p w14:paraId="5983B490">
            <w:pPr>
              <w:pStyle w:val="14"/>
              <w:spacing w:before="36"/>
              <w:ind w:left="108" w:right="102"/>
              <w:jc w:val="center"/>
              <w:rPr>
                <w:rFonts w:ascii="Times New Roman"/>
                <w:sz w:val="21"/>
              </w:rPr>
            </w:pPr>
            <w:r>
              <w:rPr>
                <w:rFonts w:ascii="Times New Roman"/>
                <w:sz w:val="21"/>
              </w:rPr>
              <w:t>0.0123</w:t>
            </w:r>
          </w:p>
        </w:tc>
        <w:tc>
          <w:tcPr>
            <w:tcW w:w="994" w:type="dxa"/>
          </w:tcPr>
          <w:p w14:paraId="62C3EC49">
            <w:pPr>
              <w:pStyle w:val="14"/>
              <w:spacing w:before="36"/>
              <w:ind w:left="179" w:right="170"/>
              <w:jc w:val="center"/>
              <w:rPr>
                <w:rFonts w:ascii="Times New Roman"/>
                <w:sz w:val="21"/>
              </w:rPr>
            </w:pPr>
            <w:r>
              <w:rPr>
                <w:rFonts w:ascii="Times New Roman"/>
                <w:sz w:val="21"/>
              </w:rPr>
              <w:t>1.025</w:t>
            </w:r>
          </w:p>
        </w:tc>
        <w:tc>
          <w:tcPr>
            <w:tcW w:w="910" w:type="dxa"/>
            <w:vMerge w:val="restart"/>
          </w:tcPr>
          <w:p w14:paraId="1D65EAF7">
            <w:pPr>
              <w:pStyle w:val="14"/>
              <w:spacing w:before="10"/>
              <w:rPr>
                <w:b/>
                <w:sz w:val="22"/>
              </w:rPr>
            </w:pPr>
          </w:p>
          <w:p w14:paraId="1A1758A3">
            <w:pPr>
              <w:pStyle w:val="14"/>
              <w:spacing w:before="1"/>
              <w:ind w:left="189"/>
              <w:rPr>
                <w:rFonts w:ascii="Times New Roman"/>
                <w:sz w:val="21"/>
              </w:rPr>
            </w:pPr>
            <w:r>
              <w:rPr>
                <w:rFonts w:ascii="Times New Roman"/>
                <w:sz w:val="21"/>
              </w:rPr>
              <w:t>15/0.6</w:t>
            </w:r>
          </w:p>
        </w:tc>
        <w:tc>
          <w:tcPr>
            <w:tcW w:w="856" w:type="dxa"/>
          </w:tcPr>
          <w:p w14:paraId="70E439B4">
            <w:pPr>
              <w:pStyle w:val="14"/>
              <w:spacing w:before="36"/>
              <w:ind w:left="8"/>
              <w:jc w:val="center"/>
              <w:rPr>
                <w:rFonts w:ascii="Times New Roman"/>
                <w:sz w:val="21"/>
              </w:rPr>
            </w:pPr>
            <w:r>
              <w:rPr>
                <w:rFonts w:ascii="Times New Roman"/>
                <w:w w:val="99"/>
                <w:sz w:val="21"/>
              </w:rPr>
              <w:t>/</w:t>
            </w:r>
          </w:p>
        </w:tc>
        <w:tc>
          <w:tcPr>
            <w:tcW w:w="670" w:type="dxa"/>
          </w:tcPr>
          <w:p w14:paraId="53EDDD55">
            <w:pPr>
              <w:pStyle w:val="14"/>
              <w:spacing w:before="36"/>
              <w:ind w:left="88" w:right="82"/>
              <w:jc w:val="center"/>
              <w:rPr>
                <w:rFonts w:ascii="Times New Roman"/>
                <w:sz w:val="21"/>
              </w:rPr>
            </w:pPr>
            <w:r>
              <w:rPr>
                <w:rFonts w:ascii="Times New Roman"/>
                <w:sz w:val="21"/>
              </w:rPr>
              <w:t>4.9</w:t>
            </w:r>
          </w:p>
        </w:tc>
        <w:tc>
          <w:tcPr>
            <w:tcW w:w="551" w:type="dxa"/>
          </w:tcPr>
          <w:p w14:paraId="5CC51D13">
            <w:pPr>
              <w:pStyle w:val="14"/>
              <w:spacing w:before="22"/>
              <w:ind w:right="159"/>
              <w:jc w:val="right"/>
              <w:rPr>
                <w:sz w:val="21"/>
              </w:rPr>
            </w:pPr>
            <w:r>
              <w:rPr>
                <w:w w:val="99"/>
                <w:sz w:val="21"/>
              </w:rPr>
              <w:t>是</w:t>
            </w:r>
          </w:p>
        </w:tc>
        <w:tc>
          <w:tcPr>
            <w:tcW w:w="908" w:type="dxa"/>
            <w:vMerge w:val="restart"/>
          </w:tcPr>
          <w:p w14:paraId="4CE61BC6">
            <w:pPr>
              <w:pStyle w:val="14"/>
              <w:rPr>
                <w:b/>
                <w:sz w:val="20"/>
              </w:rPr>
            </w:pPr>
          </w:p>
          <w:p w14:paraId="44C27261">
            <w:pPr>
              <w:pStyle w:val="14"/>
              <w:spacing w:before="7"/>
              <w:rPr>
                <w:b/>
                <w:sz w:val="28"/>
              </w:rPr>
            </w:pPr>
          </w:p>
          <w:p w14:paraId="44EB5E34">
            <w:pPr>
              <w:pStyle w:val="14"/>
              <w:spacing w:line="242" w:lineRule="auto"/>
              <w:ind w:left="137" w:right="129"/>
              <w:jc w:val="both"/>
              <w:rPr>
                <w:sz w:val="21"/>
              </w:rPr>
            </w:pPr>
            <w:r>
              <w:rPr>
                <w:sz w:val="21"/>
              </w:rPr>
              <w:t>《恶臭污染物排放标准》</w:t>
            </w:r>
          </w:p>
        </w:tc>
      </w:tr>
      <w:tr w14:paraId="10D51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964" w:type="dxa"/>
            <w:vMerge w:val="continue"/>
            <w:tcBorders>
              <w:top w:val="nil"/>
            </w:tcBorders>
          </w:tcPr>
          <w:p w14:paraId="2F89EBA0">
            <w:pPr>
              <w:rPr>
                <w:sz w:val="2"/>
                <w:szCs w:val="2"/>
              </w:rPr>
            </w:pPr>
          </w:p>
        </w:tc>
        <w:tc>
          <w:tcPr>
            <w:tcW w:w="869" w:type="dxa"/>
            <w:vMerge w:val="continue"/>
            <w:tcBorders>
              <w:top w:val="nil"/>
            </w:tcBorders>
          </w:tcPr>
          <w:p w14:paraId="69D706F0">
            <w:pPr>
              <w:rPr>
                <w:sz w:val="2"/>
                <w:szCs w:val="2"/>
              </w:rPr>
            </w:pPr>
          </w:p>
        </w:tc>
        <w:tc>
          <w:tcPr>
            <w:tcW w:w="644" w:type="dxa"/>
          </w:tcPr>
          <w:p w14:paraId="0142D0AA">
            <w:pPr>
              <w:pStyle w:val="14"/>
              <w:spacing w:before="125"/>
              <w:ind w:left="115" w:right="107"/>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156" w:type="dxa"/>
          </w:tcPr>
          <w:p w14:paraId="3B8FE03C">
            <w:pPr>
              <w:pStyle w:val="14"/>
              <w:spacing w:before="128"/>
              <w:ind w:left="108" w:right="102"/>
              <w:jc w:val="center"/>
              <w:rPr>
                <w:rFonts w:ascii="Times New Roman"/>
                <w:sz w:val="21"/>
              </w:rPr>
            </w:pPr>
            <w:r>
              <w:rPr>
                <w:rFonts w:ascii="Times New Roman"/>
                <w:sz w:val="21"/>
              </w:rPr>
              <w:t>0.0011</w:t>
            </w:r>
          </w:p>
        </w:tc>
        <w:tc>
          <w:tcPr>
            <w:tcW w:w="994" w:type="dxa"/>
          </w:tcPr>
          <w:p w14:paraId="701E2C3E">
            <w:pPr>
              <w:pStyle w:val="14"/>
              <w:spacing w:before="128"/>
              <w:ind w:left="176" w:right="170"/>
              <w:jc w:val="center"/>
              <w:rPr>
                <w:rFonts w:ascii="Times New Roman"/>
                <w:sz w:val="21"/>
              </w:rPr>
            </w:pPr>
            <w:r>
              <w:rPr>
                <w:rFonts w:ascii="Times New Roman"/>
                <w:sz w:val="21"/>
              </w:rPr>
              <w:t>0.092</w:t>
            </w:r>
          </w:p>
        </w:tc>
        <w:tc>
          <w:tcPr>
            <w:tcW w:w="910" w:type="dxa"/>
            <w:vMerge w:val="continue"/>
            <w:tcBorders>
              <w:top w:val="nil"/>
            </w:tcBorders>
          </w:tcPr>
          <w:p w14:paraId="79EE6943">
            <w:pPr>
              <w:rPr>
                <w:sz w:val="2"/>
                <w:szCs w:val="2"/>
              </w:rPr>
            </w:pPr>
          </w:p>
        </w:tc>
        <w:tc>
          <w:tcPr>
            <w:tcW w:w="856" w:type="dxa"/>
          </w:tcPr>
          <w:p w14:paraId="2D86148D">
            <w:pPr>
              <w:pStyle w:val="14"/>
              <w:spacing w:before="128"/>
              <w:ind w:left="8"/>
              <w:jc w:val="center"/>
              <w:rPr>
                <w:rFonts w:ascii="Times New Roman"/>
                <w:sz w:val="21"/>
              </w:rPr>
            </w:pPr>
            <w:r>
              <w:rPr>
                <w:rFonts w:ascii="Times New Roman"/>
                <w:w w:val="99"/>
                <w:sz w:val="21"/>
              </w:rPr>
              <w:t>/</w:t>
            </w:r>
          </w:p>
        </w:tc>
        <w:tc>
          <w:tcPr>
            <w:tcW w:w="670" w:type="dxa"/>
          </w:tcPr>
          <w:p w14:paraId="3C275D5F">
            <w:pPr>
              <w:pStyle w:val="14"/>
              <w:spacing w:before="128"/>
              <w:ind w:left="88" w:right="77"/>
              <w:jc w:val="center"/>
              <w:rPr>
                <w:rFonts w:ascii="Times New Roman"/>
                <w:sz w:val="21"/>
              </w:rPr>
            </w:pPr>
            <w:r>
              <w:rPr>
                <w:rFonts w:ascii="Times New Roman"/>
                <w:sz w:val="21"/>
              </w:rPr>
              <w:t>0.33</w:t>
            </w:r>
          </w:p>
        </w:tc>
        <w:tc>
          <w:tcPr>
            <w:tcW w:w="551" w:type="dxa"/>
          </w:tcPr>
          <w:p w14:paraId="51259431">
            <w:pPr>
              <w:pStyle w:val="14"/>
              <w:spacing w:before="114"/>
              <w:ind w:right="159"/>
              <w:jc w:val="right"/>
              <w:rPr>
                <w:sz w:val="21"/>
              </w:rPr>
            </w:pPr>
            <w:r>
              <w:rPr>
                <w:w w:val="99"/>
                <w:sz w:val="21"/>
              </w:rPr>
              <w:t>是</w:t>
            </w:r>
          </w:p>
        </w:tc>
        <w:tc>
          <w:tcPr>
            <w:tcW w:w="908" w:type="dxa"/>
            <w:vMerge w:val="continue"/>
            <w:tcBorders>
              <w:top w:val="nil"/>
            </w:tcBorders>
          </w:tcPr>
          <w:p w14:paraId="775DE51D">
            <w:pPr>
              <w:rPr>
                <w:sz w:val="2"/>
                <w:szCs w:val="2"/>
              </w:rPr>
            </w:pPr>
          </w:p>
        </w:tc>
      </w:tr>
      <w:tr w14:paraId="2DAD2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64" w:type="dxa"/>
            <w:vMerge w:val="restart"/>
          </w:tcPr>
          <w:p w14:paraId="132A801C">
            <w:pPr>
              <w:pStyle w:val="14"/>
              <w:spacing w:before="32" w:line="242" w:lineRule="auto"/>
              <w:ind w:left="167" w:right="155"/>
              <w:jc w:val="center"/>
              <w:rPr>
                <w:rFonts w:ascii="Times New Roman" w:eastAsia="Times New Roman"/>
                <w:sz w:val="21"/>
              </w:rPr>
            </w:pPr>
            <w:r>
              <w:rPr>
                <w:w w:val="95"/>
                <w:sz w:val="21"/>
              </w:rPr>
              <w:t>综合排</w:t>
            </w:r>
            <w:r>
              <w:rPr>
                <w:sz w:val="21"/>
              </w:rPr>
              <w:t>气筒</w:t>
            </w:r>
            <w:r>
              <w:rPr>
                <w:rFonts w:ascii="Times New Roman" w:eastAsia="Times New Roman"/>
                <w:sz w:val="21"/>
              </w:rPr>
              <w:t>DA002</w:t>
            </w:r>
          </w:p>
        </w:tc>
        <w:tc>
          <w:tcPr>
            <w:tcW w:w="869" w:type="dxa"/>
            <w:vMerge w:val="restart"/>
          </w:tcPr>
          <w:p w14:paraId="12153132">
            <w:pPr>
              <w:pStyle w:val="14"/>
              <w:spacing w:before="10"/>
              <w:rPr>
                <w:b/>
                <w:sz w:val="23"/>
              </w:rPr>
            </w:pPr>
          </w:p>
          <w:p w14:paraId="4349480A">
            <w:pPr>
              <w:pStyle w:val="14"/>
              <w:ind w:left="170"/>
              <w:rPr>
                <w:rFonts w:ascii="Times New Roman"/>
                <w:sz w:val="21"/>
              </w:rPr>
            </w:pPr>
            <w:r>
              <w:rPr>
                <w:rFonts w:ascii="Times New Roman"/>
                <w:sz w:val="21"/>
              </w:rPr>
              <w:t>12500</w:t>
            </w:r>
          </w:p>
        </w:tc>
        <w:tc>
          <w:tcPr>
            <w:tcW w:w="644" w:type="dxa"/>
          </w:tcPr>
          <w:p w14:paraId="1EBC41C4">
            <w:pPr>
              <w:pStyle w:val="14"/>
              <w:spacing w:before="31" w:line="261" w:lineRule="exact"/>
              <w:ind w:left="115" w:right="107"/>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156" w:type="dxa"/>
          </w:tcPr>
          <w:p w14:paraId="706A72FD">
            <w:pPr>
              <w:pStyle w:val="14"/>
              <w:spacing w:before="34"/>
              <w:ind w:left="110" w:right="102"/>
              <w:jc w:val="center"/>
              <w:rPr>
                <w:rFonts w:ascii="Times New Roman"/>
                <w:sz w:val="21"/>
              </w:rPr>
            </w:pPr>
            <w:r>
              <w:rPr>
                <w:rFonts w:ascii="Times New Roman"/>
                <w:sz w:val="21"/>
              </w:rPr>
              <w:t>0.0089</w:t>
            </w:r>
          </w:p>
        </w:tc>
        <w:tc>
          <w:tcPr>
            <w:tcW w:w="994" w:type="dxa"/>
          </w:tcPr>
          <w:p w14:paraId="44988F40">
            <w:pPr>
              <w:pStyle w:val="14"/>
              <w:spacing w:before="34"/>
              <w:ind w:left="179" w:right="170"/>
              <w:jc w:val="center"/>
              <w:rPr>
                <w:rFonts w:ascii="Times New Roman"/>
                <w:sz w:val="21"/>
              </w:rPr>
            </w:pPr>
            <w:r>
              <w:rPr>
                <w:rFonts w:ascii="Times New Roman"/>
                <w:sz w:val="21"/>
              </w:rPr>
              <w:t>0.712</w:t>
            </w:r>
          </w:p>
        </w:tc>
        <w:tc>
          <w:tcPr>
            <w:tcW w:w="910" w:type="dxa"/>
            <w:vMerge w:val="restart"/>
          </w:tcPr>
          <w:p w14:paraId="7442D71F">
            <w:pPr>
              <w:pStyle w:val="14"/>
              <w:spacing w:before="10"/>
              <w:rPr>
                <w:b/>
                <w:sz w:val="23"/>
              </w:rPr>
            </w:pPr>
          </w:p>
          <w:p w14:paraId="4520797A">
            <w:pPr>
              <w:pStyle w:val="14"/>
              <w:ind w:left="189"/>
              <w:rPr>
                <w:rFonts w:ascii="Times New Roman"/>
                <w:sz w:val="21"/>
              </w:rPr>
            </w:pPr>
            <w:r>
              <w:rPr>
                <w:rFonts w:ascii="Times New Roman"/>
                <w:sz w:val="21"/>
              </w:rPr>
              <w:t>15/0.5</w:t>
            </w:r>
          </w:p>
        </w:tc>
        <w:tc>
          <w:tcPr>
            <w:tcW w:w="856" w:type="dxa"/>
          </w:tcPr>
          <w:p w14:paraId="1658F6A7">
            <w:pPr>
              <w:pStyle w:val="14"/>
              <w:spacing w:before="34"/>
              <w:ind w:left="8"/>
              <w:jc w:val="center"/>
              <w:rPr>
                <w:rFonts w:ascii="Times New Roman"/>
                <w:sz w:val="21"/>
              </w:rPr>
            </w:pPr>
            <w:r>
              <w:rPr>
                <w:rFonts w:ascii="Times New Roman"/>
                <w:w w:val="99"/>
                <w:sz w:val="21"/>
              </w:rPr>
              <w:t>/</w:t>
            </w:r>
          </w:p>
        </w:tc>
        <w:tc>
          <w:tcPr>
            <w:tcW w:w="670" w:type="dxa"/>
          </w:tcPr>
          <w:p w14:paraId="1C838942">
            <w:pPr>
              <w:pStyle w:val="14"/>
              <w:spacing w:before="34"/>
              <w:ind w:left="88" w:right="82"/>
              <w:jc w:val="center"/>
              <w:rPr>
                <w:rFonts w:ascii="Times New Roman"/>
                <w:sz w:val="21"/>
              </w:rPr>
            </w:pPr>
            <w:r>
              <w:rPr>
                <w:rFonts w:ascii="Times New Roman"/>
                <w:sz w:val="21"/>
              </w:rPr>
              <w:t>4.9</w:t>
            </w:r>
          </w:p>
        </w:tc>
        <w:tc>
          <w:tcPr>
            <w:tcW w:w="551" w:type="dxa"/>
          </w:tcPr>
          <w:p w14:paraId="7D5FB786">
            <w:pPr>
              <w:pStyle w:val="14"/>
              <w:spacing w:before="20"/>
              <w:ind w:right="159"/>
              <w:jc w:val="right"/>
              <w:rPr>
                <w:sz w:val="21"/>
              </w:rPr>
            </w:pPr>
            <w:r>
              <w:rPr>
                <w:w w:val="99"/>
                <w:sz w:val="21"/>
              </w:rPr>
              <w:t>是</w:t>
            </w:r>
          </w:p>
        </w:tc>
        <w:tc>
          <w:tcPr>
            <w:tcW w:w="908" w:type="dxa"/>
            <w:vMerge w:val="continue"/>
            <w:tcBorders>
              <w:top w:val="nil"/>
            </w:tcBorders>
          </w:tcPr>
          <w:p w14:paraId="5BE7D2BC">
            <w:pPr>
              <w:rPr>
                <w:sz w:val="2"/>
                <w:szCs w:val="2"/>
              </w:rPr>
            </w:pPr>
          </w:p>
        </w:tc>
      </w:tr>
      <w:tr w14:paraId="59E2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964" w:type="dxa"/>
            <w:vMerge w:val="continue"/>
            <w:tcBorders>
              <w:top w:val="nil"/>
            </w:tcBorders>
          </w:tcPr>
          <w:p w14:paraId="18D93646">
            <w:pPr>
              <w:rPr>
                <w:sz w:val="2"/>
                <w:szCs w:val="2"/>
              </w:rPr>
            </w:pPr>
          </w:p>
        </w:tc>
        <w:tc>
          <w:tcPr>
            <w:tcW w:w="869" w:type="dxa"/>
            <w:vMerge w:val="continue"/>
            <w:tcBorders>
              <w:top w:val="nil"/>
            </w:tcBorders>
          </w:tcPr>
          <w:p w14:paraId="542F4F2B">
            <w:pPr>
              <w:rPr>
                <w:sz w:val="2"/>
                <w:szCs w:val="2"/>
              </w:rPr>
            </w:pPr>
          </w:p>
        </w:tc>
        <w:tc>
          <w:tcPr>
            <w:tcW w:w="644" w:type="dxa"/>
          </w:tcPr>
          <w:p w14:paraId="4B4F9F47">
            <w:pPr>
              <w:pStyle w:val="14"/>
              <w:spacing w:before="141"/>
              <w:ind w:left="115" w:right="107"/>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156" w:type="dxa"/>
          </w:tcPr>
          <w:p w14:paraId="5E5F9101">
            <w:pPr>
              <w:pStyle w:val="14"/>
              <w:spacing w:before="144"/>
              <w:ind w:left="108" w:right="102"/>
              <w:jc w:val="center"/>
              <w:rPr>
                <w:rFonts w:ascii="Times New Roman"/>
                <w:sz w:val="21"/>
              </w:rPr>
            </w:pPr>
            <w:r>
              <w:rPr>
                <w:rFonts w:ascii="Times New Roman"/>
                <w:sz w:val="21"/>
              </w:rPr>
              <w:t>0.0003</w:t>
            </w:r>
          </w:p>
        </w:tc>
        <w:tc>
          <w:tcPr>
            <w:tcW w:w="994" w:type="dxa"/>
          </w:tcPr>
          <w:p w14:paraId="150829FF">
            <w:pPr>
              <w:pStyle w:val="14"/>
              <w:spacing w:before="144"/>
              <w:ind w:left="176" w:right="170"/>
              <w:jc w:val="center"/>
              <w:rPr>
                <w:rFonts w:ascii="Times New Roman"/>
                <w:sz w:val="21"/>
              </w:rPr>
            </w:pPr>
            <w:r>
              <w:rPr>
                <w:rFonts w:ascii="Times New Roman"/>
                <w:sz w:val="21"/>
              </w:rPr>
              <w:t>0.244</w:t>
            </w:r>
          </w:p>
        </w:tc>
        <w:tc>
          <w:tcPr>
            <w:tcW w:w="910" w:type="dxa"/>
            <w:vMerge w:val="continue"/>
            <w:tcBorders>
              <w:top w:val="nil"/>
            </w:tcBorders>
          </w:tcPr>
          <w:p w14:paraId="01188C3B">
            <w:pPr>
              <w:rPr>
                <w:sz w:val="2"/>
                <w:szCs w:val="2"/>
              </w:rPr>
            </w:pPr>
          </w:p>
        </w:tc>
        <w:tc>
          <w:tcPr>
            <w:tcW w:w="856" w:type="dxa"/>
          </w:tcPr>
          <w:p w14:paraId="1ACBBA58">
            <w:pPr>
              <w:pStyle w:val="14"/>
              <w:spacing w:before="144"/>
              <w:ind w:left="8"/>
              <w:jc w:val="center"/>
              <w:rPr>
                <w:rFonts w:ascii="Times New Roman"/>
                <w:sz w:val="21"/>
              </w:rPr>
            </w:pPr>
            <w:r>
              <w:rPr>
                <w:rFonts w:ascii="Times New Roman"/>
                <w:w w:val="99"/>
                <w:sz w:val="21"/>
              </w:rPr>
              <w:t>/</w:t>
            </w:r>
          </w:p>
        </w:tc>
        <w:tc>
          <w:tcPr>
            <w:tcW w:w="670" w:type="dxa"/>
          </w:tcPr>
          <w:p w14:paraId="34D40A68">
            <w:pPr>
              <w:pStyle w:val="14"/>
              <w:spacing w:before="144"/>
              <w:ind w:left="88" w:right="77"/>
              <w:jc w:val="center"/>
              <w:rPr>
                <w:rFonts w:ascii="Times New Roman"/>
                <w:sz w:val="21"/>
              </w:rPr>
            </w:pPr>
            <w:r>
              <w:rPr>
                <w:rFonts w:ascii="Times New Roman"/>
                <w:sz w:val="21"/>
              </w:rPr>
              <w:t>0.33</w:t>
            </w:r>
          </w:p>
        </w:tc>
        <w:tc>
          <w:tcPr>
            <w:tcW w:w="551" w:type="dxa"/>
          </w:tcPr>
          <w:p w14:paraId="1FDD3801">
            <w:pPr>
              <w:pStyle w:val="14"/>
              <w:spacing w:before="130"/>
              <w:ind w:right="159"/>
              <w:jc w:val="right"/>
              <w:rPr>
                <w:sz w:val="21"/>
              </w:rPr>
            </w:pPr>
            <w:r>
              <w:rPr>
                <w:w w:val="99"/>
                <w:sz w:val="21"/>
              </w:rPr>
              <w:t>是</w:t>
            </w:r>
          </w:p>
        </w:tc>
        <w:tc>
          <w:tcPr>
            <w:tcW w:w="908" w:type="dxa"/>
            <w:vMerge w:val="continue"/>
            <w:tcBorders>
              <w:top w:val="nil"/>
            </w:tcBorders>
          </w:tcPr>
          <w:p w14:paraId="19695C95">
            <w:pPr>
              <w:rPr>
                <w:sz w:val="2"/>
                <w:szCs w:val="2"/>
              </w:rPr>
            </w:pPr>
          </w:p>
        </w:tc>
      </w:tr>
      <w:tr w14:paraId="29CCF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4" w:type="dxa"/>
            <w:vMerge w:val="restart"/>
          </w:tcPr>
          <w:p w14:paraId="0BF399AE">
            <w:pPr>
              <w:pStyle w:val="14"/>
              <w:spacing w:before="54" w:line="242" w:lineRule="auto"/>
              <w:ind w:left="270" w:right="155" w:hanging="104"/>
              <w:rPr>
                <w:sz w:val="21"/>
              </w:rPr>
            </w:pPr>
            <w:r>
              <w:rPr>
                <w:sz w:val="21"/>
              </w:rPr>
              <w:t>屠宰排气筒</w:t>
            </w:r>
          </w:p>
        </w:tc>
        <w:tc>
          <w:tcPr>
            <w:tcW w:w="869" w:type="dxa"/>
            <w:vMerge w:val="restart"/>
          </w:tcPr>
          <w:p w14:paraId="75534C9E">
            <w:pPr>
              <w:pStyle w:val="14"/>
              <w:spacing w:before="195"/>
              <w:ind w:left="223"/>
              <w:rPr>
                <w:rFonts w:ascii="Times New Roman"/>
                <w:sz w:val="21"/>
              </w:rPr>
            </w:pPr>
            <w:r>
              <w:rPr>
                <w:rFonts w:ascii="Times New Roman"/>
                <w:sz w:val="21"/>
              </w:rPr>
              <w:t>8500</w:t>
            </w:r>
          </w:p>
        </w:tc>
        <w:tc>
          <w:tcPr>
            <w:tcW w:w="644" w:type="dxa"/>
          </w:tcPr>
          <w:p w14:paraId="0C980B1B">
            <w:pPr>
              <w:pStyle w:val="14"/>
              <w:spacing w:before="31" w:line="261" w:lineRule="exact"/>
              <w:ind w:left="115" w:right="107"/>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156" w:type="dxa"/>
          </w:tcPr>
          <w:p w14:paraId="365B8F1B">
            <w:pPr>
              <w:pStyle w:val="14"/>
              <w:spacing w:before="34"/>
              <w:ind w:left="108" w:right="102"/>
              <w:jc w:val="center"/>
              <w:rPr>
                <w:rFonts w:ascii="Times New Roman"/>
                <w:sz w:val="21"/>
              </w:rPr>
            </w:pPr>
            <w:r>
              <w:rPr>
                <w:rFonts w:ascii="Times New Roman"/>
                <w:sz w:val="21"/>
              </w:rPr>
              <w:t>0.0016</w:t>
            </w:r>
          </w:p>
        </w:tc>
        <w:tc>
          <w:tcPr>
            <w:tcW w:w="994" w:type="dxa"/>
          </w:tcPr>
          <w:p w14:paraId="1FECCE32">
            <w:pPr>
              <w:pStyle w:val="14"/>
              <w:spacing w:before="34"/>
              <w:ind w:left="179" w:right="170"/>
              <w:jc w:val="center"/>
              <w:rPr>
                <w:rFonts w:ascii="Times New Roman"/>
                <w:sz w:val="21"/>
              </w:rPr>
            </w:pPr>
            <w:r>
              <w:rPr>
                <w:rFonts w:ascii="Times New Roman"/>
                <w:sz w:val="21"/>
              </w:rPr>
              <w:t>0.19</w:t>
            </w:r>
          </w:p>
        </w:tc>
        <w:tc>
          <w:tcPr>
            <w:tcW w:w="910" w:type="dxa"/>
            <w:vMerge w:val="restart"/>
          </w:tcPr>
          <w:p w14:paraId="38752617">
            <w:pPr>
              <w:pStyle w:val="14"/>
              <w:spacing w:before="195"/>
              <w:ind w:left="189"/>
              <w:rPr>
                <w:rFonts w:ascii="Times New Roman"/>
                <w:sz w:val="21"/>
              </w:rPr>
            </w:pPr>
            <w:r>
              <w:rPr>
                <w:rFonts w:ascii="Times New Roman"/>
                <w:sz w:val="21"/>
              </w:rPr>
              <w:t>15/0.5</w:t>
            </w:r>
          </w:p>
        </w:tc>
        <w:tc>
          <w:tcPr>
            <w:tcW w:w="856" w:type="dxa"/>
          </w:tcPr>
          <w:p w14:paraId="3FD6C8F7">
            <w:pPr>
              <w:pStyle w:val="14"/>
              <w:spacing w:before="34"/>
              <w:ind w:left="8"/>
              <w:jc w:val="center"/>
              <w:rPr>
                <w:rFonts w:ascii="Times New Roman"/>
                <w:sz w:val="21"/>
              </w:rPr>
            </w:pPr>
            <w:r>
              <w:rPr>
                <w:rFonts w:ascii="Times New Roman"/>
                <w:w w:val="99"/>
                <w:sz w:val="21"/>
              </w:rPr>
              <w:t>/</w:t>
            </w:r>
          </w:p>
        </w:tc>
        <w:tc>
          <w:tcPr>
            <w:tcW w:w="670" w:type="dxa"/>
          </w:tcPr>
          <w:p w14:paraId="08B47578">
            <w:pPr>
              <w:pStyle w:val="14"/>
              <w:spacing w:before="34"/>
              <w:ind w:left="88" w:right="82"/>
              <w:jc w:val="center"/>
              <w:rPr>
                <w:rFonts w:ascii="Times New Roman"/>
                <w:sz w:val="21"/>
              </w:rPr>
            </w:pPr>
            <w:r>
              <w:rPr>
                <w:rFonts w:ascii="Times New Roman"/>
                <w:sz w:val="21"/>
              </w:rPr>
              <w:t>4.9</w:t>
            </w:r>
          </w:p>
        </w:tc>
        <w:tc>
          <w:tcPr>
            <w:tcW w:w="551" w:type="dxa"/>
          </w:tcPr>
          <w:p w14:paraId="7AA267F8">
            <w:pPr>
              <w:pStyle w:val="14"/>
              <w:spacing w:before="20"/>
              <w:ind w:right="159"/>
              <w:jc w:val="right"/>
              <w:rPr>
                <w:sz w:val="21"/>
              </w:rPr>
            </w:pPr>
            <w:r>
              <w:rPr>
                <w:w w:val="99"/>
                <w:sz w:val="21"/>
              </w:rPr>
              <w:t>是</w:t>
            </w:r>
          </w:p>
        </w:tc>
        <w:tc>
          <w:tcPr>
            <w:tcW w:w="908" w:type="dxa"/>
            <w:vMerge w:val="continue"/>
            <w:tcBorders>
              <w:top w:val="nil"/>
            </w:tcBorders>
          </w:tcPr>
          <w:p w14:paraId="157D80F6">
            <w:pPr>
              <w:rPr>
                <w:sz w:val="2"/>
                <w:szCs w:val="2"/>
              </w:rPr>
            </w:pPr>
          </w:p>
        </w:tc>
      </w:tr>
      <w:tr w14:paraId="006BA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4" w:type="dxa"/>
            <w:vMerge w:val="continue"/>
            <w:tcBorders>
              <w:top w:val="nil"/>
            </w:tcBorders>
          </w:tcPr>
          <w:p w14:paraId="72B93AD8">
            <w:pPr>
              <w:rPr>
                <w:sz w:val="2"/>
                <w:szCs w:val="2"/>
              </w:rPr>
            </w:pPr>
          </w:p>
        </w:tc>
        <w:tc>
          <w:tcPr>
            <w:tcW w:w="869" w:type="dxa"/>
            <w:vMerge w:val="continue"/>
            <w:tcBorders>
              <w:top w:val="nil"/>
            </w:tcBorders>
          </w:tcPr>
          <w:p w14:paraId="4DD1782A">
            <w:pPr>
              <w:rPr>
                <w:sz w:val="2"/>
                <w:szCs w:val="2"/>
              </w:rPr>
            </w:pPr>
          </w:p>
        </w:tc>
        <w:tc>
          <w:tcPr>
            <w:tcW w:w="644" w:type="dxa"/>
          </w:tcPr>
          <w:p w14:paraId="6BA6F3B1">
            <w:pPr>
              <w:pStyle w:val="14"/>
              <w:spacing w:before="33" w:line="258" w:lineRule="exact"/>
              <w:ind w:left="115" w:right="107"/>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156" w:type="dxa"/>
          </w:tcPr>
          <w:p w14:paraId="3E816208">
            <w:pPr>
              <w:pStyle w:val="14"/>
              <w:spacing w:before="36"/>
              <w:ind w:left="110" w:right="102"/>
              <w:jc w:val="center"/>
              <w:rPr>
                <w:rFonts w:ascii="Times New Roman"/>
                <w:sz w:val="21"/>
              </w:rPr>
            </w:pPr>
            <w:r>
              <w:rPr>
                <w:rFonts w:ascii="Times New Roman"/>
                <w:sz w:val="21"/>
              </w:rPr>
              <w:t>0.0000048</w:t>
            </w:r>
          </w:p>
        </w:tc>
        <w:tc>
          <w:tcPr>
            <w:tcW w:w="994" w:type="dxa"/>
          </w:tcPr>
          <w:p w14:paraId="4BAA27D3">
            <w:pPr>
              <w:pStyle w:val="14"/>
              <w:spacing w:before="36"/>
              <w:ind w:left="133" w:right="127"/>
              <w:jc w:val="center"/>
              <w:rPr>
                <w:rFonts w:ascii="Times New Roman"/>
                <w:sz w:val="21"/>
              </w:rPr>
            </w:pPr>
            <w:r>
              <w:rPr>
                <w:rFonts w:ascii="Times New Roman"/>
                <w:sz w:val="21"/>
              </w:rPr>
              <w:t>0.00056</w:t>
            </w:r>
          </w:p>
        </w:tc>
        <w:tc>
          <w:tcPr>
            <w:tcW w:w="910" w:type="dxa"/>
            <w:vMerge w:val="continue"/>
            <w:tcBorders>
              <w:top w:val="nil"/>
            </w:tcBorders>
          </w:tcPr>
          <w:p w14:paraId="7604F64C">
            <w:pPr>
              <w:rPr>
                <w:sz w:val="2"/>
                <w:szCs w:val="2"/>
              </w:rPr>
            </w:pPr>
          </w:p>
        </w:tc>
        <w:tc>
          <w:tcPr>
            <w:tcW w:w="856" w:type="dxa"/>
          </w:tcPr>
          <w:p w14:paraId="3BCEBAD2">
            <w:pPr>
              <w:pStyle w:val="14"/>
              <w:spacing w:before="36"/>
              <w:ind w:left="8"/>
              <w:jc w:val="center"/>
              <w:rPr>
                <w:rFonts w:ascii="Times New Roman"/>
                <w:sz w:val="21"/>
              </w:rPr>
            </w:pPr>
            <w:r>
              <w:rPr>
                <w:rFonts w:ascii="Times New Roman"/>
                <w:w w:val="99"/>
                <w:sz w:val="21"/>
              </w:rPr>
              <w:t>/</w:t>
            </w:r>
          </w:p>
        </w:tc>
        <w:tc>
          <w:tcPr>
            <w:tcW w:w="670" w:type="dxa"/>
          </w:tcPr>
          <w:p w14:paraId="30A0E2AF">
            <w:pPr>
              <w:pStyle w:val="14"/>
              <w:spacing w:before="36"/>
              <w:ind w:left="88" w:right="77"/>
              <w:jc w:val="center"/>
              <w:rPr>
                <w:rFonts w:ascii="Times New Roman"/>
                <w:sz w:val="21"/>
              </w:rPr>
            </w:pPr>
            <w:r>
              <w:rPr>
                <w:rFonts w:ascii="Times New Roman"/>
                <w:sz w:val="21"/>
              </w:rPr>
              <w:t>0.33</w:t>
            </w:r>
          </w:p>
        </w:tc>
        <w:tc>
          <w:tcPr>
            <w:tcW w:w="551" w:type="dxa"/>
          </w:tcPr>
          <w:p w14:paraId="439BBF64">
            <w:pPr>
              <w:pStyle w:val="14"/>
              <w:spacing w:before="22" w:line="269" w:lineRule="exact"/>
              <w:ind w:right="159"/>
              <w:jc w:val="right"/>
              <w:rPr>
                <w:sz w:val="21"/>
              </w:rPr>
            </w:pPr>
            <w:r>
              <w:rPr>
                <w:w w:val="99"/>
                <w:sz w:val="21"/>
              </w:rPr>
              <w:t>是</w:t>
            </w:r>
          </w:p>
        </w:tc>
        <w:tc>
          <w:tcPr>
            <w:tcW w:w="908" w:type="dxa"/>
            <w:vMerge w:val="continue"/>
            <w:tcBorders>
              <w:top w:val="nil"/>
            </w:tcBorders>
          </w:tcPr>
          <w:p w14:paraId="16A62C74">
            <w:pPr>
              <w:rPr>
                <w:sz w:val="2"/>
                <w:szCs w:val="2"/>
              </w:rPr>
            </w:pPr>
          </w:p>
        </w:tc>
      </w:tr>
    </w:tbl>
    <w:p w14:paraId="041FE162">
      <w:pPr>
        <w:spacing w:after="0"/>
        <w:rPr>
          <w:sz w:val="2"/>
          <w:szCs w:val="2"/>
        </w:rPr>
        <w:sectPr>
          <w:pgSz w:w="11910" w:h="16840"/>
          <w:pgMar w:top="1360" w:right="1320" w:bottom="1400" w:left="1340" w:header="878" w:footer="1204" w:gutter="0"/>
          <w:cols w:space="720" w:num="1"/>
        </w:sectPr>
      </w:pPr>
    </w:p>
    <w:p w14:paraId="41AF5049">
      <w:pPr>
        <w:pStyle w:val="7"/>
        <w:spacing w:before="3"/>
        <w:rPr>
          <w:b/>
          <w:sz w:val="5"/>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869"/>
        <w:gridCol w:w="644"/>
        <w:gridCol w:w="1156"/>
        <w:gridCol w:w="994"/>
        <w:gridCol w:w="910"/>
        <w:gridCol w:w="856"/>
        <w:gridCol w:w="670"/>
        <w:gridCol w:w="551"/>
        <w:gridCol w:w="908"/>
      </w:tblGrid>
      <w:tr w14:paraId="47CCE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964" w:type="dxa"/>
          </w:tcPr>
          <w:p w14:paraId="15AA13A4">
            <w:pPr>
              <w:pStyle w:val="14"/>
              <w:spacing w:line="241" w:lineRule="exact"/>
              <w:ind w:left="172"/>
              <w:rPr>
                <w:rFonts w:ascii="Times New Roman"/>
                <w:sz w:val="21"/>
              </w:rPr>
            </w:pPr>
            <w:r>
              <w:rPr>
                <w:rFonts w:ascii="Times New Roman"/>
                <w:sz w:val="21"/>
              </w:rPr>
              <w:t>DA003</w:t>
            </w:r>
          </w:p>
        </w:tc>
        <w:tc>
          <w:tcPr>
            <w:tcW w:w="869" w:type="dxa"/>
          </w:tcPr>
          <w:p w14:paraId="41F31B65">
            <w:pPr>
              <w:pStyle w:val="14"/>
              <w:rPr>
                <w:rFonts w:ascii="Times New Roman"/>
                <w:sz w:val="18"/>
              </w:rPr>
            </w:pPr>
          </w:p>
        </w:tc>
        <w:tc>
          <w:tcPr>
            <w:tcW w:w="644" w:type="dxa"/>
          </w:tcPr>
          <w:p w14:paraId="1A8FE418">
            <w:pPr>
              <w:pStyle w:val="14"/>
              <w:rPr>
                <w:rFonts w:ascii="Times New Roman"/>
                <w:sz w:val="18"/>
              </w:rPr>
            </w:pPr>
          </w:p>
        </w:tc>
        <w:tc>
          <w:tcPr>
            <w:tcW w:w="1156" w:type="dxa"/>
          </w:tcPr>
          <w:p w14:paraId="119AF8DE">
            <w:pPr>
              <w:pStyle w:val="14"/>
              <w:rPr>
                <w:rFonts w:ascii="Times New Roman"/>
                <w:sz w:val="18"/>
              </w:rPr>
            </w:pPr>
          </w:p>
        </w:tc>
        <w:tc>
          <w:tcPr>
            <w:tcW w:w="994" w:type="dxa"/>
          </w:tcPr>
          <w:p w14:paraId="28DC39FF">
            <w:pPr>
              <w:pStyle w:val="14"/>
              <w:rPr>
                <w:rFonts w:ascii="Times New Roman"/>
                <w:sz w:val="18"/>
              </w:rPr>
            </w:pPr>
          </w:p>
        </w:tc>
        <w:tc>
          <w:tcPr>
            <w:tcW w:w="910" w:type="dxa"/>
          </w:tcPr>
          <w:p w14:paraId="5430753C">
            <w:pPr>
              <w:pStyle w:val="14"/>
              <w:rPr>
                <w:rFonts w:ascii="Times New Roman"/>
                <w:sz w:val="18"/>
              </w:rPr>
            </w:pPr>
          </w:p>
        </w:tc>
        <w:tc>
          <w:tcPr>
            <w:tcW w:w="856" w:type="dxa"/>
          </w:tcPr>
          <w:p w14:paraId="07C0517E">
            <w:pPr>
              <w:pStyle w:val="14"/>
              <w:rPr>
                <w:rFonts w:ascii="Times New Roman"/>
                <w:sz w:val="18"/>
              </w:rPr>
            </w:pPr>
          </w:p>
        </w:tc>
        <w:tc>
          <w:tcPr>
            <w:tcW w:w="670" w:type="dxa"/>
          </w:tcPr>
          <w:p w14:paraId="52358312">
            <w:pPr>
              <w:pStyle w:val="14"/>
              <w:rPr>
                <w:rFonts w:ascii="Times New Roman"/>
                <w:sz w:val="18"/>
              </w:rPr>
            </w:pPr>
          </w:p>
        </w:tc>
        <w:tc>
          <w:tcPr>
            <w:tcW w:w="551" w:type="dxa"/>
          </w:tcPr>
          <w:p w14:paraId="37370C69">
            <w:pPr>
              <w:pStyle w:val="14"/>
              <w:rPr>
                <w:rFonts w:ascii="Times New Roman"/>
                <w:sz w:val="18"/>
              </w:rPr>
            </w:pPr>
          </w:p>
        </w:tc>
        <w:tc>
          <w:tcPr>
            <w:tcW w:w="908" w:type="dxa"/>
          </w:tcPr>
          <w:p w14:paraId="568F21C7">
            <w:pPr>
              <w:pStyle w:val="14"/>
              <w:rPr>
                <w:rFonts w:ascii="Times New Roman"/>
                <w:sz w:val="18"/>
              </w:rPr>
            </w:pPr>
          </w:p>
        </w:tc>
      </w:tr>
      <w:tr w14:paraId="1A5D8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64" w:type="dxa"/>
            <w:vMerge w:val="restart"/>
          </w:tcPr>
          <w:p w14:paraId="1945034E">
            <w:pPr>
              <w:pStyle w:val="14"/>
              <w:spacing w:before="12"/>
              <w:rPr>
                <w:b/>
                <w:sz w:val="23"/>
              </w:rPr>
            </w:pPr>
          </w:p>
          <w:p w14:paraId="6BA20E72">
            <w:pPr>
              <w:pStyle w:val="14"/>
              <w:spacing w:line="242" w:lineRule="auto"/>
              <w:ind w:left="167" w:right="155"/>
              <w:jc w:val="center"/>
              <w:rPr>
                <w:rFonts w:ascii="Times New Roman" w:eastAsia="Times New Roman"/>
                <w:sz w:val="21"/>
              </w:rPr>
            </w:pPr>
            <w:r>
              <w:rPr>
                <w:w w:val="95"/>
                <w:sz w:val="21"/>
              </w:rPr>
              <w:t>锅炉排</w:t>
            </w:r>
            <w:r>
              <w:rPr>
                <w:sz w:val="21"/>
              </w:rPr>
              <w:t>气筒</w:t>
            </w:r>
            <w:r>
              <w:rPr>
                <w:rFonts w:ascii="Times New Roman" w:eastAsia="Times New Roman"/>
                <w:sz w:val="21"/>
              </w:rPr>
              <w:t>DA004</w:t>
            </w:r>
          </w:p>
        </w:tc>
        <w:tc>
          <w:tcPr>
            <w:tcW w:w="869" w:type="dxa"/>
            <w:vMerge w:val="restart"/>
          </w:tcPr>
          <w:p w14:paraId="5AF77205">
            <w:pPr>
              <w:pStyle w:val="14"/>
              <w:rPr>
                <w:b/>
                <w:sz w:val="22"/>
              </w:rPr>
            </w:pPr>
          </w:p>
          <w:p w14:paraId="69935636">
            <w:pPr>
              <w:pStyle w:val="14"/>
              <w:spacing w:before="3"/>
              <w:rPr>
                <w:b/>
                <w:sz w:val="23"/>
              </w:rPr>
            </w:pPr>
          </w:p>
          <w:p w14:paraId="594DCE0A">
            <w:pPr>
              <w:pStyle w:val="14"/>
              <w:ind w:left="223"/>
              <w:rPr>
                <w:rFonts w:ascii="Times New Roman"/>
                <w:sz w:val="21"/>
              </w:rPr>
            </w:pPr>
            <w:r>
              <w:rPr>
                <w:rFonts w:ascii="Times New Roman"/>
                <w:sz w:val="21"/>
              </w:rPr>
              <w:t>5500</w:t>
            </w:r>
          </w:p>
        </w:tc>
        <w:tc>
          <w:tcPr>
            <w:tcW w:w="644" w:type="dxa"/>
          </w:tcPr>
          <w:p w14:paraId="34200FA8">
            <w:pPr>
              <w:pStyle w:val="14"/>
              <w:spacing w:before="45"/>
              <w:ind w:left="110"/>
              <w:rPr>
                <w:sz w:val="21"/>
              </w:rPr>
            </w:pPr>
            <w:r>
              <w:rPr>
                <w:w w:val="95"/>
                <w:sz w:val="21"/>
              </w:rPr>
              <w:t>二氧</w:t>
            </w:r>
          </w:p>
          <w:p w14:paraId="112FF9FF">
            <w:pPr>
              <w:pStyle w:val="14"/>
              <w:spacing w:before="53" w:line="253" w:lineRule="exact"/>
              <w:ind w:left="110"/>
              <w:rPr>
                <w:sz w:val="21"/>
              </w:rPr>
            </w:pPr>
            <w:r>
              <w:rPr>
                <w:w w:val="95"/>
                <w:sz w:val="21"/>
              </w:rPr>
              <w:t>化硫</w:t>
            </w:r>
          </w:p>
        </w:tc>
        <w:tc>
          <w:tcPr>
            <w:tcW w:w="1156" w:type="dxa"/>
          </w:tcPr>
          <w:p w14:paraId="30C1A0F7">
            <w:pPr>
              <w:pStyle w:val="14"/>
              <w:spacing w:before="6"/>
              <w:rPr>
                <w:b/>
                <w:sz w:val="15"/>
              </w:rPr>
            </w:pPr>
          </w:p>
          <w:p w14:paraId="3B1B007C">
            <w:pPr>
              <w:pStyle w:val="14"/>
              <w:ind w:left="108" w:right="102"/>
              <w:jc w:val="center"/>
              <w:rPr>
                <w:rFonts w:ascii="Times New Roman"/>
                <w:sz w:val="21"/>
              </w:rPr>
            </w:pPr>
            <w:r>
              <w:rPr>
                <w:rFonts w:ascii="Times New Roman"/>
                <w:sz w:val="21"/>
              </w:rPr>
              <w:t>0.0174</w:t>
            </w:r>
          </w:p>
        </w:tc>
        <w:tc>
          <w:tcPr>
            <w:tcW w:w="994" w:type="dxa"/>
          </w:tcPr>
          <w:p w14:paraId="6119AF20">
            <w:pPr>
              <w:pStyle w:val="14"/>
              <w:spacing w:before="6"/>
              <w:rPr>
                <w:b/>
                <w:sz w:val="15"/>
              </w:rPr>
            </w:pPr>
          </w:p>
          <w:p w14:paraId="0D768AB3">
            <w:pPr>
              <w:pStyle w:val="14"/>
              <w:ind w:left="179" w:right="170"/>
              <w:jc w:val="center"/>
              <w:rPr>
                <w:rFonts w:ascii="Times New Roman"/>
                <w:sz w:val="21"/>
              </w:rPr>
            </w:pPr>
            <w:r>
              <w:rPr>
                <w:rFonts w:ascii="Times New Roman"/>
                <w:sz w:val="21"/>
              </w:rPr>
              <w:t>3.16</w:t>
            </w:r>
          </w:p>
        </w:tc>
        <w:tc>
          <w:tcPr>
            <w:tcW w:w="910" w:type="dxa"/>
            <w:vMerge w:val="restart"/>
          </w:tcPr>
          <w:p w14:paraId="27371B1C">
            <w:pPr>
              <w:pStyle w:val="14"/>
              <w:rPr>
                <w:b/>
                <w:sz w:val="22"/>
              </w:rPr>
            </w:pPr>
          </w:p>
          <w:p w14:paraId="542D21A7">
            <w:pPr>
              <w:pStyle w:val="14"/>
              <w:spacing w:before="3"/>
              <w:rPr>
                <w:b/>
                <w:sz w:val="23"/>
              </w:rPr>
            </w:pPr>
          </w:p>
          <w:p w14:paraId="1EDA2C7D">
            <w:pPr>
              <w:pStyle w:val="14"/>
              <w:ind w:left="189"/>
              <w:rPr>
                <w:rFonts w:ascii="Times New Roman"/>
                <w:sz w:val="21"/>
              </w:rPr>
            </w:pPr>
            <w:r>
              <w:rPr>
                <w:rFonts w:ascii="Times New Roman"/>
                <w:sz w:val="21"/>
              </w:rPr>
              <w:t>15/0.4</w:t>
            </w:r>
          </w:p>
        </w:tc>
        <w:tc>
          <w:tcPr>
            <w:tcW w:w="856" w:type="dxa"/>
          </w:tcPr>
          <w:p w14:paraId="1504BCF8">
            <w:pPr>
              <w:pStyle w:val="14"/>
              <w:spacing w:before="6"/>
              <w:rPr>
                <w:b/>
                <w:sz w:val="15"/>
              </w:rPr>
            </w:pPr>
          </w:p>
          <w:p w14:paraId="1EE179AE">
            <w:pPr>
              <w:pStyle w:val="14"/>
              <w:ind w:left="224" w:right="213"/>
              <w:jc w:val="center"/>
              <w:rPr>
                <w:rFonts w:ascii="Times New Roman"/>
                <w:sz w:val="21"/>
              </w:rPr>
            </w:pPr>
            <w:r>
              <w:rPr>
                <w:rFonts w:ascii="Times New Roman"/>
                <w:sz w:val="21"/>
              </w:rPr>
              <w:t>50</w:t>
            </w:r>
          </w:p>
        </w:tc>
        <w:tc>
          <w:tcPr>
            <w:tcW w:w="670" w:type="dxa"/>
          </w:tcPr>
          <w:p w14:paraId="4EB30CFE">
            <w:pPr>
              <w:pStyle w:val="14"/>
              <w:spacing w:before="6"/>
              <w:rPr>
                <w:b/>
                <w:sz w:val="15"/>
              </w:rPr>
            </w:pPr>
          </w:p>
          <w:p w14:paraId="0295C287">
            <w:pPr>
              <w:pStyle w:val="14"/>
              <w:ind w:right="294"/>
              <w:jc w:val="right"/>
              <w:rPr>
                <w:rFonts w:ascii="Times New Roman"/>
                <w:sz w:val="21"/>
              </w:rPr>
            </w:pPr>
            <w:r>
              <w:rPr>
                <w:rFonts w:ascii="Times New Roman"/>
                <w:w w:val="99"/>
                <w:sz w:val="21"/>
              </w:rPr>
              <w:t>/</w:t>
            </w:r>
          </w:p>
        </w:tc>
        <w:tc>
          <w:tcPr>
            <w:tcW w:w="551" w:type="dxa"/>
          </w:tcPr>
          <w:p w14:paraId="19EE9724">
            <w:pPr>
              <w:pStyle w:val="14"/>
              <w:spacing w:before="5"/>
              <w:rPr>
                <w:b/>
                <w:sz w:val="14"/>
              </w:rPr>
            </w:pPr>
          </w:p>
          <w:p w14:paraId="6455056B">
            <w:pPr>
              <w:pStyle w:val="14"/>
              <w:ind w:left="8"/>
              <w:jc w:val="center"/>
              <w:rPr>
                <w:sz w:val="21"/>
              </w:rPr>
            </w:pPr>
            <w:r>
              <w:rPr>
                <w:w w:val="99"/>
                <w:sz w:val="21"/>
              </w:rPr>
              <w:t>是</w:t>
            </w:r>
          </w:p>
        </w:tc>
        <w:tc>
          <w:tcPr>
            <w:tcW w:w="908" w:type="dxa"/>
            <w:vMerge w:val="restart"/>
          </w:tcPr>
          <w:p w14:paraId="07FEF67E">
            <w:pPr>
              <w:pStyle w:val="14"/>
              <w:spacing w:before="21" w:line="242" w:lineRule="auto"/>
              <w:ind w:left="137" w:right="129"/>
              <w:jc w:val="center"/>
              <w:rPr>
                <w:sz w:val="21"/>
              </w:rPr>
            </w:pPr>
            <w:r>
              <w:rPr>
                <w:w w:val="95"/>
                <w:sz w:val="21"/>
              </w:rPr>
              <w:t>《锅炉大气污染物排</w:t>
            </w:r>
            <w:r>
              <w:rPr>
                <w:sz w:val="21"/>
              </w:rPr>
              <w:t>放标 准》</w:t>
            </w:r>
          </w:p>
        </w:tc>
      </w:tr>
      <w:tr w14:paraId="6C697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964" w:type="dxa"/>
            <w:vMerge w:val="continue"/>
            <w:tcBorders>
              <w:top w:val="nil"/>
            </w:tcBorders>
          </w:tcPr>
          <w:p w14:paraId="7A7DAC2B">
            <w:pPr>
              <w:rPr>
                <w:sz w:val="2"/>
                <w:szCs w:val="2"/>
              </w:rPr>
            </w:pPr>
          </w:p>
        </w:tc>
        <w:tc>
          <w:tcPr>
            <w:tcW w:w="869" w:type="dxa"/>
            <w:vMerge w:val="continue"/>
            <w:tcBorders>
              <w:top w:val="nil"/>
            </w:tcBorders>
          </w:tcPr>
          <w:p w14:paraId="3A2CE97F">
            <w:pPr>
              <w:rPr>
                <w:sz w:val="2"/>
                <w:szCs w:val="2"/>
              </w:rPr>
            </w:pPr>
          </w:p>
        </w:tc>
        <w:tc>
          <w:tcPr>
            <w:tcW w:w="644" w:type="dxa"/>
          </w:tcPr>
          <w:p w14:paraId="4A3ABE29">
            <w:pPr>
              <w:pStyle w:val="14"/>
              <w:spacing w:before="50" w:line="320" w:lineRule="atLeast"/>
              <w:ind w:left="110" w:right="103"/>
              <w:rPr>
                <w:sz w:val="21"/>
              </w:rPr>
            </w:pPr>
            <w:r>
              <w:rPr>
                <w:w w:val="95"/>
                <w:sz w:val="21"/>
              </w:rPr>
              <w:t>氮氧化物</w:t>
            </w:r>
          </w:p>
        </w:tc>
        <w:tc>
          <w:tcPr>
            <w:tcW w:w="1156" w:type="dxa"/>
          </w:tcPr>
          <w:p w14:paraId="2B5DD458">
            <w:pPr>
              <w:pStyle w:val="14"/>
              <w:spacing w:before="10"/>
              <w:rPr>
                <w:b/>
                <w:sz w:val="19"/>
              </w:rPr>
            </w:pPr>
          </w:p>
          <w:p w14:paraId="1DBC3B1B">
            <w:pPr>
              <w:pStyle w:val="14"/>
              <w:ind w:left="110" w:right="102"/>
              <w:jc w:val="center"/>
              <w:rPr>
                <w:rFonts w:ascii="Times New Roman"/>
                <w:sz w:val="21"/>
              </w:rPr>
            </w:pPr>
            <w:r>
              <w:rPr>
                <w:rFonts w:ascii="Times New Roman"/>
                <w:sz w:val="21"/>
              </w:rPr>
              <w:t>0.021</w:t>
            </w:r>
          </w:p>
        </w:tc>
        <w:tc>
          <w:tcPr>
            <w:tcW w:w="994" w:type="dxa"/>
          </w:tcPr>
          <w:p w14:paraId="0D288F14">
            <w:pPr>
              <w:pStyle w:val="14"/>
              <w:spacing w:before="10"/>
              <w:rPr>
                <w:b/>
                <w:sz w:val="19"/>
              </w:rPr>
            </w:pPr>
          </w:p>
          <w:p w14:paraId="44D88749">
            <w:pPr>
              <w:pStyle w:val="14"/>
              <w:ind w:left="179" w:right="170"/>
              <w:jc w:val="center"/>
              <w:rPr>
                <w:rFonts w:ascii="Times New Roman"/>
                <w:sz w:val="21"/>
              </w:rPr>
            </w:pPr>
            <w:r>
              <w:rPr>
                <w:rFonts w:ascii="Times New Roman"/>
                <w:sz w:val="21"/>
              </w:rPr>
              <w:t>3.82</w:t>
            </w:r>
          </w:p>
        </w:tc>
        <w:tc>
          <w:tcPr>
            <w:tcW w:w="910" w:type="dxa"/>
            <w:vMerge w:val="continue"/>
            <w:tcBorders>
              <w:top w:val="nil"/>
            </w:tcBorders>
          </w:tcPr>
          <w:p w14:paraId="0F25591B">
            <w:pPr>
              <w:rPr>
                <w:sz w:val="2"/>
                <w:szCs w:val="2"/>
              </w:rPr>
            </w:pPr>
          </w:p>
        </w:tc>
        <w:tc>
          <w:tcPr>
            <w:tcW w:w="856" w:type="dxa"/>
          </w:tcPr>
          <w:p w14:paraId="0AB582E8">
            <w:pPr>
              <w:pStyle w:val="14"/>
              <w:spacing w:before="10"/>
              <w:rPr>
                <w:b/>
                <w:sz w:val="19"/>
              </w:rPr>
            </w:pPr>
          </w:p>
          <w:p w14:paraId="045EA170">
            <w:pPr>
              <w:pStyle w:val="14"/>
              <w:ind w:left="224" w:right="213"/>
              <w:jc w:val="center"/>
              <w:rPr>
                <w:rFonts w:ascii="Times New Roman"/>
                <w:sz w:val="21"/>
              </w:rPr>
            </w:pPr>
            <w:r>
              <w:rPr>
                <w:rFonts w:ascii="Times New Roman"/>
                <w:sz w:val="21"/>
              </w:rPr>
              <w:t>200</w:t>
            </w:r>
          </w:p>
        </w:tc>
        <w:tc>
          <w:tcPr>
            <w:tcW w:w="670" w:type="dxa"/>
          </w:tcPr>
          <w:p w14:paraId="5F41F288">
            <w:pPr>
              <w:pStyle w:val="14"/>
              <w:spacing w:before="10"/>
              <w:rPr>
                <w:b/>
                <w:sz w:val="19"/>
              </w:rPr>
            </w:pPr>
          </w:p>
          <w:p w14:paraId="3D0DC323">
            <w:pPr>
              <w:pStyle w:val="14"/>
              <w:ind w:right="294"/>
              <w:jc w:val="right"/>
              <w:rPr>
                <w:rFonts w:ascii="Times New Roman"/>
                <w:sz w:val="21"/>
              </w:rPr>
            </w:pPr>
            <w:r>
              <w:rPr>
                <w:rFonts w:ascii="Times New Roman"/>
                <w:w w:val="99"/>
                <w:sz w:val="21"/>
              </w:rPr>
              <w:t>/</w:t>
            </w:r>
          </w:p>
        </w:tc>
        <w:tc>
          <w:tcPr>
            <w:tcW w:w="551" w:type="dxa"/>
          </w:tcPr>
          <w:p w14:paraId="50077D99">
            <w:pPr>
              <w:pStyle w:val="14"/>
              <w:spacing w:before="9"/>
              <w:rPr>
                <w:b/>
                <w:sz w:val="18"/>
              </w:rPr>
            </w:pPr>
          </w:p>
          <w:p w14:paraId="32BB1A38">
            <w:pPr>
              <w:pStyle w:val="14"/>
              <w:ind w:left="8"/>
              <w:jc w:val="center"/>
              <w:rPr>
                <w:sz w:val="21"/>
              </w:rPr>
            </w:pPr>
            <w:r>
              <w:rPr>
                <w:w w:val="99"/>
                <w:sz w:val="21"/>
              </w:rPr>
              <w:t>是</w:t>
            </w:r>
          </w:p>
        </w:tc>
        <w:tc>
          <w:tcPr>
            <w:tcW w:w="908" w:type="dxa"/>
            <w:vMerge w:val="continue"/>
            <w:tcBorders>
              <w:top w:val="nil"/>
            </w:tcBorders>
          </w:tcPr>
          <w:p w14:paraId="05A54C9C">
            <w:pPr>
              <w:rPr>
                <w:sz w:val="2"/>
                <w:szCs w:val="2"/>
              </w:rPr>
            </w:pPr>
          </w:p>
        </w:tc>
      </w:tr>
      <w:tr w14:paraId="4148A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64" w:type="dxa"/>
            <w:vMerge w:val="restart"/>
          </w:tcPr>
          <w:p w14:paraId="68C3FDBA">
            <w:pPr>
              <w:pStyle w:val="14"/>
              <w:rPr>
                <w:b/>
                <w:sz w:val="20"/>
              </w:rPr>
            </w:pPr>
          </w:p>
          <w:p w14:paraId="3F3FA6E5">
            <w:pPr>
              <w:pStyle w:val="14"/>
              <w:spacing w:before="172"/>
              <w:ind w:left="270"/>
              <w:rPr>
                <w:sz w:val="21"/>
              </w:rPr>
            </w:pPr>
            <w:r>
              <w:rPr>
                <w:sz w:val="21"/>
              </w:rPr>
              <w:t>厂界</w:t>
            </w:r>
          </w:p>
        </w:tc>
        <w:tc>
          <w:tcPr>
            <w:tcW w:w="869" w:type="dxa"/>
            <w:vMerge w:val="restart"/>
          </w:tcPr>
          <w:p w14:paraId="1A591F6B">
            <w:pPr>
              <w:pStyle w:val="14"/>
              <w:rPr>
                <w:b/>
                <w:sz w:val="22"/>
              </w:rPr>
            </w:pPr>
          </w:p>
          <w:p w14:paraId="699D8EC3">
            <w:pPr>
              <w:pStyle w:val="14"/>
              <w:spacing w:before="160"/>
              <w:ind w:left="6"/>
              <w:jc w:val="center"/>
              <w:rPr>
                <w:rFonts w:ascii="Times New Roman"/>
                <w:sz w:val="21"/>
              </w:rPr>
            </w:pPr>
            <w:r>
              <w:rPr>
                <w:rFonts w:ascii="Times New Roman"/>
                <w:w w:val="99"/>
                <w:sz w:val="21"/>
              </w:rPr>
              <w:t>/</w:t>
            </w:r>
          </w:p>
        </w:tc>
        <w:tc>
          <w:tcPr>
            <w:tcW w:w="644" w:type="dxa"/>
          </w:tcPr>
          <w:p w14:paraId="3A71DD08">
            <w:pPr>
              <w:pStyle w:val="14"/>
              <w:spacing w:before="57" w:line="242" w:lineRule="exact"/>
              <w:ind w:left="115" w:right="107"/>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156" w:type="dxa"/>
          </w:tcPr>
          <w:p w14:paraId="1CC9E214">
            <w:pPr>
              <w:pStyle w:val="14"/>
              <w:spacing w:before="39"/>
              <w:ind w:left="108" w:right="102"/>
              <w:jc w:val="center"/>
              <w:rPr>
                <w:rFonts w:ascii="Times New Roman"/>
                <w:sz w:val="21"/>
              </w:rPr>
            </w:pPr>
            <w:r>
              <w:rPr>
                <w:rFonts w:ascii="Times New Roman"/>
                <w:sz w:val="21"/>
              </w:rPr>
              <w:t>0.0184</w:t>
            </w:r>
          </w:p>
        </w:tc>
        <w:tc>
          <w:tcPr>
            <w:tcW w:w="994" w:type="dxa"/>
          </w:tcPr>
          <w:p w14:paraId="3C0CFA8C">
            <w:pPr>
              <w:pStyle w:val="14"/>
              <w:spacing w:before="39"/>
              <w:ind w:left="10"/>
              <w:jc w:val="center"/>
              <w:rPr>
                <w:rFonts w:ascii="Times New Roman"/>
                <w:sz w:val="21"/>
              </w:rPr>
            </w:pPr>
            <w:r>
              <w:rPr>
                <w:rFonts w:ascii="Times New Roman"/>
                <w:w w:val="99"/>
                <w:sz w:val="21"/>
              </w:rPr>
              <w:t>/</w:t>
            </w:r>
          </w:p>
        </w:tc>
        <w:tc>
          <w:tcPr>
            <w:tcW w:w="910" w:type="dxa"/>
          </w:tcPr>
          <w:p w14:paraId="7C65E1A0">
            <w:pPr>
              <w:pStyle w:val="14"/>
              <w:spacing w:before="39"/>
              <w:ind w:left="7"/>
              <w:jc w:val="center"/>
              <w:rPr>
                <w:rFonts w:ascii="Times New Roman"/>
                <w:sz w:val="21"/>
              </w:rPr>
            </w:pPr>
            <w:r>
              <w:rPr>
                <w:rFonts w:ascii="Times New Roman"/>
                <w:w w:val="99"/>
                <w:sz w:val="21"/>
              </w:rPr>
              <w:t>/</w:t>
            </w:r>
          </w:p>
        </w:tc>
        <w:tc>
          <w:tcPr>
            <w:tcW w:w="856" w:type="dxa"/>
          </w:tcPr>
          <w:p w14:paraId="1794ADB1">
            <w:pPr>
              <w:pStyle w:val="14"/>
              <w:spacing w:before="39"/>
              <w:ind w:left="219" w:right="213"/>
              <w:jc w:val="center"/>
              <w:rPr>
                <w:rFonts w:ascii="Times New Roman"/>
                <w:sz w:val="21"/>
              </w:rPr>
            </w:pPr>
            <w:r>
              <w:rPr>
                <w:rFonts w:ascii="Times New Roman"/>
                <w:sz w:val="21"/>
              </w:rPr>
              <w:t>1.5</w:t>
            </w:r>
          </w:p>
        </w:tc>
        <w:tc>
          <w:tcPr>
            <w:tcW w:w="670" w:type="dxa"/>
          </w:tcPr>
          <w:p w14:paraId="008E87AF">
            <w:pPr>
              <w:pStyle w:val="14"/>
              <w:spacing w:before="39"/>
              <w:ind w:right="294"/>
              <w:jc w:val="right"/>
              <w:rPr>
                <w:rFonts w:ascii="Times New Roman"/>
                <w:sz w:val="21"/>
              </w:rPr>
            </w:pPr>
            <w:r>
              <w:rPr>
                <w:rFonts w:ascii="Times New Roman"/>
                <w:w w:val="99"/>
                <w:sz w:val="21"/>
              </w:rPr>
              <w:t>/</w:t>
            </w:r>
          </w:p>
        </w:tc>
        <w:tc>
          <w:tcPr>
            <w:tcW w:w="551" w:type="dxa"/>
          </w:tcPr>
          <w:p w14:paraId="07C705E6">
            <w:pPr>
              <w:pStyle w:val="14"/>
              <w:spacing w:before="39"/>
              <w:ind w:left="6"/>
              <w:jc w:val="center"/>
              <w:rPr>
                <w:rFonts w:ascii="Times New Roman"/>
                <w:sz w:val="21"/>
              </w:rPr>
            </w:pPr>
            <w:r>
              <w:rPr>
                <w:rFonts w:ascii="Times New Roman"/>
                <w:w w:val="99"/>
                <w:sz w:val="21"/>
              </w:rPr>
              <w:t>/</w:t>
            </w:r>
          </w:p>
        </w:tc>
        <w:tc>
          <w:tcPr>
            <w:tcW w:w="908" w:type="dxa"/>
            <w:vMerge w:val="restart"/>
          </w:tcPr>
          <w:p w14:paraId="77A4208B">
            <w:pPr>
              <w:pStyle w:val="14"/>
              <w:spacing w:before="20" w:line="242" w:lineRule="auto"/>
              <w:ind w:left="137" w:right="129"/>
              <w:jc w:val="both"/>
              <w:rPr>
                <w:sz w:val="21"/>
              </w:rPr>
            </w:pPr>
            <w:r>
              <w:rPr>
                <w:sz w:val="21"/>
              </w:rPr>
              <w:t>《恶臭污染物排放标准》</w:t>
            </w:r>
          </w:p>
        </w:tc>
      </w:tr>
      <w:tr w14:paraId="5962E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964" w:type="dxa"/>
            <w:vMerge w:val="continue"/>
            <w:tcBorders>
              <w:top w:val="nil"/>
            </w:tcBorders>
          </w:tcPr>
          <w:p w14:paraId="7773C391">
            <w:pPr>
              <w:rPr>
                <w:sz w:val="2"/>
                <w:szCs w:val="2"/>
              </w:rPr>
            </w:pPr>
          </w:p>
        </w:tc>
        <w:tc>
          <w:tcPr>
            <w:tcW w:w="869" w:type="dxa"/>
            <w:vMerge w:val="continue"/>
            <w:tcBorders>
              <w:top w:val="nil"/>
            </w:tcBorders>
          </w:tcPr>
          <w:p w14:paraId="3AFFD861">
            <w:pPr>
              <w:rPr>
                <w:sz w:val="2"/>
                <w:szCs w:val="2"/>
              </w:rPr>
            </w:pPr>
          </w:p>
        </w:tc>
        <w:tc>
          <w:tcPr>
            <w:tcW w:w="644" w:type="dxa"/>
          </w:tcPr>
          <w:p w14:paraId="2F171D1E">
            <w:pPr>
              <w:pStyle w:val="14"/>
              <w:spacing w:before="1"/>
              <w:rPr>
                <w:b/>
                <w:sz w:val="23"/>
              </w:rPr>
            </w:pPr>
          </w:p>
          <w:p w14:paraId="6F5F5866">
            <w:pPr>
              <w:pStyle w:val="14"/>
              <w:spacing w:before="1"/>
              <w:ind w:left="115" w:right="107"/>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156" w:type="dxa"/>
          </w:tcPr>
          <w:p w14:paraId="7C734055">
            <w:pPr>
              <w:pStyle w:val="14"/>
              <w:spacing w:before="9"/>
              <w:rPr>
                <w:b/>
                <w:sz w:val="21"/>
              </w:rPr>
            </w:pPr>
          </w:p>
          <w:p w14:paraId="30784AA8">
            <w:pPr>
              <w:pStyle w:val="14"/>
              <w:ind w:left="108" w:right="102"/>
              <w:jc w:val="center"/>
              <w:rPr>
                <w:rFonts w:ascii="Times New Roman"/>
                <w:sz w:val="21"/>
              </w:rPr>
            </w:pPr>
            <w:r>
              <w:rPr>
                <w:rFonts w:ascii="Times New Roman"/>
                <w:sz w:val="21"/>
              </w:rPr>
              <w:t>0.00126</w:t>
            </w:r>
          </w:p>
        </w:tc>
        <w:tc>
          <w:tcPr>
            <w:tcW w:w="994" w:type="dxa"/>
          </w:tcPr>
          <w:p w14:paraId="763CD5B0">
            <w:pPr>
              <w:pStyle w:val="14"/>
              <w:spacing w:before="9"/>
              <w:rPr>
                <w:b/>
                <w:sz w:val="21"/>
              </w:rPr>
            </w:pPr>
          </w:p>
          <w:p w14:paraId="43C1920B">
            <w:pPr>
              <w:pStyle w:val="14"/>
              <w:ind w:left="10"/>
              <w:jc w:val="center"/>
              <w:rPr>
                <w:rFonts w:ascii="Times New Roman"/>
                <w:sz w:val="21"/>
              </w:rPr>
            </w:pPr>
            <w:r>
              <w:rPr>
                <w:rFonts w:ascii="Times New Roman"/>
                <w:w w:val="99"/>
                <w:sz w:val="21"/>
              </w:rPr>
              <w:t>/</w:t>
            </w:r>
          </w:p>
        </w:tc>
        <w:tc>
          <w:tcPr>
            <w:tcW w:w="910" w:type="dxa"/>
          </w:tcPr>
          <w:p w14:paraId="46CC61C5">
            <w:pPr>
              <w:pStyle w:val="14"/>
              <w:spacing w:before="9"/>
              <w:rPr>
                <w:b/>
                <w:sz w:val="21"/>
              </w:rPr>
            </w:pPr>
          </w:p>
          <w:p w14:paraId="1129A6EC">
            <w:pPr>
              <w:pStyle w:val="14"/>
              <w:ind w:left="7"/>
              <w:jc w:val="center"/>
              <w:rPr>
                <w:rFonts w:ascii="Times New Roman"/>
                <w:sz w:val="21"/>
              </w:rPr>
            </w:pPr>
            <w:r>
              <w:rPr>
                <w:rFonts w:ascii="Times New Roman"/>
                <w:w w:val="99"/>
                <w:sz w:val="21"/>
              </w:rPr>
              <w:t>/</w:t>
            </w:r>
          </w:p>
        </w:tc>
        <w:tc>
          <w:tcPr>
            <w:tcW w:w="856" w:type="dxa"/>
          </w:tcPr>
          <w:p w14:paraId="2E3F2C90">
            <w:pPr>
              <w:pStyle w:val="14"/>
              <w:spacing w:before="9"/>
              <w:rPr>
                <w:b/>
                <w:sz w:val="21"/>
              </w:rPr>
            </w:pPr>
          </w:p>
          <w:p w14:paraId="430E103E">
            <w:pPr>
              <w:pStyle w:val="14"/>
              <w:ind w:left="224" w:right="213"/>
              <w:jc w:val="center"/>
              <w:rPr>
                <w:rFonts w:ascii="Times New Roman"/>
                <w:sz w:val="21"/>
              </w:rPr>
            </w:pPr>
            <w:r>
              <w:rPr>
                <w:rFonts w:ascii="Times New Roman"/>
                <w:sz w:val="21"/>
              </w:rPr>
              <w:t>0.06</w:t>
            </w:r>
          </w:p>
        </w:tc>
        <w:tc>
          <w:tcPr>
            <w:tcW w:w="670" w:type="dxa"/>
          </w:tcPr>
          <w:p w14:paraId="3EA98ECB">
            <w:pPr>
              <w:pStyle w:val="14"/>
              <w:spacing w:before="9"/>
              <w:rPr>
                <w:b/>
                <w:sz w:val="21"/>
              </w:rPr>
            </w:pPr>
          </w:p>
          <w:p w14:paraId="3638AFED">
            <w:pPr>
              <w:pStyle w:val="14"/>
              <w:ind w:right="294"/>
              <w:jc w:val="right"/>
              <w:rPr>
                <w:rFonts w:ascii="Times New Roman"/>
                <w:sz w:val="21"/>
              </w:rPr>
            </w:pPr>
            <w:r>
              <w:rPr>
                <w:rFonts w:ascii="Times New Roman"/>
                <w:w w:val="99"/>
                <w:sz w:val="21"/>
              </w:rPr>
              <w:t>/</w:t>
            </w:r>
          </w:p>
        </w:tc>
        <w:tc>
          <w:tcPr>
            <w:tcW w:w="551" w:type="dxa"/>
          </w:tcPr>
          <w:p w14:paraId="0716DF4D">
            <w:pPr>
              <w:pStyle w:val="14"/>
              <w:spacing w:before="9"/>
              <w:rPr>
                <w:b/>
                <w:sz w:val="21"/>
              </w:rPr>
            </w:pPr>
          </w:p>
          <w:p w14:paraId="6C9B2760">
            <w:pPr>
              <w:pStyle w:val="14"/>
              <w:ind w:left="6"/>
              <w:jc w:val="center"/>
              <w:rPr>
                <w:rFonts w:ascii="Times New Roman"/>
                <w:sz w:val="21"/>
              </w:rPr>
            </w:pPr>
            <w:r>
              <w:rPr>
                <w:rFonts w:ascii="Times New Roman"/>
                <w:w w:val="99"/>
                <w:sz w:val="21"/>
              </w:rPr>
              <w:t>/</w:t>
            </w:r>
          </w:p>
        </w:tc>
        <w:tc>
          <w:tcPr>
            <w:tcW w:w="908" w:type="dxa"/>
            <w:vMerge w:val="continue"/>
            <w:tcBorders>
              <w:top w:val="nil"/>
            </w:tcBorders>
          </w:tcPr>
          <w:p w14:paraId="2709AB4B">
            <w:pPr>
              <w:rPr>
                <w:sz w:val="2"/>
                <w:szCs w:val="2"/>
              </w:rPr>
            </w:pPr>
          </w:p>
        </w:tc>
      </w:tr>
    </w:tbl>
    <w:p w14:paraId="460519D1">
      <w:pPr>
        <w:pStyle w:val="7"/>
        <w:spacing w:line="364" w:lineRule="auto"/>
        <w:ind w:left="460" w:right="625" w:firstLine="480"/>
        <w:jc w:val="both"/>
      </w:pPr>
      <w:r>
        <w:t>由上表可知，项目各排气筒排放的污染物浓度、速率、排气筒高度均分别满足《恶臭污染物排放标准》</w:t>
      </w:r>
      <w:r>
        <w:rPr>
          <w:rFonts w:ascii="Times New Roman" w:eastAsia="Times New Roman"/>
        </w:rPr>
        <w:t xml:space="preserve">(GB14554-93) </w:t>
      </w:r>
      <w:r>
        <w:rPr>
          <w:sz w:val="21"/>
        </w:rPr>
        <w:t>和</w:t>
      </w:r>
      <w:r>
        <w:t>《锅炉大气污染物排放标准》中的对应要求。因此，本项目废气排气筒设计可行，高度合理，项目有组织排放的污染物能实现达标排放。</w:t>
      </w:r>
    </w:p>
    <w:p w14:paraId="022048A7">
      <w:pPr>
        <w:pStyle w:val="6"/>
        <w:ind w:left="460"/>
      </w:pPr>
      <w:bookmarkStart w:id="171" w:name="5.2.1.4大气污染物排放量核算"/>
      <w:bookmarkEnd w:id="171"/>
      <w:r>
        <w:rPr>
          <w:rFonts w:ascii="Times New Roman" w:eastAsia="Times New Roman"/>
        </w:rPr>
        <w:t xml:space="preserve">5.2.1.4 </w:t>
      </w:r>
      <w:r>
        <w:t>大气污染物排放量核算</w:t>
      </w:r>
    </w:p>
    <w:p w14:paraId="433804ED">
      <w:pPr>
        <w:pStyle w:val="7"/>
        <w:spacing w:before="158" w:line="364" w:lineRule="auto"/>
        <w:ind w:left="460" w:right="477" w:firstLine="480"/>
        <w:jc w:val="both"/>
      </w:pPr>
      <w:r>
        <w:rPr>
          <w:spacing w:val="-3"/>
        </w:rPr>
        <w:t>根据《环境影响评价技术导则 大气环境》</w:t>
      </w:r>
      <w:r>
        <w:t>（</w:t>
      </w:r>
      <w:r>
        <w:rPr>
          <w:rFonts w:ascii="Times New Roman" w:eastAsia="Times New Roman"/>
        </w:rPr>
        <w:t>HJ2.2-2018</w:t>
      </w:r>
      <w:r>
        <w:t>）</w:t>
      </w:r>
      <w:r>
        <w:rPr>
          <w:spacing w:val="-12"/>
        </w:rPr>
        <w:t xml:space="preserve">中附录 </w:t>
      </w:r>
      <w:r>
        <w:rPr>
          <w:rFonts w:ascii="Times New Roman" w:eastAsia="Times New Roman"/>
        </w:rPr>
        <w:t xml:space="preserve">A </w:t>
      </w:r>
      <w:r>
        <w:rPr>
          <w:spacing w:val="0"/>
        </w:rPr>
        <w:t>估算模</w:t>
      </w:r>
      <w:r>
        <w:t>式，本项目大气评价等级设为二级。故本评价不进行进一步的预测与评价，只需对污染物排放量进行核算。</w:t>
      </w:r>
    </w:p>
    <w:p w14:paraId="6A6EE71E">
      <w:pPr>
        <w:pStyle w:val="7"/>
        <w:spacing w:line="307" w:lineRule="exact"/>
        <w:ind w:left="940"/>
      </w:pPr>
      <w:r>
        <w:rPr>
          <w:rFonts w:ascii="Times New Roman" w:eastAsia="Times New Roman"/>
        </w:rPr>
        <w:t>1</w:t>
      </w:r>
      <w:r>
        <w:t>、有组织排放量核算</w:t>
      </w:r>
    </w:p>
    <w:p w14:paraId="395C0032">
      <w:pPr>
        <w:pStyle w:val="7"/>
        <w:spacing w:before="158" w:line="364" w:lineRule="auto"/>
        <w:ind w:left="460" w:right="477" w:firstLine="480"/>
        <w:jc w:val="both"/>
      </w:pPr>
      <w:r>
        <w:t>根据《排污许可证申请与核发技术规范农副食品加工工业一屠宰及肉类加工工业》</w:t>
      </w:r>
      <w:r>
        <w:rPr>
          <w:rFonts w:ascii="Times New Roman" w:eastAsia="Times New Roman"/>
        </w:rPr>
        <w:t>(HJ860.3-2018)</w:t>
      </w:r>
      <w:r>
        <w:t xml:space="preserve">，屠宰及肉类加工工业排污单位废气主要排放口为锅炉烟囱，其他废气排放口均为一般排放口。本项目无锅炉废气，废气排放口均为一般排放口。根据工程分析，项目 </w:t>
      </w:r>
      <w:r>
        <w:rPr>
          <w:rFonts w:ascii="Times New Roman" w:eastAsia="Times New Roman"/>
        </w:rPr>
        <w:t>1#~3#</w:t>
      </w:r>
      <w:r>
        <w:t>排气筒废气污染物排放量核算情况详见下表。</w:t>
      </w:r>
    </w:p>
    <w:p w14:paraId="0A0C156A">
      <w:pPr>
        <w:spacing w:before="0" w:after="3" w:line="267" w:lineRule="exact"/>
        <w:ind w:left="2732" w:right="0" w:firstLine="0"/>
        <w:jc w:val="left"/>
        <w:rPr>
          <w:b/>
          <w:sz w:val="21"/>
        </w:rPr>
      </w:pPr>
      <w:r>
        <w:rPr>
          <w:b/>
          <w:sz w:val="21"/>
        </w:rPr>
        <w:t xml:space="preserve">表 </w:t>
      </w:r>
      <w:r>
        <w:rPr>
          <w:rFonts w:ascii="Times New Roman" w:eastAsia="Times New Roman"/>
          <w:b/>
          <w:sz w:val="21"/>
        </w:rPr>
        <w:t xml:space="preserve">5.2-2 </w:t>
      </w:r>
      <w:r>
        <w:rPr>
          <w:b/>
          <w:sz w:val="21"/>
        </w:rPr>
        <w:t>大气污染物有组织排放量核算表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
        <w:gridCol w:w="1135"/>
        <w:gridCol w:w="1094"/>
        <w:gridCol w:w="1895"/>
        <w:gridCol w:w="1965"/>
        <w:gridCol w:w="1860"/>
      </w:tblGrid>
      <w:tr w14:paraId="1EF02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73" w:type="dxa"/>
          </w:tcPr>
          <w:p w14:paraId="001E977D">
            <w:pPr>
              <w:pStyle w:val="14"/>
              <w:spacing w:before="2"/>
              <w:ind w:left="179"/>
              <w:rPr>
                <w:b/>
                <w:sz w:val="21"/>
              </w:rPr>
            </w:pPr>
            <w:r>
              <w:rPr>
                <w:b/>
                <w:w w:val="99"/>
                <w:sz w:val="21"/>
              </w:rPr>
              <w:t>序</w:t>
            </w:r>
          </w:p>
          <w:p w14:paraId="3725C742">
            <w:pPr>
              <w:pStyle w:val="14"/>
              <w:spacing w:before="2" w:line="252" w:lineRule="exact"/>
              <w:ind w:left="179"/>
              <w:rPr>
                <w:b/>
                <w:sz w:val="21"/>
              </w:rPr>
            </w:pPr>
            <w:r>
              <w:rPr>
                <w:b/>
                <w:w w:val="99"/>
                <w:sz w:val="21"/>
              </w:rPr>
              <w:t>号</w:t>
            </w:r>
          </w:p>
        </w:tc>
        <w:tc>
          <w:tcPr>
            <w:tcW w:w="1135" w:type="dxa"/>
          </w:tcPr>
          <w:p w14:paraId="6D03E773">
            <w:pPr>
              <w:pStyle w:val="14"/>
              <w:spacing w:before="2"/>
              <w:ind w:left="126" w:right="115"/>
              <w:jc w:val="center"/>
              <w:rPr>
                <w:b/>
                <w:sz w:val="21"/>
              </w:rPr>
            </w:pPr>
            <w:r>
              <w:rPr>
                <w:b/>
                <w:sz w:val="21"/>
              </w:rPr>
              <w:t>排放口编</w:t>
            </w:r>
          </w:p>
          <w:p w14:paraId="5F55EC35">
            <w:pPr>
              <w:pStyle w:val="14"/>
              <w:spacing w:before="2" w:line="252" w:lineRule="exact"/>
              <w:ind w:left="6"/>
              <w:jc w:val="center"/>
              <w:rPr>
                <w:b/>
                <w:sz w:val="21"/>
              </w:rPr>
            </w:pPr>
            <w:r>
              <w:rPr>
                <w:b/>
                <w:w w:val="99"/>
                <w:sz w:val="21"/>
              </w:rPr>
              <w:t>号</w:t>
            </w:r>
          </w:p>
        </w:tc>
        <w:tc>
          <w:tcPr>
            <w:tcW w:w="1094" w:type="dxa"/>
          </w:tcPr>
          <w:p w14:paraId="43789D18">
            <w:pPr>
              <w:pStyle w:val="14"/>
              <w:spacing w:before="136"/>
              <w:ind w:left="70" w:right="97"/>
              <w:jc w:val="center"/>
              <w:rPr>
                <w:b/>
                <w:sz w:val="21"/>
              </w:rPr>
            </w:pPr>
            <w:r>
              <w:rPr>
                <w:b/>
                <w:sz w:val="21"/>
              </w:rPr>
              <w:t>污染物</w:t>
            </w:r>
          </w:p>
        </w:tc>
        <w:tc>
          <w:tcPr>
            <w:tcW w:w="1895" w:type="dxa"/>
          </w:tcPr>
          <w:p w14:paraId="7F914780">
            <w:pPr>
              <w:pStyle w:val="14"/>
              <w:spacing w:before="2"/>
              <w:ind w:left="172" w:right="164"/>
              <w:jc w:val="center"/>
              <w:rPr>
                <w:rFonts w:ascii="Times New Roman" w:eastAsia="Times New Roman"/>
                <w:b/>
                <w:sz w:val="21"/>
              </w:rPr>
            </w:pPr>
            <w:r>
              <w:rPr>
                <w:b/>
                <w:sz w:val="21"/>
              </w:rPr>
              <w:t>核算排放浓度</w:t>
            </w:r>
            <w:r>
              <w:rPr>
                <w:rFonts w:ascii="Times New Roman" w:eastAsia="Times New Roman"/>
                <w:b/>
                <w:sz w:val="21"/>
              </w:rPr>
              <w:t>/</w:t>
            </w:r>
          </w:p>
          <w:p w14:paraId="2A3CD9F8">
            <w:pPr>
              <w:pStyle w:val="14"/>
              <w:spacing w:before="2" w:line="252" w:lineRule="exact"/>
              <w:ind w:left="172" w:right="167"/>
              <w:jc w:val="center"/>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965" w:type="dxa"/>
          </w:tcPr>
          <w:p w14:paraId="022BCEF1">
            <w:pPr>
              <w:pStyle w:val="14"/>
              <w:spacing w:before="2"/>
              <w:ind w:left="299" w:right="292"/>
              <w:jc w:val="center"/>
              <w:rPr>
                <w:rFonts w:ascii="Times New Roman" w:eastAsia="Times New Roman"/>
                <w:b/>
                <w:sz w:val="21"/>
              </w:rPr>
            </w:pPr>
            <w:r>
              <w:rPr>
                <w:b/>
                <w:sz w:val="21"/>
              </w:rPr>
              <w:t>核算排放速率</w:t>
            </w:r>
            <w:r>
              <w:rPr>
                <w:rFonts w:ascii="Times New Roman" w:eastAsia="Times New Roman"/>
                <w:b/>
                <w:sz w:val="21"/>
              </w:rPr>
              <w:t>/</w:t>
            </w:r>
          </w:p>
          <w:p w14:paraId="040928D5">
            <w:pPr>
              <w:pStyle w:val="14"/>
              <w:spacing w:before="2" w:line="252" w:lineRule="exact"/>
              <w:ind w:left="299" w:right="292"/>
              <w:jc w:val="center"/>
              <w:rPr>
                <w:b/>
                <w:sz w:val="21"/>
              </w:rPr>
            </w:pPr>
            <w:r>
              <w:rPr>
                <w:b/>
                <w:sz w:val="21"/>
              </w:rPr>
              <w:t>（</w:t>
            </w:r>
            <w:r>
              <w:rPr>
                <w:rFonts w:ascii="Times New Roman" w:eastAsia="Times New Roman"/>
                <w:b/>
                <w:sz w:val="21"/>
              </w:rPr>
              <w:t>kg/h</w:t>
            </w:r>
            <w:r>
              <w:rPr>
                <w:b/>
                <w:sz w:val="21"/>
              </w:rPr>
              <w:t>）</w:t>
            </w:r>
          </w:p>
        </w:tc>
        <w:tc>
          <w:tcPr>
            <w:tcW w:w="1860" w:type="dxa"/>
          </w:tcPr>
          <w:p w14:paraId="499716D3">
            <w:pPr>
              <w:pStyle w:val="14"/>
              <w:spacing w:before="2"/>
              <w:ind w:left="246" w:right="240"/>
              <w:jc w:val="center"/>
              <w:rPr>
                <w:rFonts w:ascii="Times New Roman" w:eastAsia="Times New Roman"/>
                <w:b/>
                <w:sz w:val="21"/>
              </w:rPr>
            </w:pPr>
            <w:r>
              <w:rPr>
                <w:b/>
                <w:sz w:val="21"/>
              </w:rPr>
              <w:t>核算年排放量</w:t>
            </w:r>
            <w:r>
              <w:rPr>
                <w:rFonts w:ascii="Times New Roman" w:eastAsia="Times New Roman"/>
                <w:b/>
                <w:sz w:val="21"/>
              </w:rPr>
              <w:t>/</w:t>
            </w:r>
          </w:p>
          <w:p w14:paraId="7D1D0FFE">
            <w:pPr>
              <w:pStyle w:val="14"/>
              <w:spacing w:before="2" w:line="252" w:lineRule="exact"/>
              <w:ind w:left="246" w:right="238"/>
              <w:jc w:val="center"/>
              <w:rPr>
                <w:b/>
                <w:sz w:val="21"/>
              </w:rPr>
            </w:pPr>
            <w:r>
              <w:rPr>
                <w:b/>
                <w:sz w:val="21"/>
              </w:rPr>
              <w:t>（</w:t>
            </w:r>
            <w:r>
              <w:rPr>
                <w:rFonts w:ascii="Times New Roman" w:eastAsia="Times New Roman"/>
                <w:b/>
                <w:sz w:val="21"/>
              </w:rPr>
              <w:t>t/a</w:t>
            </w:r>
            <w:r>
              <w:rPr>
                <w:b/>
                <w:sz w:val="21"/>
              </w:rPr>
              <w:t>）</w:t>
            </w:r>
          </w:p>
        </w:tc>
      </w:tr>
      <w:tr w14:paraId="4866A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1DD00C13">
            <w:pPr>
              <w:pStyle w:val="14"/>
              <w:spacing w:before="90"/>
              <w:ind w:left="3090" w:right="3080"/>
              <w:jc w:val="center"/>
              <w:rPr>
                <w:sz w:val="21"/>
              </w:rPr>
            </w:pPr>
            <w:r>
              <w:rPr>
                <w:sz w:val="21"/>
              </w:rPr>
              <w:t>主要排放口</w:t>
            </w:r>
          </w:p>
        </w:tc>
      </w:tr>
      <w:tr w14:paraId="1A9EB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3" w:type="dxa"/>
          </w:tcPr>
          <w:p w14:paraId="030C695D">
            <w:pPr>
              <w:pStyle w:val="14"/>
              <w:spacing w:before="105"/>
              <w:ind w:left="6"/>
              <w:jc w:val="center"/>
              <w:rPr>
                <w:rFonts w:ascii="Times New Roman"/>
                <w:b/>
                <w:sz w:val="21"/>
              </w:rPr>
            </w:pPr>
            <w:r>
              <w:rPr>
                <w:rFonts w:ascii="Times New Roman"/>
                <w:b/>
                <w:w w:val="99"/>
                <w:sz w:val="21"/>
              </w:rPr>
              <w:t>1</w:t>
            </w:r>
          </w:p>
        </w:tc>
        <w:tc>
          <w:tcPr>
            <w:tcW w:w="1135" w:type="dxa"/>
            <w:vMerge w:val="restart"/>
          </w:tcPr>
          <w:p w14:paraId="4DDB6D96">
            <w:pPr>
              <w:pStyle w:val="14"/>
              <w:spacing w:before="2"/>
              <w:rPr>
                <w:b/>
                <w:sz w:val="26"/>
              </w:rPr>
            </w:pPr>
          </w:p>
          <w:p w14:paraId="71E8EC01">
            <w:pPr>
              <w:pStyle w:val="14"/>
              <w:spacing w:before="1"/>
              <w:ind w:left="257"/>
              <w:rPr>
                <w:rFonts w:ascii="Times New Roman"/>
                <w:sz w:val="21"/>
              </w:rPr>
            </w:pPr>
            <w:r>
              <w:rPr>
                <w:rFonts w:ascii="Times New Roman"/>
                <w:sz w:val="21"/>
              </w:rPr>
              <w:t>DA004</w:t>
            </w:r>
          </w:p>
        </w:tc>
        <w:tc>
          <w:tcPr>
            <w:tcW w:w="1094" w:type="dxa"/>
          </w:tcPr>
          <w:p w14:paraId="2F6AE5AC">
            <w:pPr>
              <w:pStyle w:val="14"/>
              <w:spacing w:before="113"/>
              <w:ind w:left="106" w:right="97"/>
              <w:jc w:val="center"/>
              <w:rPr>
                <w:sz w:val="21"/>
              </w:rPr>
            </w:pPr>
            <w:r>
              <w:rPr>
                <w:sz w:val="21"/>
              </w:rPr>
              <w:t>二氧化硫</w:t>
            </w:r>
          </w:p>
        </w:tc>
        <w:tc>
          <w:tcPr>
            <w:tcW w:w="1895" w:type="dxa"/>
          </w:tcPr>
          <w:p w14:paraId="6F5E3D99">
            <w:pPr>
              <w:pStyle w:val="14"/>
              <w:spacing w:before="105"/>
              <w:ind w:left="761"/>
              <w:rPr>
                <w:rFonts w:ascii="Times New Roman"/>
                <w:sz w:val="21"/>
              </w:rPr>
            </w:pPr>
            <w:r>
              <w:rPr>
                <w:rFonts w:ascii="Times New Roman"/>
                <w:sz w:val="21"/>
              </w:rPr>
              <w:t>3.16</w:t>
            </w:r>
          </w:p>
        </w:tc>
        <w:tc>
          <w:tcPr>
            <w:tcW w:w="1965" w:type="dxa"/>
          </w:tcPr>
          <w:p w14:paraId="74D15FED">
            <w:pPr>
              <w:pStyle w:val="14"/>
              <w:spacing w:before="105"/>
              <w:ind w:left="299" w:right="291"/>
              <w:jc w:val="center"/>
              <w:rPr>
                <w:rFonts w:ascii="Times New Roman"/>
                <w:sz w:val="21"/>
              </w:rPr>
            </w:pPr>
            <w:r>
              <w:rPr>
                <w:rFonts w:ascii="Times New Roman"/>
                <w:sz w:val="21"/>
              </w:rPr>
              <w:t>0.0174</w:t>
            </w:r>
          </w:p>
        </w:tc>
        <w:tc>
          <w:tcPr>
            <w:tcW w:w="1860" w:type="dxa"/>
          </w:tcPr>
          <w:p w14:paraId="6754CB14">
            <w:pPr>
              <w:pStyle w:val="14"/>
              <w:spacing w:before="105"/>
              <w:ind w:left="246" w:right="240"/>
              <w:jc w:val="center"/>
              <w:rPr>
                <w:rFonts w:ascii="Times New Roman"/>
                <w:sz w:val="21"/>
              </w:rPr>
            </w:pPr>
            <w:r>
              <w:rPr>
                <w:rFonts w:ascii="Times New Roman"/>
                <w:sz w:val="21"/>
              </w:rPr>
              <w:t>0.1</w:t>
            </w:r>
          </w:p>
        </w:tc>
      </w:tr>
      <w:tr w14:paraId="30BD8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3" w:type="dxa"/>
          </w:tcPr>
          <w:p w14:paraId="6D5ED92A">
            <w:pPr>
              <w:pStyle w:val="14"/>
              <w:spacing w:before="104"/>
              <w:ind w:left="6"/>
              <w:jc w:val="center"/>
              <w:rPr>
                <w:rFonts w:ascii="Times New Roman"/>
                <w:b/>
                <w:sz w:val="21"/>
              </w:rPr>
            </w:pPr>
            <w:r>
              <w:rPr>
                <w:rFonts w:ascii="Times New Roman"/>
                <w:b/>
                <w:w w:val="99"/>
                <w:sz w:val="21"/>
              </w:rPr>
              <w:t>2</w:t>
            </w:r>
          </w:p>
        </w:tc>
        <w:tc>
          <w:tcPr>
            <w:tcW w:w="1135" w:type="dxa"/>
            <w:vMerge w:val="continue"/>
            <w:tcBorders>
              <w:top w:val="nil"/>
            </w:tcBorders>
          </w:tcPr>
          <w:p w14:paraId="7527C927">
            <w:pPr>
              <w:rPr>
                <w:sz w:val="2"/>
                <w:szCs w:val="2"/>
              </w:rPr>
            </w:pPr>
          </w:p>
        </w:tc>
        <w:tc>
          <w:tcPr>
            <w:tcW w:w="1094" w:type="dxa"/>
          </w:tcPr>
          <w:p w14:paraId="1A377A31">
            <w:pPr>
              <w:pStyle w:val="14"/>
              <w:spacing w:before="112"/>
              <w:ind w:left="106" w:right="97"/>
              <w:jc w:val="center"/>
              <w:rPr>
                <w:sz w:val="21"/>
              </w:rPr>
            </w:pPr>
            <w:r>
              <w:rPr>
                <w:sz w:val="21"/>
              </w:rPr>
              <w:t>氮氧化物</w:t>
            </w:r>
          </w:p>
        </w:tc>
        <w:tc>
          <w:tcPr>
            <w:tcW w:w="1895" w:type="dxa"/>
          </w:tcPr>
          <w:p w14:paraId="7F4DE67D">
            <w:pPr>
              <w:pStyle w:val="14"/>
              <w:spacing w:before="104"/>
              <w:ind w:left="761"/>
              <w:rPr>
                <w:rFonts w:ascii="Times New Roman"/>
                <w:sz w:val="21"/>
              </w:rPr>
            </w:pPr>
            <w:r>
              <w:rPr>
                <w:rFonts w:ascii="Times New Roman"/>
                <w:sz w:val="21"/>
              </w:rPr>
              <w:t>3.82</w:t>
            </w:r>
          </w:p>
        </w:tc>
        <w:tc>
          <w:tcPr>
            <w:tcW w:w="1965" w:type="dxa"/>
          </w:tcPr>
          <w:p w14:paraId="52F9F96C">
            <w:pPr>
              <w:pStyle w:val="14"/>
              <w:spacing w:before="104"/>
              <w:ind w:left="299" w:right="291"/>
              <w:jc w:val="center"/>
              <w:rPr>
                <w:rFonts w:ascii="Times New Roman"/>
                <w:sz w:val="21"/>
              </w:rPr>
            </w:pPr>
            <w:r>
              <w:rPr>
                <w:rFonts w:ascii="Times New Roman"/>
                <w:sz w:val="21"/>
              </w:rPr>
              <w:t>0.021</w:t>
            </w:r>
          </w:p>
        </w:tc>
        <w:tc>
          <w:tcPr>
            <w:tcW w:w="1860" w:type="dxa"/>
          </w:tcPr>
          <w:p w14:paraId="6E0489EB">
            <w:pPr>
              <w:pStyle w:val="14"/>
              <w:spacing w:before="104"/>
              <w:ind w:left="246" w:right="237"/>
              <w:jc w:val="center"/>
              <w:rPr>
                <w:rFonts w:ascii="Times New Roman"/>
                <w:sz w:val="21"/>
              </w:rPr>
            </w:pPr>
            <w:r>
              <w:rPr>
                <w:rFonts w:ascii="Times New Roman"/>
                <w:sz w:val="21"/>
              </w:rPr>
              <w:t>0.174</w:t>
            </w:r>
          </w:p>
        </w:tc>
      </w:tr>
      <w:tr w14:paraId="78094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08" w:type="dxa"/>
            <w:gridSpan w:val="2"/>
            <w:vMerge w:val="restart"/>
          </w:tcPr>
          <w:p w14:paraId="5CD11D83">
            <w:pPr>
              <w:pStyle w:val="14"/>
              <w:spacing w:before="2"/>
              <w:rPr>
                <w:b/>
                <w:sz w:val="25"/>
              </w:rPr>
            </w:pPr>
          </w:p>
          <w:p w14:paraId="2CA16FE8">
            <w:pPr>
              <w:pStyle w:val="14"/>
              <w:ind w:left="119"/>
              <w:rPr>
                <w:sz w:val="21"/>
              </w:rPr>
            </w:pPr>
            <w:r>
              <w:rPr>
                <w:sz w:val="21"/>
              </w:rPr>
              <w:t>主要排放口合计</w:t>
            </w:r>
          </w:p>
        </w:tc>
        <w:tc>
          <w:tcPr>
            <w:tcW w:w="4954" w:type="dxa"/>
            <w:gridSpan w:val="3"/>
          </w:tcPr>
          <w:p w14:paraId="6EE76655">
            <w:pPr>
              <w:pStyle w:val="14"/>
              <w:spacing w:before="90"/>
              <w:ind w:left="2036" w:right="2028"/>
              <w:jc w:val="center"/>
              <w:rPr>
                <w:sz w:val="21"/>
              </w:rPr>
            </w:pPr>
            <w:r>
              <w:rPr>
                <w:sz w:val="21"/>
              </w:rPr>
              <w:t>二氧化硫</w:t>
            </w:r>
          </w:p>
        </w:tc>
        <w:tc>
          <w:tcPr>
            <w:tcW w:w="1860" w:type="dxa"/>
          </w:tcPr>
          <w:p w14:paraId="4E205EEF">
            <w:pPr>
              <w:pStyle w:val="14"/>
              <w:spacing w:before="104"/>
              <w:ind w:left="246" w:right="240"/>
              <w:jc w:val="center"/>
              <w:rPr>
                <w:rFonts w:ascii="Times New Roman"/>
                <w:sz w:val="21"/>
              </w:rPr>
            </w:pPr>
            <w:r>
              <w:rPr>
                <w:rFonts w:ascii="Times New Roman"/>
                <w:sz w:val="21"/>
              </w:rPr>
              <w:t>0.1</w:t>
            </w:r>
          </w:p>
        </w:tc>
      </w:tr>
      <w:tr w14:paraId="54061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708" w:type="dxa"/>
            <w:gridSpan w:val="2"/>
            <w:vMerge w:val="continue"/>
            <w:tcBorders>
              <w:top w:val="nil"/>
            </w:tcBorders>
          </w:tcPr>
          <w:p w14:paraId="23E3F7F2">
            <w:pPr>
              <w:rPr>
                <w:sz w:val="2"/>
                <w:szCs w:val="2"/>
              </w:rPr>
            </w:pPr>
          </w:p>
        </w:tc>
        <w:tc>
          <w:tcPr>
            <w:tcW w:w="4954" w:type="dxa"/>
            <w:gridSpan w:val="3"/>
          </w:tcPr>
          <w:p w14:paraId="24F6DC7A">
            <w:pPr>
              <w:pStyle w:val="14"/>
              <w:spacing w:before="89"/>
              <w:ind w:left="2036" w:right="2028"/>
              <w:jc w:val="center"/>
              <w:rPr>
                <w:sz w:val="21"/>
              </w:rPr>
            </w:pPr>
            <w:r>
              <w:rPr>
                <w:sz w:val="21"/>
              </w:rPr>
              <w:t>氮氧化物</w:t>
            </w:r>
          </w:p>
        </w:tc>
        <w:tc>
          <w:tcPr>
            <w:tcW w:w="1860" w:type="dxa"/>
          </w:tcPr>
          <w:p w14:paraId="1AAC5923">
            <w:pPr>
              <w:pStyle w:val="14"/>
              <w:spacing w:before="105"/>
              <w:ind w:left="246" w:right="237"/>
              <w:jc w:val="center"/>
              <w:rPr>
                <w:rFonts w:ascii="Times New Roman"/>
                <w:sz w:val="21"/>
              </w:rPr>
            </w:pPr>
            <w:r>
              <w:rPr>
                <w:rFonts w:ascii="Times New Roman"/>
                <w:sz w:val="21"/>
              </w:rPr>
              <w:t>0.174</w:t>
            </w:r>
          </w:p>
        </w:tc>
      </w:tr>
      <w:tr w14:paraId="1C429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085C20CB">
            <w:pPr>
              <w:pStyle w:val="14"/>
              <w:spacing w:before="90"/>
              <w:ind w:left="3090" w:right="3080"/>
              <w:jc w:val="center"/>
              <w:rPr>
                <w:sz w:val="21"/>
              </w:rPr>
            </w:pPr>
            <w:r>
              <w:rPr>
                <w:sz w:val="21"/>
              </w:rPr>
              <w:t>一般排放口</w:t>
            </w:r>
          </w:p>
        </w:tc>
      </w:tr>
      <w:tr w14:paraId="693ED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3" w:type="dxa"/>
          </w:tcPr>
          <w:p w14:paraId="66C1FA4D">
            <w:pPr>
              <w:pStyle w:val="14"/>
              <w:spacing w:before="104"/>
              <w:ind w:left="6"/>
              <w:jc w:val="center"/>
              <w:rPr>
                <w:rFonts w:ascii="Times New Roman"/>
                <w:sz w:val="21"/>
              </w:rPr>
            </w:pPr>
            <w:r>
              <w:rPr>
                <w:rFonts w:ascii="Times New Roman"/>
                <w:w w:val="99"/>
                <w:sz w:val="21"/>
              </w:rPr>
              <w:t>3</w:t>
            </w:r>
          </w:p>
        </w:tc>
        <w:tc>
          <w:tcPr>
            <w:tcW w:w="1135" w:type="dxa"/>
            <w:vMerge w:val="restart"/>
          </w:tcPr>
          <w:p w14:paraId="50F7CF33">
            <w:pPr>
              <w:pStyle w:val="14"/>
              <w:spacing w:before="3"/>
              <w:rPr>
                <w:b/>
                <w:sz w:val="26"/>
              </w:rPr>
            </w:pPr>
          </w:p>
          <w:p w14:paraId="2B0EBFC4">
            <w:pPr>
              <w:pStyle w:val="14"/>
              <w:ind w:left="257"/>
              <w:rPr>
                <w:rFonts w:ascii="Times New Roman"/>
                <w:sz w:val="21"/>
              </w:rPr>
            </w:pPr>
            <w:r>
              <w:rPr>
                <w:rFonts w:ascii="Times New Roman"/>
                <w:sz w:val="21"/>
              </w:rPr>
              <w:t>DA001</w:t>
            </w:r>
          </w:p>
        </w:tc>
        <w:tc>
          <w:tcPr>
            <w:tcW w:w="1094" w:type="dxa"/>
          </w:tcPr>
          <w:p w14:paraId="00D621C4">
            <w:pPr>
              <w:pStyle w:val="14"/>
              <w:spacing w:before="90"/>
              <w:ind w:left="103" w:right="97"/>
              <w:jc w:val="center"/>
              <w:rPr>
                <w:sz w:val="21"/>
              </w:rPr>
            </w:pPr>
            <w:r>
              <w:rPr>
                <w:sz w:val="21"/>
              </w:rPr>
              <w:t>氨气</w:t>
            </w:r>
          </w:p>
        </w:tc>
        <w:tc>
          <w:tcPr>
            <w:tcW w:w="1895" w:type="dxa"/>
          </w:tcPr>
          <w:p w14:paraId="1B6EEEB0">
            <w:pPr>
              <w:pStyle w:val="14"/>
              <w:spacing w:before="104"/>
              <w:ind w:left="711"/>
              <w:rPr>
                <w:rFonts w:ascii="Times New Roman"/>
                <w:sz w:val="21"/>
              </w:rPr>
            </w:pPr>
            <w:r>
              <w:rPr>
                <w:rFonts w:ascii="Times New Roman"/>
                <w:sz w:val="21"/>
              </w:rPr>
              <w:t>1.025</w:t>
            </w:r>
          </w:p>
        </w:tc>
        <w:tc>
          <w:tcPr>
            <w:tcW w:w="1965" w:type="dxa"/>
          </w:tcPr>
          <w:p w14:paraId="6A14283C">
            <w:pPr>
              <w:pStyle w:val="14"/>
              <w:spacing w:before="104"/>
              <w:ind w:left="299" w:right="291"/>
              <w:jc w:val="center"/>
              <w:rPr>
                <w:rFonts w:ascii="Times New Roman"/>
                <w:sz w:val="21"/>
              </w:rPr>
            </w:pPr>
            <w:r>
              <w:rPr>
                <w:rFonts w:ascii="Times New Roman"/>
                <w:sz w:val="21"/>
              </w:rPr>
              <w:t>0.0123</w:t>
            </w:r>
          </w:p>
        </w:tc>
        <w:tc>
          <w:tcPr>
            <w:tcW w:w="1860" w:type="dxa"/>
          </w:tcPr>
          <w:p w14:paraId="6FC916BC">
            <w:pPr>
              <w:pStyle w:val="14"/>
              <w:spacing w:before="104"/>
              <w:ind w:left="246" w:right="237"/>
              <w:jc w:val="center"/>
              <w:rPr>
                <w:rFonts w:ascii="Times New Roman"/>
                <w:sz w:val="21"/>
              </w:rPr>
            </w:pPr>
            <w:r>
              <w:rPr>
                <w:rFonts w:ascii="Times New Roman"/>
                <w:sz w:val="21"/>
              </w:rPr>
              <w:t>0.108</w:t>
            </w:r>
          </w:p>
        </w:tc>
      </w:tr>
      <w:tr w14:paraId="4ED0E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573" w:type="dxa"/>
          </w:tcPr>
          <w:p w14:paraId="05EA92BE">
            <w:pPr>
              <w:pStyle w:val="14"/>
              <w:spacing w:before="105"/>
              <w:ind w:left="6"/>
              <w:jc w:val="center"/>
              <w:rPr>
                <w:rFonts w:ascii="Times New Roman"/>
                <w:sz w:val="21"/>
              </w:rPr>
            </w:pPr>
            <w:r>
              <w:rPr>
                <w:rFonts w:ascii="Times New Roman"/>
                <w:w w:val="99"/>
                <w:sz w:val="21"/>
              </w:rPr>
              <w:t>4</w:t>
            </w:r>
          </w:p>
        </w:tc>
        <w:tc>
          <w:tcPr>
            <w:tcW w:w="1135" w:type="dxa"/>
            <w:vMerge w:val="continue"/>
            <w:tcBorders>
              <w:top w:val="nil"/>
            </w:tcBorders>
          </w:tcPr>
          <w:p w14:paraId="6B849A89">
            <w:pPr>
              <w:rPr>
                <w:sz w:val="2"/>
                <w:szCs w:val="2"/>
              </w:rPr>
            </w:pPr>
          </w:p>
        </w:tc>
        <w:tc>
          <w:tcPr>
            <w:tcW w:w="1094" w:type="dxa"/>
          </w:tcPr>
          <w:p w14:paraId="3C7192E5">
            <w:pPr>
              <w:pStyle w:val="14"/>
              <w:spacing w:before="89"/>
              <w:ind w:left="103" w:right="97"/>
              <w:jc w:val="center"/>
              <w:rPr>
                <w:sz w:val="21"/>
              </w:rPr>
            </w:pPr>
            <w:r>
              <w:rPr>
                <w:sz w:val="21"/>
              </w:rPr>
              <w:t>硫化氢</w:t>
            </w:r>
          </w:p>
        </w:tc>
        <w:tc>
          <w:tcPr>
            <w:tcW w:w="1895" w:type="dxa"/>
          </w:tcPr>
          <w:p w14:paraId="19ADE48B">
            <w:pPr>
              <w:pStyle w:val="14"/>
              <w:spacing w:before="105"/>
              <w:ind w:left="711"/>
              <w:rPr>
                <w:rFonts w:ascii="Times New Roman"/>
                <w:sz w:val="21"/>
              </w:rPr>
            </w:pPr>
            <w:r>
              <w:rPr>
                <w:rFonts w:ascii="Times New Roman"/>
                <w:sz w:val="21"/>
              </w:rPr>
              <w:t>0.092</w:t>
            </w:r>
          </w:p>
        </w:tc>
        <w:tc>
          <w:tcPr>
            <w:tcW w:w="1965" w:type="dxa"/>
          </w:tcPr>
          <w:p w14:paraId="68CE7641">
            <w:pPr>
              <w:pStyle w:val="14"/>
              <w:spacing w:before="105"/>
              <w:ind w:left="298" w:right="292"/>
              <w:jc w:val="center"/>
              <w:rPr>
                <w:rFonts w:ascii="Times New Roman"/>
                <w:sz w:val="21"/>
              </w:rPr>
            </w:pPr>
            <w:r>
              <w:rPr>
                <w:rFonts w:ascii="Times New Roman"/>
                <w:sz w:val="21"/>
              </w:rPr>
              <w:t>0.0011</w:t>
            </w:r>
          </w:p>
        </w:tc>
        <w:tc>
          <w:tcPr>
            <w:tcW w:w="1860" w:type="dxa"/>
          </w:tcPr>
          <w:p w14:paraId="4EDE0104">
            <w:pPr>
              <w:pStyle w:val="14"/>
              <w:spacing w:before="105"/>
              <w:ind w:left="246" w:right="237"/>
              <w:jc w:val="center"/>
              <w:rPr>
                <w:rFonts w:ascii="Times New Roman"/>
                <w:sz w:val="21"/>
              </w:rPr>
            </w:pPr>
            <w:r>
              <w:rPr>
                <w:rFonts w:ascii="Times New Roman"/>
                <w:sz w:val="21"/>
              </w:rPr>
              <w:t>0.0095</w:t>
            </w:r>
          </w:p>
        </w:tc>
      </w:tr>
    </w:tbl>
    <w:p w14:paraId="10697C06">
      <w:pPr>
        <w:spacing w:after="0"/>
        <w:jc w:val="center"/>
        <w:rPr>
          <w:rFonts w:ascii="Times New Roman"/>
          <w:sz w:val="21"/>
        </w:rPr>
        <w:sectPr>
          <w:pgSz w:w="11910" w:h="16840"/>
          <w:pgMar w:top="1360" w:right="1320" w:bottom="1400" w:left="1340" w:header="878" w:footer="1204" w:gutter="0"/>
          <w:cols w:space="720" w:num="1"/>
        </w:sectPr>
      </w:pPr>
    </w:p>
    <w:p w14:paraId="1F218C35">
      <w:pPr>
        <w:pStyle w:val="7"/>
        <w:spacing w:before="3"/>
        <w:rPr>
          <w:b/>
          <w:sz w:val="5"/>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
        <w:gridCol w:w="1135"/>
        <w:gridCol w:w="1094"/>
        <w:gridCol w:w="1895"/>
        <w:gridCol w:w="1965"/>
        <w:gridCol w:w="1860"/>
      </w:tblGrid>
      <w:tr w14:paraId="6DF9F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3" w:type="dxa"/>
          </w:tcPr>
          <w:p w14:paraId="2A6460D0">
            <w:pPr>
              <w:pStyle w:val="14"/>
              <w:spacing w:before="107"/>
              <w:ind w:left="6"/>
              <w:jc w:val="center"/>
              <w:rPr>
                <w:rFonts w:ascii="Times New Roman"/>
                <w:sz w:val="21"/>
              </w:rPr>
            </w:pPr>
            <w:r>
              <w:rPr>
                <w:rFonts w:ascii="Times New Roman"/>
                <w:w w:val="99"/>
                <w:sz w:val="21"/>
              </w:rPr>
              <w:t>5</w:t>
            </w:r>
          </w:p>
        </w:tc>
        <w:tc>
          <w:tcPr>
            <w:tcW w:w="1135" w:type="dxa"/>
            <w:vMerge w:val="restart"/>
          </w:tcPr>
          <w:p w14:paraId="2A570808">
            <w:pPr>
              <w:pStyle w:val="14"/>
              <w:spacing w:before="4"/>
              <w:rPr>
                <w:b/>
                <w:sz w:val="26"/>
              </w:rPr>
            </w:pPr>
          </w:p>
          <w:p w14:paraId="06CB1D88">
            <w:pPr>
              <w:pStyle w:val="14"/>
              <w:ind w:left="257"/>
              <w:rPr>
                <w:rFonts w:ascii="Times New Roman"/>
                <w:sz w:val="21"/>
              </w:rPr>
            </w:pPr>
            <w:r>
              <w:rPr>
                <w:rFonts w:ascii="Times New Roman"/>
                <w:sz w:val="21"/>
              </w:rPr>
              <w:t>DA002</w:t>
            </w:r>
          </w:p>
        </w:tc>
        <w:tc>
          <w:tcPr>
            <w:tcW w:w="1094" w:type="dxa"/>
          </w:tcPr>
          <w:p w14:paraId="650457F0">
            <w:pPr>
              <w:pStyle w:val="14"/>
              <w:spacing w:before="91"/>
              <w:ind w:left="103" w:right="97"/>
              <w:jc w:val="center"/>
              <w:rPr>
                <w:sz w:val="21"/>
              </w:rPr>
            </w:pPr>
            <w:r>
              <w:rPr>
                <w:sz w:val="21"/>
              </w:rPr>
              <w:t>氨气</w:t>
            </w:r>
          </w:p>
        </w:tc>
        <w:tc>
          <w:tcPr>
            <w:tcW w:w="1895" w:type="dxa"/>
          </w:tcPr>
          <w:p w14:paraId="6831C56D">
            <w:pPr>
              <w:pStyle w:val="14"/>
              <w:spacing w:before="107"/>
              <w:ind w:left="172" w:right="163"/>
              <w:jc w:val="center"/>
              <w:rPr>
                <w:rFonts w:ascii="Times New Roman"/>
                <w:sz w:val="21"/>
              </w:rPr>
            </w:pPr>
            <w:r>
              <w:rPr>
                <w:rFonts w:ascii="Times New Roman"/>
                <w:sz w:val="21"/>
              </w:rPr>
              <w:t>0.712</w:t>
            </w:r>
          </w:p>
        </w:tc>
        <w:tc>
          <w:tcPr>
            <w:tcW w:w="1965" w:type="dxa"/>
          </w:tcPr>
          <w:p w14:paraId="0580082E">
            <w:pPr>
              <w:pStyle w:val="14"/>
              <w:spacing w:before="107"/>
              <w:ind w:left="299" w:right="291"/>
              <w:jc w:val="center"/>
              <w:rPr>
                <w:rFonts w:ascii="Times New Roman"/>
                <w:sz w:val="21"/>
              </w:rPr>
            </w:pPr>
            <w:r>
              <w:rPr>
                <w:rFonts w:ascii="Times New Roman"/>
                <w:sz w:val="21"/>
              </w:rPr>
              <w:t>0.0089</w:t>
            </w:r>
          </w:p>
        </w:tc>
        <w:tc>
          <w:tcPr>
            <w:tcW w:w="1860" w:type="dxa"/>
          </w:tcPr>
          <w:p w14:paraId="562A7C7E">
            <w:pPr>
              <w:pStyle w:val="14"/>
              <w:spacing w:before="107"/>
              <w:ind w:left="246" w:right="237"/>
              <w:jc w:val="center"/>
              <w:rPr>
                <w:rFonts w:ascii="Times New Roman"/>
                <w:sz w:val="21"/>
              </w:rPr>
            </w:pPr>
            <w:r>
              <w:rPr>
                <w:rFonts w:ascii="Times New Roman"/>
                <w:sz w:val="21"/>
              </w:rPr>
              <w:t>0.0679</w:t>
            </w:r>
          </w:p>
        </w:tc>
      </w:tr>
      <w:tr w14:paraId="766F5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3" w:type="dxa"/>
          </w:tcPr>
          <w:p w14:paraId="30C62E90">
            <w:pPr>
              <w:pStyle w:val="14"/>
              <w:spacing w:before="106"/>
              <w:ind w:left="6"/>
              <w:jc w:val="center"/>
              <w:rPr>
                <w:rFonts w:ascii="Times New Roman"/>
                <w:sz w:val="21"/>
              </w:rPr>
            </w:pPr>
            <w:r>
              <w:rPr>
                <w:rFonts w:ascii="Times New Roman"/>
                <w:w w:val="99"/>
                <w:sz w:val="21"/>
              </w:rPr>
              <w:t>6</w:t>
            </w:r>
          </w:p>
        </w:tc>
        <w:tc>
          <w:tcPr>
            <w:tcW w:w="1135" w:type="dxa"/>
            <w:vMerge w:val="continue"/>
            <w:tcBorders>
              <w:top w:val="nil"/>
            </w:tcBorders>
          </w:tcPr>
          <w:p w14:paraId="25477081">
            <w:pPr>
              <w:rPr>
                <w:sz w:val="2"/>
                <w:szCs w:val="2"/>
              </w:rPr>
            </w:pPr>
          </w:p>
        </w:tc>
        <w:tc>
          <w:tcPr>
            <w:tcW w:w="1094" w:type="dxa"/>
          </w:tcPr>
          <w:p w14:paraId="19966B4D">
            <w:pPr>
              <w:pStyle w:val="14"/>
              <w:spacing w:before="90"/>
              <w:ind w:left="103" w:right="97"/>
              <w:jc w:val="center"/>
              <w:rPr>
                <w:sz w:val="21"/>
              </w:rPr>
            </w:pPr>
            <w:r>
              <w:rPr>
                <w:sz w:val="21"/>
              </w:rPr>
              <w:t>硫化氢</w:t>
            </w:r>
          </w:p>
        </w:tc>
        <w:tc>
          <w:tcPr>
            <w:tcW w:w="1895" w:type="dxa"/>
          </w:tcPr>
          <w:p w14:paraId="449F67D7">
            <w:pPr>
              <w:pStyle w:val="14"/>
              <w:spacing w:before="106"/>
              <w:ind w:left="172" w:right="163"/>
              <w:jc w:val="center"/>
              <w:rPr>
                <w:rFonts w:ascii="Times New Roman"/>
                <w:sz w:val="21"/>
              </w:rPr>
            </w:pPr>
            <w:r>
              <w:rPr>
                <w:rFonts w:ascii="Times New Roman"/>
                <w:sz w:val="21"/>
              </w:rPr>
              <w:t>0.244</w:t>
            </w:r>
          </w:p>
        </w:tc>
        <w:tc>
          <w:tcPr>
            <w:tcW w:w="1965" w:type="dxa"/>
          </w:tcPr>
          <w:p w14:paraId="09DEC396">
            <w:pPr>
              <w:pStyle w:val="14"/>
              <w:spacing w:before="106"/>
              <w:ind w:left="298" w:right="292"/>
              <w:jc w:val="center"/>
              <w:rPr>
                <w:rFonts w:ascii="Times New Roman"/>
                <w:sz w:val="21"/>
              </w:rPr>
            </w:pPr>
            <w:r>
              <w:rPr>
                <w:rFonts w:ascii="Times New Roman"/>
                <w:sz w:val="21"/>
              </w:rPr>
              <w:t>0.0003</w:t>
            </w:r>
          </w:p>
        </w:tc>
        <w:tc>
          <w:tcPr>
            <w:tcW w:w="1860" w:type="dxa"/>
          </w:tcPr>
          <w:p w14:paraId="2D0542F3">
            <w:pPr>
              <w:pStyle w:val="14"/>
              <w:spacing w:before="106"/>
              <w:ind w:left="246" w:right="237"/>
              <w:jc w:val="center"/>
              <w:rPr>
                <w:rFonts w:ascii="Times New Roman"/>
                <w:sz w:val="21"/>
              </w:rPr>
            </w:pPr>
            <w:r>
              <w:rPr>
                <w:rFonts w:ascii="Times New Roman"/>
                <w:sz w:val="21"/>
              </w:rPr>
              <w:t>0.0025</w:t>
            </w:r>
          </w:p>
        </w:tc>
      </w:tr>
      <w:tr w14:paraId="1B595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3" w:type="dxa"/>
          </w:tcPr>
          <w:p w14:paraId="0E1BBA8E">
            <w:pPr>
              <w:pStyle w:val="14"/>
              <w:spacing w:before="105"/>
              <w:ind w:left="6"/>
              <w:jc w:val="center"/>
              <w:rPr>
                <w:rFonts w:ascii="Times New Roman"/>
                <w:sz w:val="21"/>
              </w:rPr>
            </w:pPr>
            <w:r>
              <w:rPr>
                <w:rFonts w:ascii="Times New Roman"/>
                <w:w w:val="99"/>
                <w:sz w:val="21"/>
              </w:rPr>
              <w:t>7</w:t>
            </w:r>
          </w:p>
        </w:tc>
        <w:tc>
          <w:tcPr>
            <w:tcW w:w="1135" w:type="dxa"/>
            <w:vMerge w:val="restart"/>
          </w:tcPr>
          <w:p w14:paraId="69F955E1">
            <w:pPr>
              <w:pStyle w:val="14"/>
              <w:spacing w:before="5"/>
              <w:rPr>
                <w:b/>
                <w:sz w:val="26"/>
              </w:rPr>
            </w:pPr>
          </w:p>
          <w:p w14:paraId="0FEAE55E">
            <w:pPr>
              <w:pStyle w:val="14"/>
              <w:ind w:left="257"/>
              <w:rPr>
                <w:rFonts w:ascii="Times New Roman"/>
                <w:sz w:val="21"/>
              </w:rPr>
            </w:pPr>
            <w:r>
              <w:rPr>
                <w:rFonts w:ascii="Times New Roman"/>
                <w:sz w:val="21"/>
              </w:rPr>
              <w:t>DA003</w:t>
            </w:r>
          </w:p>
        </w:tc>
        <w:tc>
          <w:tcPr>
            <w:tcW w:w="1094" w:type="dxa"/>
          </w:tcPr>
          <w:p w14:paraId="1BD87009">
            <w:pPr>
              <w:pStyle w:val="14"/>
              <w:spacing w:before="91"/>
              <w:ind w:left="103" w:right="97"/>
              <w:jc w:val="center"/>
              <w:rPr>
                <w:sz w:val="21"/>
              </w:rPr>
            </w:pPr>
            <w:r>
              <w:rPr>
                <w:sz w:val="21"/>
              </w:rPr>
              <w:t>氨气</w:t>
            </w:r>
          </w:p>
        </w:tc>
        <w:tc>
          <w:tcPr>
            <w:tcW w:w="1895" w:type="dxa"/>
          </w:tcPr>
          <w:p w14:paraId="0D653A90">
            <w:pPr>
              <w:pStyle w:val="14"/>
              <w:spacing w:before="105"/>
              <w:ind w:left="172" w:right="165"/>
              <w:jc w:val="center"/>
              <w:rPr>
                <w:rFonts w:ascii="Times New Roman"/>
                <w:sz w:val="21"/>
              </w:rPr>
            </w:pPr>
            <w:r>
              <w:rPr>
                <w:rFonts w:ascii="Times New Roman"/>
                <w:sz w:val="21"/>
              </w:rPr>
              <w:t>0.19</w:t>
            </w:r>
          </w:p>
        </w:tc>
        <w:tc>
          <w:tcPr>
            <w:tcW w:w="1965" w:type="dxa"/>
          </w:tcPr>
          <w:p w14:paraId="5B8C5C3E">
            <w:pPr>
              <w:pStyle w:val="14"/>
              <w:spacing w:before="105"/>
              <w:ind w:left="299" w:right="291"/>
              <w:jc w:val="center"/>
              <w:rPr>
                <w:rFonts w:ascii="Times New Roman"/>
                <w:sz w:val="21"/>
              </w:rPr>
            </w:pPr>
            <w:r>
              <w:rPr>
                <w:rFonts w:ascii="Times New Roman"/>
                <w:sz w:val="21"/>
              </w:rPr>
              <w:t>0.0016</w:t>
            </w:r>
          </w:p>
        </w:tc>
        <w:tc>
          <w:tcPr>
            <w:tcW w:w="1860" w:type="dxa"/>
          </w:tcPr>
          <w:p w14:paraId="679B1796">
            <w:pPr>
              <w:pStyle w:val="14"/>
              <w:spacing w:before="105"/>
              <w:ind w:left="246" w:right="237"/>
              <w:jc w:val="center"/>
              <w:rPr>
                <w:rFonts w:ascii="Times New Roman"/>
                <w:sz w:val="21"/>
              </w:rPr>
            </w:pPr>
            <w:r>
              <w:rPr>
                <w:rFonts w:ascii="Times New Roman"/>
                <w:sz w:val="21"/>
              </w:rPr>
              <w:t>0.0039</w:t>
            </w:r>
          </w:p>
        </w:tc>
      </w:tr>
      <w:tr w14:paraId="637BE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3" w:type="dxa"/>
          </w:tcPr>
          <w:p w14:paraId="26B5504C">
            <w:pPr>
              <w:pStyle w:val="14"/>
              <w:spacing w:before="107"/>
              <w:ind w:left="6"/>
              <w:jc w:val="center"/>
              <w:rPr>
                <w:rFonts w:ascii="Times New Roman"/>
                <w:sz w:val="21"/>
              </w:rPr>
            </w:pPr>
            <w:r>
              <w:rPr>
                <w:rFonts w:ascii="Times New Roman"/>
                <w:w w:val="99"/>
                <w:sz w:val="21"/>
              </w:rPr>
              <w:t>8</w:t>
            </w:r>
          </w:p>
        </w:tc>
        <w:tc>
          <w:tcPr>
            <w:tcW w:w="1135" w:type="dxa"/>
            <w:vMerge w:val="continue"/>
            <w:tcBorders>
              <w:top w:val="nil"/>
            </w:tcBorders>
          </w:tcPr>
          <w:p w14:paraId="14BE006B">
            <w:pPr>
              <w:rPr>
                <w:sz w:val="2"/>
                <w:szCs w:val="2"/>
              </w:rPr>
            </w:pPr>
          </w:p>
        </w:tc>
        <w:tc>
          <w:tcPr>
            <w:tcW w:w="1094" w:type="dxa"/>
          </w:tcPr>
          <w:p w14:paraId="259F3942">
            <w:pPr>
              <w:pStyle w:val="14"/>
              <w:spacing w:before="90"/>
              <w:ind w:left="103" w:right="97"/>
              <w:jc w:val="center"/>
              <w:rPr>
                <w:sz w:val="21"/>
              </w:rPr>
            </w:pPr>
            <w:r>
              <w:rPr>
                <w:sz w:val="21"/>
              </w:rPr>
              <w:t>硫化氢</w:t>
            </w:r>
          </w:p>
        </w:tc>
        <w:tc>
          <w:tcPr>
            <w:tcW w:w="1895" w:type="dxa"/>
          </w:tcPr>
          <w:p w14:paraId="030E873F">
            <w:pPr>
              <w:pStyle w:val="14"/>
              <w:spacing w:before="107"/>
              <w:ind w:left="172" w:right="163"/>
              <w:jc w:val="center"/>
              <w:rPr>
                <w:rFonts w:ascii="Times New Roman"/>
                <w:sz w:val="21"/>
              </w:rPr>
            </w:pPr>
            <w:r>
              <w:rPr>
                <w:rFonts w:ascii="Times New Roman"/>
                <w:sz w:val="21"/>
              </w:rPr>
              <w:t>0.00056</w:t>
            </w:r>
          </w:p>
        </w:tc>
        <w:tc>
          <w:tcPr>
            <w:tcW w:w="1965" w:type="dxa"/>
          </w:tcPr>
          <w:p w14:paraId="2310000F">
            <w:pPr>
              <w:pStyle w:val="14"/>
              <w:spacing w:before="107"/>
              <w:ind w:left="299" w:right="291"/>
              <w:jc w:val="center"/>
              <w:rPr>
                <w:rFonts w:ascii="Times New Roman"/>
                <w:sz w:val="21"/>
              </w:rPr>
            </w:pPr>
            <w:r>
              <w:rPr>
                <w:rFonts w:ascii="Times New Roman"/>
                <w:sz w:val="21"/>
              </w:rPr>
              <w:t>0.0000048</w:t>
            </w:r>
          </w:p>
        </w:tc>
        <w:tc>
          <w:tcPr>
            <w:tcW w:w="1860" w:type="dxa"/>
          </w:tcPr>
          <w:p w14:paraId="55889330">
            <w:pPr>
              <w:pStyle w:val="14"/>
              <w:spacing w:before="107"/>
              <w:ind w:left="246" w:right="235"/>
              <w:jc w:val="center"/>
              <w:rPr>
                <w:rFonts w:ascii="Times New Roman"/>
                <w:sz w:val="21"/>
              </w:rPr>
            </w:pPr>
            <w:r>
              <w:rPr>
                <w:rFonts w:ascii="Times New Roman"/>
                <w:sz w:val="21"/>
              </w:rPr>
              <w:t>0.000011</w:t>
            </w:r>
          </w:p>
        </w:tc>
      </w:tr>
      <w:tr w14:paraId="5DC8F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08" w:type="dxa"/>
            <w:gridSpan w:val="2"/>
            <w:vMerge w:val="restart"/>
          </w:tcPr>
          <w:p w14:paraId="65E3584A">
            <w:pPr>
              <w:pStyle w:val="14"/>
              <w:spacing w:before="2"/>
              <w:rPr>
                <w:b/>
                <w:sz w:val="25"/>
              </w:rPr>
            </w:pPr>
          </w:p>
          <w:p w14:paraId="156C56ED">
            <w:pPr>
              <w:pStyle w:val="14"/>
              <w:ind w:left="119"/>
              <w:rPr>
                <w:sz w:val="21"/>
              </w:rPr>
            </w:pPr>
            <w:r>
              <w:rPr>
                <w:sz w:val="21"/>
              </w:rPr>
              <w:t>一般排放口合计</w:t>
            </w:r>
          </w:p>
        </w:tc>
        <w:tc>
          <w:tcPr>
            <w:tcW w:w="4954" w:type="dxa"/>
            <w:gridSpan w:val="3"/>
          </w:tcPr>
          <w:p w14:paraId="2B1A005F">
            <w:pPr>
              <w:pStyle w:val="14"/>
              <w:spacing w:before="90"/>
              <w:ind w:left="2034" w:right="2028"/>
              <w:jc w:val="center"/>
              <w:rPr>
                <w:sz w:val="21"/>
              </w:rPr>
            </w:pPr>
            <w:r>
              <w:rPr>
                <w:sz w:val="21"/>
              </w:rPr>
              <w:t>氨气</w:t>
            </w:r>
          </w:p>
        </w:tc>
        <w:tc>
          <w:tcPr>
            <w:tcW w:w="1860" w:type="dxa"/>
          </w:tcPr>
          <w:p w14:paraId="53876286">
            <w:pPr>
              <w:pStyle w:val="14"/>
              <w:spacing w:before="106"/>
              <w:ind w:left="246" w:right="237"/>
              <w:jc w:val="center"/>
              <w:rPr>
                <w:rFonts w:ascii="Times New Roman"/>
                <w:sz w:val="21"/>
              </w:rPr>
            </w:pPr>
            <w:r>
              <w:rPr>
                <w:rFonts w:ascii="Times New Roman"/>
                <w:sz w:val="21"/>
              </w:rPr>
              <w:t>0.18</w:t>
            </w:r>
          </w:p>
        </w:tc>
      </w:tr>
      <w:tr w14:paraId="693D1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708" w:type="dxa"/>
            <w:gridSpan w:val="2"/>
            <w:vMerge w:val="continue"/>
            <w:tcBorders>
              <w:top w:val="nil"/>
            </w:tcBorders>
          </w:tcPr>
          <w:p w14:paraId="7DE636DE">
            <w:pPr>
              <w:rPr>
                <w:sz w:val="2"/>
                <w:szCs w:val="2"/>
              </w:rPr>
            </w:pPr>
          </w:p>
        </w:tc>
        <w:tc>
          <w:tcPr>
            <w:tcW w:w="4954" w:type="dxa"/>
            <w:gridSpan w:val="3"/>
          </w:tcPr>
          <w:p w14:paraId="3C9658BF">
            <w:pPr>
              <w:pStyle w:val="14"/>
              <w:spacing w:before="91"/>
              <w:ind w:left="2034" w:right="2028"/>
              <w:jc w:val="center"/>
              <w:rPr>
                <w:sz w:val="21"/>
              </w:rPr>
            </w:pPr>
            <w:r>
              <w:rPr>
                <w:sz w:val="21"/>
              </w:rPr>
              <w:t>硫化氢</w:t>
            </w:r>
          </w:p>
        </w:tc>
        <w:tc>
          <w:tcPr>
            <w:tcW w:w="1860" w:type="dxa"/>
          </w:tcPr>
          <w:p w14:paraId="24D64E8B">
            <w:pPr>
              <w:pStyle w:val="14"/>
              <w:spacing w:before="105"/>
              <w:ind w:left="246" w:right="237"/>
              <w:jc w:val="center"/>
              <w:rPr>
                <w:rFonts w:ascii="Times New Roman"/>
                <w:sz w:val="21"/>
              </w:rPr>
            </w:pPr>
            <w:r>
              <w:rPr>
                <w:rFonts w:ascii="Times New Roman"/>
                <w:sz w:val="21"/>
              </w:rPr>
              <w:t>0.012</w:t>
            </w:r>
          </w:p>
        </w:tc>
      </w:tr>
      <w:tr w14:paraId="10969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6"/>
          </w:tcPr>
          <w:p w14:paraId="1616BD8F">
            <w:pPr>
              <w:pStyle w:val="14"/>
              <w:spacing w:before="91"/>
              <w:ind w:left="3090" w:right="3083"/>
              <w:jc w:val="center"/>
              <w:rPr>
                <w:sz w:val="21"/>
              </w:rPr>
            </w:pPr>
            <w:r>
              <w:rPr>
                <w:sz w:val="21"/>
              </w:rPr>
              <w:t>有组织排放总计</w:t>
            </w:r>
          </w:p>
        </w:tc>
      </w:tr>
      <w:tr w14:paraId="7B6B6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08" w:type="dxa"/>
            <w:gridSpan w:val="2"/>
            <w:vMerge w:val="restart"/>
          </w:tcPr>
          <w:p w14:paraId="5084B560">
            <w:pPr>
              <w:pStyle w:val="14"/>
              <w:rPr>
                <w:b/>
                <w:sz w:val="20"/>
              </w:rPr>
            </w:pPr>
          </w:p>
          <w:p w14:paraId="56C9FB9E">
            <w:pPr>
              <w:pStyle w:val="14"/>
              <w:rPr>
                <w:b/>
                <w:sz w:val="20"/>
              </w:rPr>
            </w:pPr>
          </w:p>
          <w:p w14:paraId="78660045">
            <w:pPr>
              <w:pStyle w:val="14"/>
              <w:spacing w:before="4"/>
              <w:rPr>
                <w:b/>
                <w:sz w:val="21"/>
              </w:rPr>
            </w:pPr>
          </w:p>
          <w:p w14:paraId="28111F20">
            <w:pPr>
              <w:pStyle w:val="14"/>
              <w:ind w:left="119"/>
              <w:rPr>
                <w:sz w:val="21"/>
              </w:rPr>
            </w:pPr>
            <w:r>
              <w:rPr>
                <w:sz w:val="21"/>
              </w:rPr>
              <w:t>有组织排放总计</w:t>
            </w:r>
          </w:p>
        </w:tc>
        <w:tc>
          <w:tcPr>
            <w:tcW w:w="4954" w:type="dxa"/>
            <w:gridSpan w:val="3"/>
          </w:tcPr>
          <w:p w14:paraId="6A8D49E7">
            <w:pPr>
              <w:pStyle w:val="14"/>
              <w:spacing w:before="90"/>
              <w:ind w:left="2034" w:right="2028"/>
              <w:jc w:val="center"/>
              <w:rPr>
                <w:sz w:val="21"/>
              </w:rPr>
            </w:pPr>
            <w:r>
              <w:rPr>
                <w:sz w:val="21"/>
              </w:rPr>
              <w:t>氨气</w:t>
            </w:r>
          </w:p>
        </w:tc>
        <w:tc>
          <w:tcPr>
            <w:tcW w:w="1860" w:type="dxa"/>
          </w:tcPr>
          <w:p w14:paraId="268B4588">
            <w:pPr>
              <w:pStyle w:val="14"/>
              <w:spacing w:before="106"/>
              <w:ind w:left="246" w:right="237"/>
              <w:jc w:val="center"/>
              <w:rPr>
                <w:rFonts w:ascii="Times New Roman"/>
                <w:sz w:val="21"/>
              </w:rPr>
            </w:pPr>
            <w:r>
              <w:rPr>
                <w:rFonts w:ascii="Times New Roman"/>
                <w:sz w:val="21"/>
              </w:rPr>
              <w:t>0.18</w:t>
            </w:r>
          </w:p>
        </w:tc>
      </w:tr>
      <w:tr w14:paraId="7BDDC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08" w:type="dxa"/>
            <w:gridSpan w:val="2"/>
            <w:vMerge w:val="continue"/>
            <w:tcBorders>
              <w:top w:val="nil"/>
            </w:tcBorders>
          </w:tcPr>
          <w:p w14:paraId="6D6C7696">
            <w:pPr>
              <w:rPr>
                <w:sz w:val="2"/>
                <w:szCs w:val="2"/>
              </w:rPr>
            </w:pPr>
          </w:p>
        </w:tc>
        <w:tc>
          <w:tcPr>
            <w:tcW w:w="4954" w:type="dxa"/>
            <w:gridSpan w:val="3"/>
          </w:tcPr>
          <w:p w14:paraId="2822C98E">
            <w:pPr>
              <w:pStyle w:val="14"/>
              <w:spacing w:before="91"/>
              <w:ind w:left="2034" w:right="2028"/>
              <w:jc w:val="center"/>
              <w:rPr>
                <w:sz w:val="21"/>
              </w:rPr>
            </w:pPr>
            <w:r>
              <w:rPr>
                <w:sz w:val="21"/>
              </w:rPr>
              <w:t>硫化氢</w:t>
            </w:r>
          </w:p>
        </w:tc>
        <w:tc>
          <w:tcPr>
            <w:tcW w:w="1860" w:type="dxa"/>
          </w:tcPr>
          <w:p w14:paraId="5BB4A5F7">
            <w:pPr>
              <w:pStyle w:val="14"/>
              <w:spacing w:before="105"/>
              <w:ind w:left="246" w:right="237"/>
              <w:jc w:val="center"/>
              <w:rPr>
                <w:rFonts w:ascii="Times New Roman"/>
                <w:sz w:val="21"/>
              </w:rPr>
            </w:pPr>
            <w:r>
              <w:rPr>
                <w:rFonts w:ascii="Times New Roman"/>
                <w:sz w:val="21"/>
              </w:rPr>
              <w:t>0.012</w:t>
            </w:r>
          </w:p>
        </w:tc>
      </w:tr>
      <w:tr w14:paraId="27271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708" w:type="dxa"/>
            <w:gridSpan w:val="2"/>
            <w:vMerge w:val="continue"/>
            <w:tcBorders>
              <w:top w:val="nil"/>
            </w:tcBorders>
          </w:tcPr>
          <w:p w14:paraId="53B3E8F9">
            <w:pPr>
              <w:rPr>
                <w:sz w:val="2"/>
                <w:szCs w:val="2"/>
              </w:rPr>
            </w:pPr>
          </w:p>
        </w:tc>
        <w:tc>
          <w:tcPr>
            <w:tcW w:w="4954" w:type="dxa"/>
            <w:gridSpan w:val="3"/>
          </w:tcPr>
          <w:p w14:paraId="5B29481F">
            <w:pPr>
              <w:pStyle w:val="14"/>
              <w:spacing w:before="90"/>
              <w:ind w:left="2036" w:right="2028"/>
              <w:jc w:val="center"/>
              <w:rPr>
                <w:sz w:val="21"/>
              </w:rPr>
            </w:pPr>
            <w:r>
              <w:rPr>
                <w:sz w:val="21"/>
              </w:rPr>
              <w:t>二氧化硫</w:t>
            </w:r>
          </w:p>
        </w:tc>
        <w:tc>
          <w:tcPr>
            <w:tcW w:w="1860" w:type="dxa"/>
          </w:tcPr>
          <w:p w14:paraId="2DDE631E">
            <w:pPr>
              <w:pStyle w:val="14"/>
              <w:spacing w:before="107"/>
              <w:ind w:left="246" w:right="240"/>
              <w:jc w:val="center"/>
              <w:rPr>
                <w:rFonts w:ascii="Times New Roman"/>
                <w:sz w:val="21"/>
              </w:rPr>
            </w:pPr>
            <w:r>
              <w:rPr>
                <w:rFonts w:ascii="Times New Roman"/>
                <w:sz w:val="21"/>
              </w:rPr>
              <w:t>0.1</w:t>
            </w:r>
          </w:p>
        </w:tc>
      </w:tr>
      <w:tr w14:paraId="3B37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708" w:type="dxa"/>
            <w:gridSpan w:val="2"/>
            <w:vMerge w:val="continue"/>
            <w:tcBorders>
              <w:top w:val="nil"/>
            </w:tcBorders>
          </w:tcPr>
          <w:p w14:paraId="0777D220">
            <w:pPr>
              <w:rPr>
                <w:sz w:val="2"/>
                <w:szCs w:val="2"/>
              </w:rPr>
            </w:pPr>
          </w:p>
        </w:tc>
        <w:tc>
          <w:tcPr>
            <w:tcW w:w="4954" w:type="dxa"/>
            <w:gridSpan w:val="3"/>
          </w:tcPr>
          <w:p w14:paraId="63168181">
            <w:pPr>
              <w:pStyle w:val="14"/>
              <w:spacing w:before="90"/>
              <w:ind w:left="2036" w:right="2028"/>
              <w:jc w:val="center"/>
              <w:rPr>
                <w:sz w:val="21"/>
              </w:rPr>
            </w:pPr>
            <w:r>
              <w:rPr>
                <w:sz w:val="21"/>
              </w:rPr>
              <w:t>氮氧化物</w:t>
            </w:r>
          </w:p>
        </w:tc>
        <w:tc>
          <w:tcPr>
            <w:tcW w:w="1860" w:type="dxa"/>
          </w:tcPr>
          <w:p w14:paraId="025FF44B">
            <w:pPr>
              <w:pStyle w:val="14"/>
              <w:spacing w:before="106"/>
              <w:ind w:left="246" w:right="237"/>
              <w:jc w:val="center"/>
              <w:rPr>
                <w:rFonts w:ascii="Times New Roman"/>
                <w:sz w:val="21"/>
              </w:rPr>
            </w:pPr>
            <w:r>
              <w:rPr>
                <w:rFonts w:ascii="Times New Roman"/>
                <w:sz w:val="21"/>
              </w:rPr>
              <w:t>0.174</w:t>
            </w:r>
          </w:p>
        </w:tc>
      </w:tr>
    </w:tbl>
    <w:p w14:paraId="690098B4">
      <w:pPr>
        <w:pStyle w:val="7"/>
        <w:spacing w:before="2"/>
        <w:ind w:left="940"/>
      </w:pPr>
      <w:r>
        <w:rPr>
          <w:rFonts w:ascii="Times New Roman" w:eastAsia="Times New Roman"/>
        </w:rPr>
        <w:t>2</w:t>
      </w:r>
      <w:r>
        <w:t>、无组织排放量核算</w:t>
      </w:r>
    </w:p>
    <w:p w14:paraId="379FEC4E">
      <w:pPr>
        <w:pStyle w:val="7"/>
        <w:spacing w:before="158"/>
        <w:ind w:left="940"/>
      </w:pPr>
      <w:r>
        <w:t>根据工程分析，项目无组织废气排放量核算情况详见下表。</w:t>
      </w:r>
    </w:p>
    <w:p w14:paraId="7D78AB96">
      <w:pPr>
        <w:spacing w:before="159" w:after="3"/>
        <w:ind w:left="264" w:right="286" w:firstLine="0"/>
        <w:jc w:val="center"/>
        <w:rPr>
          <w:b/>
          <w:sz w:val="21"/>
        </w:rPr>
      </w:pPr>
      <w:r>
        <w:rPr>
          <w:b/>
          <w:sz w:val="21"/>
        </w:rPr>
        <w:t xml:space="preserve">表 </w:t>
      </w:r>
      <w:r>
        <w:rPr>
          <w:rFonts w:ascii="Times New Roman" w:eastAsia="Times New Roman"/>
          <w:b/>
          <w:sz w:val="21"/>
        </w:rPr>
        <w:t xml:space="preserve">5.2-3 </w:t>
      </w:r>
      <w:r>
        <w:rPr>
          <w:b/>
          <w:sz w:val="21"/>
        </w:rPr>
        <w:t>大气污染物无组织排放量核算表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1154"/>
        <w:gridCol w:w="885"/>
        <w:gridCol w:w="1986"/>
        <w:gridCol w:w="1604"/>
        <w:gridCol w:w="1222"/>
        <w:gridCol w:w="1193"/>
      </w:tblGrid>
      <w:tr w14:paraId="44D70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78" w:type="dxa"/>
            <w:vMerge w:val="restart"/>
          </w:tcPr>
          <w:p w14:paraId="139B4598">
            <w:pPr>
              <w:pStyle w:val="14"/>
              <w:spacing w:before="11"/>
              <w:rPr>
                <w:b/>
                <w:sz w:val="20"/>
              </w:rPr>
            </w:pPr>
          </w:p>
          <w:p w14:paraId="01CF8884">
            <w:pPr>
              <w:pStyle w:val="14"/>
              <w:spacing w:line="244" w:lineRule="auto"/>
              <w:ind w:left="131" w:right="125"/>
              <w:rPr>
                <w:b/>
                <w:sz w:val="21"/>
              </w:rPr>
            </w:pPr>
            <w:r>
              <w:rPr>
                <w:b/>
                <w:sz w:val="21"/>
              </w:rPr>
              <w:t>序号</w:t>
            </w:r>
          </w:p>
        </w:tc>
        <w:tc>
          <w:tcPr>
            <w:tcW w:w="1154" w:type="dxa"/>
            <w:vMerge w:val="restart"/>
          </w:tcPr>
          <w:p w14:paraId="75BEA22D">
            <w:pPr>
              <w:pStyle w:val="14"/>
              <w:spacing w:before="12"/>
              <w:rPr>
                <w:b/>
                <w:sz w:val="19"/>
              </w:rPr>
            </w:pPr>
          </w:p>
          <w:p w14:paraId="1CD075CC">
            <w:pPr>
              <w:pStyle w:val="14"/>
              <w:spacing w:line="266" w:lineRule="auto"/>
              <w:ind w:left="366" w:right="355"/>
              <w:rPr>
                <w:b/>
                <w:sz w:val="21"/>
              </w:rPr>
            </w:pPr>
            <w:r>
              <w:rPr>
                <w:b/>
                <w:sz w:val="21"/>
              </w:rPr>
              <w:t>产污环节</w:t>
            </w:r>
          </w:p>
        </w:tc>
        <w:tc>
          <w:tcPr>
            <w:tcW w:w="885" w:type="dxa"/>
            <w:vMerge w:val="restart"/>
          </w:tcPr>
          <w:p w14:paraId="55D6A249">
            <w:pPr>
              <w:pStyle w:val="14"/>
              <w:rPr>
                <w:b/>
                <w:sz w:val="20"/>
              </w:rPr>
            </w:pPr>
          </w:p>
          <w:p w14:paraId="006FEF3C">
            <w:pPr>
              <w:pStyle w:val="14"/>
              <w:spacing w:before="148"/>
              <w:ind w:left="124"/>
              <w:rPr>
                <w:b/>
                <w:sz w:val="21"/>
              </w:rPr>
            </w:pPr>
            <w:r>
              <w:rPr>
                <w:b/>
                <w:sz w:val="21"/>
              </w:rPr>
              <w:t>污染物</w:t>
            </w:r>
          </w:p>
        </w:tc>
        <w:tc>
          <w:tcPr>
            <w:tcW w:w="1986" w:type="dxa"/>
            <w:vMerge w:val="restart"/>
          </w:tcPr>
          <w:p w14:paraId="64D255CB">
            <w:pPr>
              <w:pStyle w:val="14"/>
              <w:rPr>
                <w:b/>
                <w:sz w:val="20"/>
              </w:rPr>
            </w:pPr>
          </w:p>
          <w:p w14:paraId="48F79815">
            <w:pPr>
              <w:pStyle w:val="14"/>
              <w:spacing w:before="148"/>
              <w:ind w:left="149"/>
              <w:rPr>
                <w:b/>
                <w:sz w:val="21"/>
              </w:rPr>
            </w:pPr>
            <w:r>
              <w:rPr>
                <w:b/>
                <w:sz w:val="21"/>
              </w:rPr>
              <w:t>主要污染防治措施</w:t>
            </w:r>
          </w:p>
        </w:tc>
        <w:tc>
          <w:tcPr>
            <w:tcW w:w="2826" w:type="dxa"/>
            <w:gridSpan w:val="2"/>
          </w:tcPr>
          <w:p w14:paraId="0B081342">
            <w:pPr>
              <w:pStyle w:val="14"/>
              <w:spacing w:before="90"/>
              <w:ind w:left="147"/>
              <w:rPr>
                <w:b/>
                <w:sz w:val="21"/>
              </w:rPr>
            </w:pPr>
            <w:r>
              <w:rPr>
                <w:b/>
                <w:sz w:val="21"/>
              </w:rPr>
              <w:t>国家或地方污染物排放标准</w:t>
            </w:r>
          </w:p>
        </w:tc>
        <w:tc>
          <w:tcPr>
            <w:tcW w:w="1193" w:type="dxa"/>
            <w:vMerge w:val="restart"/>
          </w:tcPr>
          <w:p w14:paraId="7413AC99">
            <w:pPr>
              <w:pStyle w:val="14"/>
              <w:spacing w:before="11"/>
              <w:rPr>
                <w:b/>
                <w:sz w:val="20"/>
              </w:rPr>
            </w:pPr>
          </w:p>
          <w:p w14:paraId="7419336D">
            <w:pPr>
              <w:pStyle w:val="14"/>
              <w:ind w:left="123" w:right="117"/>
              <w:jc w:val="center"/>
              <w:rPr>
                <w:rFonts w:ascii="Times New Roman" w:eastAsia="Times New Roman"/>
                <w:b/>
                <w:sz w:val="21"/>
              </w:rPr>
            </w:pPr>
            <w:r>
              <w:rPr>
                <w:b/>
                <w:sz w:val="21"/>
              </w:rPr>
              <w:t>年排放量</w:t>
            </w:r>
            <w:r>
              <w:rPr>
                <w:rFonts w:ascii="Times New Roman" w:eastAsia="Times New Roman"/>
                <w:b/>
                <w:sz w:val="21"/>
              </w:rPr>
              <w:t>/</w:t>
            </w:r>
          </w:p>
          <w:p w14:paraId="4779D371">
            <w:pPr>
              <w:pStyle w:val="14"/>
              <w:spacing w:before="5"/>
              <w:ind w:left="123" w:right="115"/>
              <w:jc w:val="center"/>
              <w:rPr>
                <w:b/>
                <w:sz w:val="21"/>
              </w:rPr>
            </w:pPr>
            <w:r>
              <w:rPr>
                <w:b/>
                <w:sz w:val="21"/>
              </w:rPr>
              <w:t>（</w:t>
            </w:r>
            <w:r>
              <w:rPr>
                <w:rFonts w:ascii="Times New Roman" w:eastAsia="Times New Roman"/>
                <w:b/>
                <w:sz w:val="21"/>
              </w:rPr>
              <w:t>t/a</w:t>
            </w:r>
            <w:r>
              <w:rPr>
                <w:b/>
                <w:sz w:val="21"/>
              </w:rPr>
              <w:t>）</w:t>
            </w:r>
          </w:p>
        </w:tc>
      </w:tr>
      <w:tr w14:paraId="655DE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478" w:type="dxa"/>
            <w:vMerge w:val="continue"/>
            <w:tcBorders>
              <w:top w:val="nil"/>
            </w:tcBorders>
          </w:tcPr>
          <w:p w14:paraId="1B7080A0">
            <w:pPr>
              <w:rPr>
                <w:sz w:val="2"/>
                <w:szCs w:val="2"/>
              </w:rPr>
            </w:pPr>
          </w:p>
        </w:tc>
        <w:tc>
          <w:tcPr>
            <w:tcW w:w="1154" w:type="dxa"/>
            <w:vMerge w:val="continue"/>
            <w:tcBorders>
              <w:top w:val="nil"/>
            </w:tcBorders>
          </w:tcPr>
          <w:p w14:paraId="37D0700A">
            <w:pPr>
              <w:rPr>
                <w:sz w:val="2"/>
                <w:szCs w:val="2"/>
              </w:rPr>
            </w:pPr>
          </w:p>
        </w:tc>
        <w:tc>
          <w:tcPr>
            <w:tcW w:w="885" w:type="dxa"/>
            <w:vMerge w:val="continue"/>
            <w:tcBorders>
              <w:top w:val="nil"/>
            </w:tcBorders>
          </w:tcPr>
          <w:p w14:paraId="2A3CEA5A">
            <w:pPr>
              <w:rPr>
                <w:sz w:val="2"/>
                <w:szCs w:val="2"/>
              </w:rPr>
            </w:pPr>
          </w:p>
        </w:tc>
        <w:tc>
          <w:tcPr>
            <w:tcW w:w="1986" w:type="dxa"/>
            <w:vMerge w:val="continue"/>
            <w:tcBorders>
              <w:top w:val="nil"/>
            </w:tcBorders>
          </w:tcPr>
          <w:p w14:paraId="4FC71030">
            <w:pPr>
              <w:rPr>
                <w:sz w:val="2"/>
                <w:szCs w:val="2"/>
              </w:rPr>
            </w:pPr>
          </w:p>
        </w:tc>
        <w:tc>
          <w:tcPr>
            <w:tcW w:w="1604" w:type="dxa"/>
          </w:tcPr>
          <w:p w14:paraId="7BB991D2">
            <w:pPr>
              <w:pStyle w:val="14"/>
              <w:spacing w:before="173"/>
              <w:ind w:left="380"/>
              <w:rPr>
                <w:b/>
                <w:sz w:val="21"/>
              </w:rPr>
            </w:pPr>
            <w:r>
              <w:rPr>
                <w:b/>
                <w:sz w:val="21"/>
              </w:rPr>
              <w:t>标准名称</w:t>
            </w:r>
          </w:p>
        </w:tc>
        <w:tc>
          <w:tcPr>
            <w:tcW w:w="1222" w:type="dxa"/>
          </w:tcPr>
          <w:p w14:paraId="4F9F56F9">
            <w:pPr>
              <w:pStyle w:val="14"/>
              <w:spacing w:before="24"/>
              <w:ind w:left="159"/>
              <w:rPr>
                <w:rFonts w:ascii="Times New Roman" w:eastAsia="Times New Roman"/>
                <w:b/>
                <w:sz w:val="21"/>
              </w:rPr>
            </w:pPr>
            <w:r>
              <w:rPr>
                <w:b/>
                <w:sz w:val="21"/>
              </w:rPr>
              <w:t>浓度限值</w:t>
            </w:r>
            <w:r>
              <w:rPr>
                <w:rFonts w:ascii="Times New Roman" w:eastAsia="Times New Roman"/>
                <w:b/>
                <w:sz w:val="21"/>
              </w:rPr>
              <w:t>/</w:t>
            </w:r>
          </w:p>
          <w:p w14:paraId="7D603F4F">
            <w:pPr>
              <w:pStyle w:val="14"/>
              <w:spacing w:before="29"/>
              <w:ind w:left="108"/>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193" w:type="dxa"/>
            <w:vMerge w:val="continue"/>
            <w:tcBorders>
              <w:top w:val="nil"/>
            </w:tcBorders>
          </w:tcPr>
          <w:p w14:paraId="75F42904">
            <w:pPr>
              <w:rPr>
                <w:sz w:val="2"/>
                <w:szCs w:val="2"/>
              </w:rPr>
            </w:pPr>
          </w:p>
        </w:tc>
      </w:tr>
      <w:tr w14:paraId="3D8DB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78" w:type="dxa"/>
          </w:tcPr>
          <w:p w14:paraId="6C06D62A">
            <w:pPr>
              <w:pStyle w:val="14"/>
              <w:spacing w:before="105"/>
              <w:ind w:left="5"/>
              <w:jc w:val="center"/>
              <w:rPr>
                <w:rFonts w:ascii="Times New Roman"/>
                <w:sz w:val="21"/>
              </w:rPr>
            </w:pPr>
            <w:r>
              <w:rPr>
                <w:rFonts w:ascii="Times New Roman"/>
                <w:w w:val="99"/>
                <w:sz w:val="21"/>
              </w:rPr>
              <w:t>1</w:t>
            </w:r>
          </w:p>
        </w:tc>
        <w:tc>
          <w:tcPr>
            <w:tcW w:w="1154" w:type="dxa"/>
            <w:vMerge w:val="restart"/>
          </w:tcPr>
          <w:p w14:paraId="1A37B7CE">
            <w:pPr>
              <w:pStyle w:val="14"/>
              <w:spacing w:before="7"/>
              <w:rPr>
                <w:b/>
                <w:sz w:val="14"/>
              </w:rPr>
            </w:pPr>
          </w:p>
          <w:p w14:paraId="59D5567A">
            <w:pPr>
              <w:pStyle w:val="14"/>
              <w:spacing w:line="242" w:lineRule="auto"/>
              <w:ind w:left="472" w:right="146" w:hanging="315"/>
              <w:rPr>
                <w:sz w:val="21"/>
              </w:rPr>
            </w:pPr>
            <w:r>
              <w:rPr>
                <w:w w:val="95"/>
                <w:sz w:val="21"/>
              </w:rPr>
              <w:t>暂养及待</w:t>
            </w:r>
            <w:r>
              <w:rPr>
                <w:sz w:val="21"/>
              </w:rPr>
              <w:t>宰</w:t>
            </w:r>
          </w:p>
        </w:tc>
        <w:tc>
          <w:tcPr>
            <w:tcW w:w="885" w:type="dxa"/>
          </w:tcPr>
          <w:p w14:paraId="506DAA07">
            <w:pPr>
              <w:pStyle w:val="14"/>
              <w:spacing w:before="91"/>
              <w:ind w:left="121" w:right="114"/>
              <w:jc w:val="center"/>
              <w:rPr>
                <w:sz w:val="21"/>
              </w:rPr>
            </w:pPr>
            <w:r>
              <w:rPr>
                <w:sz w:val="21"/>
              </w:rPr>
              <w:t>氨气</w:t>
            </w:r>
          </w:p>
        </w:tc>
        <w:tc>
          <w:tcPr>
            <w:tcW w:w="1986" w:type="dxa"/>
            <w:vMerge w:val="restart"/>
          </w:tcPr>
          <w:p w14:paraId="391DBE1F">
            <w:pPr>
              <w:pStyle w:val="14"/>
              <w:spacing w:before="7"/>
              <w:rPr>
                <w:b/>
                <w:sz w:val="14"/>
              </w:rPr>
            </w:pPr>
          </w:p>
          <w:p w14:paraId="3DA7A96B">
            <w:pPr>
              <w:pStyle w:val="14"/>
              <w:spacing w:line="242" w:lineRule="auto"/>
              <w:ind w:left="151" w:right="144"/>
              <w:rPr>
                <w:sz w:val="21"/>
              </w:rPr>
            </w:pPr>
            <w:r>
              <w:rPr>
                <w:w w:val="95"/>
                <w:sz w:val="21"/>
              </w:rPr>
              <w:t>静养不投喂，密闭措施，喷洒除臭剂</w:t>
            </w:r>
          </w:p>
        </w:tc>
        <w:tc>
          <w:tcPr>
            <w:tcW w:w="1604" w:type="dxa"/>
            <w:vMerge w:val="restart"/>
          </w:tcPr>
          <w:p w14:paraId="3FB126D0">
            <w:pPr>
              <w:pStyle w:val="14"/>
              <w:rPr>
                <w:b/>
                <w:sz w:val="20"/>
              </w:rPr>
            </w:pPr>
          </w:p>
          <w:p w14:paraId="2AD453FD">
            <w:pPr>
              <w:pStyle w:val="14"/>
              <w:rPr>
                <w:b/>
                <w:sz w:val="20"/>
              </w:rPr>
            </w:pPr>
          </w:p>
          <w:p w14:paraId="639175E9">
            <w:pPr>
              <w:pStyle w:val="14"/>
              <w:rPr>
                <w:b/>
                <w:sz w:val="15"/>
              </w:rPr>
            </w:pPr>
          </w:p>
          <w:p w14:paraId="1925FE52">
            <w:pPr>
              <w:pStyle w:val="14"/>
              <w:spacing w:line="244" w:lineRule="auto"/>
              <w:ind w:left="327" w:right="162" w:hanging="156"/>
              <w:rPr>
                <w:sz w:val="21"/>
              </w:rPr>
            </w:pPr>
            <w:r>
              <w:rPr>
                <w:w w:val="95"/>
                <w:sz w:val="21"/>
              </w:rPr>
              <w:t>《恶臭污染物</w:t>
            </w:r>
            <w:r>
              <w:rPr>
                <w:sz w:val="21"/>
              </w:rPr>
              <w:t>排放标准》</w:t>
            </w:r>
          </w:p>
          <w:p w14:paraId="62E4BA42">
            <w:pPr>
              <w:pStyle w:val="14"/>
              <w:spacing w:line="265" w:lineRule="exact"/>
              <w:ind w:left="253"/>
              <w:rPr>
                <w:rFonts w:ascii="Times New Roman" w:eastAsia="Times New Roman"/>
                <w:sz w:val="21"/>
              </w:rPr>
            </w:pPr>
            <w:r>
              <w:rPr>
                <w:sz w:val="21"/>
              </w:rPr>
              <w:t>（</w:t>
            </w:r>
            <w:r>
              <w:rPr>
                <w:rFonts w:ascii="Times New Roman" w:eastAsia="Times New Roman"/>
                <w:sz w:val="21"/>
              </w:rPr>
              <w:t>GB14554-</w:t>
            </w:r>
          </w:p>
          <w:p w14:paraId="549DAB78">
            <w:pPr>
              <w:pStyle w:val="14"/>
              <w:spacing w:before="5" w:line="242" w:lineRule="auto"/>
              <w:ind w:left="380" w:right="162" w:hanging="209"/>
              <w:rPr>
                <w:sz w:val="21"/>
              </w:rPr>
            </w:pPr>
            <w:r>
              <w:rPr>
                <w:rFonts w:ascii="Times New Roman" w:eastAsia="Times New Roman"/>
                <w:w w:val="95"/>
                <w:sz w:val="21"/>
              </w:rPr>
              <w:t>93</w:t>
            </w:r>
            <w:r>
              <w:rPr>
                <w:w w:val="95"/>
                <w:sz w:val="21"/>
              </w:rPr>
              <w:t>）二级新改</w:t>
            </w:r>
            <w:r>
              <w:rPr>
                <w:sz w:val="21"/>
              </w:rPr>
              <w:t>扩建标准</w:t>
            </w:r>
          </w:p>
        </w:tc>
        <w:tc>
          <w:tcPr>
            <w:tcW w:w="1222" w:type="dxa"/>
          </w:tcPr>
          <w:p w14:paraId="17DE5A12">
            <w:pPr>
              <w:pStyle w:val="14"/>
              <w:spacing w:before="105"/>
              <w:ind w:left="405" w:right="398"/>
              <w:jc w:val="center"/>
              <w:rPr>
                <w:rFonts w:ascii="Times New Roman"/>
                <w:sz w:val="21"/>
              </w:rPr>
            </w:pPr>
            <w:r>
              <w:rPr>
                <w:rFonts w:ascii="Times New Roman"/>
                <w:sz w:val="21"/>
              </w:rPr>
              <w:t>1.5</w:t>
            </w:r>
          </w:p>
        </w:tc>
        <w:tc>
          <w:tcPr>
            <w:tcW w:w="1193" w:type="dxa"/>
          </w:tcPr>
          <w:p w14:paraId="0D8A42AB">
            <w:pPr>
              <w:pStyle w:val="14"/>
              <w:spacing w:before="105"/>
              <w:ind w:left="123" w:right="114"/>
              <w:jc w:val="center"/>
              <w:rPr>
                <w:rFonts w:ascii="Times New Roman"/>
                <w:sz w:val="21"/>
              </w:rPr>
            </w:pPr>
            <w:r>
              <w:rPr>
                <w:rFonts w:ascii="Times New Roman"/>
                <w:sz w:val="21"/>
              </w:rPr>
              <w:t>0.113</w:t>
            </w:r>
          </w:p>
        </w:tc>
      </w:tr>
      <w:tr w14:paraId="4E7EF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78" w:type="dxa"/>
          </w:tcPr>
          <w:p w14:paraId="737EE8EA">
            <w:pPr>
              <w:pStyle w:val="14"/>
              <w:spacing w:before="104"/>
              <w:ind w:left="5"/>
              <w:jc w:val="center"/>
              <w:rPr>
                <w:rFonts w:ascii="Times New Roman"/>
                <w:sz w:val="21"/>
              </w:rPr>
            </w:pPr>
            <w:r>
              <w:rPr>
                <w:rFonts w:ascii="Times New Roman"/>
                <w:w w:val="99"/>
                <w:sz w:val="21"/>
              </w:rPr>
              <w:t>2</w:t>
            </w:r>
          </w:p>
        </w:tc>
        <w:tc>
          <w:tcPr>
            <w:tcW w:w="1154" w:type="dxa"/>
            <w:vMerge w:val="continue"/>
            <w:tcBorders>
              <w:top w:val="nil"/>
            </w:tcBorders>
          </w:tcPr>
          <w:p w14:paraId="596A6CE7">
            <w:pPr>
              <w:rPr>
                <w:sz w:val="2"/>
                <w:szCs w:val="2"/>
              </w:rPr>
            </w:pPr>
          </w:p>
        </w:tc>
        <w:tc>
          <w:tcPr>
            <w:tcW w:w="885" w:type="dxa"/>
          </w:tcPr>
          <w:p w14:paraId="4B074301">
            <w:pPr>
              <w:pStyle w:val="14"/>
              <w:spacing w:before="90"/>
              <w:ind w:left="106" w:right="99"/>
              <w:jc w:val="center"/>
              <w:rPr>
                <w:sz w:val="21"/>
              </w:rPr>
            </w:pPr>
            <w:r>
              <w:rPr>
                <w:sz w:val="21"/>
              </w:rPr>
              <w:t>硫化氢</w:t>
            </w:r>
          </w:p>
        </w:tc>
        <w:tc>
          <w:tcPr>
            <w:tcW w:w="1986" w:type="dxa"/>
            <w:vMerge w:val="continue"/>
            <w:tcBorders>
              <w:top w:val="nil"/>
            </w:tcBorders>
          </w:tcPr>
          <w:p w14:paraId="07A81C5B">
            <w:pPr>
              <w:rPr>
                <w:sz w:val="2"/>
                <w:szCs w:val="2"/>
              </w:rPr>
            </w:pPr>
          </w:p>
        </w:tc>
        <w:tc>
          <w:tcPr>
            <w:tcW w:w="1604" w:type="dxa"/>
            <w:vMerge w:val="continue"/>
            <w:tcBorders>
              <w:top w:val="nil"/>
            </w:tcBorders>
          </w:tcPr>
          <w:p w14:paraId="17C58A6D">
            <w:pPr>
              <w:rPr>
                <w:sz w:val="2"/>
                <w:szCs w:val="2"/>
              </w:rPr>
            </w:pPr>
          </w:p>
        </w:tc>
        <w:tc>
          <w:tcPr>
            <w:tcW w:w="1222" w:type="dxa"/>
          </w:tcPr>
          <w:p w14:paraId="0CAE7855">
            <w:pPr>
              <w:pStyle w:val="14"/>
              <w:spacing w:before="104"/>
              <w:ind w:left="405" w:right="398"/>
              <w:jc w:val="center"/>
              <w:rPr>
                <w:rFonts w:ascii="Times New Roman"/>
                <w:sz w:val="21"/>
              </w:rPr>
            </w:pPr>
            <w:r>
              <w:rPr>
                <w:rFonts w:ascii="Times New Roman"/>
                <w:sz w:val="21"/>
              </w:rPr>
              <w:t>0.06</w:t>
            </w:r>
          </w:p>
        </w:tc>
        <w:tc>
          <w:tcPr>
            <w:tcW w:w="1193" w:type="dxa"/>
          </w:tcPr>
          <w:p w14:paraId="624C2272">
            <w:pPr>
              <w:pStyle w:val="14"/>
              <w:spacing w:before="104"/>
              <w:ind w:left="123" w:right="116"/>
              <w:jc w:val="center"/>
              <w:rPr>
                <w:rFonts w:ascii="Times New Roman"/>
                <w:sz w:val="21"/>
              </w:rPr>
            </w:pPr>
            <w:r>
              <w:rPr>
                <w:rFonts w:ascii="Times New Roman"/>
                <w:sz w:val="21"/>
              </w:rPr>
              <w:t>0.01</w:t>
            </w:r>
          </w:p>
        </w:tc>
      </w:tr>
      <w:tr w14:paraId="2C613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78" w:type="dxa"/>
          </w:tcPr>
          <w:p w14:paraId="783864C8">
            <w:pPr>
              <w:pStyle w:val="14"/>
              <w:spacing w:before="105"/>
              <w:ind w:left="5"/>
              <w:jc w:val="center"/>
              <w:rPr>
                <w:rFonts w:ascii="Times New Roman"/>
                <w:sz w:val="21"/>
              </w:rPr>
            </w:pPr>
            <w:r>
              <w:rPr>
                <w:rFonts w:ascii="Times New Roman"/>
                <w:w w:val="99"/>
                <w:sz w:val="21"/>
              </w:rPr>
              <w:t>3</w:t>
            </w:r>
          </w:p>
        </w:tc>
        <w:tc>
          <w:tcPr>
            <w:tcW w:w="1154" w:type="dxa"/>
            <w:vMerge w:val="restart"/>
          </w:tcPr>
          <w:p w14:paraId="44EA3512">
            <w:pPr>
              <w:pStyle w:val="14"/>
              <w:spacing w:before="51"/>
              <w:ind w:left="157"/>
              <w:rPr>
                <w:sz w:val="21"/>
              </w:rPr>
            </w:pPr>
            <w:r>
              <w:rPr>
                <w:w w:val="95"/>
                <w:sz w:val="21"/>
              </w:rPr>
              <w:t>屠宰加工</w:t>
            </w:r>
          </w:p>
          <w:p w14:paraId="67C14984">
            <w:pPr>
              <w:pStyle w:val="14"/>
              <w:spacing w:before="2" w:line="242" w:lineRule="auto"/>
              <w:ind w:left="157" w:right="146"/>
              <w:rPr>
                <w:sz w:val="21"/>
              </w:rPr>
            </w:pPr>
            <w:r>
              <w:rPr>
                <w:w w:val="95"/>
                <w:sz w:val="21"/>
              </w:rPr>
              <w:t>（含污水处理站）</w:t>
            </w:r>
          </w:p>
        </w:tc>
        <w:tc>
          <w:tcPr>
            <w:tcW w:w="885" w:type="dxa"/>
          </w:tcPr>
          <w:p w14:paraId="4CC87F00">
            <w:pPr>
              <w:pStyle w:val="14"/>
              <w:spacing w:before="89"/>
              <w:ind w:left="121" w:right="114"/>
              <w:jc w:val="center"/>
              <w:rPr>
                <w:sz w:val="21"/>
              </w:rPr>
            </w:pPr>
            <w:r>
              <w:rPr>
                <w:sz w:val="21"/>
              </w:rPr>
              <w:t>氨气</w:t>
            </w:r>
          </w:p>
        </w:tc>
        <w:tc>
          <w:tcPr>
            <w:tcW w:w="1986" w:type="dxa"/>
            <w:vMerge w:val="restart"/>
          </w:tcPr>
          <w:p w14:paraId="7A8E2540">
            <w:pPr>
              <w:pStyle w:val="14"/>
              <w:spacing w:before="51" w:line="242" w:lineRule="auto"/>
              <w:ind w:left="151" w:right="142" w:hanging="3"/>
              <w:jc w:val="center"/>
              <w:rPr>
                <w:sz w:val="21"/>
              </w:rPr>
            </w:pPr>
            <w:r>
              <w:rPr>
                <w:w w:val="95"/>
                <w:sz w:val="21"/>
              </w:rPr>
              <w:t>标准化厂房集中换气，每日保洁，喷</w:t>
            </w:r>
            <w:r>
              <w:rPr>
                <w:sz w:val="21"/>
              </w:rPr>
              <w:t>洒除臭剂</w:t>
            </w:r>
          </w:p>
        </w:tc>
        <w:tc>
          <w:tcPr>
            <w:tcW w:w="1604" w:type="dxa"/>
            <w:vMerge w:val="continue"/>
            <w:tcBorders>
              <w:top w:val="nil"/>
            </w:tcBorders>
          </w:tcPr>
          <w:p w14:paraId="360EEC5E">
            <w:pPr>
              <w:rPr>
                <w:sz w:val="2"/>
                <w:szCs w:val="2"/>
              </w:rPr>
            </w:pPr>
          </w:p>
        </w:tc>
        <w:tc>
          <w:tcPr>
            <w:tcW w:w="1222" w:type="dxa"/>
          </w:tcPr>
          <w:p w14:paraId="3606188F">
            <w:pPr>
              <w:pStyle w:val="14"/>
              <w:spacing w:before="105"/>
              <w:ind w:left="405" w:right="398"/>
              <w:jc w:val="center"/>
              <w:rPr>
                <w:rFonts w:ascii="Times New Roman"/>
                <w:sz w:val="21"/>
              </w:rPr>
            </w:pPr>
            <w:r>
              <w:rPr>
                <w:rFonts w:ascii="Times New Roman"/>
                <w:sz w:val="21"/>
              </w:rPr>
              <w:t>1.5</w:t>
            </w:r>
          </w:p>
        </w:tc>
        <w:tc>
          <w:tcPr>
            <w:tcW w:w="1193" w:type="dxa"/>
          </w:tcPr>
          <w:p w14:paraId="24BD9232">
            <w:pPr>
              <w:pStyle w:val="14"/>
              <w:spacing w:before="105"/>
              <w:ind w:left="123" w:right="114"/>
              <w:jc w:val="center"/>
              <w:rPr>
                <w:rFonts w:ascii="Times New Roman"/>
                <w:sz w:val="21"/>
              </w:rPr>
            </w:pPr>
            <w:r>
              <w:rPr>
                <w:rFonts w:ascii="Times New Roman"/>
                <w:sz w:val="21"/>
              </w:rPr>
              <w:t>0.0355</w:t>
            </w:r>
          </w:p>
        </w:tc>
      </w:tr>
      <w:tr w14:paraId="72883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8" w:type="dxa"/>
          </w:tcPr>
          <w:p w14:paraId="334F5AD5">
            <w:pPr>
              <w:pStyle w:val="14"/>
              <w:spacing w:before="105"/>
              <w:ind w:left="5"/>
              <w:jc w:val="center"/>
              <w:rPr>
                <w:rFonts w:ascii="Times New Roman"/>
                <w:sz w:val="21"/>
              </w:rPr>
            </w:pPr>
            <w:r>
              <w:rPr>
                <w:rFonts w:ascii="Times New Roman"/>
                <w:w w:val="99"/>
                <w:sz w:val="21"/>
              </w:rPr>
              <w:t>4</w:t>
            </w:r>
          </w:p>
        </w:tc>
        <w:tc>
          <w:tcPr>
            <w:tcW w:w="1154" w:type="dxa"/>
            <w:vMerge w:val="continue"/>
            <w:tcBorders>
              <w:top w:val="nil"/>
            </w:tcBorders>
          </w:tcPr>
          <w:p w14:paraId="2EC9F772">
            <w:pPr>
              <w:rPr>
                <w:sz w:val="2"/>
                <w:szCs w:val="2"/>
              </w:rPr>
            </w:pPr>
          </w:p>
        </w:tc>
        <w:tc>
          <w:tcPr>
            <w:tcW w:w="885" w:type="dxa"/>
          </w:tcPr>
          <w:p w14:paraId="4211C1BD">
            <w:pPr>
              <w:pStyle w:val="14"/>
              <w:spacing w:before="91"/>
              <w:ind w:left="106" w:right="99"/>
              <w:jc w:val="center"/>
              <w:rPr>
                <w:sz w:val="21"/>
              </w:rPr>
            </w:pPr>
            <w:r>
              <w:rPr>
                <w:sz w:val="21"/>
              </w:rPr>
              <w:t>硫化氢</w:t>
            </w:r>
          </w:p>
        </w:tc>
        <w:tc>
          <w:tcPr>
            <w:tcW w:w="1986" w:type="dxa"/>
            <w:vMerge w:val="continue"/>
            <w:tcBorders>
              <w:top w:val="nil"/>
            </w:tcBorders>
          </w:tcPr>
          <w:p w14:paraId="0704B600">
            <w:pPr>
              <w:rPr>
                <w:sz w:val="2"/>
                <w:szCs w:val="2"/>
              </w:rPr>
            </w:pPr>
          </w:p>
        </w:tc>
        <w:tc>
          <w:tcPr>
            <w:tcW w:w="1604" w:type="dxa"/>
            <w:vMerge w:val="continue"/>
            <w:tcBorders>
              <w:top w:val="nil"/>
            </w:tcBorders>
          </w:tcPr>
          <w:p w14:paraId="4456D941">
            <w:pPr>
              <w:rPr>
                <w:sz w:val="2"/>
                <w:szCs w:val="2"/>
              </w:rPr>
            </w:pPr>
          </w:p>
        </w:tc>
        <w:tc>
          <w:tcPr>
            <w:tcW w:w="1222" w:type="dxa"/>
          </w:tcPr>
          <w:p w14:paraId="63AD8849">
            <w:pPr>
              <w:pStyle w:val="14"/>
              <w:spacing w:before="105"/>
              <w:ind w:left="405" w:right="398"/>
              <w:jc w:val="center"/>
              <w:rPr>
                <w:rFonts w:ascii="Times New Roman"/>
                <w:sz w:val="21"/>
              </w:rPr>
            </w:pPr>
            <w:r>
              <w:rPr>
                <w:rFonts w:ascii="Times New Roman"/>
                <w:sz w:val="21"/>
              </w:rPr>
              <w:t>0.06</w:t>
            </w:r>
          </w:p>
        </w:tc>
        <w:tc>
          <w:tcPr>
            <w:tcW w:w="1193" w:type="dxa"/>
          </w:tcPr>
          <w:p w14:paraId="20C151E8">
            <w:pPr>
              <w:pStyle w:val="14"/>
              <w:spacing w:before="105"/>
              <w:ind w:left="123" w:right="114"/>
              <w:jc w:val="center"/>
              <w:rPr>
                <w:rFonts w:ascii="Times New Roman"/>
                <w:sz w:val="21"/>
              </w:rPr>
            </w:pPr>
            <w:r>
              <w:rPr>
                <w:rFonts w:ascii="Times New Roman"/>
                <w:sz w:val="21"/>
              </w:rPr>
              <w:t>0.0013</w:t>
            </w:r>
          </w:p>
        </w:tc>
      </w:tr>
      <w:tr w14:paraId="2069B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78" w:type="dxa"/>
          </w:tcPr>
          <w:p w14:paraId="14BF047C">
            <w:pPr>
              <w:pStyle w:val="14"/>
              <w:spacing w:before="104"/>
              <w:ind w:left="5"/>
              <w:jc w:val="center"/>
              <w:rPr>
                <w:rFonts w:ascii="Times New Roman"/>
                <w:sz w:val="21"/>
              </w:rPr>
            </w:pPr>
            <w:r>
              <w:rPr>
                <w:rFonts w:ascii="Times New Roman"/>
                <w:w w:val="99"/>
                <w:sz w:val="21"/>
              </w:rPr>
              <w:t>5</w:t>
            </w:r>
          </w:p>
        </w:tc>
        <w:tc>
          <w:tcPr>
            <w:tcW w:w="1154" w:type="dxa"/>
            <w:vMerge w:val="restart"/>
          </w:tcPr>
          <w:p w14:paraId="7AD28B0D">
            <w:pPr>
              <w:pStyle w:val="14"/>
              <w:spacing w:before="6"/>
              <w:rPr>
                <w:b/>
                <w:sz w:val="14"/>
              </w:rPr>
            </w:pPr>
          </w:p>
          <w:p w14:paraId="5AD23A40">
            <w:pPr>
              <w:pStyle w:val="14"/>
              <w:spacing w:before="1"/>
              <w:ind w:left="157"/>
              <w:rPr>
                <w:sz w:val="21"/>
              </w:rPr>
            </w:pPr>
            <w:r>
              <w:rPr>
                <w:w w:val="95"/>
                <w:sz w:val="21"/>
              </w:rPr>
              <w:t>屠宰加工</w:t>
            </w:r>
          </w:p>
          <w:p w14:paraId="3D36E99D">
            <w:pPr>
              <w:pStyle w:val="14"/>
              <w:spacing w:before="2"/>
              <w:ind w:left="157"/>
              <w:rPr>
                <w:sz w:val="21"/>
              </w:rPr>
            </w:pPr>
            <w:r>
              <w:rPr>
                <w:w w:val="95"/>
                <w:sz w:val="21"/>
              </w:rPr>
              <w:t>（备用）</w:t>
            </w:r>
          </w:p>
        </w:tc>
        <w:tc>
          <w:tcPr>
            <w:tcW w:w="885" w:type="dxa"/>
          </w:tcPr>
          <w:p w14:paraId="6D70355A">
            <w:pPr>
              <w:pStyle w:val="14"/>
              <w:spacing w:before="90"/>
              <w:ind w:left="121" w:right="114"/>
              <w:jc w:val="center"/>
              <w:rPr>
                <w:sz w:val="21"/>
              </w:rPr>
            </w:pPr>
            <w:r>
              <w:rPr>
                <w:sz w:val="21"/>
              </w:rPr>
              <w:t>氨气</w:t>
            </w:r>
          </w:p>
        </w:tc>
        <w:tc>
          <w:tcPr>
            <w:tcW w:w="1986" w:type="dxa"/>
            <w:vMerge w:val="restart"/>
          </w:tcPr>
          <w:p w14:paraId="5F7D023F">
            <w:pPr>
              <w:pStyle w:val="14"/>
              <w:spacing w:before="6"/>
              <w:rPr>
                <w:b/>
                <w:sz w:val="14"/>
              </w:rPr>
            </w:pPr>
          </w:p>
          <w:p w14:paraId="1A3AE4E4">
            <w:pPr>
              <w:pStyle w:val="14"/>
              <w:spacing w:before="1" w:line="242" w:lineRule="auto"/>
              <w:ind w:left="257" w:right="144" w:hanging="106"/>
              <w:rPr>
                <w:sz w:val="21"/>
              </w:rPr>
            </w:pPr>
            <w:r>
              <w:rPr>
                <w:w w:val="95"/>
                <w:sz w:val="21"/>
              </w:rPr>
              <w:t>标准化厂房集中换</w:t>
            </w:r>
            <w:r>
              <w:rPr>
                <w:sz w:val="21"/>
              </w:rPr>
              <w:t>气，喷洒除臭剂</w:t>
            </w:r>
          </w:p>
        </w:tc>
        <w:tc>
          <w:tcPr>
            <w:tcW w:w="1604" w:type="dxa"/>
            <w:vMerge w:val="continue"/>
            <w:tcBorders>
              <w:top w:val="nil"/>
            </w:tcBorders>
          </w:tcPr>
          <w:p w14:paraId="6F31F877">
            <w:pPr>
              <w:rPr>
                <w:sz w:val="2"/>
                <w:szCs w:val="2"/>
              </w:rPr>
            </w:pPr>
          </w:p>
        </w:tc>
        <w:tc>
          <w:tcPr>
            <w:tcW w:w="1222" w:type="dxa"/>
          </w:tcPr>
          <w:p w14:paraId="51F864EF">
            <w:pPr>
              <w:pStyle w:val="14"/>
              <w:spacing w:before="104"/>
              <w:ind w:left="405" w:right="398"/>
              <w:jc w:val="center"/>
              <w:rPr>
                <w:rFonts w:ascii="Times New Roman"/>
                <w:sz w:val="21"/>
              </w:rPr>
            </w:pPr>
            <w:r>
              <w:rPr>
                <w:rFonts w:ascii="Times New Roman"/>
                <w:sz w:val="21"/>
              </w:rPr>
              <w:t>1.5</w:t>
            </w:r>
          </w:p>
        </w:tc>
        <w:tc>
          <w:tcPr>
            <w:tcW w:w="1193" w:type="dxa"/>
          </w:tcPr>
          <w:p w14:paraId="62BFA180">
            <w:pPr>
              <w:pStyle w:val="14"/>
              <w:spacing w:before="104"/>
              <w:ind w:left="123" w:right="114"/>
              <w:jc w:val="center"/>
              <w:rPr>
                <w:rFonts w:ascii="Times New Roman"/>
                <w:sz w:val="21"/>
              </w:rPr>
            </w:pPr>
            <w:r>
              <w:rPr>
                <w:rFonts w:ascii="Times New Roman"/>
                <w:sz w:val="21"/>
              </w:rPr>
              <w:t>0.002</w:t>
            </w:r>
          </w:p>
        </w:tc>
      </w:tr>
      <w:tr w14:paraId="138C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78" w:type="dxa"/>
          </w:tcPr>
          <w:p w14:paraId="57624CBA">
            <w:pPr>
              <w:pStyle w:val="14"/>
              <w:spacing w:before="105"/>
              <w:ind w:left="5"/>
              <w:jc w:val="center"/>
              <w:rPr>
                <w:rFonts w:ascii="Times New Roman"/>
                <w:sz w:val="21"/>
              </w:rPr>
            </w:pPr>
            <w:r>
              <w:rPr>
                <w:rFonts w:ascii="Times New Roman"/>
                <w:w w:val="99"/>
                <w:sz w:val="21"/>
              </w:rPr>
              <w:t>6</w:t>
            </w:r>
          </w:p>
        </w:tc>
        <w:tc>
          <w:tcPr>
            <w:tcW w:w="1154" w:type="dxa"/>
            <w:vMerge w:val="continue"/>
            <w:tcBorders>
              <w:top w:val="nil"/>
            </w:tcBorders>
          </w:tcPr>
          <w:p w14:paraId="4483EEB4">
            <w:pPr>
              <w:rPr>
                <w:sz w:val="2"/>
                <w:szCs w:val="2"/>
              </w:rPr>
            </w:pPr>
          </w:p>
        </w:tc>
        <w:tc>
          <w:tcPr>
            <w:tcW w:w="885" w:type="dxa"/>
          </w:tcPr>
          <w:p w14:paraId="700895EF">
            <w:pPr>
              <w:pStyle w:val="14"/>
              <w:spacing w:before="89"/>
              <w:ind w:left="106" w:right="99"/>
              <w:jc w:val="center"/>
              <w:rPr>
                <w:sz w:val="21"/>
              </w:rPr>
            </w:pPr>
            <w:r>
              <w:rPr>
                <w:sz w:val="21"/>
              </w:rPr>
              <w:t>硫化氢</w:t>
            </w:r>
          </w:p>
        </w:tc>
        <w:tc>
          <w:tcPr>
            <w:tcW w:w="1986" w:type="dxa"/>
            <w:vMerge w:val="continue"/>
            <w:tcBorders>
              <w:top w:val="nil"/>
            </w:tcBorders>
          </w:tcPr>
          <w:p w14:paraId="41EECE0F">
            <w:pPr>
              <w:rPr>
                <w:sz w:val="2"/>
                <w:szCs w:val="2"/>
              </w:rPr>
            </w:pPr>
          </w:p>
        </w:tc>
        <w:tc>
          <w:tcPr>
            <w:tcW w:w="1604" w:type="dxa"/>
            <w:vMerge w:val="continue"/>
            <w:tcBorders>
              <w:top w:val="nil"/>
            </w:tcBorders>
          </w:tcPr>
          <w:p w14:paraId="46102E72">
            <w:pPr>
              <w:rPr>
                <w:sz w:val="2"/>
                <w:szCs w:val="2"/>
              </w:rPr>
            </w:pPr>
          </w:p>
        </w:tc>
        <w:tc>
          <w:tcPr>
            <w:tcW w:w="1222" w:type="dxa"/>
          </w:tcPr>
          <w:p w14:paraId="19FEBA6B">
            <w:pPr>
              <w:pStyle w:val="14"/>
              <w:spacing w:before="105"/>
              <w:ind w:left="405" w:right="398"/>
              <w:jc w:val="center"/>
              <w:rPr>
                <w:rFonts w:ascii="Times New Roman"/>
                <w:sz w:val="21"/>
              </w:rPr>
            </w:pPr>
            <w:r>
              <w:rPr>
                <w:rFonts w:ascii="Times New Roman"/>
                <w:sz w:val="21"/>
              </w:rPr>
              <w:t>0.06</w:t>
            </w:r>
          </w:p>
        </w:tc>
        <w:tc>
          <w:tcPr>
            <w:tcW w:w="1193" w:type="dxa"/>
          </w:tcPr>
          <w:p w14:paraId="748B9624">
            <w:pPr>
              <w:pStyle w:val="14"/>
              <w:spacing w:before="105"/>
              <w:ind w:left="123" w:right="114"/>
              <w:jc w:val="center"/>
              <w:rPr>
                <w:rFonts w:ascii="Times New Roman"/>
                <w:sz w:val="21"/>
              </w:rPr>
            </w:pPr>
            <w:r>
              <w:rPr>
                <w:rFonts w:ascii="Times New Roman"/>
                <w:sz w:val="21"/>
              </w:rPr>
              <w:t>0.000006</w:t>
            </w:r>
          </w:p>
        </w:tc>
      </w:tr>
      <w:tr w14:paraId="0A699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7"/>
          </w:tcPr>
          <w:p w14:paraId="5406CAE9">
            <w:pPr>
              <w:pStyle w:val="14"/>
              <w:spacing w:before="91"/>
              <w:ind w:left="3090" w:right="3083"/>
              <w:jc w:val="center"/>
              <w:rPr>
                <w:sz w:val="21"/>
              </w:rPr>
            </w:pPr>
            <w:r>
              <w:rPr>
                <w:sz w:val="21"/>
              </w:rPr>
              <w:t>无组织排放总计</w:t>
            </w:r>
          </w:p>
        </w:tc>
      </w:tr>
      <w:tr w14:paraId="28585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517" w:type="dxa"/>
            <w:gridSpan w:val="3"/>
            <w:vMerge w:val="restart"/>
          </w:tcPr>
          <w:p w14:paraId="04BAA81A">
            <w:pPr>
              <w:pStyle w:val="14"/>
              <w:spacing w:before="2"/>
              <w:rPr>
                <w:b/>
                <w:sz w:val="25"/>
              </w:rPr>
            </w:pPr>
          </w:p>
          <w:p w14:paraId="68674D26">
            <w:pPr>
              <w:pStyle w:val="14"/>
              <w:ind w:left="522"/>
              <w:rPr>
                <w:sz w:val="21"/>
              </w:rPr>
            </w:pPr>
            <w:r>
              <w:rPr>
                <w:sz w:val="21"/>
              </w:rPr>
              <w:t>无组织排放总计</w:t>
            </w:r>
          </w:p>
        </w:tc>
        <w:tc>
          <w:tcPr>
            <w:tcW w:w="3590" w:type="dxa"/>
            <w:gridSpan w:val="2"/>
          </w:tcPr>
          <w:p w14:paraId="41182AB7">
            <w:pPr>
              <w:pStyle w:val="14"/>
              <w:spacing w:before="90"/>
              <w:ind w:left="1458" w:right="1452"/>
              <w:jc w:val="center"/>
              <w:rPr>
                <w:sz w:val="21"/>
              </w:rPr>
            </w:pPr>
            <w:r>
              <w:rPr>
                <w:sz w:val="21"/>
              </w:rPr>
              <w:t>氨气</w:t>
            </w:r>
          </w:p>
        </w:tc>
        <w:tc>
          <w:tcPr>
            <w:tcW w:w="2415" w:type="dxa"/>
            <w:gridSpan w:val="2"/>
          </w:tcPr>
          <w:p w14:paraId="68DD379A">
            <w:pPr>
              <w:pStyle w:val="14"/>
              <w:spacing w:before="104"/>
              <w:ind w:left="897" w:right="888"/>
              <w:jc w:val="center"/>
              <w:rPr>
                <w:rFonts w:ascii="Times New Roman"/>
                <w:sz w:val="21"/>
              </w:rPr>
            </w:pPr>
            <w:r>
              <w:rPr>
                <w:rFonts w:ascii="Times New Roman"/>
                <w:sz w:val="21"/>
              </w:rPr>
              <w:t>0.15</w:t>
            </w:r>
          </w:p>
        </w:tc>
      </w:tr>
      <w:tr w14:paraId="0EF32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17" w:type="dxa"/>
            <w:gridSpan w:val="3"/>
            <w:vMerge w:val="continue"/>
            <w:tcBorders>
              <w:top w:val="nil"/>
            </w:tcBorders>
          </w:tcPr>
          <w:p w14:paraId="6F1AB38D">
            <w:pPr>
              <w:rPr>
                <w:sz w:val="2"/>
                <w:szCs w:val="2"/>
              </w:rPr>
            </w:pPr>
          </w:p>
        </w:tc>
        <w:tc>
          <w:tcPr>
            <w:tcW w:w="3590" w:type="dxa"/>
            <w:gridSpan w:val="2"/>
          </w:tcPr>
          <w:p w14:paraId="5937F237">
            <w:pPr>
              <w:pStyle w:val="14"/>
              <w:spacing w:before="89"/>
              <w:ind w:left="1458" w:right="1452"/>
              <w:jc w:val="center"/>
              <w:rPr>
                <w:sz w:val="21"/>
              </w:rPr>
            </w:pPr>
            <w:r>
              <w:rPr>
                <w:sz w:val="21"/>
              </w:rPr>
              <w:t>硫化氢</w:t>
            </w:r>
          </w:p>
        </w:tc>
        <w:tc>
          <w:tcPr>
            <w:tcW w:w="2415" w:type="dxa"/>
            <w:gridSpan w:val="2"/>
          </w:tcPr>
          <w:p w14:paraId="0AF24164">
            <w:pPr>
              <w:pStyle w:val="14"/>
              <w:spacing w:before="105"/>
              <w:ind w:left="897" w:right="890"/>
              <w:jc w:val="center"/>
              <w:rPr>
                <w:rFonts w:ascii="Times New Roman"/>
                <w:sz w:val="21"/>
              </w:rPr>
            </w:pPr>
            <w:r>
              <w:rPr>
                <w:rFonts w:ascii="Times New Roman"/>
                <w:sz w:val="21"/>
              </w:rPr>
              <w:t>0.0113</w:t>
            </w:r>
          </w:p>
        </w:tc>
      </w:tr>
    </w:tbl>
    <w:p w14:paraId="06594A7D">
      <w:pPr>
        <w:pStyle w:val="7"/>
        <w:spacing w:before="1"/>
        <w:ind w:left="940"/>
      </w:pPr>
      <w:r>
        <w:rPr>
          <w:rFonts w:ascii="Times New Roman" w:eastAsia="Times New Roman"/>
        </w:rPr>
        <w:t>3</w:t>
      </w:r>
      <w:r>
        <w:t>、项目大气污染物年排放量核算</w:t>
      </w:r>
    </w:p>
    <w:p w14:paraId="712E6D5A">
      <w:pPr>
        <w:pStyle w:val="7"/>
        <w:spacing w:before="160"/>
        <w:ind w:left="940"/>
      </w:pPr>
      <w:r>
        <w:t>综上核算结果，项目大气污染物年排放量核算汇总详见下表。</w:t>
      </w:r>
    </w:p>
    <w:p w14:paraId="09DB2294">
      <w:pPr>
        <w:spacing w:before="157" w:after="4"/>
        <w:ind w:left="264" w:right="286" w:firstLine="0"/>
        <w:jc w:val="center"/>
        <w:rPr>
          <w:b/>
          <w:sz w:val="21"/>
        </w:rPr>
      </w:pPr>
      <w:r>
        <w:rPr>
          <w:b/>
          <w:sz w:val="21"/>
        </w:rPr>
        <w:t xml:space="preserve">表 </w:t>
      </w:r>
      <w:r>
        <w:rPr>
          <w:rFonts w:ascii="Times New Roman" w:eastAsia="Times New Roman"/>
          <w:b/>
          <w:sz w:val="21"/>
        </w:rPr>
        <w:t xml:space="preserve">5.2-4 </w:t>
      </w:r>
      <w:r>
        <w:rPr>
          <w:b/>
          <w:sz w:val="21"/>
        </w:rPr>
        <w:t>大气污染物年排放量核算表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7"/>
        <w:gridCol w:w="3220"/>
        <w:gridCol w:w="3375"/>
      </w:tblGrid>
      <w:tr w14:paraId="684A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27" w:type="dxa"/>
          </w:tcPr>
          <w:p w14:paraId="030C0067">
            <w:pPr>
              <w:pStyle w:val="14"/>
              <w:spacing w:before="89"/>
              <w:ind w:left="730" w:right="725"/>
              <w:jc w:val="center"/>
              <w:rPr>
                <w:b/>
                <w:sz w:val="21"/>
              </w:rPr>
            </w:pPr>
            <w:r>
              <w:rPr>
                <w:b/>
                <w:sz w:val="21"/>
              </w:rPr>
              <w:t>序号</w:t>
            </w:r>
          </w:p>
        </w:tc>
        <w:tc>
          <w:tcPr>
            <w:tcW w:w="3220" w:type="dxa"/>
          </w:tcPr>
          <w:p w14:paraId="3C16AA6A">
            <w:pPr>
              <w:pStyle w:val="14"/>
              <w:spacing w:before="89"/>
              <w:ind w:left="1169" w:right="1161"/>
              <w:jc w:val="center"/>
              <w:rPr>
                <w:b/>
                <w:sz w:val="21"/>
              </w:rPr>
            </w:pPr>
            <w:r>
              <w:rPr>
                <w:b/>
                <w:sz w:val="21"/>
              </w:rPr>
              <w:t>污染物</w:t>
            </w:r>
          </w:p>
        </w:tc>
        <w:tc>
          <w:tcPr>
            <w:tcW w:w="3375" w:type="dxa"/>
          </w:tcPr>
          <w:p w14:paraId="46E7E8AA">
            <w:pPr>
              <w:pStyle w:val="14"/>
              <w:spacing w:before="89"/>
              <w:ind w:left="887" w:right="881"/>
              <w:jc w:val="center"/>
              <w:rPr>
                <w:b/>
                <w:sz w:val="21"/>
              </w:rPr>
            </w:pPr>
            <w:r>
              <w:rPr>
                <w:b/>
                <w:sz w:val="21"/>
              </w:rPr>
              <w:t>年排放量</w:t>
            </w:r>
            <w:r>
              <w:rPr>
                <w:rFonts w:ascii="Times New Roman" w:eastAsia="Times New Roman"/>
                <w:b/>
                <w:sz w:val="21"/>
              </w:rPr>
              <w:t>/</w:t>
            </w:r>
            <w:r>
              <w:rPr>
                <w:b/>
                <w:sz w:val="21"/>
              </w:rPr>
              <w:t>（</w:t>
            </w:r>
            <w:r>
              <w:rPr>
                <w:rFonts w:ascii="Times New Roman" w:eastAsia="Times New Roman"/>
                <w:b/>
                <w:sz w:val="21"/>
              </w:rPr>
              <w:t>t/a</w:t>
            </w:r>
            <w:r>
              <w:rPr>
                <w:b/>
                <w:sz w:val="21"/>
              </w:rPr>
              <w:t>）</w:t>
            </w:r>
          </w:p>
        </w:tc>
      </w:tr>
      <w:tr w14:paraId="7A203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27" w:type="dxa"/>
          </w:tcPr>
          <w:p w14:paraId="3A7E0F3B">
            <w:pPr>
              <w:pStyle w:val="14"/>
              <w:spacing w:before="105"/>
              <w:ind w:left="11"/>
              <w:jc w:val="center"/>
              <w:rPr>
                <w:rFonts w:ascii="Times New Roman"/>
                <w:sz w:val="21"/>
              </w:rPr>
            </w:pPr>
            <w:r>
              <w:rPr>
                <w:rFonts w:ascii="Times New Roman"/>
                <w:w w:val="99"/>
                <w:sz w:val="21"/>
              </w:rPr>
              <w:t>1</w:t>
            </w:r>
          </w:p>
        </w:tc>
        <w:tc>
          <w:tcPr>
            <w:tcW w:w="3220" w:type="dxa"/>
          </w:tcPr>
          <w:p w14:paraId="1E00F6FF">
            <w:pPr>
              <w:pStyle w:val="14"/>
              <w:spacing w:before="91"/>
              <w:ind w:left="1167" w:right="1161"/>
              <w:jc w:val="center"/>
              <w:rPr>
                <w:sz w:val="21"/>
              </w:rPr>
            </w:pPr>
            <w:r>
              <w:rPr>
                <w:sz w:val="21"/>
              </w:rPr>
              <w:t>氨气</w:t>
            </w:r>
          </w:p>
        </w:tc>
        <w:tc>
          <w:tcPr>
            <w:tcW w:w="3375" w:type="dxa"/>
          </w:tcPr>
          <w:p w14:paraId="1716924C">
            <w:pPr>
              <w:pStyle w:val="14"/>
              <w:spacing w:before="105"/>
              <w:ind w:left="887" w:right="880"/>
              <w:jc w:val="center"/>
              <w:rPr>
                <w:rFonts w:ascii="Times New Roman"/>
                <w:sz w:val="21"/>
              </w:rPr>
            </w:pPr>
            <w:r>
              <w:rPr>
                <w:rFonts w:ascii="Times New Roman"/>
                <w:sz w:val="21"/>
              </w:rPr>
              <w:t>0.33</w:t>
            </w:r>
          </w:p>
        </w:tc>
      </w:tr>
    </w:tbl>
    <w:p w14:paraId="2D5CCA61">
      <w:pPr>
        <w:spacing w:after="0"/>
        <w:jc w:val="center"/>
        <w:rPr>
          <w:rFonts w:ascii="Times New Roman"/>
          <w:sz w:val="21"/>
        </w:rPr>
        <w:sectPr>
          <w:pgSz w:w="11910" w:h="16840"/>
          <w:pgMar w:top="1360" w:right="1320" w:bottom="1400" w:left="1340" w:header="878" w:footer="1204" w:gutter="0"/>
          <w:cols w:space="720" w:num="1"/>
        </w:sectPr>
      </w:pPr>
    </w:p>
    <w:p w14:paraId="388216CE">
      <w:pPr>
        <w:pStyle w:val="7"/>
        <w:spacing w:before="3"/>
        <w:rPr>
          <w:b/>
          <w:sz w:val="5"/>
        </w:rPr>
      </w:pP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7"/>
        <w:gridCol w:w="3220"/>
        <w:gridCol w:w="3375"/>
      </w:tblGrid>
      <w:tr w14:paraId="557B6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27" w:type="dxa"/>
          </w:tcPr>
          <w:p w14:paraId="292092D5">
            <w:pPr>
              <w:pStyle w:val="14"/>
              <w:spacing w:before="107"/>
              <w:ind w:right="898"/>
              <w:jc w:val="right"/>
              <w:rPr>
                <w:rFonts w:ascii="Times New Roman"/>
                <w:sz w:val="21"/>
              </w:rPr>
            </w:pPr>
            <w:r>
              <w:rPr>
                <w:rFonts w:ascii="Times New Roman"/>
                <w:w w:val="99"/>
                <w:sz w:val="21"/>
              </w:rPr>
              <w:t>2</w:t>
            </w:r>
          </w:p>
        </w:tc>
        <w:tc>
          <w:tcPr>
            <w:tcW w:w="3220" w:type="dxa"/>
          </w:tcPr>
          <w:p w14:paraId="3ADE31F7">
            <w:pPr>
              <w:pStyle w:val="14"/>
              <w:spacing w:before="91"/>
              <w:ind w:left="1167" w:right="1161"/>
              <w:jc w:val="center"/>
              <w:rPr>
                <w:sz w:val="21"/>
              </w:rPr>
            </w:pPr>
            <w:r>
              <w:rPr>
                <w:sz w:val="21"/>
              </w:rPr>
              <w:t>硫化氢</w:t>
            </w:r>
          </w:p>
        </w:tc>
        <w:tc>
          <w:tcPr>
            <w:tcW w:w="3375" w:type="dxa"/>
          </w:tcPr>
          <w:p w14:paraId="466FF414">
            <w:pPr>
              <w:pStyle w:val="14"/>
              <w:spacing w:before="107"/>
              <w:ind w:left="887" w:right="880"/>
              <w:jc w:val="center"/>
              <w:rPr>
                <w:rFonts w:ascii="Times New Roman"/>
                <w:sz w:val="21"/>
              </w:rPr>
            </w:pPr>
            <w:r>
              <w:rPr>
                <w:rFonts w:ascii="Times New Roman"/>
                <w:sz w:val="21"/>
              </w:rPr>
              <w:t>0.0233</w:t>
            </w:r>
          </w:p>
        </w:tc>
      </w:tr>
      <w:tr w14:paraId="6016B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27" w:type="dxa"/>
          </w:tcPr>
          <w:p w14:paraId="57343D85">
            <w:pPr>
              <w:pStyle w:val="14"/>
              <w:spacing w:before="106"/>
              <w:ind w:right="898"/>
              <w:jc w:val="right"/>
              <w:rPr>
                <w:rFonts w:ascii="Times New Roman"/>
                <w:sz w:val="21"/>
              </w:rPr>
            </w:pPr>
            <w:r>
              <w:rPr>
                <w:rFonts w:ascii="Times New Roman"/>
                <w:w w:val="99"/>
                <w:sz w:val="21"/>
              </w:rPr>
              <w:t>3</w:t>
            </w:r>
          </w:p>
        </w:tc>
        <w:tc>
          <w:tcPr>
            <w:tcW w:w="3220" w:type="dxa"/>
          </w:tcPr>
          <w:p w14:paraId="56D47348">
            <w:pPr>
              <w:pStyle w:val="14"/>
              <w:spacing w:before="90"/>
              <w:ind w:left="1169" w:right="1161"/>
              <w:jc w:val="center"/>
              <w:rPr>
                <w:sz w:val="21"/>
              </w:rPr>
            </w:pPr>
            <w:r>
              <w:rPr>
                <w:sz w:val="21"/>
              </w:rPr>
              <w:t>二氧化硫</w:t>
            </w:r>
          </w:p>
        </w:tc>
        <w:tc>
          <w:tcPr>
            <w:tcW w:w="3375" w:type="dxa"/>
          </w:tcPr>
          <w:p w14:paraId="7BCDB7F0">
            <w:pPr>
              <w:pStyle w:val="14"/>
              <w:spacing w:before="106"/>
              <w:ind w:left="887" w:right="878"/>
              <w:jc w:val="center"/>
              <w:rPr>
                <w:rFonts w:ascii="Times New Roman"/>
                <w:sz w:val="21"/>
              </w:rPr>
            </w:pPr>
            <w:r>
              <w:rPr>
                <w:rFonts w:ascii="Times New Roman"/>
                <w:sz w:val="21"/>
              </w:rPr>
              <w:t>0.1</w:t>
            </w:r>
          </w:p>
        </w:tc>
      </w:tr>
      <w:tr w14:paraId="148A4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27" w:type="dxa"/>
          </w:tcPr>
          <w:p w14:paraId="6DB5AB81">
            <w:pPr>
              <w:pStyle w:val="14"/>
              <w:spacing w:before="105"/>
              <w:ind w:right="898"/>
              <w:jc w:val="right"/>
              <w:rPr>
                <w:rFonts w:ascii="Times New Roman"/>
                <w:sz w:val="21"/>
              </w:rPr>
            </w:pPr>
            <w:r>
              <w:rPr>
                <w:rFonts w:ascii="Times New Roman"/>
                <w:w w:val="99"/>
                <w:sz w:val="21"/>
              </w:rPr>
              <w:t>4</w:t>
            </w:r>
          </w:p>
        </w:tc>
        <w:tc>
          <w:tcPr>
            <w:tcW w:w="3220" w:type="dxa"/>
          </w:tcPr>
          <w:p w14:paraId="518B118F">
            <w:pPr>
              <w:pStyle w:val="14"/>
              <w:spacing w:before="91"/>
              <w:ind w:left="1169" w:right="1161"/>
              <w:jc w:val="center"/>
              <w:rPr>
                <w:sz w:val="21"/>
              </w:rPr>
            </w:pPr>
            <w:r>
              <w:rPr>
                <w:sz w:val="21"/>
              </w:rPr>
              <w:t>氮氧化物</w:t>
            </w:r>
          </w:p>
        </w:tc>
        <w:tc>
          <w:tcPr>
            <w:tcW w:w="3375" w:type="dxa"/>
          </w:tcPr>
          <w:p w14:paraId="483D1E74">
            <w:pPr>
              <w:pStyle w:val="14"/>
              <w:spacing w:before="105"/>
              <w:ind w:left="887" w:right="878"/>
              <w:jc w:val="center"/>
              <w:rPr>
                <w:rFonts w:ascii="Times New Roman"/>
                <w:sz w:val="21"/>
              </w:rPr>
            </w:pPr>
            <w:r>
              <w:rPr>
                <w:rFonts w:ascii="Times New Roman"/>
                <w:sz w:val="21"/>
              </w:rPr>
              <w:t>0.174</w:t>
            </w:r>
          </w:p>
        </w:tc>
      </w:tr>
    </w:tbl>
    <w:p w14:paraId="310A8B17">
      <w:pPr>
        <w:pStyle w:val="7"/>
        <w:spacing w:before="3"/>
        <w:ind w:left="940"/>
      </w:pPr>
      <w:r>
        <w:rPr>
          <w:rFonts w:ascii="Times New Roman" w:eastAsia="Times New Roman"/>
        </w:rPr>
        <w:t>4</w:t>
      </w:r>
      <w:r>
        <w:t>、项目大气污染物非正常排放量核算</w:t>
      </w:r>
    </w:p>
    <w:p w14:paraId="22A1A57A">
      <w:pPr>
        <w:pStyle w:val="7"/>
        <w:spacing w:before="158"/>
        <w:ind w:left="940"/>
      </w:pPr>
      <w:r>
        <w:t>根据工程分析，项目大气污染物非正常排放量核算结果见下表。</w:t>
      </w:r>
    </w:p>
    <w:p w14:paraId="28F77A83">
      <w:pPr>
        <w:spacing w:before="157" w:after="4"/>
        <w:ind w:left="2944" w:right="0" w:firstLine="0"/>
        <w:jc w:val="left"/>
        <w:rPr>
          <w:b/>
          <w:sz w:val="21"/>
        </w:rPr>
      </w:pPr>
      <w:r>
        <w:rPr>
          <w:b/>
          <w:sz w:val="21"/>
        </w:rPr>
        <w:t xml:space="preserve">表 </w:t>
      </w:r>
      <w:r>
        <w:rPr>
          <w:rFonts w:ascii="Times New Roman" w:eastAsia="Times New Roman"/>
          <w:b/>
          <w:sz w:val="21"/>
        </w:rPr>
        <w:t xml:space="preserve">5.2-5 </w:t>
      </w:r>
      <w:r>
        <w:rPr>
          <w:b/>
          <w:sz w:val="21"/>
        </w:rPr>
        <w:t>污染源非正常排放量核算表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2005"/>
        <w:gridCol w:w="684"/>
        <w:gridCol w:w="1410"/>
        <w:gridCol w:w="936"/>
        <w:gridCol w:w="869"/>
        <w:gridCol w:w="731"/>
        <w:gridCol w:w="655"/>
      </w:tblGrid>
      <w:tr w14:paraId="44F65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1232" w:type="dxa"/>
          </w:tcPr>
          <w:p w14:paraId="1927BDB8">
            <w:pPr>
              <w:pStyle w:val="14"/>
              <w:spacing w:before="11"/>
              <w:rPr>
                <w:b/>
                <w:sz w:val="22"/>
              </w:rPr>
            </w:pPr>
          </w:p>
          <w:p w14:paraId="30FC7497">
            <w:pPr>
              <w:pStyle w:val="14"/>
              <w:ind w:left="299"/>
              <w:rPr>
                <w:b/>
                <w:sz w:val="21"/>
              </w:rPr>
            </w:pPr>
            <w:r>
              <w:rPr>
                <w:b/>
                <w:sz w:val="21"/>
              </w:rPr>
              <w:t>污染源</w:t>
            </w:r>
          </w:p>
        </w:tc>
        <w:tc>
          <w:tcPr>
            <w:tcW w:w="2005" w:type="dxa"/>
          </w:tcPr>
          <w:p w14:paraId="37C09D8F">
            <w:pPr>
              <w:pStyle w:val="14"/>
              <w:spacing w:before="11"/>
              <w:rPr>
                <w:b/>
                <w:sz w:val="22"/>
              </w:rPr>
            </w:pPr>
          </w:p>
          <w:p w14:paraId="2EE3F7BA">
            <w:pPr>
              <w:pStyle w:val="14"/>
              <w:ind w:left="262"/>
              <w:rPr>
                <w:b/>
                <w:sz w:val="21"/>
              </w:rPr>
            </w:pPr>
            <w:r>
              <w:rPr>
                <w:b/>
                <w:sz w:val="21"/>
              </w:rPr>
              <w:t>非正常排放原因</w:t>
            </w:r>
          </w:p>
        </w:tc>
        <w:tc>
          <w:tcPr>
            <w:tcW w:w="684" w:type="dxa"/>
          </w:tcPr>
          <w:p w14:paraId="7A4846A8">
            <w:pPr>
              <w:pStyle w:val="14"/>
              <w:spacing w:before="156" w:line="244" w:lineRule="auto"/>
              <w:ind w:left="235" w:right="121" w:hanging="106"/>
              <w:rPr>
                <w:b/>
                <w:sz w:val="21"/>
              </w:rPr>
            </w:pPr>
            <w:r>
              <w:rPr>
                <w:b/>
                <w:sz w:val="21"/>
              </w:rPr>
              <w:t>污染物</w:t>
            </w:r>
          </w:p>
        </w:tc>
        <w:tc>
          <w:tcPr>
            <w:tcW w:w="1410" w:type="dxa"/>
          </w:tcPr>
          <w:p w14:paraId="78AA068E">
            <w:pPr>
              <w:pStyle w:val="14"/>
              <w:spacing w:before="156" w:line="244" w:lineRule="auto"/>
              <w:ind w:left="269" w:right="168" w:hanging="92"/>
              <w:rPr>
                <w:rFonts w:ascii="Times New Roman" w:eastAsia="Times New Roman"/>
                <w:b/>
                <w:sz w:val="21"/>
              </w:rPr>
            </w:pPr>
            <w:r>
              <w:rPr>
                <w:b/>
                <w:w w:val="95"/>
                <w:sz w:val="21"/>
              </w:rPr>
              <w:t>非正常排放</w:t>
            </w:r>
            <w:r>
              <w:rPr>
                <w:b/>
                <w:sz w:val="21"/>
              </w:rPr>
              <w:t xml:space="preserve">速率 </w:t>
            </w:r>
            <w:r>
              <w:rPr>
                <w:rFonts w:ascii="Times New Roman" w:eastAsia="Times New Roman"/>
                <w:b/>
                <w:sz w:val="21"/>
              </w:rPr>
              <w:t>kg/h</w:t>
            </w:r>
          </w:p>
        </w:tc>
        <w:tc>
          <w:tcPr>
            <w:tcW w:w="936" w:type="dxa"/>
          </w:tcPr>
          <w:p w14:paraId="375DDDC1">
            <w:pPr>
              <w:pStyle w:val="14"/>
              <w:spacing w:before="156" w:line="244" w:lineRule="auto"/>
              <w:ind w:left="138" w:right="61" w:firstLine="14"/>
              <w:rPr>
                <w:rFonts w:ascii="Times New Roman" w:eastAsia="Times New Roman"/>
                <w:b/>
                <w:sz w:val="21"/>
              </w:rPr>
            </w:pPr>
            <w:r>
              <w:rPr>
                <w:b/>
                <w:sz w:val="21"/>
              </w:rPr>
              <w:t xml:space="preserve">排放标准 </w:t>
            </w:r>
            <w:r>
              <w:rPr>
                <w:rFonts w:ascii="Times New Roman" w:eastAsia="Times New Roman"/>
                <w:b/>
                <w:sz w:val="21"/>
              </w:rPr>
              <w:t>kg/h</w:t>
            </w:r>
          </w:p>
        </w:tc>
        <w:tc>
          <w:tcPr>
            <w:tcW w:w="869" w:type="dxa"/>
          </w:tcPr>
          <w:p w14:paraId="47BE96DF">
            <w:pPr>
              <w:pStyle w:val="14"/>
              <w:spacing w:before="36" w:line="242" w:lineRule="auto"/>
              <w:ind w:left="116" w:right="108"/>
              <w:jc w:val="center"/>
              <w:rPr>
                <w:b/>
                <w:sz w:val="21"/>
              </w:rPr>
            </w:pPr>
            <w:r>
              <w:rPr>
                <w:b/>
                <w:w w:val="95"/>
                <w:sz w:val="21"/>
              </w:rPr>
              <w:t>单次持续时间</w:t>
            </w:r>
          </w:p>
          <w:p w14:paraId="4110D894">
            <w:pPr>
              <w:pStyle w:val="14"/>
              <w:spacing w:line="240" w:lineRule="exact"/>
              <w:ind w:left="116" w:right="107"/>
              <w:jc w:val="center"/>
              <w:rPr>
                <w:rFonts w:ascii="Times New Roman"/>
                <w:b/>
                <w:sz w:val="21"/>
              </w:rPr>
            </w:pPr>
            <w:r>
              <w:rPr>
                <w:rFonts w:ascii="Times New Roman"/>
                <w:b/>
                <w:sz w:val="21"/>
              </w:rPr>
              <w:t>/h</w:t>
            </w:r>
          </w:p>
        </w:tc>
        <w:tc>
          <w:tcPr>
            <w:tcW w:w="731" w:type="dxa"/>
          </w:tcPr>
          <w:p w14:paraId="718D30A8">
            <w:pPr>
              <w:pStyle w:val="14"/>
              <w:spacing w:before="21" w:line="270" w:lineRule="atLeast"/>
              <w:ind w:left="152" w:right="146"/>
              <w:jc w:val="both"/>
              <w:rPr>
                <w:b/>
                <w:sz w:val="21"/>
              </w:rPr>
            </w:pPr>
            <w:r>
              <w:rPr>
                <w:b/>
                <w:sz w:val="21"/>
              </w:rPr>
              <w:t>年发生频次</w:t>
            </w:r>
          </w:p>
        </w:tc>
        <w:tc>
          <w:tcPr>
            <w:tcW w:w="655" w:type="dxa"/>
          </w:tcPr>
          <w:p w14:paraId="3E2235F3">
            <w:pPr>
              <w:pStyle w:val="14"/>
              <w:spacing w:before="156" w:line="244" w:lineRule="auto"/>
              <w:ind w:left="115" w:right="107"/>
              <w:rPr>
                <w:b/>
                <w:sz w:val="21"/>
              </w:rPr>
            </w:pPr>
            <w:r>
              <w:rPr>
                <w:b/>
                <w:sz w:val="21"/>
              </w:rPr>
              <w:t>应对措施</w:t>
            </w:r>
          </w:p>
        </w:tc>
      </w:tr>
      <w:tr w14:paraId="03E1B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32" w:type="dxa"/>
            <w:vMerge w:val="restart"/>
          </w:tcPr>
          <w:p w14:paraId="3AEEF05E">
            <w:pPr>
              <w:pStyle w:val="14"/>
              <w:spacing w:before="187" w:line="242" w:lineRule="auto"/>
              <w:ind w:left="174" w:right="99" w:firstLine="21"/>
              <w:rPr>
                <w:rFonts w:ascii="Times New Roman" w:eastAsia="Times New Roman"/>
                <w:sz w:val="21"/>
              </w:rPr>
            </w:pPr>
            <w:r>
              <w:rPr>
                <w:sz w:val="21"/>
              </w:rPr>
              <w:t xml:space="preserve">暂养排气筒 </w:t>
            </w:r>
            <w:r>
              <w:rPr>
                <w:rFonts w:ascii="Times New Roman" w:eastAsia="Times New Roman"/>
                <w:sz w:val="21"/>
              </w:rPr>
              <w:t>DA001</w:t>
            </w:r>
          </w:p>
        </w:tc>
        <w:tc>
          <w:tcPr>
            <w:tcW w:w="2005" w:type="dxa"/>
            <w:vMerge w:val="restart"/>
          </w:tcPr>
          <w:p w14:paraId="1ED9D03E">
            <w:pPr>
              <w:pStyle w:val="14"/>
              <w:rPr>
                <w:b/>
                <w:sz w:val="22"/>
              </w:rPr>
            </w:pPr>
          </w:p>
          <w:p w14:paraId="3C1BD628">
            <w:pPr>
              <w:pStyle w:val="14"/>
              <w:rPr>
                <w:b/>
                <w:sz w:val="22"/>
              </w:rPr>
            </w:pPr>
          </w:p>
          <w:p w14:paraId="51A21A27">
            <w:pPr>
              <w:pStyle w:val="14"/>
              <w:spacing w:before="5"/>
              <w:rPr>
                <w:b/>
                <w:sz w:val="32"/>
              </w:rPr>
            </w:pPr>
          </w:p>
          <w:p w14:paraId="730543A1">
            <w:pPr>
              <w:pStyle w:val="14"/>
              <w:spacing w:line="242" w:lineRule="auto"/>
              <w:ind w:left="162" w:right="153" w:hanging="1"/>
              <w:jc w:val="center"/>
              <w:rPr>
                <w:rFonts w:ascii="Times New Roman" w:eastAsia="Times New Roman"/>
                <w:sz w:val="21"/>
              </w:rPr>
            </w:pPr>
            <w:r>
              <w:rPr>
                <w:w w:val="95"/>
                <w:sz w:val="21"/>
              </w:rPr>
              <w:t>废气处理设施故障等，臭气处理效率</w:t>
            </w:r>
            <w:r>
              <w:rPr>
                <w:sz w:val="21"/>
              </w:rPr>
              <w:t xml:space="preserve">降为 </w:t>
            </w:r>
            <w:r>
              <w:rPr>
                <w:rFonts w:ascii="Times New Roman" w:eastAsia="Times New Roman"/>
                <w:sz w:val="21"/>
              </w:rPr>
              <w:t>76%</w:t>
            </w:r>
          </w:p>
        </w:tc>
        <w:tc>
          <w:tcPr>
            <w:tcW w:w="684" w:type="dxa"/>
          </w:tcPr>
          <w:p w14:paraId="46B47471">
            <w:pPr>
              <w:pStyle w:val="14"/>
              <w:spacing w:before="104"/>
              <w:ind w:left="110" w:right="101"/>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410" w:type="dxa"/>
          </w:tcPr>
          <w:p w14:paraId="4200A4C7">
            <w:pPr>
              <w:pStyle w:val="14"/>
              <w:spacing w:before="105"/>
              <w:ind w:left="287" w:right="279"/>
              <w:jc w:val="center"/>
              <w:rPr>
                <w:rFonts w:ascii="Times New Roman"/>
                <w:sz w:val="21"/>
              </w:rPr>
            </w:pPr>
            <w:r>
              <w:rPr>
                <w:rFonts w:ascii="Times New Roman"/>
                <w:sz w:val="21"/>
              </w:rPr>
              <w:t>0.059</w:t>
            </w:r>
          </w:p>
        </w:tc>
        <w:tc>
          <w:tcPr>
            <w:tcW w:w="936" w:type="dxa"/>
          </w:tcPr>
          <w:p w14:paraId="0B4925C9">
            <w:pPr>
              <w:pStyle w:val="14"/>
              <w:spacing w:before="105"/>
              <w:ind w:left="335"/>
              <w:rPr>
                <w:rFonts w:ascii="Times New Roman"/>
                <w:sz w:val="21"/>
              </w:rPr>
            </w:pPr>
            <w:r>
              <w:rPr>
                <w:rFonts w:ascii="Times New Roman"/>
                <w:sz w:val="21"/>
              </w:rPr>
              <w:t>4.9</w:t>
            </w:r>
          </w:p>
        </w:tc>
        <w:tc>
          <w:tcPr>
            <w:tcW w:w="869" w:type="dxa"/>
            <w:vMerge w:val="restart"/>
          </w:tcPr>
          <w:p w14:paraId="659F8A34">
            <w:pPr>
              <w:pStyle w:val="14"/>
              <w:spacing w:before="4"/>
              <w:rPr>
                <w:b/>
                <w:sz w:val="26"/>
              </w:rPr>
            </w:pPr>
          </w:p>
          <w:p w14:paraId="27901A4A">
            <w:pPr>
              <w:pStyle w:val="14"/>
              <w:ind w:left="7"/>
              <w:jc w:val="center"/>
              <w:rPr>
                <w:rFonts w:ascii="Times New Roman"/>
                <w:sz w:val="21"/>
              </w:rPr>
            </w:pPr>
            <w:r>
              <w:rPr>
                <w:rFonts w:ascii="Times New Roman"/>
                <w:w w:val="99"/>
                <w:sz w:val="21"/>
              </w:rPr>
              <w:t>1</w:t>
            </w:r>
          </w:p>
        </w:tc>
        <w:tc>
          <w:tcPr>
            <w:tcW w:w="731" w:type="dxa"/>
            <w:vMerge w:val="restart"/>
          </w:tcPr>
          <w:p w14:paraId="3952EB35">
            <w:pPr>
              <w:pStyle w:val="14"/>
              <w:spacing w:before="4"/>
              <w:rPr>
                <w:b/>
                <w:sz w:val="26"/>
              </w:rPr>
            </w:pPr>
          </w:p>
          <w:p w14:paraId="77C151CA">
            <w:pPr>
              <w:pStyle w:val="14"/>
              <w:ind w:left="10"/>
              <w:jc w:val="center"/>
              <w:rPr>
                <w:rFonts w:ascii="Times New Roman"/>
                <w:sz w:val="21"/>
              </w:rPr>
            </w:pPr>
            <w:r>
              <w:rPr>
                <w:rFonts w:ascii="Times New Roman"/>
                <w:w w:val="99"/>
                <w:sz w:val="21"/>
              </w:rPr>
              <w:t>1</w:t>
            </w:r>
          </w:p>
        </w:tc>
        <w:tc>
          <w:tcPr>
            <w:tcW w:w="655" w:type="dxa"/>
            <w:vMerge w:val="restart"/>
          </w:tcPr>
          <w:p w14:paraId="410754B4">
            <w:pPr>
              <w:pStyle w:val="14"/>
              <w:rPr>
                <w:b/>
                <w:sz w:val="20"/>
              </w:rPr>
            </w:pPr>
          </w:p>
          <w:p w14:paraId="0601768D">
            <w:pPr>
              <w:pStyle w:val="14"/>
              <w:rPr>
                <w:b/>
                <w:sz w:val="20"/>
              </w:rPr>
            </w:pPr>
          </w:p>
          <w:p w14:paraId="7EC83810">
            <w:pPr>
              <w:pStyle w:val="14"/>
              <w:rPr>
                <w:b/>
                <w:sz w:val="20"/>
              </w:rPr>
            </w:pPr>
          </w:p>
          <w:p w14:paraId="27FB804D">
            <w:pPr>
              <w:pStyle w:val="14"/>
              <w:spacing w:before="1"/>
              <w:rPr>
                <w:b/>
                <w:sz w:val="27"/>
              </w:rPr>
            </w:pPr>
          </w:p>
          <w:p w14:paraId="76BCEA8C">
            <w:pPr>
              <w:pStyle w:val="14"/>
              <w:spacing w:line="242" w:lineRule="auto"/>
              <w:ind w:left="117" w:right="107"/>
              <w:rPr>
                <w:sz w:val="21"/>
              </w:rPr>
            </w:pPr>
            <w:r>
              <w:rPr>
                <w:w w:val="95"/>
                <w:sz w:val="21"/>
              </w:rPr>
              <w:t>及时检修</w:t>
            </w:r>
          </w:p>
        </w:tc>
      </w:tr>
      <w:tr w14:paraId="2DA61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32" w:type="dxa"/>
            <w:vMerge w:val="continue"/>
            <w:tcBorders>
              <w:top w:val="nil"/>
            </w:tcBorders>
          </w:tcPr>
          <w:p w14:paraId="1D751276">
            <w:pPr>
              <w:rPr>
                <w:sz w:val="2"/>
                <w:szCs w:val="2"/>
              </w:rPr>
            </w:pPr>
          </w:p>
        </w:tc>
        <w:tc>
          <w:tcPr>
            <w:tcW w:w="2005" w:type="dxa"/>
            <w:vMerge w:val="continue"/>
            <w:tcBorders>
              <w:top w:val="nil"/>
            </w:tcBorders>
          </w:tcPr>
          <w:p w14:paraId="71467B94">
            <w:pPr>
              <w:rPr>
                <w:sz w:val="2"/>
                <w:szCs w:val="2"/>
              </w:rPr>
            </w:pPr>
          </w:p>
        </w:tc>
        <w:tc>
          <w:tcPr>
            <w:tcW w:w="684" w:type="dxa"/>
          </w:tcPr>
          <w:p w14:paraId="2B9AAE9B">
            <w:pPr>
              <w:pStyle w:val="14"/>
              <w:spacing w:before="103"/>
              <w:ind w:left="108" w:right="101"/>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410" w:type="dxa"/>
          </w:tcPr>
          <w:p w14:paraId="510B2C86">
            <w:pPr>
              <w:pStyle w:val="14"/>
              <w:spacing w:before="106"/>
              <w:ind w:left="287" w:right="279"/>
              <w:jc w:val="center"/>
              <w:rPr>
                <w:rFonts w:ascii="Times New Roman"/>
                <w:sz w:val="21"/>
              </w:rPr>
            </w:pPr>
            <w:r>
              <w:rPr>
                <w:rFonts w:ascii="Times New Roman"/>
                <w:sz w:val="21"/>
              </w:rPr>
              <w:t>0.0052</w:t>
            </w:r>
          </w:p>
        </w:tc>
        <w:tc>
          <w:tcPr>
            <w:tcW w:w="936" w:type="dxa"/>
          </w:tcPr>
          <w:p w14:paraId="65041612">
            <w:pPr>
              <w:pStyle w:val="14"/>
              <w:spacing w:before="106"/>
              <w:ind w:left="284"/>
              <w:rPr>
                <w:rFonts w:ascii="Times New Roman"/>
                <w:sz w:val="21"/>
              </w:rPr>
            </w:pPr>
            <w:r>
              <w:rPr>
                <w:rFonts w:ascii="Times New Roman"/>
                <w:sz w:val="21"/>
              </w:rPr>
              <w:t>0.33</w:t>
            </w:r>
          </w:p>
        </w:tc>
        <w:tc>
          <w:tcPr>
            <w:tcW w:w="869" w:type="dxa"/>
            <w:vMerge w:val="continue"/>
            <w:tcBorders>
              <w:top w:val="nil"/>
            </w:tcBorders>
          </w:tcPr>
          <w:p w14:paraId="51847204">
            <w:pPr>
              <w:rPr>
                <w:sz w:val="2"/>
                <w:szCs w:val="2"/>
              </w:rPr>
            </w:pPr>
          </w:p>
        </w:tc>
        <w:tc>
          <w:tcPr>
            <w:tcW w:w="731" w:type="dxa"/>
            <w:vMerge w:val="continue"/>
            <w:tcBorders>
              <w:top w:val="nil"/>
            </w:tcBorders>
          </w:tcPr>
          <w:p w14:paraId="1BBD0045">
            <w:pPr>
              <w:rPr>
                <w:sz w:val="2"/>
                <w:szCs w:val="2"/>
              </w:rPr>
            </w:pPr>
          </w:p>
        </w:tc>
        <w:tc>
          <w:tcPr>
            <w:tcW w:w="655" w:type="dxa"/>
            <w:vMerge w:val="continue"/>
            <w:tcBorders>
              <w:top w:val="nil"/>
            </w:tcBorders>
          </w:tcPr>
          <w:p w14:paraId="5AF50A09">
            <w:pPr>
              <w:rPr>
                <w:sz w:val="2"/>
                <w:szCs w:val="2"/>
              </w:rPr>
            </w:pPr>
          </w:p>
        </w:tc>
      </w:tr>
      <w:tr w14:paraId="65104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32" w:type="dxa"/>
            <w:vMerge w:val="restart"/>
          </w:tcPr>
          <w:p w14:paraId="2693B0C4">
            <w:pPr>
              <w:pStyle w:val="14"/>
              <w:spacing w:before="188" w:line="242" w:lineRule="auto"/>
              <w:ind w:left="174" w:right="99" w:firstLine="21"/>
              <w:rPr>
                <w:rFonts w:ascii="Times New Roman" w:eastAsia="Times New Roman"/>
                <w:sz w:val="21"/>
              </w:rPr>
            </w:pPr>
            <w:r>
              <w:rPr>
                <w:sz w:val="21"/>
              </w:rPr>
              <w:t xml:space="preserve">综合排气筒 </w:t>
            </w:r>
            <w:r>
              <w:rPr>
                <w:rFonts w:ascii="Times New Roman" w:eastAsia="Times New Roman"/>
                <w:sz w:val="21"/>
              </w:rPr>
              <w:t>DA002</w:t>
            </w:r>
          </w:p>
        </w:tc>
        <w:tc>
          <w:tcPr>
            <w:tcW w:w="2005" w:type="dxa"/>
            <w:vMerge w:val="continue"/>
            <w:tcBorders>
              <w:top w:val="nil"/>
            </w:tcBorders>
          </w:tcPr>
          <w:p w14:paraId="4C224012">
            <w:pPr>
              <w:rPr>
                <w:sz w:val="2"/>
                <w:szCs w:val="2"/>
              </w:rPr>
            </w:pPr>
          </w:p>
        </w:tc>
        <w:tc>
          <w:tcPr>
            <w:tcW w:w="684" w:type="dxa"/>
          </w:tcPr>
          <w:p w14:paraId="2DBF768F">
            <w:pPr>
              <w:pStyle w:val="14"/>
              <w:spacing w:before="102"/>
              <w:ind w:left="110" w:right="101"/>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410" w:type="dxa"/>
          </w:tcPr>
          <w:p w14:paraId="5912CDBE">
            <w:pPr>
              <w:pStyle w:val="14"/>
              <w:spacing w:before="105"/>
              <w:ind w:left="287" w:right="279"/>
              <w:jc w:val="center"/>
              <w:rPr>
                <w:rFonts w:ascii="Times New Roman"/>
                <w:sz w:val="21"/>
              </w:rPr>
            </w:pPr>
            <w:r>
              <w:rPr>
                <w:rFonts w:ascii="Times New Roman"/>
                <w:sz w:val="21"/>
              </w:rPr>
              <w:t>0.021</w:t>
            </w:r>
          </w:p>
        </w:tc>
        <w:tc>
          <w:tcPr>
            <w:tcW w:w="936" w:type="dxa"/>
          </w:tcPr>
          <w:p w14:paraId="3F3EDDFA">
            <w:pPr>
              <w:pStyle w:val="14"/>
              <w:spacing w:before="105"/>
              <w:ind w:left="335"/>
              <w:rPr>
                <w:rFonts w:ascii="Times New Roman"/>
                <w:sz w:val="21"/>
              </w:rPr>
            </w:pPr>
            <w:r>
              <w:rPr>
                <w:rFonts w:ascii="Times New Roman"/>
                <w:sz w:val="21"/>
              </w:rPr>
              <w:t>4.9</w:t>
            </w:r>
          </w:p>
        </w:tc>
        <w:tc>
          <w:tcPr>
            <w:tcW w:w="869" w:type="dxa"/>
            <w:vMerge w:val="restart"/>
          </w:tcPr>
          <w:p w14:paraId="7141C7D0">
            <w:pPr>
              <w:pStyle w:val="14"/>
              <w:spacing w:before="5"/>
              <w:rPr>
                <w:b/>
                <w:sz w:val="26"/>
              </w:rPr>
            </w:pPr>
          </w:p>
          <w:p w14:paraId="1002E3D5">
            <w:pPr>
              <w:pStyle w:val="14"/>
              <w:ind w:left="7"/>
              <w:jc w:val="center"/>
              <w:rPr>
                <w:rFonts w:ascii="Times New Roman"/>
                <w:sz w:val="21"/>
              </w:rPr>
            </w:pPr>
            <w:r>
              <w:rPr>
                <w:rFonts w:ascii="Times New Roman"/>
                <w:w w:val="99"/>
                <w:sz w:val="21"/>
              </w:rPr>
              <w:t>1</w:t>
            </w:r>
          </w:p>
        </w:tc>
        <w:tc>
          <w:tcPr>
            <w:tcW w:w="731" w:type="dxa"/>
            <w:vMerge w:val="restart"/>
          </w:tcPr>
          <w:p w14:paraId="1E6641D5">
            <w:pPr>
              <w:pStyle w:val="14"/>
              <w:spacing w:before="5"/>
              <w:rPr>
                <w:b/>
                <w:sz w:val="26"/>
              </w:rPr>
            </w:pPr>
          </w:p>
          <w:p w14:paraId="460032D9">
            <w:pPr>
              <w:pStyle w:val="14"/>
              <w:ind w:left="10"/>
              <w:jc w:val="center"/>
              <w:rPr>
                <w:rFonts w:ascii="Times New Roman"/>
                <w:sz w:val="21"/>
              </w:rPr>
            </w:pPr>
            <w:r>
              <w:rPr>
                <w:rFonts w:ascii="Times New Roman"/>
                <w:w w:val="99"/>
                <w:sz w:val="21"/>
              </w:rPr>
              <w:t>1</w:t>
            </w:r>
          </w:p>
        </w:tc>
        <w:tc>
          <w:tcPr>
            <w:tcW w:w="655" w:type="dxa"/>
            <w:vMerge w:val="continue"/>
            <w:tcBorders>
              <w:top w:val="nil"/>
            </w:tcBorders>
          </w:tcPr>
          <w:p w14:paraId="1C5E0F2C">
            <w:pPr>
              <w:rPr>
                <w:sz w:val="2"/>
                <w:szCs w:val="2"/>
              </w:rPr>
            </w:pPr>
          </w:p>
        </w:tc>
      </w:tr>
      <w:tr w14:paraId="6D145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32" w:type="dxa"/>
            <w:vMerge w:val="continue"/>
            <w:tcBorders>
              <w:top w:val="nil"/>
            </w:tcBorders>
          </w:tcPr>
          <w:p w14:paraId="73F65225">
            <w:pPr>
              <w:rPr>
                <w:sz w:val="2"/>
                <w:szCs w:val="2"/>
              </w:rPr>
            </w:pPr>
          </w:p>
        </w:tc>
        <w:tc>
          <w:tcPr>
            <w:tcW w:w="2005" w:type="dxa"/>
            <w:vMerge w:val="continue"/>
            <w:tcBorders>
              <w:top w:val="nil"/>
            </w:tcBorders>
          </w:tcPr>
          <w:p w14:paraId="18B97080">
            <w:pPr>
              <w:rPr>
                <w:sz w:val="2"/>
                <w:szCs w:val="2"/>
              </w:rPr>
            </w:pPr>
          </w:p>
        </w:tc>
        <w:tc>
          <w:tcPr>
            <w:tcW w:w="684" w:type="dxa"/>
          </w:tcPr>
          <w:p w14:paraId="715557AB">
            <w:pPr>
              <w:pStyle w:val="14"/>
              <w:spacing w:before="104"/>
              <w:ind w:left="108" w:right="101"/>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410" w:type="dxa"/>
          </w:tcPr>
          <w:p w14:paraId="230A5E9E">
            <w:pPr>
              <w:pStyle w:val="14"/>
              <w:spacing w:before="105"/>
              <w:ind w:left="287" w:right="279"/>
              <w:jc w:val="center"/>
              <w:rPr>
                <w:rFonts w:ascii="Times New Roman"/>
                <w:sz w:val="21"/>
              </w:rPr>
            </w:pPr>
            <w:r>
              <w:rPr>
                <w:rFonts w:ascii="Times New Roman"/>
                <w:sz w:val="21"/>
              </w:rPr>
              <w:t>0.0007</w:t>
            </w:r>
          </w:p>
        </w:tc>
        <w:tc>
          <w:tcPr>
            <w:tcW w:w="936" w:type="dxa"/>
          </w:tcPr>
          <w:p w14:paraId="3BC7156C">
            <w:pPr>
              <w:pStyle w:val="14"/>
              <w:spacing w:before="105"/>
              <w:ind w:left="284"/>
              <w:rPr>
                <w:rFonts w:ascii="Times New Roman"/>
                <w:sz w:val="21"/>
              </w:rPr>
            </w:pPr>
            <w:r>
              <w:rPr>
                <w:rFonts w:ascii="Times New Roman"/>
                <w:sz w:val="21"/>
              </w:rPr>
              <w:t>0.33</w:t>
            </w:r>
          </w:p>
        </w:tc>
        <w:tc>
          <w:tcPr>
            <w:tcW w:w="869" w:type="dxa"/>
            <w:vMerge w:val="continue"/>
            <w:tcBorders>
              <w:top w:val="nil"/>
            </w:tcBorders>
          </w:tcPr>
          <w:p w14:paraId="76A8B727">
            <w:pPr>
              <w:rPr>
                <w:sz w:val="2"/>
                <w:szCs w:val="2"/>
              </w:rPr>
            </w:pPr>
          </w:p>
        </w:tc>
        <w:tc>
          <w:tcPr>
            <w:tcW w:w="731" w:type="dxa"/>
            <w:vMerge w:val="continue"/>
            <w:tcBorders>
              <w:top w:val="nil"/>
            </w:tcBorders>
          </w:tcPr>
          <w:p w14:paraId="4B557807">
            <w:pPr>
              <w:rPr>
                <w:sz w:val="2"/>
                <w:szCs w:val="2"/>
              </w:rPr>
            </w:pPr>
          </w:p>
        </w:tc>
        <w:tc>
          <w:tcPr>
            <w:tcW w:w="655" w:type="dxa"/>
            <w:vMerge w:val="continue"/>
            <w:tcBorders>
              <w:top w:val="nil"/>
            </w:tcBorders>
          </w:tcPr>
          <w:p w14:paraId="73BEACF8">
            <w:pPr>
              <w:rPr>
                <w:sz w:val="2"/>
                <w:szCs w:val="2"/>
              </w:rPr>
            </w:pPr>
          </w:p>
        </w:tc>
      </w:tr>
      <w:tr w14:paraId="7D478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32" w:type="dxa"/>
            <w:vMerge w:val="restart"/>
          </w:tcPr>
          <w:p w14:paraId="505CE506">
            <w:pPr>
              <w:pStyle w:val="14"/>
              <w:spacing w:before="186" w:line="244" w:lineRule="auto"/>
              <w:ind w:left="174" w:right="99" w:firstLine="21"/>
              <w:rPr>
                <w:rFonts w:ascii="Times New Roman" w:eastAsia="Times New Roman"/>
                <w:sz w:val="21"/>
              </w:rPr>
            </w:pPr>
            <w:r>
              <w:rPr>
                <w:sz w:val="21"/>
              </w:rPr>
              <w:t xml:space="preserve">屠宰排气筒 </w:t>
            </w:r>
            <w:r>
              <w:rPr>
                <w:rFonts w:ascii="Times New Roman" w:eastAsia="Times New Roman"/>
                <w:sz w:val="21"/>
              </w:rPr>
              <w:t>DA003</w:t>
            </w:r>
          </w:p>
        </w:tc>
        <w:tc>
          <w:tcPr>
            <w:tcW w:w="2005" w:type="dxa"/>
            <w:vMerge w:val="continue"/>
            <w:tcBorders>
              <w:top w:val="nil"/>
            </w:tcBorders>
          </w:tcPr>
          <w:p w14:paraId="62712D9C">
            <w:pPr>
              <w:rPr>
                <w:sz w:val="2"/>
                <w:szCs w:val="2"/>
              </w:rPr>
            </w:pPr>
          </w:p>
        </w:tc>
        <w:tc>
          <w:tcPr>
            <w:tcW w:w="684" w:type="dxa"/>
          </w:tcPr>
          <w:p w14:paraId="3D5CAE3D">
            <w:pPr>
              <w:pStyle w:val="14"/>
              <w:spacing w:before="103"/>
              <w:ind w:left="110" w:right="101"/>
              <w:jc w:val="center"/>
              <w:rPr>
                <w:rFonts w:ascii="Times New Roman"/>
                <w:sz w:val="21"/>
              </w:rPr>
            </w:pPr>
            <w:r>
              <w:rPr>
                <w:rFonts w:ascii="Times New Roman"/>
                <w:position w:val="2"/>
                <w:sz w:val="21"/>
              </w:rPr>
              <w:t>NH</w:t>
            </w:r>
            <w:r>
              <w:rPr>
                <w:rFonts w:ascii="Times New Roman"/>
                <w:position w:val="2"/>
                <w:sz w:val="21"/>
                <w:vertAlign w:val="subscript"/>
              </w:rPr>
              <w:t>3</w:t>
            </w:r>
          </w:p>
        </w:tc>
        <w:tc>
          <w:tcPr>
            <w:tcW w:w="1410" w:type="dxa"/>
          </w:tcPr>
          <w:p w14:paraId="78B0D8BB">
            <w:pPr>
              <w:pStyle w:val="14"/>
              <w:spacing w:before="106"/>
              <w:ind w:left="287" w:right="279"/>
              <w:jc w:val="center"/>
              <w:rPr>
                <w:rFonts w:ascii="Times New Roman"/>
                <w:sz w:val="21"/>
              </w:rPr>
            </w:pPr>
            <w:r>
              <w:rPr>
                <w:rFonts w:ascii="Times New Roman"/>
                <w:sz w:val="21"/>
              </w:rPr>
              <w:t>0.0039</w:t>
            </w:r>
          </w:p>
        </w:tc>
        <w:tc>
          <w:tcPr>
            <w:tcW w:w="936" w:type="dxa"/>
          </w:tcPr>
          <w:p w14:paraId="608C350C">
            <w:pPr>
              <w:pStyle w:val="14"/>
              <w:spacing w:before="106"/>
              <w:ind w:left="335"/>
              <w:rPr>
                <w:rFonts w:ascii="Times New Roman"/>
                <w:sz w:val="21"/>
              </w:rPr>
            </w:pPr>
            <w:r>
              <w:rPr>
                <w:rFonts w:ascii="Times New Roman"/>
                <w:sz w:val="21"/>
              </w:rPr>
              <w:t>4.9</w:t>
            </w:r>
          </w:p>
        </w:tc>
        <w:tc>
          <w:tcPr>
            <w:tcW w:w="869" w:type="dxa"/>
            <w:vMerge w:val="restart"/>
          </w:tcPr>
          <w:p w14:paraId="738EF613">
            <w:pPr>
              <w:pStyle w:val="14"/>
              <w:spacing w:before="3"/>
              <w:rPr>
                <w:b/>
                <w:sz w:val="26"/>
              </w:rPr>
            </w:pPr>
          </w:p>
          <w:p w14:paraId="4B76A86E">
            <w:pPr>
              <w:pStyle w:val="14"/>
              <w:spacing w:before="1"/>
              <w:ind w:left="7"/>
              <w:jc w:val="center"/>
              <w:rPr>
                <w:rFonts w:ascii="Times New Roman"/>
                <w:sz w:val="21"/>
              </w:rPr>
            </w:pPr>
            <w:r>
              <w:rPr>
                <w:rFonts w:ascii="Times New Roman"/>
                <w:w w:val="99"/>
                <w:sz w:val="21"/>
              </w:rPr>
              <w:t>1</w:t>
            </w:r>
          </w:p>
        </w:tc>
        <w:tc>
          <w:tcPr>
            <w:tcW w:w="731" w:type="dxa"/>
            <w:vMerge w:val="restart"/>
          </w:tcPr>
          <w:p w14:paraId="0AB69D2F">
            <w:pPr>
              <w:pStyle w:val="14"/>
              <w:spacing w:before="3"/>
              <w:rPr>
                <w:b/>
                <w:sz w:val="26"/>
              </w:rPr>
            </w:pPr>
          </w:p>
          <w:p w14:paraId="2E33A5ED">
            <w:pPr>
              <w:pStyle w:val="14"/>
              <w:spacing w:before="1"/>
              <w:ind w:left="10"/>
              <w:jc w:val="center"/>
              <w:rPr>
                <w:rFonts w:ascii="Times New Roman"/>
                <w:sz w:val="21"/>
              </w:rPr>
            </w:pPr>
            <w:r>
              <w:rPr>
                <w:rFonts w:ascii="Times New Roman"/>
                <w:w w:val="99"/>
                <w:sz w:val="21"/>
              </w:rPr>
              <w:t>1</w:t>
            </w:r>
          </w:p>
        </w:tc>
        <w:tc>
          <w:tcPr>
            <w:tcW w:w="655" w:type="dxa"/>
            <w:vMerge w:val="continue"/>
            <w:tcBorders>
              <w:top w:val="nil"/>
            </w:tcBorders>
          </w:tcPr>
          <w:p w14:paraId="0EE2D28B">
            <w:pPr>
              <w:rPr>
                <w:sz w:val="2"/>
                <w:szCs w:val="2"/>
              </w:rPr>
            </w:pPr>
          </w:p>
        </w:tc>
      </w:tr>
      <w:tr w14:paraId="23478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232" w:type="dxa"/>
            <w:vMerge w:val="continue"/>
            <w:tcBorders>
              <w:top w:val="nil"/>
            </w:tcBorders>
          </w:tcPr>
          <w:p w14:paraId="1B858220">
            <w:pPr>
              <w:rPr>
                <w:sz w:val="2"/>
                <w:szCs w:val="2"/>
              </w:rPr>
            </w:pPr>
          </w:p>
        </w:tc>
        <w:tc>
          <w:tcPr>
            <w:tcW w:w="2005" w:type="dxa"/>
            <w:vMerge w:val="continue"/>
            <w:tcBorders>
              <w:top w:val="nil"/>
            </w:tcBorders>
          </w:tcPr>
          <w:p w14:paraId="7D250616">
            <w:pPr>
              <w:rPr>
                <w:sz w:val="2"/>
                <w:szCs w:val="2"/>
              </w:rPr>
            </w:pPr>
          </w:p>
        </w:tc>
        <w:tc>
          <w:tcPr>
            <w:tcW w:w="684" w:type="dxa"/>
          </w:tcPr>
          <w:p w14:paraId="0FC7661B">
            <w:pPr>
              <w:pStyle w:val="14"/>
              <w:spacing w:before="102"/>
              <w:ind w:left="108" w:right="101"/>
              <w:jc w:val="center"/>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vertAlign w:val="baseline"/>
              </w:rPr>
              <w:t>S</w:t>
            </w:r>
          </w:p>
        </w:tc>
        <w:tc>
          <w:tcPr>
            <w:tcW w:w="1410" w:type="dxa"/>
          </w:tcPr>
          <w:p w14:paraId="64CC95FB">
            <w:pPr>
              <w:pStyle w:val="14"/>
              <w:spacing w:before="105"/>
              <w:ind w:left="292" w:right="279"/>
              <w:jc w:val="center"/>
              <w:rPr>
                <w:rFonts w:ascii="Times New Roman"/>
                <w:sz w:val="21"/>
              </w:rPr>
            </w:pPr>
            <w:r>
              <w:rPr>
                <w:rFonts w:ascii="Times New Roman"/>
                <w:sz w:val="21"/>
              </w:rPr>
              <w:t>0.000011</w:t>
            </w:r>
          </w:p>
        </w:tc>
        <w:tc>
          <w:tcPr>
            <w:tcW w:w="936" w:type="dxa"/>
          </w:tcPr>
          <w:p w14:paraId="1530711A">
            <w:pPr>
              <w:pStyle w:val="14"/>
              <w:spacing w:before="105"/>
              <w:ind w:left="284"/>
              <w:rPr>
                <w:rFonts w:ascii="Times New Roman"/>
                <w:sz w:val="21"/>
              </w:rPr>
            </w:pPr>
            <w:r>
              <w:rPr>
                <w:rFonts w:ascii="Times New Roman"/>
                <w:sz w:val="21"/>
              </w:rPr>
              <w:t>0.33</w:t>
            </w:r>
          </w:p>
        </w:tc>
        <w:tc>
          <w:tcPr>
            <w:tcW w:w="869" w:type="dxa"/>
            <w:vMerge w:val="continue"/>
            <w:tcBorders>
              <w:top w:val="nil"/>
            </w:tcBorders>
          </w:tcPr>
          <w:p w14:paraId="24D74578">
            <w:pPr>
              <w:rPr>
                <w:sz w:val="2"/>
                <w:szCs w:val="2"/>
              </w:rPr>
            </w:pPr>
          </w:p>
        </w:tc>
        <w:tc>
          <w:tcPr>
            <w:tcW w:w="731" w:type="dxa"/>
            <w:vMerge w:val="continue"/>
            <w:tcBorders>
              <w:top w:val="nil"/>
            </w:tcBorders>
          </w:tcPr>
          <w:p w14:paraId="6E0FBA90">
            <w:pPr>
              <w:rPr>
                <w:sz w:val="2"/>
                <w:szCs w:val="2"/>
              </w:rPr>
            </w:pPr>
          </w:p>
        </w:tc>
        <w:tc>
          <w:tcPr>
            <w:tcW w:w="655" w:type="dxa"/>
            <w:vMerge w:val="continue"/>
            <w:tcBorders>
              <w:top w:val="nil"/>
            </w:tcBorders>
          </w:tcPr>
          <w:p w14:paraId="39C3BDFB">
            <w:pPr>
              <w:rPr>
                <w:sz w:val="2"/>
                <w:szCs w:val="2"/>
              </w:rPr>
            </w:pPr>
          </w:p>
        </w:tc>
      </w:tr>
    </w:tbl>
    <w:p w14:paraId="6CE287E5">
      <w:pPr>
        <w:pStyle w:val="6"/>
        <w:spacing w:before="1"/>
        <w:ind w:left="460"/>
        <w:jc w:val="both"/>
      </w:pPr>
      <w:bookmarkStart w:id="172" w:name="5.2.1.3环境防护距离"/>
      <w:bookmarkEnd w:id="172"/>
      <w:r>
        <w:rPr>
          <w:rFonts w:ascii="Times New Roman" w:eastAsia="Times New Roman"/>
        </w:rPr>
        <w:t xml:space="preserve">5.2.1.3 </w:t>
      </w:r>
      <w:r>
        <w:t>环境防护距离</w:t>
      </w:r>
    </w:p>
    <w:p w14:paraId="0959111C">
      <w:pPr>
        <w:pStyle w:val="7"/>
        <w:spacing w:before="160" w:line="362" w:lineRule="auto"/>
        <w:ind w:left="460" w:right="477" w:firstLine="480"/>
        <w:jc w:val="both"/>
      </w:pPr>
      <w:r>
        <w:t>根据《环境影响评价技术导则大气环境》</w:t>
      </w:r>
      <w:r>
        <w:rPr>
          <w:rFonts w:ascii="Times New Roman" w:eastAsia="Times New Roman"/>
        </w:rPr>
        <w:t>(HJ2.2-2018</w:t>
      </w:r>
      <w:r>
        <w:t xml:space="preserve">）附录 </w:t>
      </w:r>
      <w:r>
        <w:rPr>
          <w:rFonts w:ascii="Times New Roman" w:eastAsia="Times New Roman"/>
        </w:rPr>
        <w:t xml:space="preserve">A </w:t>
      </w:r>
      <w:r>
        <w:t xml:space="preserve">推荐模型中的 </w:t>
      </w:r>
      <w:r>
        <w:rPr>
          <w:rFonts w:ascii="Times New Roman" w:eastAsia="Times New Roman"/>
        </w:rPr>
        <w:t xml:space="preserve">AERSCREEN </w:t>
      </w:r>
      <w:r>
        <w:t xml:space="preserve">模式估算， 本项目 </w:t>
      </w:r>
      <w:r>
        <w:rPr>
          <w:rFonts w:ascii="Times New Roman" w:eastAsia="Times New Roman"/>
        </w:rPr>
        <w:t xml:space="preserve">Pmax </w:t>
      </w:r>
      <w:r>
        <w:t>最大值出现为厂界无组织排放的</w:t>
      </w:r>
    </w:p>
    <w:p w14:paraId="29110E0B">
      <w:pPr>
        <w:pStyle w:val="7"/>
        <w:spacing w:before="2" w:line="364" w:lineRule="auto"/>
        <w:ind w:left="460" w:right="477"/>
        <w:jc w:val="both"/>
      </w:pPr>
      <w:r>
        <w:rPr>
          <w:rFonts w:ascii="Times New Roman" w:hAnsi="Times New Roman" w:eastAsia="Times New Roman"/>
          <w:position w:val="2"/>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SPmax </w:t>
      </w:r>
      <w:r>
        <w:rPr>
          <w:position w:val="2"/>
          <w:vertAlign w:val="baseline"/>
        </w:rPr>
        <w:t xml:space="preserve">值为 </w:t>
      </w:r>
      <w:r>
        <w:rPr>
          <w:rFonts w:ascii="Times New Roman" w:hAnsi="Times New Roman" w:eastAsia="Times New Roman"/>
          <w:position w:val="2"/>
          <w:vertAlign w:val="baseline"/>
        </w:rPr>
        <w:t>3.693%≤10%</w:t>
      </w:r>
      <w:r>
        <w:rPr>
          <w:position w:val="2"/>
          <w:vertAlign w:val="baseline"/>
        </w:rPr>
        <w:t xml:space="preserve">，大气评价等级为二级， </w:t>
      </w:r>
      <w:r>
        <w:rPr>
          <w:rFonts w:ascii="Times New Roman" w:hAnsi="Times New Roman" w:eastAsia="Times New Roman"/>
          <w:position w:val="2"/>
          <w:vertAlign w:val="baseline"/>
        </w:rPr>
        <w:t xml:space="preserve">Cmax </w:t>
      </w:r>
      <w:r>
        <w:rPr>
          <w:position w:val="2"/>
          <w:vertAlign w:val="baseline"/>
        </w:rPr>
        <w:t xml:space="preserve">为 </w:t>
      </w:r>
      <w:r>
        <w:rPr>
          <w:rFonts w:ascii="Times New Roman" w:hAnsi="Times New Roman" w:eastAsia="Times New Roman"/>
          <w:position w:val="2"/>
          <w:vertAlign w:val="baseline"/>
        </w:rPr>
        <w:t>0.3693</w:t>
      </w:r>
      <w:r>
        <w:rPr>
          <w:position w:val="2"/>
          <w:vertAlign w:val="baseline"/>
        </w:rPr>
        <w:t>μ</w:t>
      </w:r>
      <w:r>
        <w:rPr>
          <w:rFonts w:ascii="Times New Roman" w:hAnsi="Times New Roman" w:eastAsia="Times New Roman"/>
          <w:position w:val="2"/>
          <w:vertAlign w:val="baseline"/>
        </w:rPr>
        <w:t>g/m</w:t>
      </w:r>
      <w:r>
        <w:rPr>
          <w:position w:val="2"/>
          <w:vertAlign w:val="baseline"/>
        </w:rPr>
        <w:t>³满</w:t>
      </w:r>
      <w:r>
        <w:rPr>
          <w:vertAlign w:val="baseline"/>
        </w:rPr>
        <w:t>足《恶臭污染物排放标准》</w:t>
      </w:r>
      <w:r>
        <w:rPr>
          <w:rFonts w:ascii="Times New Roman" w:hAnsi="Times New Roman" w:eastAsia="Times New Roman"/>
          <w:vertAlign w:val="baseline"/>
        </w:rPr>
        <w:t>(GB14554-93</w:t>
      </w:r>
      <w:r>
        <w:rPr>
          <w:vertAlign w:val="baseline"/>
        </w:rPr>
        <w:t xml:space="preserve">）表 </w:t>
      </w:r>
      <w:r>
        <w:rPr>
          <w:rFonts w:ascii="Times New Roman" w:hAnsi="Times New Roman" w:eastAsia="Times New Roman"/>
          <w:vertAlign w:val="baseline"/>
        </w:rPr>
        <w:t xml:space="preserve">1 </w:t>
      </w:r>
      <w:r>
        <w:rPr>
          <w:vertAlign w:val="baseline"/>
        </w:rPr>
        <w:t>中恶臭污染物排放标准限值要求，</w:t>
      </w:r>
      <w:r>
        <w:rPr>
          <w:rFonts w:ascii="Times New Roman" w:hAnsi="Times New Roman" w:eastAsia="Times New Roman"/>
          <w:vertAlign w:val="baseline"/>
        </w:rPr>
        <w:t xml:space="preserve">Cmax </w:t>
      </w:r>
      <w:r>
        <w:rPr>
          <w:vertAlign w:val="baseline"/>
        </w:rPr>
        <w:t>满足《环境影响评价技术导则大气环境》</w:t>
      </w:r>
      <w:r>
        <w:rPr>
          <w:rFonts w:ascii="Times New Roman" w:hAnsi="Times New Roman" w:eastAsia="Times New Roman"/>
          <w:vertAlign w:val="baseline"/>
        </w:rPr>
        <w:t>(HJ2.2-2018</w:t>
      </w:r>
      <w:r>
        <w:rPr>
          <w:vertAlign w:val="baseline"/>
        </w:rPr>
        <w:t>）中</w:t>
      </w:r>
      <w:r>
        <w:rPr>
          <w:rFonts w:ascii="Times New Roman" w:hAnsi="Times New Roman" w:eastAsia="Times New Roman"/>
          <w:vertAlign w:val="baseline"/>
        </w:rPr>
        <w:t>“</w:t>
      </w:r>
      <w:r>
        <w:rPr>
          <w:vertAlign w:val="baseline"/>
        </w:rPr>
        <w:t xml:space="preserve">附录 </w:t>
      </w:r>
      <w:r>
        <w:rPr>
          <w:rFonts w:ascii="Times New Roman" w:hAnsi="Times New Roman" w:eastAsia="Times New Roman"/>
          <w:vertAlign w:val="baseline"/>
        </w:rPr>
        <w:t xml:space="preserve">D </w:t>
      </w:r>
      <w:r>
        <w:rPr>
          <w:vertAlign w:val="baseline"/>
        </w:rPr>
        <w:t>其他污染物空气质量浓度参考限值</w:t>
      </w:r>
      <w:r>
        <w:rPr>
          <w:rFonts w:ascii="Times New Roman" w:hAnsi="Times New Roman" w:eastAsia="Times New Roman"/>
          <w:vertAlign w:val="baseline"/>
        </w:rPr>
        <w:t>”</w:t>
      </w:r>
      <w:r>
        <w:rPr>
          <w:vertAlign w:val="baseline"/>
        </w:rPr>
        <w:t>，无需设置大气环境防护距离。</w:t>
      </w:r>
    </w:p>
    <w:p w14:paraId="5F7CB148">
      <w:pPr>
        <w:pStyle w:val="7"/>
        <w:spacing w:line="362" w:lineRule="auto"/>
        <w:ind w:left="460" w:right="477" w:firstLine="480"/>
        <w:jc w:val="both"/>
      </w:pPr>
      <w:r>
        <w:t>本评价采用《大气有害物质无组织排放卫生防护距离推导技术导则》</w:t>
      </w:r>
      <w:r>
        <w:rPr>
          <w:rFonts w:ascii="Times New Roman" w:eastAsia="Times New Roman"/>
          <w:position w:val="2"/>
        </w:rPr>
        <w:t>(GB/T39499-2020)</w:t>
      </w:r>
      <w:r>
        <w:rPr>
          <w:position w:val="2"/>
        </w:rPr>
        <w:t xml:space="preserve">中推荐模式中的卫生防护距离模式计算 </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的卫生防护</w:t>
      </w:r>
      <w:r>
        <w:rPr>
          <w:vertAlign w:val="baseline"/>
        </w:rPr>
        <w:t>距离。</w:t>
      </w:r>
    </w:p>
    <w:p w14:paraId="315EBD47">
      <w:pPr>
        <w:pStyle w:val="7"/>
        <w:ind w:left="805"/>
        <w:rPr>
          <w:sz w:val="20"/>
        </w:rPr>
      </w:pPr>
      <w:r>
        <w:rPr>
          <w:sz w:val="20"/>
        </w:rPr>
        <w:drawing>
          <wp:inline distT="0" distB="0" distL="0" distR="0">
            <wp:extent cx="4809490" cy="1894205"/>
            <wp:effectExtent l="0" t="0" r="0" b="0"/>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2.jpeg"/>
                    <pic:cNvPicPr>
                      <a:picLocks noChangeAspect="1"/>
                    </pic:cNvPicPr>
                  </pic:nvPicPr>
                  <pic:blipFill>
                    <a:blip r:embed="rId79" cstate="print"/>
                    <a:stretch>
                      <a:fillRect/>
                    </a:stretch>
                  </pic:blipFill>
                  <pic:spPr>
                    <a:xfrm>
                      <a:off x="0" y="0"/>
                      <a:ext cx="4809781" cy="1894808"/>
                    </a:xfrm>
                    <a:prstGeom prst="rect">
                      <a:avLst/>
                    </a:prstGeom>
                  </pic:spPr>
                </pic:pic>
              </a:graphicData>
            </a:graphic>
          </wp:inline>
        </w:drawing>
      </w:r>
    </w:p>
    <w:p w14:paraId="0B44535C">
      <w:pPr>
        <w:spacing w:after="0"/>
        <w:rPr>
          <w:sz w:val="20"/>
        </w:rPr>
        <w:sectPr>
          <w:footerReference r:id="rId34" w:type="default"/>
          <w:pgSz w:w="11910" w:h="16840"/>
          <w:pgMar w:top="1360" w:right="1320" w:bottom="1400" w:left="1340" w:header="878" w:footer="1204" w:gutter="0"/>
          <w:pgNumType w:start="110"/>
          <w:cols w:space="720" w:num="1"/>
        </w:sectPr>
      </w:pPr>
    </w:p>
    <w:p w14:paraId="4729D96F">
      <w:pPr>
        <w:pStyle w:val="7"/>
        <w:spacing w:before="1"/>
        <w:rPr>
          <w:sz w:val="13"/>
        </w:rPr>
      </w:pPr>
    </w:p>
    <w:p w14:paraId="268284D5">
      <w:pPr>
        <w:pStyle w:val="7"/>
        <w:ind w:left="762"/>
        <w:rPr>
          <w:sz w:val="20"/>
        </w:rPr>
      </w:pPr>
      <w:r>
        <w:rPr>
          <w:sz w:val="20"/>
        </w:rPr>
        <w:drawing>
          <wp:inline distT="0" distB="0" distL="0" distR="0">
            <wp:extent cx="5055870" cy="3136265"/>
            <wp:effectExtent l="0" t="0" r="0" b="0"/>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jpeg"/>
                    <pic:cNvPicPr>
                      <a:picLocks noChangeAspect="1"/>
                    </pic:cNvPicPr>
                  </pic:nvPicPr>
                  <pic:blipFill>
                    <a:blip r:embed="rId80" cstate="print"/>
                    <a:stretch>
                      <a:fillRect/>
                    </a:stretch>
                  </pic:blipFill>
                  <pic:spPr>
                    <a:xfrm>
                      <a:off x="0" y="0"/>
                      <a:ext cx="5056145" cy="3136392"/>
                    </a:xfrm>
                    <a:prstGeom prst="rect">
                      <a:avLst/>
                    </a:prstGeom>
                  </pic:spPr>
                </pic:pic>
              </a:graphicData>
            </a:graphic>
          </wp:inline>
        </w:drawing>
      </w:r>
    </w:p>
    <w:p w14:paraId="1D632B07">
      <w:pPr>
        <w:pStyle w:val="7"/>
        <w:rPr>
          <w:sz w:val="12"/>
        </w:rPr>
      </w:pPr>
      <w:r>
        <w:drawing>
          <wp:anchor distT="0" distB="0" distL="0" distR="0" simplePos="0" relativeHeight="251659264" behindDoc="0" locked="0" layoutInCell="1" allowOverlap="1">
            <wp:simplePos x="0" y="0"/>
            <wp:positionH relativeFrom="page">
              <wp:posOffset>1349375</wp:posOffset>
            </wp:positionH>
            <wp:positionV relativeFrom="paragraph">
              <wp:posOffset>122555</wp:posOffset>
            </wp:positionV>
            <wp:extent cx="4875530" cy="3024505"/>
            <wp:effectExtent l="0" t="0" r="0" b="0"/>
            <wp:wrapTopAndBottom/>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4.jpeg"/>
                    <pic:cNvPicPr>
                      <a:picLocks noChangeAspect="1"/>
                    </pic:cNvPicPr>
                  </pic:nvPicPr>
                  <pic:blipFill>
                    <a:blip r:embed="rId81" cstate="print"/>
                    <a:stretch>
                      <a:fillRect/>
                    </a:stretch>
                  </pic:blipFill>
                  <pic:spPr>
                    <a:xfrm>
                      <a:off x="0" y="0"/>
                      <a:ext cx="4875646" cy="3024378"/>
                    </a:xfrm>
                    <a:prstGeom prst="rect">
                      <a:avLst/>
                    </a:prstGeom>
                  </pic:spPr>
                </pic:pic>
              </a:graphicData>
            </a:graphic>
          </wp:anchor>
        </w:drawing>
      </w:r>
    </w:p>
    <w:p w14:paraId="6DDE65AD">
      <w:pPr>
        <w:pStyle w:val="7"/>
        <w:spacing w:before="2"/>
        <w:rPr>
          <w:sz w:val="12"/>
        </w:rPr>
      </w:pPr>
    </w:p>
    <w:p w14:paraId="6222780F">
      <w:pPr>
        <w:pStyle w:val="7"/>
        <w:spacing w:before="73"/>
        <w:ind w:left="940"/>
      </w:pPr>
      <w:r>
        <w:rPr>
          <w:position w:val="2"/>
        </w:rPr>
        <w:t xml:space="preserve">根据计算，本项目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 xml:space="preserve">卫生防护距离为 </w:t>
      </w:r>
      <w:r>
        <w:rPr>
          <w:rFonts w:ascii="Times New Roman" w:eastAsia="Times New Roman"/>
          <w:position w:val="2"/>
          <w:vertAlign w:val="baseline"/>
        </w:rPr>
        <w:t>0.278m</w:t>
      </w:r>
      <w:r>
        <w:rPr>
          <w:position w:val="2"/>
          <w:vertAlign w:val="baseline"/>
        </w:rPr>
        <w:t xml:space="preserve">， </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卫生防护距离为</w:t>
      </w:r>
    </w:p>
    <w:p w14:paraId="07CB6FB8">
      <w:pPr>
        <w:pStyle w:val="7"/>
        <w:spacing w:before="154" w:line="364" w:lineRule="auto"/>
        <w:ind w:left="460" w:right="477"/>
        <w:jc w:val="both"/>
      </w:pPr>
      <w:r>
        <w:rPr>
          <w:rFonts w:ascii="Times New Roman" w:hAnsi="Times New Roman" w:eastAsia="Times New Roman"/>
          <w:spacing w:val="2"/>
          <w:position w:val="2"/>
        </w:rPr>
        <w:t>0.591m</w:t>
      </w:r>
      <w:r>
        <w:rPr>
          <w:spacing w:val="-2"/>
          <w:position w:val="2"/>
        </w:rPr>
        <w:t xml:space="preserve">，因此本项目 </w:t>
      </w:r>
      <w:r>
        <w:rPr>
          <w:rFonts w:ascii="Times New Roman" w:hAnsi="Times New Roman" w:eastAsia="Times New Roman"/>
          <w:position w:val="2"/>
        </w:rPr>
        <w:t>NH</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 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S </w:t>
      </w:r>
      <w:r>
        <w:rPr>
          <w:spacing w:val="2"/>
          <w:position w:val="2"/>
          <w:vertAlign w:val="baseline"/>
        </w:rPr>
        <w:t xml:space="preserve">卫生防护距离均为 </w:t>
      </w:r>
      <w:r>
        <w:rPr>
          <w:rFonts w:ascii="Times New Roman" w:hAnsi="Times New Roman" w:eastAsia="Times New Roman"/>
          <w:spacing w:val="5"/>
          <w:position w:val="2"/>
          <w:vertAlign w:val="baseline"/>
        </w:rPr>
        <w:t>50m</w:t>
      </w:r>
      <w:r>
        <w:rPr>
          <w:spacing w:val="-8"/>
          <w:position w:val="2"/>
          <w:vertAlign w:val="baseline"/>
        </w:rPr>
        <w:t xml:space="preserve">，根据 </w:t>
      </w:r>
      <w:r>
        <w:rPr>
          <w:rFonts w:ascii="Times New Roman" w:hAnsi="Times New Roman" w:eastAsia="Times New Roman"/>
          <w:position w:val="2"/>
          <w:vertAlign w:val="baseline"/>
        </w:rPr>
        <w:t xml:space="preserve">GB/T39499-2020 </w:t>
      </w:r>
      <w:r>
        <w:rPr>
          <w:vertAlign w:val="baseline"/>
        </w:rPr>
        <w:t xml:space="preserve">级差规定，“当按两种或两种以上有害气体的卫生防护距离在同一级别时，该类工业企业的卫生防护距离提高一级”，“卫生防护距离在 </w:t>
      </w:r>
      <w:r>
        <w:rPr>
          <w:rFonts w:ascii="Times New Roman" w:hAnsi="Times New Roman" w:eastAsia="Times New Roman"/>
          <w:vertAlign w:val="baseline"/>
        </w:rPr>
        <w:t xml:space="preserve">100m </w:t>
      </w:r>
      <w:r>
        <w:rPr>
          <w:spacing w:val="3"/>
          <w:vertAlign w:val="baseline"/>
        </w:rPr>
        <w:t>以内时，级</w:t>
      </w:r>
      <w:r>
        <w:rPr>
          <w:spacing w:val="-17"/>
          <w:vertAlign w:val="baseline"/>
        </w:rPr>
        <w:t xml:space="preserve">差为 </w:t>
      </w:r>
      <w:r>
        <w:rPr>
          <w:rFonts w:ascii="Times New Roman" w:hAnsi="Times New Roman" w:eastAsia="Times New Roman"/>
          <w:vertAlign w:val="baseline"/>
        </w:rPr>
        <w:t>50m</w:t>
      </w:r>
      <w:r>
        <w:rPr>
          <w:spacing w:val="-4"/>
          <w:vertAlign w:val="baseline"/>
        </w:rPr>
        <w:t xml:space="preserve">”，故本项目的卫生防护距离为 </w:t>
      </w:r>
      <w:r>
        <w:rPr>
          <w:rFonts w:ascii="Times New Roman" w:hAnsi="Times New Roman" w:eastAsia="Times New Roman"/>
          <w:vertAlign w:val="baseline"/>
        </w:rPr>
        <w:t>100m</w:t>
      </w:r>
      <w:r>
        <w:rPr>
          <w:vertAlign w:val="baseline"/>
        </w:rPr>
        <w:t>，本项目无组织排放单元外周边</w:t>
      </w:r>
    </w:p>
    <w:p w14:paraId="6F58E15E">
      <w:pPr>
        <w:pStyle w:val="7"/>
        <w:spacing w:line="306" w:lineRule="exact"/>
        <w:ind w:left="460"/>
      </w:pPr>
      <w:r>
        <w:rPr>
          <w:rFonts w:ascii="Times New Roman" w:eastAsia="Times New Roman"/>
        </w:rPr>
        <w:t xml:space="preserve">100m </w:t>
      </w:r>
      <w:r>
        <w:t>范围内无医院、学校、居民区等环境敏感区。</w:t>
      </w:r>
    </w:p>
    <w:p w14:paraId="2203BA35">
      <w:pPr>
        <w:pStyle w:val="7"/>
        <w:spacing w:before="158" w:line="364" w:lineRule="auto"/>
        <w:ind w:left="460" w:right="477" w:firstLine="480"/>
      </w:pPr>
      <w:r>
        <w:t>参照《湖南省生猪屠宰管理条例》（修订中）中明确，新建生猪定点屠宰厂（场）和小型生猪屠宰点的选址，应当距离生活饮用水水源保护区和医院、</w:t>
      </w:r>
    </w:p>
    <w:p w14:paraId="336EB1A7">
      <w:pPr>
        <w:spacing w:after="0" w:line="364" w:lineRule="auto"/>
        <w:sectPr>
          <w:pgSz w:w="11910" w:h="16840"/>
          <w:pgMar w:top="1360" w:right="1320" w:bottom="1400" w:left="1340" w:header="878" w:footer="1204" w:gutter="0"/>
          <w:cols w:space="720" w:num="1"/>
        </w:sectPr>
      </w:pPr>
    </w:p>
    <w:p w14:paraId="58B7C773">
      <w:pPr>
        <w:pStyle w:val="7"/>
        <w:spacing w:before="68" w:line="364" w:lineRule="auto"/>
        <w:ind w:left="460" w:right="477"/>
      </w:pPr>
      <w:r>
        <w:t>学校等公共场所以及居民住宅区五百米以外，并不得妨碍或者影响所在地居民生活和公共场所的活动。</w:t>
      </w:r>
    </w:p>
    <w:p w14:paraId="3C47EDE2">
      <w:pPr>
        <w:pStyle w:val="7"/>
        <w:ind w:left="1367"/>
        <w:rPr>
          <w:sz w:val="20"/>
        </w:rPr>
      </w:pPr>
      <w:r>
        <w:rPr>
          <w:sz w:val="20"/>
        </w:rPr>
        <w:drawing>
          <wp:inline distT="0" distB="0" distL="0" distR="0">
            <wp:extent cx="4076700" cy="2592070"/>
            <wp:effectExtent l="0" t="0" r="0" b="0"/>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5.jpeg"/>
                    <pic:cNvPicPr>
                      <a:picLocks noChangeAspect="1"/>
                    </pic:cNvPicPr>
                  </pic:nvPicPr>
                  <pic:blipFill>
                    <a:blip r:embed="rId82" cstate="print"/>
                    <a:stretch>
                      <a:fillRect/>
                    </a:stretch>
                  </pic:blipFill>
                  <pic:spPr>
                    <a:xfrm>
                      <a:off x="0" y="0"/>
                      <a:ext cx="4076881" cy="2592324"/>
                    </a:xfrm>
                    <a:prstGeom prst="rect">
                      <a:avLst/>
                    </a:prstGeom>
                  </pic:spPr>
                </pic:pic>
              </a:graphicData>
            </a:graphic>
          </wp:inline>
        </w:drawing>
      </w:r>
    </w:p>
    <w:p w14:paraId="11C59D1E">
      <w:pPr>
        <w:spacing w:before="182"/>
        <w:ind w:left="3049" w:right="0" w:firstLine="0"/>
        <w:jc w:val="left"/>
        <w:rPr>
          <w:b/>
          <w:sz w:val="21"/>
        </w:rPr>
      </w:pPr>
      <w:r>
        <w:rPr>
          <w:b/>
          <w:sz w:val="21"/>
        </w:rPr>
        <w:t xml:space="preserve">图 </w:t>
      </w:r>
      <w:r>
        <w:rPr>
          <w:rFonts w:ascii="Times New Roman" w:eastAsia="Times New Roman"/>
          <w:b/>
          <w:sz w:val="21"/>
        </w:rPr>
        <w:t xml:space="preserve">5.2-1 </w:t>
      </w:r>
      <w:r>
        <w:rPr>
          <w:b/>
          <w:sz w:val="21"/>
        </w:rPr>
        <w:t>项目环境防护距离示意图</w:t>
      </w:r>
    </w:p>
    <w:p w14:paraId="77E15BDA">
      <w:pPr>
        <w:pStyle w:val="7"/>
        <w:spacing w:before="3" w:line="364" w:lineRule="auto"/>
        <w:ind w:left="460" w:right="477" w:firstLine="480"/>
        <w:jc w:val="both"/>
      </w:pPr>
      <w:r>
        <w:t xml:space="preserve">本项目位于岳阳县荣家湾镇城东村乡道旁四周主要为林地及部分散户，公参期间充分调查周边居民及所在区域相关单位；因此，本项目设置环境防护距离为自厂界中心点外延 </w:t>
      </w:r>
      <w:r>
        <w:rPr>
          <w:rFonts w:ascii="Times New Roman" w:eastAsia="Times New Roman"/>
        </w:rPr>
        <w:t>160m</w:t>
      </w:r>
      <w:r>
        <w:t xml:space="preserve">（废气单元边界外 </w:t>
      </w:r>
      <w:r>
        <w:rPr>
          <w:rFonts w:ascii="Times New Roman" w:eastAsia="Times New Roman"/>
        </w:rPr>
        <w:t>100m</w:t>
      </w:r>
      <w:r>
        <w:t xml:space="preserve">）。另外项目实施后自厂界外延 </w:t>
      </w:r>
      <w:r>
        <w:rPr>
          <w:rFonts w:ascii="Times New Roman" w:eastAsia="Times New Roman"/>
        </w:rPr>
        <w:t xml:space="preserve">500 </w:t>
      </w:r>
      <w:r>
        <w:t>米范围内不得规划建设医院、学校等公共场所以及居民住宅区。</w:t>
      </w:r>
    </w:p>
    <w:p w14:paraId="43F37E9D">
      <w:pPr>
        <w:pStyle w:val="6"/>
        <w:numPr>
          <w:ilvl w:val="3"/>
          <w:numId w:val="20"/>
        </w:numPr>
        <w:tabs>
          <w:tab w:val="left" w:pos="1171"/>
        </w:tabs>
        <w:spacing w:before="0" w:after="0" w:line="305" w:lineRule="exact"/>
        <w:ind w:left="1170" w:right="0" w:hanging="710"/>
        <w:jc w:val="left"/>
      </w:pPr>
      <w:bookmarkStart w:id="173" w:name="5.2.1.4生猪运输环境影响分析"/>
      <w:bookmarkEnd w:id="173"/>
      <w:bookmarkStart w:id="174" w:name="5.2.1.4生猪运输环境影响分析"/>
      <w:bookmarkEnd w:id="174"/>
      <w:r>
        <w:t>生猪运输环境影响分析</w:t>
      </w:r>
    </w:p>
    <w:p w14:paraId="43B9C9EB">
      <w:pPr>
        <w:pStyle w:val="7"/>
        <w:spacing w:before="161" w:line="364" w:lineRule="auto"/>
        <w:ind w:left="460" w:right="477" w:firstLine="480"/>
        <w:jc w:val="both"/>
      </w:pPr>
      <w:r>
        <w:t>项目运营期生猪运输过程难免会产生恶臭异味，对运输沿线居民造成嗅觉上不良感官影响。建设单位须合理制定运输路线，尽量避开沿线居民区；加强运输车辆的清洗清洁，在养殖场接收的生猪要求先行冲洗猪体再上车运出。同时，项目方应合理安排生猪运输时间，尽量减少运输次数，由此尽可能减轻生猪运输过程中对周边环境的不良影响。</w:t>
      </w:r>
    </w:p>
    <w:p w14:paraId="043AF188">
      <w:pPr>
        <w:pStyle w:val="6"/>
        <w:numPr>
          <w:ilvl w:val="3"/>
          <w:numId w:val="20"/>
        </w:numPr>
        <w:tabs>
          <w:tab w:val="left" w:pos="1171"/>
        </w:tabs>
        <w:spacing w:before="0" w:after="0" w:line="303" w:lineRule="exact"/>
        <w:ind w:left="1170" w:right="0" w:hanging="710"/>
        <w:jc w:val="left"/>
      </w:pPr>
      <w:bookmarkStart w:id="175" w:name="5.2.1.5大气环境影响分析小结"/>
      <w:bookmarkEnd w:id="175"/>
      <w:bookmarkStart w:id="176" w:name="5.2.1.5大气环境影响分析小结"/>
      <w:bookmarkEnd w:id="176"/>
      <w:r>
        <w:t>大气环境影响分析小结</w:t>
      </w:r>
    </w:p>
    <w:p w14:paraId="296438D2">
      <w:pPr>
        <w:pStyle w:val="7"/>
        <w:spacing w:before="160" w:line="364" w:lineRule="auto"/>
        <w:ind w:left="460" w:right="477" w:firstLine="480"/>
        <w:jc w:val="both"/>
      </w:pPr>
      <w:r>
        <w:t xml:space="preserve">根据 </w:t>
      </w:r>
      <w:r>
        <w:rPr>
          <w:rFonts w:ascii="Times New Roman" w:eastAsia="Times New Roman"/>
        </w:rPr>
        <w:t xml:space="preserve">AERSCREEN </w:t>
      </w:r>
      <w:r>
        <w:t>模式分析结果，项目产生的大气污染物在采取合理的大气污染防治措施后，对周围大气环境影响满足《环境影响评价技术导则</w:t>
      </w:r>
      <w:r>
        <w:rPr>
          <w:rFonts w:ascii="Times New Roman" w:eastAsia="Times New Roman"/>
        </w:rPr>
        <w:t>-</w:t>
      </w:r>
      <w:r>
        <w:t>大气环境》（</w:t>
      </w:r>
      <w:r>
        <w:rPr>
          <w:rFonts w:ascii="Times New Roman" w:eastAsia="Times New Roman"/>
        </w:rPr>
        <w:t>HJ2.2-2018</w:t>
      </w:r>
      <w:r>
        <w:t xml:space="preserve">）第 </w:t>
      </w:r>
      <w:r>
        <w:rPr>
          <w:rFonts w:ascii="Times New Roman" w:eastAsia="Times New Roman"/>
        </w:rPr>
        <w:t xml:space="preserve">10.1.1 </w:t>
      </w:r>
      <w:r>
        <w:t>条判定标准，环境影响可以接受。大气环境影响自查表详见附表。</w:t>
      </w:r>
    </w:p>
    <w:p w14:paraId="31A21569">
      <w:pPr>
        <w:pStyle w:val="13"/>
        <w:numPr>
          <w:ilvl w:val="2"/>
          <w:numId w:val="21"/>
        </w:numPr>
        <w:tabs>
          <w:tab w:val="left" w:pos="1080"/>
        </w:tabs>
        <w:spacing w:before="0" w:after="0" w:line="357" w:lineRule="exact"/>
        <w:ind w:left="1079" w:right="0" w:hanging="619"/>
        <w:jc w:val="left"/>
        <w:rPr>
          <w:b/>
          <w:sz w:val="28"/>
        </w:rPr>
      </w:pPr>
      <w:bookmarkStart w:id="177" w:name="5.2.2声环境影响预测与评价"/>
      <w:bookmarkEnd w:id="177"/>
      <w:bookmarkStart w:id="178" w:name="5.2.2声环境影响预测与评价"/>
      <w:bookmarkEnd w:id="178"/>
      <w:r>
        <w:rPr>
          <w:b/>
          <w:sz w:val="28"/>
        </w:rPr>
        <w:t>声环境影响预测与评价</w:t>
      </w:r>
    </w:p>
    <w:p w14:paraId="15F72583">
      <w:pPr>
        <w:pStyle w:val="6"/>
        <w:numPr>
          <w:ilvl w:val="3"/>
          <w:numId w:val="21"/>
        </w:numPr>
        <w:tabs>
          <w:tab w:val="left" w:pos="1171"/>
        </w:tabs>
        <w:spacing w:before="185" w:after="0" w:line="240" w:lineRule="auto"/>
        <w:ind w:left="1170" w:right="0" w:hanging="710"/>
        <w:jc w:val="left"/>
      </w:pPr>
      <w:bookmarkStart w:id="179" w:name="5.2.2.1噪声源强"/>
      <w:bookmarkEnd w:id="179"/>
      <w:bookmarkStart w:id="180" w:name="5.2.2.1噪声源强"/>
      <w:bookmarkEnd w:id="180"/>
      <w:r>
        <w:t>噪声源强</w:t>
      </w:r>
    </w:p>
    <w:p w14:paraId="47918B2E">
      <w:pPr>
        <w:spacing w:after="0" w:line="240" w:lineRule="auto"/>
        <w:jc w:val="left"/>
        <w:sectPr>
          <w:pgSz w:w="11910" w:h="16840"/>
          <w:pgMar w:top="1360" w:right="1320" w:bottom="1400" w:left="1340" w:header="878" w:footer="1204" w:gutter="0"/>
          <w:cols w:space="720" w:num="1"/>
        </w:sectPr>
      </w:pPr>
    </w:p>
    <w:p w14:paraId="78292FAC">
      <w:pPr>
        <w:pStyle w:val="7"/>
        <w:spacing w:before="68" w:line="364" w:lineRule="auto"/>
        <w:ind w:left="460" w:right="477" w:firstLine="480"/>
        <w:jc w:val="both"/>
      </w:pPr>
      <w:r>
        <w:t xml:space="preserve">本项目运营期主要噪声源为猪叫声、刨毛机、洗猪机、泵机、风机以及制冷压缩机等，噪声源强在 </w:t>
      </w:r>
      <w:r>
        <w:rPr>
          <w:rFonts w:ascii="Times New Roman" w:eastAsia="Times New Roman"/>
        </w:rPr>
        <w:t>70dB</w:t>
      </w:r>
      <w:r>
        <w:t>（</w:t>
      </w:r>
      <w:r>
        <w:rPr>
          <w:rFonts w:ascii="Times New Roman" w:eastAsia="Times New Roman"/>
        </w:rPr>
        <w:t>A</w:t>
      </w:r>
      <w:r>
        <w:t>）～</w:t>
      </w:r>
      <w:r>
        <w:rPr>
          <w:rFonts w:ascii="Times New Roman" w:eastAsia="Times New Roman"/>
        </w:rPr>
        <w:t>90dB</w:t>
      </w:r>
      <w:r>
        <w:t>（</w:t>
      </w:r>
      <w:r>
        <w:rPr>
          <w:rFonts w:ascii="Times New Roman" w:eastAsia="Times New Roman"/>
        </w:rPr>
        <w:t>A</w:t>
      </w:r>
      <w:r>
        <w:t>）之间，项目运营期采取的降噪措施主要为选用低噪声设备、厂房隔声、隔声机罩等，具体见表。</w:t>
      </w:r>
    </w:p>
    <w:p w14:paraId="4DCEF4AC">
      <w:pPr>
        <w:pStyle w:val="6"/>
        <w:numPr>
          <w:ilvl w:val="3"/>
          <w:numId w:val="21"/>
        </w:numPr>
        <w:tabs>
          <w:tab w:val="left" w:pos="1171"/>
        </w:tabs>
        <w:spacing w:before="0" w:after="0" w:line="307" w:lineRule="exact"/>
        <w:ind w:left="1170" w:right="0" w:hanging="710"/>
        <w:jc w:val="left"/>
      </w:pPr>
      <w:bookmarkStart w:id="181" w:name="5.2.2.2预测分析"/>
      <w:bookmarkEnd w:id="181"/>
      <w:bookmarkStart w:id="182" w:name="5.2.2.2预测分析"/>
      <w:bookmarkEnd w:id="182"/>
      <w:r>
        <w:t>预测分析</w:t>
      </w:r>
    </w:p>
    <w:p w14:paraId="5494CD1C">
      <w:pPr>
        <w:pStyle w:val="7"/>
        <w:spacing w:before="158" w:line="364" w:lineRule="auto"/>
        <w:ind w:left="460" w:right="561" w:firstLine="480"/>
      </w:pPr>
      <w:r>
        <w:rPr>
          <w:spacing w:val="-4"/>
        </w:rPr>
        <w:t>本此评价采用参数模型法，采用《环境影响评价技术导则—声环境》</w:t>
      </w:r>
      <w:r>
        <w:t>（</w:t>
      </w:r>
      <w:r>
        <w:rPr>
          <w:rFonts w:ascii="Times New Roman" w:hAnsi="Times New Roman" w:eastAsia="Times New Roman"/>
        </w:rPr>
        <w:t xml:space="preserve">HJ 2.4-2021 </w:t>
      </w:r>
      <w:r>
        <w:rPr>
          <w:spacing w:val="-21"/>
        </w:rPr>
        <w:t xml:space="preserve">代替 </w:t>
      </w:r>
      <w:r>
        <w:rPr>
          <w:rFonts w:ascii="Times New Roman" w:hAnsi="Times New Roman" w:eastAsia="Times New Roman"/>
        </w:rPr>
        <w:t>HJ 2.4-2009</w:t>
      </w:r>
      <w:r>
        <w:t>）</w:t>
      </w:r>
      <w:r>
        <w:rPr>
          <w:spacing w:val="-5"/>
        </w:rPr>
        <w:t xml:space="preserve">中推荐的术语和定义公式、附录 </w:t>
      </w:r>
      <w:r>
        <w:rPr>
          <w:rFonts w:ascii="Times New Roman" w:hAnsi="Times New Roman" w:eastAsia="Times New Roman"/>
        </w:rPr>
        <w:t xml:space="preserve">B </w:t>
      </w:r>
      <w:r>
        <w:t>工业噪声预测计算模式，公式如下：</w:t>
      </w:r>
    </w:p>
    <w:p w14:paraId="3F9295AA">
      <w:pPr>
        <w:pStyle w:val="7"/>
        <w:spacing w:line="308" w:lineRule="exact"/>
        <w:ind w:left="940"/>
      </w:pPr>
      <w:r>
        <w:rPr>
          <w:position w:val="2"/>
        </w:rPr>
        <w:t>①噪声贡献值（</w:t>
      </w:r>
      <w:r>
        <w:rPr>
          <w:rFonts w:ascii="Times New Roman" w:hAnsi="Times New Roman" w:eastAsia="Times New Roman"/>
          <w:position w:val="2"/>
        </w:rPr>
        <w:t>L</w:t>
      </w:r>
      <w:r>
        <w:rPr>
          <w:rFonts w:ascii="Times New Roman" w:hAnsi="Times New Roman" w:eastAsia="Times New Roman"/>
          <w:position w:val="2"/>
          <w:vertAlign w:val="subscript"/>
        </w:rPr>
        <w:t>eqg</w:t>
      </w:r>
      <w:r>
        <w:rPr>
          <w:position w:val="2"/>
          <w:vertAlign w:val="baseline"/>
        </w:rPr>
        <w:t>）计算公式：</w:t>
      </w:r>
    </w:p>
    <w:p w14:paraId="6696A8C0">
      <w:pPr>
        <w:tabs>
          <w:tab w:val="left" w:pos="491"/>
        </w:tabs>
        <w:spacing w:before="169" w:line="347" w:lineRule="exact"/>
        <w:ind w:left="0" w:right="17" w:firstLine="0"/>
        <w:jc w:val="center"/>
        <w:rPr>
          <w:rFonts w:ascii="Times New Roman" w:hAnsi="Times New Roman"/>
          <w:sz w:val="27"/>
        </w:rPr>
      </w:pPr>
      <w:r>
        <w:rPr>
          <w:rFonts w:ascii="Times New Roman" w:hAnsi="Times New Roman"/>
          <w:i/>
          <w:w w:val="102"/>
          <w:sz w:val="27"/>
        </w:rPr>
        <w:t>L</w:t>
      </w:r>
      <w:r>
        <w:rPr>
          <w:rFonts w:ascii="Times New Roman" w:hAnsi="Times New Roman"/>
          <w:i/>
          <w:sz w:val="27"/>
        </w:rPr>
        <w:tab/>
      </w:r>
      <w:r>
        <w:rPr>
          <w:rFonts w:ascii="Symbol" w:hAnsi="Symbol"/>
          <w:w w:val="102"/>
          <w:sz w:val="27"/>
        </w:rPr>
        <w:t></w:t>
      </w:r>
      <w:r>
        <w:rPr>
          <w:rFonts w:ascii="Times New Roman" w:hAnsi="Times New Roman"/>
          <w:spacing w:val="-28"/>
          <w:sz w:val="27"/>
        </w:rPr>
        <w:t xml:space="preserve"> </w:t>
      </w:r>
      <w:r>
        <w:rPr>
          <w:rFonts w:ascii="Times New Roman" w:hAnsi="Times New Roman"/>
          <w:spacing w:val="-3"/>
          <w:w w:val="102"/>
          <w:sz w:val="27"/>
        </w:rPr>
        <w:t>1</w:t>
      </w:r>
      <w:r>
        <w:rPr>
          <w:rFonts w:ascii="Times New Roman" w:hAnsi="Times New Roman"/>
          <w:w w:val="102"/>
          <w:sz w:val="27"/>
        </w:rPr>
        <w:t>0</w:t>
      </w:r>
      <w:r>
        <w:rPr>
          <w:rFonts w:ascii="Times New Roman" w:hAnsi="Times New Roman"/>
          <w:spacing w:val="-29"/>
          <w:sz w:val="27"/>
        </w:rPr>
        <w:t xml:space="preserve"> </w:t>
      </w:r>
      <w:r>
        <w:rPr>
          <w:rFonts w:ascii="Times New Roman" w:hAnsi="Times New Roman"/>
          <w:spacing w:val="-2"/>
          <w:w w:val="102"/>
          <w:sz w:val="27"/>
        </w:rPr>
        <w:t>l</w:t>
      </w:r>
      <w:r>
        <w:rPr>
          <w:rFonts w:ascii="Times New Roman" w:hAnsi="Times New Roman"/>
          <w:spacing w:val="-3"/>
          <w:w w:val="102"/>
          <w:sz w:val="27"/>
        </w:rPr>
        <w:t>g</w:t>
      </w:r>
      <w:r>
        <w:rPr>
          <w:rFonts w:ascii="Times New Roman" w:hAnsi="Times New Roman"/>
          <w:w w:val="102"/>
          <w:sz w:val="27"/>
        </w:rPr>
        <w:t>(</w:t>
      </w:r>
      <w:r>
        <w:rPr>
          <w:rFonts w:ascii="Times New Roman" w:hAnsi="Times New Roman"/>
          <w:spacing w:val="-21"/>
          <w:sz w:val="27"/>
        </w:rPr>
        <w:t xml:space="preserve"> </w:t>
      </w:r>
      <w:r>
        <w:rPr>
          <w:rFonts w:ascii="Times New Roman" w:hAnsi="Times New Roman"/>
          <w:w w:val="102"/>
          <w:position w:val="17"/>
          <w:sz w:val="27"/>
          <w:u w:val="single"/>
        </w:rPr>
        <w:t>1</w:t>
      </w:r>
      <w:r>
        <w:rPr>
          <w:rFonts w:ascii="Times New Roman" w:hAnsi="Times New Roman"/>
          <w:spacing w:val="13"/>
          <w:position w:val="17"/>
          <w:sz w:val="27"/>
        </w:rPr>
        <w:t xml:space="preserve"> </w:t>
      </w:r>
      <w:r>
        <w:rPr>
          <w:rFonts w:ascii="Symbol" w:hAnsi="Symbol"/>
          <w:spacing w:val="33"/>
          <w:w w:val="101"/>
          <w:position w:val="-5"/>
          <w:sz w:val="41"/>
        </w:rPr>
        <w:t></w:t>
      </w:r>
      <w:r>
        <w:rPr>
          <w:rFonts w:ascii="Times New Roman" w:hAnsi="Times New Roman"/>
          <w:i/>
          <w:w w:val="102"/>
          <w:sz w:val="27"/>
        </w:rPr>
        <w:t>t</w:t>
      </w:r>
      <w:r>
        <w:rPr>
          <w:rFonts w:ascii="Times New Roman" w:hAnsi="Times New Roman"/>
          <w:i/>
          <w:spacing w:val="-4"/>
          <w:sz w:val="27"/>
        </w:rPr>
        <w:t xml:space="preserve"> </w:t>
      </w:r>
      <w:r>
        <w:rPr>
          <w:rFonts w:ascii="Times New Roman" w:hAnsi="Times New Roman"/>
          <w:spacing w:val="-3"/>
          <w:w w:val="102"/>
          <w:sz w:val="27"/>
        </w:rPr>
        <w:t>1</w:t>
      </w:r>
      <w:r>
        <w:rPr>
          <w:rFonts w:ascii="Times New Roman" w:hAnsi="Times New Roman"/>
          <w:spacing w:val="13"/>
          <w:w w:val="102"/>
          <w:sz w:val="27"/>
        </w:rPr>
        <w:t>0</w:t>
      </w:r>
      <w:r>
        <w:rPr>
          <w:rFonts w:ascii="Times New Roman" w:hAnsi="Times New Roman"/>
          <w:w w:val="100"/>
          <w:position w:val="13"/>
          <w:sz w:val="16"/>
        </w:rPr>
        <w:t>0.</w:t>
      </w:r>
      <w:r>
        <w:rPr>
          <w:rFonts w:ascii="Times New Roman" w:hAnsi="Times New Roman"/>
          <w:spacing w:val="3"/>
          <w:w w:val="100"/>
          <w:position w:val="13"/>
          <w:sz w:val="16"/>
        </w:rPr>
        <w:t>1</w:t>
      </w:r>
      <w:r>
        <w:rPr>
          <w:rFonts w:ascii="Times New Roman" w:hAnsi="Times New Roman"/>
          <w:i/>
          <w:spacing w:val="2"/>
          <w:w w:val="100"/>
          <w:position w:val="13"/>
          <w:sz w:val="16"/>
        </w:rPr>
        <w:t>L</w:t>
      </w:r>
      <w:r>
        <w:rPr>
          <w:rFonts w:ascii="Times New Roman" w:hAnsi="Times New Roman"/>
          <w:i/>
          <w:spacing w:val="-2"/>
          <w:w w:val="104"/>
          <w:position w:val="9"/>
          <w:sz w:val="11"/>
        </w:rPr>
        <w:t>A</w:t>
      </w:r>
      <w:r>
        <w:rPr>
          <w:rFonts w:ascii="Times New Roman" w:hAnsi="Times New Roman"/>
          <w:i/>
          <w:w w:val="104"/>
          <w:position w:val="9"/>
          <w:sz w:val="11"/>
        </w:rPr>
        <w:t>i</w:t>
      </w:r>
      <w:r>
        <w:rPr>
          <w:rFonts w:ascii="Times New Roman" w:hAnsi="Times New Roman"/>
          <w:i/>
          <w:position w:val="9"/>
          <w:sz w:val="11"/>
        </w:rPr>
        <w:t xml:space="preserve">  </w:t>
      </w:r>
      <w:r>
        <w:rPr>
          <w:rFonts w:ascii="Times New Roman" w:hAnsi="Times New Roman"/>
          <w:w w:val="102"/>
          <w:sz w:val="27"/>
        </w:rPr>
        <w:t>)</w:t>
      </w:r>
    </w:p>
    <w:p w14:paraId="7B73DDA6">
      <w:pPr>
        <w:tabs>
          <w:tab w:val="left" w:pos="1834"/>
        </w:tabs>
        <w:spacing w:before="0" w:line="179" w:lineRule="exact"/>
        <w:ind w:left="0" w:right="720" w:firstLine="0"/>
        <w:jc w:val="center"/>
        <w:rPr>
          <w:rFonts w:ascii="Times New Roman"/>
          <w:i/>
          <w:sz w:val="16"/>
        </w:rPr>
      </w:pPr>
      <w:r>
        <w:pict>
          <v:shape id="_x0000_s1388" o:spid="_x0000_s1388" o:spt="202" type="#_x0000_t202" style="position:absolute;left:0pt;margin-left:291.55pt;margin-top:2.1pt;height:15.35pt;width:7.7pt;mso-position-horizontal-relative:page;z-index:-251649024;mso-width-relative:page;mso-height-relative:page;" filled="f" stroked="f" coordsize="21600,21600">
            <v:path/>
            <v:fill on="f" focussize="0,0"/>
            <v:stroke on="f" joinstyle="miter"/>
            <v:imagedata o:title=""/>
            <o:lock v:ext="edit"/>
            <v:textbox inset="0mm,0mm,0mm,0mm">
              <w:txbxContent>
                <w:p w14:paraId="2482FE8D">
                  <w:pPr>
                    <w:spacing w:before="0" w:line="305" w:lineRule="exact"/>
                    <w:ind w:left="0" w:right="0" w:firstLine="0"/>
                    <w:jc w:val="left"/>
                    <w:rPr>
                      <w:rFonts w:ascii="Times New Roman"/>
                      <w:i/>
                      <w:sz w:val="27"/>
                    </w:rPr>
                  </w:pPr>
                  <w:r>
                    <w:rPr>
                      <w:rFonts w:ascii="Times New Roman"/>
                      <w:i/>
                      <w:w w:val="102"/>
                      <w:sz w:val="27"/>
                    </w:rPr>
                    <w:t>T</w:t>
                  </w:r>
                </w:p>
              </w:txbxContent>
            </v:textbox>
          </v:shape>
        </w:pict>
      </w:r>
      <w:r>
        <w:rPr>
          <w:rFonts w:ascii="Times New Roman"/>
          <w:i/>
          <w:sz w:val="16"/>
        </w:rPr>
        <w:t>eqg</w:t>
      </w:r>
      <w:r>
        <w:rPr>
          <w:rFonts w:ascii="Times New Roman"/>
          <w:i/>
          <w:sz w:val="16"/>
        </w:rPr>
        <w:tab/>
      </w:r>
      <w:r>
        <w:rPr>
          <w:rFonts w:ascii="Times New Roman"/>
          <w:i/>
          <w:sz w:val="16"/>
        </w:rPr>
        <w:t>i</w:t>
      </w:r>
    </w:p>
    <w:p w14:paraId="1BC72C37">
      <w:pPr>
        <w:spacing w:before="10"/>
        <w:ind w:left="528" w:right="0" w:firstLine="0"/>
        <w:jc w:val="center"/>
        <w:rPr>
          <w:rFonts w:ascii="Times New Roman"/>
          <w:i/>
          <w:sz w:val="16"/>
        </w:rPr>
      </w:pPr>
      <w:r>
        <w:rPr>
          <w:rFonts w:ascii="Times New Roman"/>
          <w:i/>
          <w:w w:val="100"/>
          <w:sz w:val="16"/>
        </w:rPr>
        <w:t>i</w:t>
      </w:r>
    </w:p>
    <w:p w14:paraId="16FB64FB">
      <w:pPr>
        <w:spacing w:before="160"/>
        <w:ind w:left="940" w:right="0" w:firstLine="0"/>
        <w:jc w:val="left"/>
        <w:rPr>
          <w:sz w:val="24"/>
        </w:rPr>
      </w:pPr>
      <w:r>
        <w:rPr>
          <w:position w:val="2"/>
          <w:sz w:val="24"/>
        </w:rPr>
        <w:t>式中：</w:t>
      </w:r>
      <w:r>
        <w:rPr>
          <w:rFonts w:ascii="Times New Roman" w:hAnsi="Times New Roman" w:eastAsia="Times New Roman"/>
          <w:i/>
          <w:position w:val="2"/>
          <w:sz w:val="24"/>
        </w:rPr>
        <w:t>L</w:t>
      </w:r>
      <w:r>
        <w:rPr>
          <w:rFonts w:ascii="Times New Roman" w:hAnsi="Times New Roman" w:eastAsia="Times New Roman"/>
          <w:i/>
          <w:position w:val="2"/>
          <w:sz w:val="24"/>
          <w:vertAlign w:val="subscript"/>
        </w:rPr>
        <w:t>eqg</w:t>
      </w:r>
      <w:r>
        <w:rPr>
          <w:rFonts w:ascii="Times New Roman" w:hAnsi="Times New Roman" w:eastAsia="Times New Roman"/>
          <w:position w:val="2"/>
          <w:sz w:val="24"/>
          <w:vertAlign w:val="baseline"/>
        </w:rPr>
        <w:t>——</w:t>
      </w:r>
      <w:r>
        <w:rPr>
          <w:position w:val="2"/>
          <w:sz w:val="24"/>
          <w:vertAlign w:val="baseline"/>
        </w:rPr>
        <w:t>噪声贡献值，</w:t>
      </w:r>
      <w:r>
        <w:rPr>
          <w:rFonts w:ascii="Times New Roman" w:hAnsi="Times New Roman" w:eastAsia="Times New Roman"/>
          <w:position w:val="2"/>
          <w:sz w:val="24"/>
          <w:vertAlign w:val="baseline"/>
        </w:rPr>
        <w:t>dB</w:t>
      </w:r>
      <w:r>
        <w:rPr>
          <w:position w:val="2"/>
          <w:sz w:val="24"/>
          <w:vertAlign w:val="baseline"/>
        </w:rPr>
        <w:t>；</w:t>
      </w:r>
    </w:p>
    <w:p w14:paraId="304315C9">
      <w:pPr>
        <w:pStyle w:val="7"/>
        <w:spacing w:before="157"/>
        <w:ind w:left="1660"/>
      </w:pPr>
      <w:r>
        <w:rPr>
          <w:rFonts w:ascii="Times New Roman" w:hAnsi="Times New Roman" w:eastAsia="Times New Roman"/>
          <w:i/>
        </w:rPr>
        <w:t xml:space="preserve">T </w:t>
      </w:r>
      <w:r>
        <w:rPr>
          <w:rFonts w:ascii="Times New Roman" w:hAnsi="Times New Roman" w:eastAsia="Times New Roman"/>
        </w:rPr>
        <w:t>——</w:t>
      </w:r>
      <w:r>
        <w:t>预测计算的时间段，</w:t>
      </w:r>
      <w:r>
        <w:rPr>
          <w:rFonts w:ascii="Times New Roman" w:hAnsi="Times New Roman" w:eastAsia="Times New Roman"/>
        </w:rPr>
        <w:t>s</w:t>
      </w:r>
      <w:r>
        <w:t>；</w:t>
      </w:r>
    </w:p>
    <w:p w14:paraId="2AC6670B">
      <w:pPr>
        <w:spacing w:before="157"/>
        <w:ind w:left="1660" w:right="0" w:firstLine="0"/>
        <w:jc w:val="left"/>
        <w:rPr>
          <w:sz w:val="24"/>
        </w:rPr>
      </w:pPr>
      <w:r>
        <w:rPr>
          <w:rFonts w:ascii="Times New Roman" w:hAnsi="Times New Roman" w:eastAsia="Times New Roman"/>
          <w:i/>
          <w:position w:val="2"/>
          <w:sz w:val="24"/>
        </w:rPr>
        <w:t>t</w:t>
      </w:r>
      <w:r>
        <w:rPr>
          <w:rFonts w:ascii="Times New Roman" w:hAnsi="Times New Roman" w:eastAsia="Times New Roman"/>
          <w:i/>
          <w:position w:val="2"/>
          <w:sz w:val="24"/>
          <w:vertAlign w:val="subscript"/>
        </w:rPr>
        <w:t>i</w:t>
      </w:r>
      <w:r>
        <w:rPr>
          <w:rFonts w:ascii="Times New Roman" w:hAnsi="Times New Roman" w:eastAsia="Times New Roman"/>
          <w:position w:val="2"/>
          <w:sz w:val="24"/>
          <w:vertAlign w:val="baseline"/>
        </w:rPr>
        <w:t>——</w:t>
      </w:r>
      <w:r>
        <w:rPr>
          <w:rFonts w:ascii="Times New Roman" w:hAnsi="Times New Roman" w:eastAsia="Times New Roman"/>
          <w:i/>
          <w:position w:val="2"/>
          <w:sz w:val="24"/>
          <w:vertAlign w:val="baseline"/>
        </w:rPr>
        <w:t xml:space="preserve">i </w:t>
      </w:r>
      <w:r>
        <w:rPr>
          <w:position w:val="2"/>
          <w:sz w:val="24"/>
          <w:vertAlign w:val="baseline"/>
        </w:rPr>
        <w:t xml:space="preserve">声源在 </w:t>
      </w:r>
      <w:r>
        <w:rPr>
          <w:rFonts w:ascii="Times New Roman" w:hAnsi="Times New Roman" w:eastAsia="Times New Roman"/>
          <w:i/>
          <w:position w:val="2"/>
          <w:sz w:val="24"/>
          <w:vertAlign w:val="baseline"/>
        </w:rPr>
        <w:t xml:space="preserve">T </w:t>
      </w:r>
      <w:r>
        <w:rPr>
          <w:position w:val="2"/>
          <w:sz w:val="24"/>
          <w:vertAlign w:val="baseline"/>
        </w:rPr>
        <w:t>时段内的运行时间，</w:t>
      </w:r>
      <w:r>
        <w:rPr>
          <w:rFonts w:ascii="Times New Roman" w:hAnsi="Times New Roman" w:eastAsia="Times New Roman"/>
          <w:position w:val="2"/>
          <w:sz w:val="24"/>
          <w:vertAlign w:val="baseline"/>
        </w:rPr>
        <w:t>s</w:t>
      </w:r>
      <w:r>
        <w:rPr>
          <w:position w:val="2"/>
          <w:sz w:val="24"/>
          <w:vertAlign w:val="baseline"/>
        </w:rPr>
        <w:t>。</w:t>
      </w:r>
    </w:p>
    <w:p w14:paraId="64DDFA7C">
      <w:pPr>
        <w:pStyle w:val="7"/>
        <w:spacing w:before="156"/>
        <w:ind w:left="1660"/>
      </w:pPr>
      <w:r>
        <w:rPr>
          <w:rFonts w:ascii="Times New Roman" w:hAnsi="Times New Roman" w:eastAsia="Times New Roman"/>
          <w:i/>
          <w:position w:val="2"/>
        </w:rPr>
        <w:t>L</w:t>
      </w:r>
      <w:r>
        <w:rPr>
          <w:rFonts w:ascii="Times New Roman" w:hAnsi="Times New Roman" w:eastAsia="Times New Roman"/>
          <w:i/>
          <w:position w:val="2"/>
          <w:vertAlign w:val="subscript"/>
        </w:rPr>
        <w:t>Ai</w:t>
      </w:r>
      <w:r>
        <w:rPr>
          <w:rFonts w:ascii="Times New Roman" w:hAnsi="Times New Roman" w:eastAsia="Times New Roman"/>
          <w:position w:val="2"/>
          <w:vertAlign w:val="baseline"/>
        </w:rPr>
        <w:t>——</w:t>
      </w:r>
      <w:r>
        <w:rPr>
          <w:rFonts w:ascii="Times New Roman" w:hAnsi="Times New Roman" w:eastAsia="Times New Roman"/>
          <w:i/>
          <w:position w:val="2"/>
          <w:vertAlign w:val="baseline"/>
        </w:rPr>
        <w:t xml:space="preserve">i </w:t>
      </w:r>
      <w:r>
        <w:rPr>
          <w:position w:val="2"/>
          <w:vertAlign w:val="baseline"/>
        </w:rPr>
        <w:t xml:space="preserve">声源在预测点产生的等效连续 </w:t>
      </w:r>
      <w:r>
        <w:rPr>
          <w:rFonts w:ascii="Times New Roman" w:hAnsi="Times New Roman" w:eastAsia="Times New Roman"/>
          <w:position w:val="2"/>
          <w:vertAlign w:val="baseline"/>
        </w:rPr>
        <w:t xml:space="preserve">A </w:t>
      </w:r>
      <w:r>
        <w:rPr>
          <w:position w:val="2"/>
          <w:vertAlign w:val="baseline"/>
        </w:rPr>
        <w:t>声级，</w:t>
      </w:r>
      <w:r>
        <w:rPr>
          <w:rFonts w:ascii="Times New Roman" w:hAnsi="Times New Roman" w:eastAsia="Times New Roman"/>
          <w:position w:val="2"/>
          <w:vertAlign w:val="baseline"/>
        </w:rPr>
        <w:t>dB</w:t>
      </w:r>
      <w:r>
        <w:rPr>
          <w:position w:val="2"/>
          <w:vertAlign w:val="baseline"/>
        </w:rPr>
        <w:t>；</w:t>
      </w:r>
    </w:p>
    <w:p w14:paraId="0168BA20">
      <w:pPr>
        <w:pStyle w:val="7"/>
        <w:spacing w:before="154"/>
        <w:ind w:left="940"/>
      </w:pPr>
      <w:r>
        <w:rPr>
          <w:position w:val="2"/>
        </w:rPr>
        <w:t>②噪声预测值（</w:t>
      </w:r>
      <w:r>
        <w:rPr>
          <w:rFonts w:ascii="Times New Roman" w:hAnsi="Times New Roman" w:eastAsia="Times New Roman"/>
          <w:position w:val="2"/>
        </w:rPr>
        <w:t>L</w:t>
      </w:r>
      <w:r>
        <w:rPr>
          <w:rFonts w:ascii="Times New Roman" w:hAnsi="Times New Roman" w:eastAsia="Times New Roman"/>
          <w:position w:val="2"/>
          <w:vertAlign w:val="subscript"/>
        </w:rPr>
        <w:t>eq</w:t>
      </w:r>
      <w:r>
        <w:rPr>
          <w:position w:val="2"/>
          <w:vertAlign w:val="baseline"/>
        </w:rPr>
        <w:t>）计算公式：</w:t>
      </w:r>
    </w:p>
    <w:p w14:paraId="249647A8">
      <w:pPr>
        <w:spacing w:after="0"/>
        <w:sectPr>
          <w:pgSz w:w="11910" w:h="16840"/>
          <w:pgMar w:top="1360" w:right="1320" w:bottom="1400" w:left="1340" w:header="878" w:footer="1204" w:gutter="0"/>
          <w:cols w:space="720" w:num="1"/>
        </w:sectPr>
      </w:pPr>
    </w:p>
    <w:p w14:paraId="7B7330C0">
      <w:pPr>
        <w:spacing w:before="225"/>
        <w:ind w:left="0" w:right="0" w:firstLine="0"/>
        <w:jc w:val="right"/>
        <w:rPr>
          <w:rFonts w:ascii="Times New Roman"/>
          <w:i/>
          <w:sz w:val="16"/>
        </w:rPr>
      </w:pPr>
      <w:r>
        <w:rPr>
          <w:rFonts w:ascii="Times New Roman"/>
          <w:i/>
          <w:position w:val="7"/>
          <w:sz w:val="27"/>
        </w:rPr>
        <w:t>L</w:t>
      </w:r>
      <w:r>
        <w:rPr>
          <w:rFonts w:ascii="Times New Roman"/>
          <w:i/>
          <w:sz w:val="16"/>
        </w:rPr>
        <w:t>eq</w:t>
      </w:r>
    </w:p>
    <w:p w14:paraId="6AE8201D">
      <w:pPr>
        <w:spacing w:before="179"/>
        <w:ind w:left="69" w:right="0" w:firstLine="0"/>
        <w:jc w:val="left"/>
        <w:rPr>
          <w:rFonts w:ascii="Times New Roman" w:hAnsi="Times New Roman"/>
          <w:i/>
          <w:sz w:val="11"/>
        </w:rPr>
      </w:pPr>
      <w:r>
        <w:br w:type="column"/>
      </w:r>
      <w:r>
        <w:rPr>
          <w:rFonts w:ascii="Symbol" w:hAnsi="Symbol"/>
          <w:w w:val="102"/>
          <w:sz w:val="27"/>
        </w:rPr>
        <w:t></w:t>
      </w:r>
      <w:r>
        <w:rPr>
          <w:rFonts w:ascii="Times New Roman" w:hAnsi="Times New Roman"/>
          <w:spacing w:val="-23"/>
          <w:sz w:val="27"/>
        </w:rPr>
        <w:t xml:space="preserve"> </w:t>
      </w:r>
      <w:r>
        <w:rPr>
          <w:rFonts w:ascii="Times New Roman" w:hAnsi="Times New Roman"/>
          <w:w w:val="102"/>
          <w:sz w:val="27"/>
        </w:rPr>
        <w:t>10</w:t>
      </w:r>
      <w:r>
        <w:rPr>
          <w:rFonts w:ascii="Times New Roman" w:hAnsi="Times New Roman"/>
          <w:spacing w:val="-25"/>
          <w:sz w:val="27"/>
        </w:rPr>
        <w:t xml:space="preserve"> </w:t>
      </w:r>
      <w:r>
        <w:rPr>
          <w:rFonts w:ascii="Times New Roman" w:hAnsi="Times New Roman"/>
          <w:spacing w:val="-1"/>
          <w:w w:val="102"/>
          <w:sz w:val="27"/>
        </w:rPr>
        <w:t>l</w:t>
      </w:r>
      <w:r>
        <w:rPr>
          <w:rFonts w:ascii="Times New Roman" w:hAnsi="Times New Roman"/>
          <w:w w:val="102"/>
          <w:sz w:val="27"/>
        </w:rPr>
        <w:t>g</w:t>
      </w:r>
      <w:r>
        <w:rPr>
          <w:rFonts w:ascii="Times New Roman" w:hAnsi="Times New Roman"/>
          <w:spacing w:val="-17"/>
          <w:w w:val="102"/>
          <w:sz w:val="27"/>
        </w:rPr>
        <w:t>(</w:t>
      </w:r>
      <w:r>
        <w:rPr>
          <w:rFonts w:ascii="Times New Roman" w:hAnsi="Times New Roman"/>
          <w:w w:val="102"/>
          <w:sz w:val="27"/>
        </w:rPr>
        <w:t>1</w:t>
      </w:r>
      <w:r>
        <w:rPr>
          <w:rFonts w:ascii="Times New Roman" w:hAnsi="Times New Roman"/>
          <w:spacing w:val="17"/>
          <w:w w:val="102"/>
          <w:sz w:val="27"/>
        </w:rPr>
        <w:t>0</w:t>
      </w:r>
      <w:r>
        <w:rPr>
          <w:rFonts w:ascii="Times New Roman" w:hAnsi="Times New Roman"/>
          <w:spacing w:val="1"/>
          <w:w w:val="100"/>
          <w:position w:val="15"/>
          <w:sz w:val="16"/>
        </w:rPr>
        <w:t>0</w:t>
      </w:r>
      <w:r>
        <w:rPr>
          <w:rFonts w:ascii="Times New Roman" w:hAnsi="Times New Roman"/>
          <w:spacing w:val="0"/>
          <w:w w:val="100"/>
          <w:position w:val="15"/>
          <w:sz w:val="16"/>
        </w:rPr>
        <w:t>.</w:t>
      </w:r>
      <w:r>
        <w:rPr>
          <w:rFonts w:ascii="Times New Roman" w:hAnsi="Times New Roman"/>
          <w:spacing w:val="5"/>
          <w:w w:val="100"/>
          <w:position w:val="15"/>
          <w:sz w:val="16"/>
        </w:rPr>
        <w:t>1</w:t>
      </w:r>
      <w:r>
        <w:rPr>
          <w:rFonts w:ascii="Times New Roman" w:hAnsi="Times New Roman"/>
          <w:i/>
          <w:spacing w:val="-6"/>
          <w:w w:val="100"/>
          <w:position w:val="15"/>
          <w:sz w:val="16"/>
        </w:rPr>
        <w:t>L</w:t>
      </w:r>
      <w:r>
        <w:rPr>
          <w:rFonts w:ascii="Times New Roman" w:hAnsi="Times New Roman"/>
          <w:i/>
          <w:spacing w:val="-1"/>
          <w:w w:val="104"/>
          <w:position w:val="11"/>
          <w:sz w:val="11"/>
        </w:rPr>
        <w:t>eq</w:t>
      </w:r>
      <w:r>
        <w:rPr>
          <w:rFonts w:ascii="Times New Roman" w:hAnsi="Times New Roman"/>
          <w:i/>
          <w:w w:val="104"/>
          <w:position w:val="11"/>
          <w:sz w:val="11"/>
        </w:rPr>
        <w:t>g</w:t>
      </w:r>
    </w:p>
    <w:p w14:paraId="2700896F">
      <w:pPr>
        <w:spacing w:before="177"/>
        <w:ind w:left="76" w:right="0" w:firstLine="0"/>
        <w:jc w:val="left"/>
        <w:rPr>
          <w:rFonts w:ascii="Times New Roman" w:hAnsi="Times New Roman"/>
          <w:sz w:val="27"/>
        </w:rPr>
      </w:pPr>
      <w:r>
        <w:br w:type="column"/>
      </w:r>
      <w:r>
        <w:rPr>
          <w:rFonts w:ascii="Symbol" w:hAnsi="Symbol"/>
          <w:w w:val="102"/>
          <w:position w:val="-14"/>
          <w:sz w:val="27"/>
        </w:rPr>
        <w:t></w:t>
      </w:r>
      <w:r>
        <w:rPr>
          <w:rFonts w:ascii="Times New Roman" w:hAnsi="Times New Roman"/>
          <w:spacing w:val="-34"/>
          <w:position w:val="-14"/>
          <w:sz w:val="27"/>
        </w:rPr>
        <w:t xml:space="preserve"> </w:t>
      </w:r>
      <w:r>
        <w:rPr>
          <w:rFonts w:ascii="Times New Roman" w:hAnsi="Times New Roman"/>
          <w:w w:val="102"/>
          <w:position w:val="-14"/>
          <w:sz w:val="27"/>
        </w:rPr>
        <w:t>1</w:t>
      </w:r>
      <w:r>
        <w:rPr>
          <w:rFonts w:ascii="Times New Roman" w:hAnsi="Times New Roman"/>
          <w:spacing w:val="17"/>
          <w:w w:val="102"/>
          <w:position w:val="-14"/>
          <w:sz w:val="27"/>
        </w:rPr>
        <w:t>0</w:t>
      </w:r>
      <w:r>
        <w:rPr>
          <w:rFonts w:ascii="Times New Roman" w:hAnsi="Times New Roman"/>
          <w:spacing w:val="1"/>
          <w:w w:val="100"/>
          <w:sz w:val="16"/>
        </w:rPr>
        <w:t>0</w:t>
      </w:r>
      <w:r>
        <w:rPr>
          <w:rFonts w:ascii="Times New Roman" w:hAnsi="Times New Roman"/>
          <w:spacing w:val="0"/>
          <w:w w:val="100"/>
          <w:sz w:val="16"/>
        </w:rPr>
        <w:t>.</w:t>
      </w:r>
      <w:r>
        <w:rPr>
          <w:rFonts w:ascii="Times New Roman" w:hAnsi="Times New Roman"/>
          <w:spacing w:val="5"/>
          <w:w w:val="100"/>
          <w:sz w:val="16"/>
        </w:rPr>
        <w:t>1</w:t>
      </w:r>
      <w:r>
        <w:rPr>
          <w:rFonts w:ascii="Times New Roman" w:hAnsi="Times New Roman"/>
          <w:i/>
          <w:spacing w:val="-6"/>
          <w:w w:val="100"/>
          <w:sz w:val="16"/>
        </w:rPr>
        <w:t>L</w:t>
      </w:r>
      <w:r>
        <w:rPr>
          <w:rFonts w:ascii="Times New Roman" w:hAnsi="Times New Roman"/>
          <w:i/>
          <w:spacing w:val="-1"/>
          <w:w w:val="104"/>
          <w:position w:val="-3"/>
          <w:sz w:val="11"/>
        </w:rPr>
        <w:t>eq</w:t>
      </w:r>
      <w:r>
        <w:rPr>
          <w:rFonts w:ascii="Times New Roman" w:hAnsi="Times New Roman"/>
          <w:i/>
          <w:w w:val="104"/>
          <w:position w:val="-3"/>
          <w:sz w:val="11"/>
        </w:rPr>
        <w:t>b</w:t>
      </w:r>
      <w:r>
        <w:rPr>
          <w:rFonts w:ascii="Times New Roman" w:hAnsi="Times New Roman"/>
          <w:i/>
          <w:position w:val="-3"/>
          <w:sz w:val="11"/>
        </w:rPr>
        <w:t xml:space="preserve"> </w:t>
      </w:r>
      <w:r>
        <w:rPr>
          <w:rFonts w:ascii="Times New Roman" w:hAnsi="Times New Roman"/>
          <w:i/>
          <w:spacing w:val="1"/>
          <w:position w:val="-3"/>
          <w:sz w:val="11"/>
        </w:rPr>
        <w:t xml:space="preserve"> </w:t>
      </w:r>
      <w:r>
        <w:rPr>
          <w:rFonts w:ascii="Times New Roman" w:hAnsi="Times New Roman"/>
          <w:w w:val="102"/>
          <w:position w:val="-14"/>
          <w:sz w:val="27"/>
        </w:rPr>
        <w:t>)</w:t>
      </w:r>
    </w:p>
    <w:p w14:paraId="43453C14">
      <w:pPr>
        <w:spacing w:after="0"/>
        <w:jc w:val="left"/>
        <w:rPr>
          <w:rFonts w:ascii="Times New Roman" w:hAnsi="Times New Roman"/>
          <w:sz w:val="27"/>
        </w:rPr>
        <w:sectPr>
          <w:type w:val="continuous"/>
          <w:pgSz w:w="11910" w:h="16840"/>
          <w:pgMar w:top="1580" w:right="1320" w:bottom="280" w:left="1340" w:header="720" w:footer="720" w:gutter="0"/>
          <w:cols w:equalWidth="0" w:num="3">
            <w:col w:w="3322" w:space="40"/>
            <w:col w:w="1634" w:space="39"/>
            <w:col w:w="4215"/>
          </w:cols>
        </w:sectPr>
      </w:pPr>
    </w:p>
    <w:p w14:paraId="16A55A34">
      <w:pPr>
        <w:pStyle w:val="7"/>
        <w:spacing w:before="7"/>
        <w:rPr>
          <w:rFonts w:ascii="Times New Roman"/>
          <w:sz w:val="10"/>
        </w:rPr>
      </w:pPr>
    </w:p>
    <w:p w14:paraId="7F221730">
      <w:pPr>
        <w:pStyle w:val="7"/>
        <w:spacing w:before="71"/>
        <w:ind w:left="940"/>
      </w:pPr>
      <w:r>
        <w:rPr>
          <w:position w:val="2"/>
        </w:rPr>
        <w:t>式中：</w:t>
      </w:r>
      <w:r>
        <w:rPr>
          <w:rFonts w:ascii="Times New Roman" w:hAnsi="Times New Roman" w:eastAsia="Times New Roman"/>
          <w:i/>
          <w:position w:val="2"/>
        </w:rPr>
        <w:t>L</w:t>
      </w:r>
      <w:r>
        <w:rPr>
          <w:rFonts w:ascii="Times New Roman" w:hAnsi="Times New Roman" w:eastAsia="Times New Roman"/>
          <w:i/>
          <w:position w:val="2"/>
          <w:vertAlign w:val="subscript"/>
        </w:rPr>
        <w:t>eq</w:t>
      </w:r>
      <w:r>
        <w:rPr>
          <w:rFonts w:ascii="Times New Roman" w:hAnsi="Times New Roman" w:eastAsia="Times New Roman"/>
          <w:position w:val="2"/>
          <w:vertAlign w:val="baseline"/>
        </w:rPr>
        <w:t>——</w:t>
      </w:r>
      <w:r>
        <w:rPr>
          <w:position w:val="2"/>
          <w:vertAlign w:val="baseline"/>
        </w:rPr>
        <w:t xml:space="preserve">预测点的噪声预测值， </w:t>
      </w:r>
      <w:r>
        <w:rPr>
          <w:rFonts w:ascii="Times New Roman" w:hAnsi="Times New Roman" w:eastAsia="Times New Roman"/>
          <w:position w:val="2"/>
          <w:vertAlign w:val="baseline"/>
        </w:rPr>
        <w:t>dB</w:t>
      </w:r>
      <w:r>
        <w:rPr>
          <w:position w:val="2"/>
          <w:vertAlign w:val="baseline"/>
        </w:rPr>
        <w:t>；</w:t>
      </w:r>
    </w:p>
    <w:p w14:paraId="35E7B57B">
      <w:pPr>
        <w:pStyle w:val="7"/>
        <w:spacing w:before="156" w:line="362" w:lineRule="auto"/>
        <w:ind w:left="1660" w:right="1626"/>
      </w:pPr>
      <w:r>
        <w:rPr>
          <w:rFonts w:ascii="Times New Roman" w:hAnsi="Times New Roman" w:eastAsia="Times New Roman"/>
          <w:i/>
          <w:position w:val="2"/>
        </w:rPr>
        <w:t>L</w:t>
      </w:r>
      <w:r>
        <w:rPr>
          <w:rFonts w:ascii="Times New Roman" w:hAnsi="Times New Roman" w:eastAsia="Times New Roman"/>
          <w:i/>
          <w:position w:val="2"/>
          <w:vertAlign w:val="subscript"/>
        </w:rPr>
        <w:t>eqg</w:t>
      </w:r>
      <w:r>
        <w:rPr>
          <w:rFonts w:ascii="Times New Roman" w:hAnsi="Times New Roman" w:eastAsia="Times New Roman"/>
          <w:position w:val="2"/>
          <w:vertAlign w:val="baseline"/>
        </w:rPr>
        <w:t>——</w:t>
      </w:r>
      <w:r>
        <w:rPr>
          <w:position w:val="2"/>
          <w:vertAlign w:val="baseline"/>
        </w:rPr>
        <w:t>建设项目声源在预测点产生的噪声预测值，</w:t>
      </w:r>
      <w:r>
        <w:rPr>
          <w:rFonts w:ascii="Times New Roman" w:hAnsi="Times New Roman" w:eastAsia="Times New Roman"/>
          <w:position w:val="2"/>
          <w:vertAlign w:val="baseline"/>
        </w:rPr>
        <w:t>dB</w:t>
      </w:r>
      <w:r>
        <w:rPr>
          <w:position w:val="2"/>
          <w:vertAlign w:val="baseline"/>
        </w:rPr>
        <w:t xml:space="preserve">； </w:t>
      </w:r>
      <w:r>
        <w:rPr>
          <w:rFonts w:ascii="Times New Roman" w:hAnsi="Times New Roman" w:eastAsia="Times New Roman"/>
          <w:i/>
          <w:position w:val="2"/>
          <w:vertAlign w:val="baseline"/>
        </w:rPr>
        <w:t>L</w:t>
      </w:r>
      <w:r>
        <w:rPr>
          <w:rFonts w:ascii="Times New Roman" w:hAnsi="Times New Roman" w:eastAsia="Times New Roman"/>
          <w:i/>
          <w:position w:val="2"/>
          <w:vertAlign w:val="subscript"/>
        </w:rPr>
        <w:t>eqb</w:t>
      </w:r>
      <w:r>
        <w:rPr>
          <w:rFonts w:ascii="Times New Roman" w:hAnsi="Times New Roman" w:eastAsia="Times New Roman"/>
          <w:position w:val="2"/>
          <w:vertAlign w:val="baseline"/>
        </w:rPr>
        <w:t>——</w:t>
      </w:r>
      <w:r>
        <w:rPr>
          <w:position w:val="2"/>
          <w:vertAlign w:val="baseline"/>
        </w:rPr>
        <w:t>预测点的背景噪声值，</w:t>
      </w:r>
      <w:r>
        <w:rPr>
          <w:rFonts w:ascii="Times New Roman" w:hAnsi="Times New Roman" w:eastAsia="Times New Roman"/>
          <w:position w:val="2"/>
          <w:vertAlign w:val="baseline"/>
        </w:rPr>
        <w:t>dB</w:t>
      </w:r>
      <w:r>
        <w:rPr>
          <w:position w:val="2"/>
          <w:vertAlign w:val="baseline"/>
        </w:rPr>
        <w:t>。</w:t>
      </w:r>
    </w:p>
    <w:p w14:paraId="18A9CCE7">
      <w:pPr>
        <w:pStyle w:val="7"/>
        <w:spacing w:line="307" w:lineRule="exact"/>
        <w:ind w:left="940"/>
      </w:pPr>
      <w:r>
        <w:t>②工业企业噪声计算</w:t>
      </w:r>
    </w:p>
    <w:p w14:paraId="10F3B84E">
      <w:pPr>
        <w:pStyle w:val="7"/>
        <w:spacing w:before="155" w:line="362" w:lineRule="auto"/>
        <w:ind w:left="460" w:right="499" w:firstLine="480"/>
        <w:jc w:val="both"/>
      </w:pPr>
      <w:r>
        <w:rPr>
          <w:spacing w:val="-20"/>
          <w:position w:val="2"/>
        </w:rPr>
        <w:t xml:space="preserve">设第 </w:t>
      </w:r>
      <w:r>
        <w:rPr>
          <w:rFonts w:ascii="Times New Roman" w:eastAsia="Times New Roman"/>
          <w:position w:val="2"/>
        </w:rPr>
        <w:t xml:space="preserve">i </w:t>
      </w:r>
      <w:r>
        <w:rPr>
          <w:spacing w:val="-5"/>
          <w:position w:val="2"/>
        </w:rPr>
        <w:t xml:space="preserve">个室外声源在预测点产生的 </w:t>
      </w:r>
      <w:r>
        <w:rPr>
          <w:rFonts w:ascii="Times New Roman" w:eastAsia="Times New Roman"/>
          <w:position w:val="2"/>
        </w:rPr>
        <w:t xml:space="preserve">A </w:t>
      </w:r>
      <w:r>
        <w:rPr>
          <w:spacing w:val="-15"/>
          <w:position w:val="2"/>
        </w:rPr>
        <w:t xml:space="preserve">声级为 </w:t>
      </w:r>
      <w:r>
        <w:rPr>
          <w:rFonts w:ascii="Times New Roman" w:eastAsia="Times New Roman"/>
          <w:position w:val="2"/>
        </w:rPr>
        <w:t>L</w:t>
      </w:r>
      <w:r>
        <w:rPr>
          <w:rFonts w:ascii="Times New Roman" w:eastAsia="Times New Roman"/>
          <w:position w:val="2"/>
          <w:vertAlign w:val="subscript"/>
        </w:rPr>
        <w:t>Ai</w:t>
      </w:r>
      <w:r>
        <w:rPr>
          <w:spacing w:val="-20"/>
          <w:position w:val="2"/>
          <w:vertAlign w:val="baseline"/>
        </w:rPr>
        <w:t xml:space="preserve">，在 </w:t>
      </w:r>
      <w:r>
        <w:rPr>
          <w:rFonts w:ascii="Times New Roman" w:eastAsia="Times New Roman"/>
          <w:position w:val="2"/>
          <w:vertAlign w:val="baseline"/>
        </w:rPr>
        <w:t xml:space="preserve">T </w:t>
      </w:r>
      <w:r>
        <w:rPr>
          <w:spacing w:val="-2"/>
          <w:position w:val="2"/>
          <w:vertAlign w:val="baseline"/>
        </w:rPr>
        <w:t>时间内该声源工作时</w:t>
      </w:r>
      <w:r>
        <w:rPr>
          <w:spacing w:val="-20"/>
          <w:position w:val="2"/>
          <w:vertAlign w:val="baseline"/>
        </w:rPr>
        <w:t xml:space="preserve">间为 </w:t>
      </w:r>
      <w:r>
        <w:rPr>
          <w:rFonts w:ascii="Times New Roman" w:eastAsia="Times New Roman"/>
          <w:position w:val="2"/>
          <w:vertAlign w:val="baseline"/>
        </w:rPr>
        <w:t>ti</w:t>
      </w:r>
      <w:r>
        <w:rPr>
          <w:spacing w:val="-20"/>
          <w:position w:val="2"/>
          <w:vertAlign w:val="baseline"/>
        </w:rPr>
        <w:t xml:space="preserve">；第 </w:t>
      </w:r>
      <w:r>
        <w:rPr>
          <w:rFonts w:ascii="Times New Roman" w:eastAsia="Times New Roman"/>
          <w:position w:val="2"/>
          <w:vertAlign w:val="baseline"/>
        </w:rPr>
        <w:t xml:space="preserve">j </w:t>
      </w:r>
      <w:r>
        <w:rPr>
          <w:spacing w:val="-4"/>
          <w:position w:val="2"/>
          <w:vertAlign w:val="baseline"/>
        </w:rPr>
        <w:t xml:space="preserve">个等效室外声源在预测点产生的 </w:t>
      </w:r>
      <w:r>
        <w:rPr>
          <w:rFonts w:ascii="Times New Roman" w:eastAsia="Times New Roman"/>
          <w:position w:val="2"/>
          <w:vertAlign w:val="baseline"/>
        </w:rPr>
        <w:t xml:space="preserve">A </w:t>
      </w:r>
      <w:r>
        <w:rPr>
          <w:spacing w:val="-15"/>
          <w:position w:val="2"/>
          <w:vertAlign w:val="baseline"/>
        </w:rPr>
        <w:t xml:space="preserve">声级为 </w:t>
      </w:r>
      <w:r>
        <w:rPr>
          <w:rFonts w:ascii="Times New Roman" w:eastAsia="Times New Roman"/>
          <w:position w:val="2"/>
          <w:vertAlign w:val="baseline"/>
        </w:rPr>
        <w:t>L</w:t>
      </w:r>
      <w:r>
        <w:rPr>
          <w:rFonts w:ascii="Times New Roman" w:eastAsia="Times New Roman"/>
          <w:position w:val="2"/>
          <w:vertAlign w:val="subscript"/>
        </w:rPr>
        <w:t>Ai</w:t>
      </w:r>
      <w:r>
        <w:rPr>
          <w:spacing w:val="-20"/>
          <w:position w:val="2"/>
          <w:vertAlign w:val="baseline"/>
        </w:rPr>
        <w:t xml:space="preserve">，在 </w:t>
      </w:r>
      <w:r>
        <w:rPr>
          <w:rFonts w:ascii="Times New Roman" w:eastAsia="Times New Roman"/>
          <w:position w:val="2"/>
          <w:vertAlign w:val="baseline"/>
        </w:rPr>
        <w:t xml:space="preserve">T </w:t>
      </w:r>
      <w:r>
        <w:rPr>
          <w:position w:val="2"/>
          <w:vertAlign w:val="baseline"/>
        </w:rPr>
        <w:t>时间内该声源</w:t>
      </w:r>
      <w:r>
        <w:rPr>
          <w:spacing w:val="-10"/>
          <w:position w:val="2"/>
          <w:vertAlign w:val="baseline"/>
        </w:rPr>
        <w:t xml:space="preserve">工作时间为 </w:t>
      </w:r>
      <w:r>
        <w:rPr>
          <w:rFonts w:ascii="Times New Roman" w:eastAsia="Times New Roman"/>
          <w:position w:val="2"/>
          <w:vertAlign w:val="baseline"/>
        </w:rPr>
        <w:t>tj</w:t>
      </w:r>
      <w:r>
        <w:rPr>
          <w:position w:val="2"/>
          <w:vertAlign w:val="baseline"/>
        </w:rPr>
        <w:t>，则拟建工程声源对预测点产生的贡献值（</w:t>
      </w:r>
      <w:r>
        <w:rPr>
          <w:rFonts w:ascii="Times New Roman" w:eastAsia="Times New Roman"/>
          <w:position w:val="2"/>
          <w:vertAlign w:val="baseline"/>
        </w:rPr>
        <w:t>L</w:t>
      </w:r>
      <w:r>
        <w:rPr>
          <w:rFonts w:ascii="Times New Roman" w:eastAsia="Times New Roman"/>
          <w:position w:val="2"/>
          <w:vertAlign w:val="subscript"/>
        </w:rPr>
        <w:t>eqg</w:t>
      </w:r>
      <w:r>
        <w:rPr>
          <w:position w:val="2"/>
          <w:vertAlign w:val="baseline"/>
        </w:rPr>
        <w:t>）为：</w:t>
      </w:r>
    </w:p>
    <w:p w14:paraId="401E33FE">
      <w:pPr>
        <w:pStyle w:val="7"/>
        <w:ind w:left="2147"/>
        <w:rPr>
          <w:sz w:val="20"/>
        </w:rPr>
      </w:pPr>
      <w:r>
        <w:rPr>
          <w:sz w:val="20"/>
        </w:rPr>
        <w:drawing>
          <wp:inline distT="0" distB="0" distL="0" distR="0">
            <wp:extent cx="3129280" cy="590550"/>
            <wp:effectExtent l="0" t="0" r="0" b="0"/>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6.png"/>
                    <pic:cNvPicPr>
                      <a:picLocks noChangeAspect="1"/>
                    </pic:cNvPicPr>
                  </pic:nvPicPr>
                  <pic:blipFill>
                    <a:blip r:embed="rId83" cstate="print"/>
                    <a:stretch>
                      <a:fillRect/>
                    </a:stretch>
                  </pic:blipFill>
                  <pic:spPr>
                    <a:xfrm>
                      <a:off x="0" y="0"/>
                      <a:ext cx="3129306" cy="590550"/>
                    </a:xfrm>
                    <a:prstGeom prst="rect">
                      <a:avLst/>
                    </a:prstGeom>
                  </pic:spPr>
                </pic:pic>
              </a:graphicData>
            </a:graphic>
          </wp:inline>
        </w:drawing>
      </w:r>
    </w:p>
    <w:p w14:paraId="7676485A">
      <w:pPr>
        <w:pStyle w:val="7"/>
        <w:spacing w:before="134"/>
        <w:ind w:left="940"/>
      </w:pPr>
      <w:r>
        <w:rPr>
          <w:position w:val="2"/>
        </w:rPr>
        <w:t>式中：</w:t>
      </w:r>
      <w:r>
        <w:rPr>
          <w:rFonts w:ascii="Times New Roman" w:hAnsi="Times New Roman" w:eastAsia="Times New Roman"/>
          <w:i/>
          <w:position w:val="2"/>
        </w:rPr>
        <w:t>L</w:t>
      </w:r>
      <w:r>
        <w:rPr>
          <w:rFonts w:ascii="Times New Roman" w:hAnsi="Times New Roman" w:eastAsia="Times New Roman"/>
          <w:i/>
          <w:position w:val="2"/>
          <w:vertAlign w:val="subscript"/>
        </w:rPr>
        <w:t>eqg</w:t>
      </w:r>
      <w:r>
        <w:rPr>
          <w:rFonts w:ascii="Times New Roman" w:hAnsi="Times New Roman" w:eastAsia="Times New Roman"/>
          <w:position w:val="2"/>
          <w:vertAlign w:val="baseline"/>
        </w:rPr>
        <w:t>——</w:t>
      </w:r>
      <w:r>
        <w:rPr>
          <w:position w:val="2"/>
          <w:vertAlign w:val="baseline"/>
        </w:rPr>
        <w:t>建设项目声源在预测点产生的噪声贡献值，</w:t>
      </w:r>
      <w:r>
        <w:rPr>
          <w:rFonts w:ascii="Times New Roman" w:hAnsi="Times New Roman" w:eastAsia="Times New Roman"/>
          <w:position w:val="2"/>
          <w:vertAlign w:val="baseline"/>
        </w:rPr>
        <w:t>dB</w:t>
      </w:r>
      <w:r>
        <w:rPr>
          <w:position w:val="2"/>
          <w:vertAlign w:val="baseline"/>
        </w:rPr>
        <w:t>；</w:t>
      </w:r>
    </w:p>
    <w:p w14:paraId="595AAC86">
      <w:pPr>
        <w:pStyle w:val="7"/>
        <w:spacing w:before="159"/>
        <w:ind w:left="1660"/>
      </w:pPr>
      <w:r>
        <w:rPr>
          <w:rFonts w:ascii="Times New Roman" w:hAnsi="Times New Roman" w:eastAsia="Times New Roman"/>
          <w:i/>
        </w:rPr>
        <w:t xml:space="preserve">T </w:t>
      </w:r>
      <w:r>
        <w:rPr>
          <w:rFonts w:ascii="Times New Roman" w:hAnsi="Times New Roman" w:eastAsia="Times New Roman"/>
        </w:rPr>
        <w:t>——</w:t>
      </w:r>
      <w:r>
        <w:t>用于计算等效声级的时间，</w:t>
      </w:r>
      <w:r>
        <w:rPr>
          <w:rFonts w:ascii="Times New Roman" w:hAnsi="Times New Roman" w:eastAsia="Times New Roman"/>
        </w:rPr>
        <w:t>s</w:t>
      </w:r>
      <w:r>
        <w:t>；</w:t>
      </w:r>
    </w:p>
    <w:p w14:paraId="3F8F01F5">
      <w:pPr>
        <w:pStyle w:val="7"/>
        <w:spacing w:before="158"/>
        <w:ind w:left="1660"/>
      </w:pPr>
      <w:r>
        <w:rPr>
          <w:rFonts w:ascii="Times New Roman" w:hAnsi="Times New Roman" w:eastAsia="Times New Roman"/>
          <w:i/>
        </w:rPr>
        <w:t>N</w:t>
      </w:r>
      <w:r>
        <w:rPr>
          <w:rFonts w:ascii="Times New Roman" w:hAnsi="Times New Roman" w:eastAsia="Times New Roman"/>
        </w:rPr>
        <w:t>——</w:t>
      </w:r>
      <w:r>
        <w:t>室外声源个数；</w:t>
      </w:r>
    </w:p>
    <w:p w14:paraId="10086B17">
      <w:pPr>
        <w:spacing w:before="157"/>
        <w:ind w:left="1660" w:right="0" w:firstLine="0"/>
        <w:jc w:val="left"/>
        <w:rPr>
          <w:sz w:val="24"/>
        </w:rPr>
      </w:pPr>
      <w:r>
        <w:rPr>
          <w:rFonts w:ascii="Times New Roman" w:hAnsi="Times New Roman" w:eastAsia="Times New Roman"/>
          <w:i/>
          <w:position w:val="2"/>
          <w:sz w:val="24"/>
        </w:rPr>
        <w:t>t</w:t>
      </w:r>
      <w:r>
        <w:rPr>
          <w:rFonts w:ascii="Times New Roman" w:hAnsi="Times New Roman" w:eastAsia="Times New Roman"/>
          <w:i/>
          <w:position w:val="2"/>
          <w:sz w:val="24"/>
          <w:vertAlign w:val="subscript"/>
        </w:rPr>
        <w:t>i</w:t>
      </w:r>
      <w:r>
        <w:rPr>
          <w:rFonts w:ascii="Times New Roman" w:hAnsi="Times New Roman" w:eastAsia="Times New Roman"/>
          <w:position w:val="2"/>
          <w:sz w:val="24"/>
          <w:vertAlign w:val="baseline"/>
        </w:rPr>
        <w:t>——</w:t>
      </w:r>
      <w:r>
        <w:rPr>
          <w:position w:val="2"/>
          <w:sz w:val="24"/>
          <w:vertAlign w:val="baseline"/>
        </w:rPr>
        <w:t xml:space="preserve">在 </w:t>
      </w:r>
      <w:r>
        <w:rPr>
          <w:rFonts w:ascii="Times New Roman" w:hAnsi="Times New Roman" w:eastAsia="Times New Roman"/>
          <w:i/>
          <w:position w:val="2"/>
          <w:sz w:val="24"/>
          <w:vertAlign w:val="baseline"/>
        </w:rPr>
        <w:t xml:space="preserve">T </w:t>
      </w:r>
      <w:r>
        <w:rPr>
          <w:position w:val="2"/>
          <w:sz w:val="24"/>
          <w:vertAlign w:val="baseline"/>
        </w:rPr>
        <w:t xml:space="preserve">时间内 </w:t>
      </w:r>
      <w:r>
        <w:rPr>
          <w:rFonts w:ascii="Times New Roman" w:hAnsi="Times New Roman" w:eastAsia="Times New Roman"/>
          <w:i/>
          <w:position w:val="2"/>
          <w:sz w:val="24"/>
          <w:vertAlign w:val="baseline"/>
        </w:rPr>
        <w:t xml:space="preserve">i </w:t>
      </w:r>
      <w:r>
        <w:rPr>
          <w:position w:val="2"/>
          <w:sz w:val="24"/>
          <w:vertAlign w:val="baseline"/>
        </w:rPr>
        <w:t>声源工作时间，</w:t>
      </w:r>
      <w:r>
        <w:rPr>
          <w:rFonts w:ascii="Times New Roman" w:hAnsi="Times New Roman" w:eastAsia="Times New Roman"/>
          <w:position w:val="2"/>
          <w:sz w:val="24"/>
          <w:vertAlign w:val="baseline"/>
        </w:rPr>
        <w:t>s</w:t>
      </w:r>
      <w:r>
        <w:rPr>
          <w:position w:val="2"/>
          <w:sz w:val="24"/>
          <w:vertAlign w:val="baseline"/>
        </w:rPr>
        <w:t>；</w:t>
      </w:r>
    </w:p>
    <w:p w14:paraId="024D560F">
      <w:pPr>
        <w:spacing w:after="0"/>
        <w:jc w:val="left"/>
        <w:rPr>
          <w:sz w:val="24"/>
        </w:rPr>
        <w:sectPr>
          <w:type w:val="continuous"/>
          <w:pgSz w:w="11910" w:h="16840"/>
          <w:pgMar w:top="1580" w:right="1320" w:bottom="280" w:left="1340" w:header="720" w:footer="720" w:gutter="0"/>
          <w:cols w:space="720" w:num="1"/>
        </w:sectPr>
      </w:pPr>
    </w:p>
    <w:p w14:paraId="143B1618">
      <w:pPr>
        <w:pStyle w:val="7"/>
        <w:spacing w:before="68"/>
        <w:ind w:left="1660"/>
      </w:pPr>
      <w:r>
        <w:rPr>
          <w:rFonts w:ascii="Times New Roman" w:hAnsi="Times New Roman" w:eastAsia="Times New Roman"/>
          <w:i/>
        </w:rPr>
        <w:t>M</w:t>
      </w:r>
      <w:r>
        <w:rPr>
          <w:rFonts w:ascii="Times New Roman" w:hAnsi="Times New Roman" w:eastAsia="Times New Roman"/>
        </w:rPr>
        <w:t>——</w:t>
      </w:r>
      <w:r>
        <w:t>等效室外声源个数；</w:t>
      </w:r>
    </w:p>
    <w:p w14:paraId="343A88B9">
      <w:pPr>
        <w:spacing w:before="157"/>
        <w:ind w:left="1660" w:right="0" w:firstLine="0"/>
        <w:jc w:val="left"/>
        <w:rPr>
          <w:sz w:val="24"/>
        </w:rPr>
      </w:pPr>
      <w:r>
        <w:rPr>
          <w:rFonts w:ascii="Times New Roman" w:hAnsi="Times New Roman" w:eastAsia="Times New Roman"/>
          <w:i/>
          <w:position w:val="2"/>
          <w:sz w:val="24"/>
        </w:rPr>
        <w:t>t</w:t>
      </w:r>
      <w:r>
        <w:rPr>
          <w:rFonts w:ascii="Times New Roman" w:hAnsi="Times New Roman" w:eastAsia="Times New Roman"/>
          <w:i/>
          <w:position w:val="2"/>
          <w:sz w:val="24"/>
          <w:vertAlign w:val="subscript"/>
        </w:rPr>
        <w:t>j</w:t>
      </w:r>
      <w:r>
        <w:rPr>
          <w:rFonts w:ascii="Times New Roman" w:hAnsi="Times New Roman" w:eastAsia="Times New Roman"/>
          <w:position w:val="2"/>
          <w:sz w:val="24"/>
          <w:vertAlign w:val="baseline"/>
        </w:rPr>
        <w:t>——</w:t>
      </w:r>
      <w:r>
        <w:rPr>
          <w:position w:val="2"/>
          <w:sz w:val="24"/>
          <w:vertAlign w:val="baseline"/>
        </w:rPr>
        <w:t xml:space="preserve">在 </w:t>
      </w:r>
      <w:r>
        <w:rPr>
          <w:rFonts w:ascii="Times New Roman" w:hAnsi="Times New Roman" w:eastAsia="Times New Roman"/>
          <w:i/>
          <w:position w:val="2"/>
          <w:sz w:val="24"/>
          <w:vertAlign w:val="baseline"/>
        </w:rPr>
        <w:t xml:space="preserve">T </w:t>
      </w:r>
      <w:r>
        <w:rPr>
          <w:position w:val="2"/>
          <w:sz w:val="24"/>
          <w:vertAlign w:val="baseline"/>
        </w:rPr>
        <w:t xml:space="preserve">时间内 </w:t>
      </w:r>
      <w:r>
        <w:rPr>
          <w:rFonts w:ascii="Times New Roman" w:hAnsi="Times New Roman" w:eastAsia="Times New Roman"/>
          <w:i/>
          <w:position w:val="2"/>
          <w:sz w:val="24"/>
          <w:vertAlign w:val="baseline"/>
        </w:rPr>
        <w:t xml:space="preserve">j </w:t>
      </w:r>
      <w:r>
        <w:rPr>
          <w:position w:val="2"/>
          <w:sz w:val="24"/>
          <w:vertAlign w:val="baseline"/>
        </w:rPr>
        <w:t>声源工作时间，</w:t>
      </w:r>
      <w:r>
        <w:rPr>
          <w:rFonts w:ascii="Times New Roman" w:hAnsi="Times New Roman" w:eastAsia="Times New Roman"/>
          <w:position w:val="2"/>
          <w:sz w:val="24"/>
          <w:vertAlign w:val="baseline"/>
        </w:rPr>
        <w:t>s</w:t>
      </w:r>
      <w:r>
        <w:rPr>
          <w:position w:val="2"/>
          <w:sz w:val="24"/>
          <w:vertAlign w:val="baseline"/>
        </w:rPr>
        <w:t>。</w:t>
      </w:r>
    </w:p>
    <w:p w14:paraId="5ADB2D00">
      <w:pPr>
        <w:pStyle w:val="7"/>
        <w:spacing w:before="157"/>
        <w:ind w:left="940"/>
      </w:pPr>
      <w:r>
        <w:t>根据上述计算式，结合设备噪声源强表，进行模型计算</w:t>
      </w:r>
    </w:p>
    <w:p w14:paraId="2923E4EC">
      <w:pPr>
        <w:pStyle w:val="6"/>
        <w:numPr>
          <w:ilvl w:val="3"/>
          <w:numId w:val="21"/>
        </w:numPr>
        <w:tabs>
          <w:tab w:val="left" w:pos="1171"/>
        </w:tabs>
        <w:spacing w:before="161" w:after="0" w:line="240" w:lineRule="auto"/>
        <w:ind w:left="1170" w:right="0" w:hanging="710"/>
        <w:jc w:val="both"/>
      </w:pPr>
      <w:bookmarkStart w:id="183" w:name="5.2.2.3预测结果"/>
      <w:bookmarkEnd w:id="183"/>
      <w:bookmarkStart w:id="184" w:name="5.2.2.3预测结果"/>
      <w:bookmarkEnd w:id="184"/>
      <w:r>
        <w:t>预测结果</w:t>
      </w:r>
    </w:p>
    <w:p w14:paraId="23FF3D63">
      <w:pPr>
        <w:pStyle w:val="7"/>
        <w:spacing w:before="8"/>
        <w:rPr>
          <w:b/>
          <w:sz w:val="21"/>
        </w:rPr>
      </w:pPr>
    </w:p>
    <w:p w14:paraId="162E4FCE">
      <w:pPr>
        <w:pStyle w:val="7"/>
        <w:spacing w:before="1"/>
        <w:ind w:left="940"/>
      </w:pPr>
      <w:r>
        <w:t>经预测，本项目厂界噪声最大值见下表。</w:t>
      </w:r>
    </w:p>
    <w:p w14:paraId="4F5B6E1F">
      <w:pPr>
        <w:spacing w:before="159" w:after="3"/>
        <w:ind w:left="2840" w:right="0" w:firstLine="0"/>
        <w:jc w:val="left"/>
        <w:rPr>
          <w:b/>
          <w:sz w:val="21"/>
        </w:rPr>
      </w:pPr>
      <w:r>
        <w:rPr>
          <w:b/>
          <w:spacing w:val="-28"/>
          <w:sz w:val="21"/>
        </w:rPr>
        <w:t xml:space="preserve">表 </w:t>
      </w:r>
      <w:r>
        <w:rPr>
          <w:rFonts w:ascii="Times New Roman" w:eastAsia="Times New Roman"/>
          <w:b/>
          <w:sz w:val="21"/>
        </w:rPr>
        <w:t>5.2-6</w:t>
      </w:r>
      <w:r>
        <w:rPr>
          <w:rFonts w:ascii="Times New Roman" w:eastAsia="Times New Roman"/>
          <w:b/>
          <w:spacing w:val="50"/>
          <w:sz w:val="21"/>
        </w:rPr>
        <w:t xml:space="preserve"> </w:t>
      </w:r>
      <w:r>
        <w:rPr>
          <w:b/>
          <w:sz w:val="21"/>
        </w:rPr>
        <w:t>厂界和环境保护目标达标情况</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6"/>
        <w:gridCol w:w="497"/>
        <w:gridCol w:w="463"/>
        <w:gridCol w:w="464"/>
        <w:gridCol w:w="464"/>
        <w:gridCol w:w="464"/>
        <w:gridCol w:w="464"/>
        <w:gridCol w:w="464"/>
        <w:gridCol w:w="614"/>
        <w:gridCol w:w="615"/>
        <w:gridCol w:w="714"/>
        <w:gridCol w:w="714"/>
        <w:gridCol w:w="614"/>
        <w:gridCol w:w="615"/>
        <w:gridCol w:w="458"/>
        <w:gridCol w:w="452"/>
      </w:tblGrid>
      <w:tr w14:paraId="00797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446" w:type="dxa"/>
            <w:vMerge w:val="restart"/>
          </w:tcPr>
          <w:p w14:paraId="0D0DE2D9">
            <w:pPr>
              <w:pStyle w:val="14"/>
              <w:rPr>
                <w:b/>
                <w:sz w:val="20"/>
              </w:rPr>
            </w:pPr>
          </w:p>
          <w:p w14:paraId="5C4D0D86">
            <w:pPr>
              <w:pStyle w:val="14"/>
              <w:spacing w:before="158" w:line="242" w:lineRule="auto"/>
              <w:ind w:left="117" w:right="107"/>
              <w:rPr>
                <w:b/>
                <w:sz w:val="21"/>
              </w:rPr>
            </w:pPr>
            <w:r>
              <w:rPr>
                <w:b/>
                <w:sz w:val="21"/>
              </w:rPr>
              <w:t>序号</w:t>
            </w:r>
          </w:p>
        </w:tc>
        <w:tc>
          <w:tcPr>
            <w:tcW w:w="497" w:type="dxa"/>
            <w:vMerge w:val="restart"/>
          </w:tcPr>
          <w:p w14:paraId="465FFAF2">
            <w:pPr>
              <w:pStyle w:val="14"/>
              <w:spacing w:before="4" w:line="242" w:lineRule="auto"/>
              <w:ind w:left="141" w:right="134"/>
              <w:jc w:val="both"/>
              <w:rPr>
                <w:b/>
                <w:sz w:val="21"/>
              </w:rPr>
            </w:pPr>
            <w:r>
              <w:rPr>
                <w:b/>
                <w:sz w:val="21"/>
              </w:rPr>
              <w:t>噪声预</w:t>
            </w:r>
          </w:p>
          <w:p w14:paraId="05A35300">
            <w:pPr>
              <w:pStyle w:val="14"/>
              <w:spacing w:before="2" w:line="270" w:lineRule="atLeast"/>
              <w:ind w:left="141" w:right="134"/>
              <w:jc w:val="both"/>
              <w:rPr>
                <w:b/>
                <w:sz w:val="21"/>
              </w:rPr>
            </w:pPr>
            <w:r>
              <w:rPr>
                <w:b/>
                <w:sz w:val="21"/>
              </w:rPr>
              <w:t>测点</w:t>
            </w:r>
          </w:p>
        </w:tc>
        <w:tc>
          <w:tcPr>
            <w:tcW w:w="927" w:type="dxa"/>
            <w:gridSpan w:val="2"/>
          </w:tcPr>
          <w:p w14:paraId="05E45F2B">
            <w:pPr>
              <w:pStyle w:val="14"/>
              <w:spacing w:before="15" w:line="242" w:lineRule="auto"/>
              <w:ind w:left="251" w:right="137" w:hanging="106"/>
              <w:rPr>
                <w:b/>
                <w:sz w:val="21"/>
              </w:rPr>
            </w:pPr>
            <w:r>
              <w:rPr>
                <w:b/>
                <w:sz w:val="21"/>
              </w:rPr>
              <w:t>噪声背景值</w:t>
            </w:r>
          </w:p>
          <w:p w14:paraId="333FF499">
            <w:pPr>
              <w:pStyle w:val="14"/>
              <w:spacing w:line="238" w:lineRule="exact"/>
              <w:ind w:left="160"/>
              <w:rPr>
                <w:rFonts w:ascii="Times New Roman"/>
                <w:b/>
                <w:sz w:val="21"/>
              </w:rPr>
            </w:pPr>
            <w:r>
              <w:rPr>
                <w:rFonts w:ascii="Times New Roman"/>
                <w:b/>
                <w:sz w:val="21"/>
              </w:rPr>
              <w:t>/dB(A)</w:t>
            </w:r>
          </w:p>
        </w:tc>
        <w:tc>
          <w:tcPr>
            <w:tcW w:w="928" w:type="dxa"/>
            <w:gridSpan w:val="2"/>
          </w:tcPr>
          <w:p w14:paraId="35A2052D">
            <w:pPr>
              <w:pStyle w:val="14"/>
              <w:spacing w:before="15" w:line="242" w:lineRule="auto"/>
              <w:ind w:left="253" w:right="136" w:hanging="106"/>
              <w:rPr>
                <w:b/>
                <w:sz w:val="21"/>
              </w:rPr>
            </w:pPr>
            <w:r>
              <w:rPr>
                <w:b/>
                <w:sz w:val="21"/>
              </w:rPr>
              <w:t>噪声现状值</w:t>
            </w:r>
          </w:p>
          <w:p w14:paraId="71DC3BD0">
            <w:pPr>
              <w:pStyle w:val="14"/>
              <w:spacing w:line="238" w:lineRule="exact"/>
              <w:ind w:left="160"/>
              <w:rPr>
                <w:rFonts w:ascii="Times New Roman"/>
                <w:b/>
                <w:sz w:val="21"/>
              </w:rPr>
            </w:pPr>
            <w:r>
              <w:rPr>
                <w:rFonts w:ascii="Times New Roman"/>
                <w:b/>
                <w:sz w:val="21"/>
              </w:rPr>
              <w:t>/dB(A)</w:t>
            </w:r>
          </w:p>
        </w:tc>
        <w:tc>
          <w:tcPr>
            <w:tcW w:w="928" w:type="dxa"/>
            <w:gridSpan w:val="2"/>
          </w:tcPr>
          <w:p w14:paraId="1D5A209D">
            <w:pPr>
              <w:pStyle w:val="14"/>
              <w:spacing w:before="15" w:line="242" w:lineRule="auto"/>
              <w:ind w:left="252" w:right="138" w:hanging="106"/>
              <w:rPr>
                <w:b/>
                <w:sz w:val="21"/>
              </w:rPr>
            </w:pPr>
            <w:r>
              <w:rPr>
                <w:b/>
                <w:sz w:val="21"/>
              </w:rPr>
              <w:t>噪声标准值</w:t>
            </w:r>
          </w:p>
          <w:p w14:paraId="66BD6BB9">
            <w:pPr>
              <w:pStyle w:val="14"/>
              <w:spacing w:line="238" w:lineRule="exact"/>
              <w:ind w:left="158"/>
              <w:rPr>
                <w:rFonts w:ascii="Times New Roman"/>
                <w:b/>
                <w:sz w:val="21"/>
              </w:rPr>
            </w:pPr>
            <w:r>
              <w:rPr>
                <w:rFonts w:ascii="Times New Roman"/>
                <w:b/>
                <w:sz w:val="21"/>
              </w:rPr>
              <w:t>/dB(A)</w:t>
            </w:r>
          </w:p>
        </w:tc>
        <w:tc>
          <w:tcPr>
            <w:tcW w:w="1229" w:type="dxa"/>
            <w:gridSpan w:val="2"/>
          </w:tcPr>
          <w:p w14:paraId="406897A3">
            <w:pPr>
              <w:pStyle w:val="14"/>
              <w:spacing w:before="135" w:line="242" w:lineRule="auto"/>
              <w:ind w:left="204" w:right="181" w:hanging="12"/>
              <w:rPr>
                <w:rFonts w:ascii="Times New Roman" w:eastAsia="Times New Roman"/>
                <w:b/>
                <w:sz w:val="21"/>
              </w:rPr>
            </w:pPr>
            <w:r>
              <w:rPr>
                <w:b/>
                <w:sz w:val="21"/>
              </w:rPr>
              <w:t>噪声贡献值</w:t>
            </w:r>
            <w:r>
              <w:rPr>
                <w:rFonts w:ascii="Times New Roman" w:eastAsia="Times New Roman"/>
                <w:b/>
                <w:sz w:val="21"/>
              </w:rPr>
              <w:t>/dB(A)</w:t>
            </w:r>
          </w:p>
        </w:tc>
        <w:tc>
          <w:tcPr>
            <w:tcW w:w="1428" w:type="dxa"/>
            <w:gridSpan w:val="2"/>
          </w:tcPr>
          <w:p w14:paraId="669FB436">
            <w:pPr>
              <w:pStyle w:val="14"/>
              <w:spacing w:before="150"/>
              <w:ind w:left="163" w:right="159"/>
              <w:jc w:val="center"/>
              <w:rPr>
                <w:b/>
                <w:sz w:val="21"/>
              </w:rPr>
            </w:pPr>
            <w:r>
              <w:rPr>
                <w:b/>
                <w:sz w:val="21"/>
              </w:rPr>
              <w:t>噪声预测值</w:t>
            </w:r>
          </w:p>
          <w:p w14:paraId="75A26453">
            <w:pPr>
              <w:pStyle w:val="14"/>
              <w:spacing w:before="2"/>
              <w:ind w:left="163" w:right="157"/>
              <w:jc w:val="center"/>
              <w:rPr>
                <w:rFonts w:ascii="Times New Roman"/>
                <w:b/>
                <w:sz w:val="21"/>
              </w:rPr>
            </w:pPr>
            <w:r>
              <w:rPr>
                <w:rFonts w:ascii="Times New Roman"/>
                <w:b/>
                <w:sz w:val="21"/>
              </w:rPr>
              <w:t>/dB(A)</w:t>
            </w:r>
          </w:p>
        </w:tc>
        <w:tc>
          <w:tcPr>
            <w:tcW w:w="1229" w:type="dxa"/>
            <w:gridSpan w:val="2"/>
          </w:tcPr>
          <w:p w14:paraId="60FE8082">
            <w:pPr>
              <w:pStyle w:val="14"/>
              <w:spacing w:before="135" w:line="242" w:lineRule="auto"/>
              <w:ind w:left="204" w:right="181" w:hanging="12"/>
              <w:rPr>
                <w:rFonts w:ascii="Times New Roman" w:eastAsia="Times New Roman"/>
                <w:b/>
                <w:sz w:val="21"/>
              </w:rPr>
            </w:pPr>
            <w:r>
              <w:rPr>
                <w:b/>
                <w:sz w:val="21"/>
              </w:rPr>
              <w:t>较现状增量</w:t>
            </w:r>
            <w:r>
              <w:rPr>
                <w:rFonts w:ascii="Times New Roman" w:eastAsia="Times New Roman"/>
                <w:b/>
                <w:sz w:val="21"/>
              </w:rPr>
              <w:t>/dB(A)</w:t>
            </w:r>
          </w:p>
        </w:tc>
        <w:tc>
          <w:tcPr>
            <w:tcW w:w="910" w:type="dxa"/>
            <w:gridSpan w:val="2"/>
          </w:tcPr>
          <w:p w14:paraId="264EC15D">
            <w:pPr>
              <w:pStyle w:val="14"/>
              <w:spacing w:line="268" w:lineRule="exact"/>
              <w:ind w:left="139"/>
              <w:rPr>
                <w:b/>
                <w:sz w:val="21"/>
              </w:rPr>
            </w:pPr>
            <w:r>
              <w:rPr>
                <w:b/>
                <w:sz w:val="21"/>
              </w:rPr>
              <w:t>超标和</w:t>
            </w:r>
          </w:p>
          <w:p w14:paraId="3582A4BA">
            <w:pPr>
              <w:pStyle w:val="14"/>
              <w:spacing w:before="3" w:line="270" w:lineRule="atLeast"/>
              <w:ind w:left="348" w:right="126" w:hanging="209"/>
              <w:rPr>
                <w:b/>
                <w:sz w:val="21"/>
              </w:rPr>
            </w:pPr>
            <w:r>
              <w:rPr>
                <w:b/>
                <w:sz w:val="21"/>
              </w:rPr>
              <w:t>达标情况</w:t>
            </w:r>
          </w:p>
        </w:tc>
      </w:tr>
      <w:tr w14:paraId="652F9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6" w:type="dxa"/>
            <w:vMerge w:val="continue"/>
            <w:tcBorders>
              <w:top w:val="nil"/>
            </w:tcBorders>
          </w:tcPr>
          <w:p w14:paraId="4A09C6CD">
            <w:pPr>
              <w:rPr>
                <w:sz w:val="2"/>
                <w:szCs w:val="2"/>
              </w:rPr>
            </w:pPr>
          </w:p>
        </w:tc>
        <w:tc>
          <w:tcPr>
            <w:tcW w:w="497" w:type="dxa"/>
            <w:vMerge w:val="continue"/>
            <w:tcBorders>
              <w:top w:val="nil"/>
            </w:tcBorders>
          </w:tcPr>
          <w:p w14:paraId="69D027D6">
            <w:pPr>
              <w:rPr>
                <w:sz w:val="2"/>
                <w:szCs w:val="2"/>
              </w:rPr>
            </w:pPr>
          </w:p>
        </w:tc>
        <w:tc>
          <w:tcPr>
            <w:tcW w:w="463" w:type="dxa"/>
          </w:tcPr>
          <w:p w14:paraId="248DFD85">
            <w:pPr>
              <w:pStyle w:val="14"/>
              <w:ind w:left="124"/>
              <w:rPr>
                <w:sz w:val="21"/>
              </w:rPr>
            </w:pPr>
            <w:r>
              <w:rPr>
                <w:w w:val="99"/>
                <w:sz w:val="21"/>
              </w:rPr>
              <w:t>昼</w:t>
            </w:r>
          </w:p>
          <w:p w14:paraId="58C2EA4A">
            <w:pPr>
              <w:pStyle w:val="14"/>
              <w:spacing w:before="2" w:line="253" w:lineRule="exact"/>
              <w:ind w:left="124"/>
              <w:rPr>
                <w:sz w:val="21"/>
              </w:rPr>
            </w:pPr>
            <w:r>
              <w:rPr>
                <w:w w:val="99"/>
                <w:sz w:val="21"/>
              </w:rPr>
              <w:t>间</w:t>
            </w:r>
          </w:p>
        </w:tc>
        <w:tc>
          <w:tcPr>
            <w:tcW w:w="464" w:type="dxa"/>
          </w:tcPr>
          <w:p w14:paraId="31FBD461">
            <w:pPr>
              <w:pStyle w:val="14"/>
              <w:ind w:left="127"/>
              <w:rPr>
                <w:sz w:val="21"/>
              </w:rPr>
            </w:pPr>
            <w:r>
              <w:rPr>
                <w:w w:val="99"/>
                <w:sz w:val="21"/>
              </w:rPr>
              <w:t>夜</w:t>
            </w:r>
          </w:p>
          <w:p w14:paraId="38ED6731">
            <w:pPr>
              <w:pStyle w:val="14"/>
              <w:spacing w:before="2" w:line="253" w:lineRule="exact"/>
              <w:ind w:left="127"/>
              <w:rPr>
                <w:sz w:val="21"/>
              </w:rPr>
            </w:pPr>
            <w:r>
              <w:rPr>
                <w:w w:val="99"/>
                <w:sz w:val="21"/>
              </w:rPr>
              <w:t>间</w:t>
            </w:r>
          </w:p>
        </w:tc>
        <w:tc>
          <w:tcPr>
            <w:tcW w:w="464" w:type="dxa"/>
          </w:tcPr>
          <w:p w14:paraId="5F477974">
            <w:pPr>
              <w:pStyle w:val="14"/>
              <w:ind w:left="126"/>
              <w:rPr>
                <w:sz w:val="21"/>
              </w:rPr>
            </w:pPr>
            <w:r>
              <w:rPr>
                <w:w w:val="99"/>
                <w:sz w:val="21"/>
              </w:rPr>
              <w:t>昼</w:t>
            </w:r>
          </w:p>
          <w:p w14:paraId="267CF0B9">
            <w:pPr>
              <w:pStyle w:val="14"/>
              <w:spacing w:before="2" w:line="253" w:lineRule="exact"/>
              <w:ind w:left="126"/>
              <w:rPr>
                <w:sz w:val="21"/>
              </w:rPr>
            </w:pPr>
            <w:r>
              <w:rPr>
                <w:w w:val="99"/>
                <w:sz w:val="21"/>
              </w:rPr>
              <w:t>间</w:t>
            </w:r>
          </w:p>
        </w:tc>
        <w:tc>
          <w:tcPr>
            <w:tcW w:w="464" w:type="dxa"/>
          </w:tcPr>
          <w:p w14:paraId="4A5A9B35">
            <w:pPr>
              <w:pStyle w:val="14"/>
              <w:ind w:left="125"/>
              <w:rPr>
                <w:sz w:val="21"/>
              </w:rPr>
            </w:pPr>
            <w:r>
              <w:rPr>
                <w:w w:val="99"/>
                <w:sz w:val="21"/>
              </w:rPr>
              <w:t>夜</w:t>
            </w:r>
          </w:p>
          <w:p w14:paraId="46059C17">
            <w:pPr>
              <w:pStyle w:val="14"/>
              <w:spacing w:before="2" w:line="253" w:lineRule="exact"/>
              <w:ind w:left="125"/>
              <w:rPr>
                <w:sz w:val="21"/>
              </w:rPr>
            </w:pPr>
            <w:r>
              <w:rPr>
                <w:w w:val="99"/>
                <w:sz w:val="21"/>
              </w:rPr>
              <w:t>间</w:t>
            </w:r>
          </w:p>
        </w:tc>
        <w:tc>
          <w:tcPr>
            <w:tcW w:w="464" w:type="dxa"/>
          </w:tcPr>
          <w:p w14:paraId="360C4208">
            <w:pPr>
              <w:pStyle w:val="14"/>
              <w:ind w:left="127"/>
              <w:rPr>
                <w:sz w:val="21"/>
              </w:rPr>
            </w:pPr>
            <w:r>
              <w:rPr>
                <w:w w:val="99"/>
                <w:sz w:val="21"/>
              </w:rPr>
              <w:t>昼</w:t>
            </w:r>
          </w:p>
          <w:p w14:paraId="7F1550D4">
            <w:pPr>
              <w:pStyle w:val="14"/>
              <w:spacing w:before="2" w:line="253" w:lineRule="exact"/>
              <w:ind w:left="127"/>
              <w:rPr>
                <w:sz w:val="21"/>
              </w:rPr>
            </w:pPr>
            <w:r>
              <w:rPr>
                <w:w w:val="99"/>
                <w:sz w:val="21"/>
              </w:rPr>
              <w:t>间</w:t>
            </w:r>
          </w:p>
        </w:tc>
        <w:tc>
          <w:tcPr>
            <w:tcW w:w="464" w:type="dxa"/>
          </w:tcPr>
          <w:p w14:paraId="0AE389EB">
            <w:pPr>
              <w:pStyle w:val="14"/>
              <w:ind w:left="126"/>
              <w:rPr>
                <w:sz w:val="21"/>
              </w:rPr>
            </w:pPr>
            <w:r>
              <w:rPr>
                <w:w w:val="99"/>
                <w:sz w:val="21"/>
              </w:rPr>
              <w:t>夜</w:t>
            </w:r>
          </w:p>
          <w:p w14:paraId="059CE536">
            <w:pPr>
              <w:pStyle w:val="14"/>
              <w:spacing w:before="2" w:line="253" w:lineRule="exact"/>
              <w:ind w:left="126"/>
              <w:rPr>
                <w:sz w:val="21"/>
              </w:rPr>
            </w:pPr>
            <w:r>
              <w:rPr>
                <w:w w:val="99"/>
                <w:sz w:val="21"/>
              </w:rPr>
              <w:t>间</w:t>
            </w:r>
          </w:p>
        </w:tc>
        <w:tc>
          <w:tcPr>
            <w:tcW w:w="614" w:type="dxa"/>
          </w:tcPr>
          <w:p w14:paraId="704B9CDB">
            <w:pPr>
              <w:pStyle w:val="14"/>
              <w:ind w:left="202"/>
              <w:rPr>
                <w:sz w:val="21"/>
              </w:rPr>
            </w:pPr>
            <w:r>
              <w:rPr>
                <w:w w:val="99"/>
                <w:sz w:val="21"/>
              </w:rPr>
              <w:t>昼</w:t>
            </w:r>
          </w:p>
          <w:p w14:paraId="70BAAA75">
            <w:pPr>
              <w:pStyle w:val="14"/>
              <w:spacing w:before="2" w:line="253" w:lineRule="exact"/>
              <w:ind w:left="202"/>
              <w:rPr>
                <w:sz w:val="21"/>
              </w:rPr>
            </w:pPr>
            <w:r>
              <w:rPr>
                <w:w w:val="99"/>
                <w:sz w:val="21"/>
              </w:rPr>
              <w:t>间</w:t>
            </w:r>
          </w:p>
        </w:tc>
        <w:tc>
          <w:tcPr>
            <w:tcW w:w="615" w:type="dxa"/>
          </w:tcPr>
          <w:p w14:paraId="6BB8D407">
            <w:pPr>
              <w:pStyle w:val="14"/>
              <w:ind w:left="200"/>
              <w:rPr>
                <w:sz w:val="21"/>
              </w:rPr>
            </w:pPr>
            <w:r>
              <w:rPr>
                <w:w w:val="99"/>
                <w:sz w:val="21"/>
              </w:rPr>
              <w:t>夜</w:t>
            </w:r>
          </w:p>
          <w:p w14:paraId="09877B19">
            <w:pPr>
              <w:pStyle w:val="14"/>
              <w:spacing w:before="2" w:line="253" w:lineRule="exact"/>
              <w:ind w:left="200"/>
              <w:rPr>
                <w:sz w:val="21"/>
              </w:rPr>
            </w:pPr>
            <w:r>
              <w:rPr>
                <w:w w:val="99"/>
                <w:sz w:val="21"/>
              </w:rPr>
              <w:t>间</w:t>
            </w:r>
          </w:p>
        </w:tc>
        <w:tc>
          <w:tcPr>
            <w:tcW w:w="714" w:type="dxa"/>
          </w:tcPr>
          <w:p w14:paraId="1BD52AC2">
            <w:pPr>
              <w:pStyle w:val="14"/>
              <w:spacing w:before="134"/>
              <w:ind w:left="99" w:right="91"/>
              <w:jc w:val="center"/>
              <w:rPr>
                <w:sz w:val="21"/>
              </w:rPr>
            </w:pPr>
            <w:r>
              <w:rPr>
                <w:sz w:val="21"/>
              </w:rPr>
              <w:t>昼间</w:t>
            </w:r>
          </w:p>
        </w:tc>
        <w:tc>
          <w:tcPr>
            <w:tcW w:w="714" w:type="dxa"/>
          </w:tcPr>
          <w:p w14:paraId="13D383DF">
            <w:pPr>
              <w:pStyle w:val="14"/>
              <w:spacing w:before="134"/>
              <w:ind w:left="96" w:right="91"/>
              <w:jc w:val="center"/>
              <w:rPr>
                <w:sz w:val="21"/>
              </w:rPr>
            </w:pPr>
            <w:r>
              <w:rPr>
                <w:sz w:val="21"/>
              </w:rPr>
              <w:t>夜间</w:t>
            </w:r>
          </w:p>
        </w:tc>
        <w:tc>
          <w:tcPr>
            <w:tcW w:w="614" w:type="dxa"/>
          </w:tcPr>
          <w:p w14:paraId="66C88410">
            <w:pPr>
              <w:pStyle w:val="14"/>
              <w:ind w:left="202"/>
              <w:rPr>
                <w:sz w:val="21"/>
              </w:rPr>
            </w:pPr>
            <w:r>
              <w:rPr>
                <w:w w:val="99"/>
                <w:sz w:val="21"/>
              </w:rPr>
              <w:t>昼</w:t>
            </w:r>
          </w:p>
          <w:p w14:paraId="087DB38F">
            <w:pPr>
              <w:pStyle w:val="14"/>
              <w:spacing w:before="2" w:line="253" w:lineRule="exact"/>
              <w:ind w:left="202"/>
              <w:rPr>
                <w:sz w:val="21"/>
              </w:rPr>
            </w:pPr>
            <w:r>
              <w:rPr>
                <w:w w:val="99"/>
                <w:sz w:val="21"/>
              </w:rPr>
              <w:t>间</w:t>
            </w:r>
          </w:p>
        </w:tc>
        <w:tc>
          <w:tcPr>
            <w:tcW w:w="615" w:type="dxa"/>
          </w:tcPr>
          <w:p w14:paraId="0B8BEE9F">
            <w:pPr>
              <w:pStyle w:val="14"/>
              <w:ind w:left="202"/>
              <w:rPr>
                <w:sz w:val="21"/>
              </w:rPr>
            </w:pPr>
            <w:r>
              <w:rPr>
                <w:w w:val="99"/>
                <w:sz w:val="21"/>
              </w:rPr>
              <w:t>夜</w:t>
            </w:r>
          </w:p>
          <w:p w14:paraId="63DF0C00">
            <w:pPr>
              <w:pStyle w:val="14"/>
              <w:spacing w:before="2" w:line="253" w:lineRule="exact"/>
              <w:ind w:left="202"/>
              <w:rPr>
                <w:sz w:val="21"/>
              </w:rPr>
            </w:pPr>
            <w:r>
              <w:rPr>
                <w:w w:val="99"/>
                <w:sz w:val="21"/>
              </w:rPr>
              <w:t>间</w:t>
            </w:r>
          </w:p>
        </w:tc>
        <w:tc>
          <w:tcPr>
            <w:tcW w:w="458" w:type="dxa"/>
          </w:tcPr>
          <w:p w14:paraId="37531457">
            <w:pPr>
              <w:pStyle w:val="14"/>
              <w:ind w:left="122"/>
              <w:rPr>
                <w:sz w:val="21"/>
              </w:rPr>
            </w:pPr>
            <w:r>
              <w:rPr>
                <w:w w:val="99"/>
                <w:sz w:val="21"/>
              </w:rPr>
              <w:t>昼</w:t>
            </w:r>
          </w:p>
          <w:p w14:paraId="6F883892">
            <w:pPr>
              <w:pStyle w:val="14"/>
              <w:spacing w:before="2" w:line="253" w:lineRule="exact"/>
              <w:ind w:left="122"/>
              <w:rPr>
                <w:sz w:val="21"/>
              </w:rPr>
            </w:pPr>
            <w:r>
              <w:rPr>
                <w:w w:val="99"/>
                <w:sz w:val="21"/>
              </w:rPr>
              <w:t>间</w:t>
            </w:r>
          </w:p>
        </w:tc>
        <w:tc>
          <w:tcPr>
            <w:tcW w:w="452" w:type="dxa"/>
          </w:tcPr>
          <w:p w14:paraId="1BC7FDD9">
            <w:pPr>
              <w:pStyle w:val="14"/>
              <w:ind w:left="120"/>
              <w:rPr>
                <w:sz w:val="21"/>
              </w:rPr>
            </w:pPr>
            <w:r>
              <w:rPr>
                <w:w w:val="99"/>
                <w:sz w:val="21"/>
              </w:rPr>
              <w:t>夜</w:t>
            </w:r>
          </w:p>
          <w:p w14:paraId="4266CDA0">
            <w:pPr>
              <w:pStyle w:val="14"/>
              <w:spacing w:before="2" w:line="253" w:lineRule="exact"/>
              <w:ind w:left="120"/>
              <w:rPr>
                <w:sz w:val="21"/>
              </w:rPr>
            </w:pPr>
            <w:r>
              <w:rPr>
                <w:w w:val="99"/>
                <w:sz w:val="21"/>
              </w:rPr>
              <w:t>间</w:t>
            </w:r>
          </w:p>
        </w:tc>
      </w:tr>
      <w:tr w14:paraId="65798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46" w:type="dxa"/>
          </w:tcPr>
          <w:p w14:paraId="16CDFF39">
            <w:pPr>
              <w:pStyle w:val="14"/>
              <w:spacing w:before="6"/>
              <w:rPr>
                <w:b/>
                <w:sz w:val="22"/>
              </w:rPr>
            </w:pPr>
          </w:p>
          <w:p w14:paraId="50B64653">
            <w:pPr>
              <w:pStyle w:val="14"/>
              <w:ind w:left="8"/>
              <w:jc w:val="center"/>
              <w:rPr>
                <w:rFonts w:ascii="Times New Roman"/>
                <w:sz w:val="21"/>
              </w:rPr>
            </w:pPr>
            <w:r>
              <w:rPr>
                <w:rFonts w:ascii="Times New Roman"/>
                <w:w w:val="99"/>
                <w:sz w:val="21"/>
              </w:rPr>
              <w:t>1</w:t>
            </w:r>
          </w:p>
        </w:tc>
        <w:tc>
          <w:tcPr>
            <w:tcW w:w="497" w:type="dxa"/>
          </w:tcPr>
          <w:p w14:paraId="1A22A95F">
            <w:pPr>
              <w:pStyle w:val="14"/>
              <w:ind w:left="141"/>
              <w:rPr>
                <w:sz w:val="21"/>
              </w:rPr>
            </w:pPr>
            <w:r>
              <w:rPr>
                <w:w w:val="99"/>
                <w:sz w:val="21"/>
              </w:rPr>
              <w:t>东</w:t>
            </w:r>
          </w:p>
          <w:p w14:paraId="42742C46">
            <w:pPr>
              <w:pStyle w:val="14"/>
              <w:spacing w:before="4" w:line="270" w:lineRule="atLeast"/>
              <w:ind w:left="141" w:right="134"/>
              <w:rPr>
                <w:sz w:val="21"/>
              </w:rPr>
            </w:pPr>
            <w:r>
              <w:rPr>
                <w:sz w:val="21"/>
              </w:rPr>
              <w:t>厂界</w:t>
            </w:r>
          </w:p>
        </w:tc>
        <w:tc>
          <w:tcPr>
            <w:tcW w:w="463" w:type="dxa"/>
          </w:tcPr>
          <w:p w14:paraId="6ADC3AE1">
            <w:pPr>
              <w:pStyle w:val="14"/>
              <w:spacing w:before="6"/>
              <w:rPr>
                <w:b/>
                <w:sz w:val="22"/>
              </w:rPr>
            </w:pPr>
          </w:p>
          <w:p w14:paraId="171FF277">
            <w:pPr>
              <w:pStyle w:val="14"/>
              <w:ind w:left="41" w:right="35"/>
              <w:jc w:val="center"/>
              <w:rPr>
                <w:rFonts w:ascii="Times New Roman"/>
                <w:sz w:val="21"/>
              </w:rPr>
            </w:pPr>
            <w:r>
              <w:rPr>
                <w:rFonts w:ascii="Times New Roman"/>
                <w:sz w:val="21"/>
              </w:rPr>
              <w:t>48</w:t>
            </w:r>
          </w:p>
        </w:tc>
        <w:tc>
          <w:tcPr>
            <w:tcW w:w="464" w:type="dxa"/>
          </w:tcPr>
          <w:p w14:paraId="276D1CF7">
            <w:pPr>
              <w:pStyle w:val="14"/>
              <w:spacing w:before="6"/>
              <w:rPr>
                <w:b/>
                <w:sz w:val="22"/>
              </w:rPr>
            </w:pPr>
          </w:p>
          <w:p w14:paraId="51FE434E">
            <w:pPr>
              <w:pStyle w:val="14"/>
              <w:ind w:left="127"/>
              <w:rPr>
                <w:rFonts w:ascii="Times New Roman"/>
                <w:sz w:val="21"/>
              </w:rPr>
            </w:pPr>
            <w:r>
              <w:rPr>
                <w:rFonts w:ascii="Times New Roman"/>
                <w:sz w:val="21"/>
              </w:rPr>
              <w:t>45</w:t>
            </w:r>
          </w:p>
        </w:tc>
        <w:tc>
          <w:tcPr>
            <w:tcW w:w="464" w:type="dxa"/>
          </w:tcPr>
          <w:p w14:paraId="20A4E022">
            <w:pPr>
              <w:pStyle w:val="14"/>
              <w:spacing w:before="6"/>
              <w:rPr>
                <w:b/>
                <w:sz w:val="22"/>
              </w:rPr>
            </w:pPr>
          </w:p>
          <w:p w14:paraId="70E73581">
            <w:pPr>
              <w:pStyle w:val="14"/>
              <w:ind w:left="10"/>
              <w:jc w:val="center"/>
              <w:rPr>
                <w:rFonts w:ascii="Times New Roman"/>
                <w:sz w:val="21"/>
              </w:rPr>
            </w:pPr>
            <w:r>
              <w:rPr>
                <w:rFonts w:ascii="Times New Roman"/>
                <w:w w:val="99"/>
                <w:sz w:val="21"/>
              </w:rPr>
              <w:t>/</w:t>
            </w:r>
          </w:p>
        </w:tc>
        <w:tc>
          <w:tcPr>
            <w:tcW w:w="464" w:type="dxa"/>
          </w:tcPr>
          <w:p w14:paraId="3820BED9">
            <w:pPr>
              <w:pStyle w:val="14"/>
              <w:spacing w:before="6"/>
              <w:rPr>
                <w:b/>
                <w:sz w:val="22"/>
              </w:rPr>
            </w:pPr>
          </w:p>
          <w:p w14:paraId="365DA908">
            <w:pPr>
              <w:pStyle w:val="14"/>
              <w:ind w:right="191"/>
              <w:jc w:val="right"/>
              <w:rPr>
                <w:rFonts w:ascii="Times New Roman"/>
                <w:sz w:val="21"/>
              </w:rPr>
            </w:pPr>
            <w:r>
              <w:rPr>
                <w:rFonts w:ascii="Times New Roman"/>
                <w:w w:val="99"/>
                <w:sz w:val="21"/>
              </w:rPr>
              <w:t>/</w:t>
            </w:r>
          </w:p>
        </w:tc>
        <w:tc>
          <w:tcPr>
            <w:tcW w:w="464" w:type="dxa"/>
          </w:tcPr>
          <w:p w14:paraId="5E7D6CA3">
            <w:pPr>
              <w:pStyle w:val="14"/>
              <w:spacing w:before="6"/>
              <w:rPr>
                <w:b/>
                <w:sz w:val="22"/>
              </w:rPr>
            </w:pPr>
          </w:p>
          <w:p w14:paraId="7F0CA783">
            <w:pPr>
              <w:pStyle w:val="14"/>
              <w:ind w:left="105" w:right="97"/>
              <w:jc w:val="center"/>
              <w:rPr>
                <w:rFonts w:ascii="Times New Roman"/>
                <w:sz w:val="21"/>
              </w:rPr>
            </w:pPr>
            <w:r>
              <w:rPr>
                <w:rFonts w:ascii="Times New Roman"/>
                <w:sz w:val="21"/>
              </w:rPr>
              <w:t>60</w:t>
            </w:r>
          </w:p>
        </w:tc>
        <w:tc>
          <w:tcPr>
            <w:tcW w:w="464" w:type="dxa"/>
          </w:tcPr>
          <w:p w14:paraId="7EAE5CD4">
            <w:pPr>
              <w:pStyle w:val="14"/>
              <w:spacing w:before="6"/>
              <w:rPr>
                <w:b/>
                <w:sz w:val="22"/>
              </w:rPr>
            </w:pPr>
          </w:p>
          <w:p w14:paraId="4E62EEA3">
            <w:pPr>
              <w:pStyle w:val="14"/>
              <w:ind w:left="106" w:right="97"/>
              <w:jc w:val="center"/>
              <w:rPr>
                <w:rFonts w:ascii="Times New Roman"/>
                <w:sz w:val="21"/>
              </w:rPr>
            </w:pPr>
            <w:r>
              <w:rPr>
                <w:rFonts w:ascii="Times New Roman"/>
                <w:sz w:val="21"/>
              </w:rPr>
              <w:t>50</w:t>
            </w:r>
          </w:p>
        </w:tc>
        <w:tc>
          <w:tcPr>
            <w:tcW w:w="614" w:type="dxa"/>
          </w:tcPr>
          <w:p w14:paraId="382BD43E">
            <w:pPr>
              <w:pStyle w:val="14"/>
              <w:spacing w:before="6"/>
              <w:rPr>
                <w:b/>
                <w:sz w:val="22"/>
              </w:rPr>
            </w:pPr>
          </w:p>
          <w:p w14:paraId="77C1BCF8">
            <w:pPr>
              <w:pStyle w:val="14"/>
              <w:ind w:left="103" w:right="92"/>
              <w:jc w:val="center"/>
              <w:rPr>
                <w:rFonts w:ascii="Times New Roman"/>
                <w:sz w:val="21"/>
              </w:rPr>
            </w:pPr>
            <w:r>
              <w:rPr>
                <w:rFonts w:ascii="Times New Roman"/>
                <w:sz w:val="21"/>
              </w:rPr>
              <w:t>34.5</w:t>
            </w:r>
          </w:p>
        </w:tc>
        <w:tc>
          <w:tcPr>
            <w:tcW w:w="615" w:type="dxa"/>
          </w:tcPr>
          <w:p w14:paraId="212B4F37">
            <w:pPr>
              <w:pStyle w:val="14"/>
              <w:spacing w:before="6"/>
              <w:rPr>
                <w:b/>
                <w:sz w:val="22"/>
              </w:rPr>
            </w:pPr>
          </w:p>
          <w:p w14:paraId="64B21DC4">
            <w:pPr>
              <w:pStyle w:val="14"/>
              <w:ind w:left="102" w:right="94"/>
              <w:jc w:val="center"/>
              <w:rPr>
                <w:rFonts w:ascii="Times New Roman"/>
                <w:sz w:val="21"/>
              </w:rPr>
            </w:pPr>
            <w:r>
              <w:rPr>
                <w:rFonts w:ascii="Times New Roman"/>
                <w:sz w:val="21"/>
              </w:rPr>
              <w:t>27.7</w:t>
            </w:r>
          </w:p>
        </w:tc>
        <w:tc>
          <w:tcPr>
            <w:tcW w:w="714" w:type="dxa"/>
          </w:tcPr>
          <w:p w14:paraId="7EEF3EAC">
            <w:pPr>
              <w:pStyle w:val="14"/>
              <w:spacing w:before="6"/>
              <w:rPr>
                <w:b/>
                <w:sz w:val="22"/>
              </w:rPr>
            </w:pPr>
          </w:p>
          <w:p w14:paraId="69F4828F">
            <w:pPr>
              <w:pStyle w:val="14"/>
              <w:ind w:left="100" w:right="91"/>
              <w:jc w:val="center"/>
              <w:rPr>
                <w:rFonts w:ascii="Times New Roman"/>
                <w:sz w:val="21"/>
              </w:rPr>
            </w:pPr>
            <w:r>
              <w:rPr>
                <w:rFonts w:ascii="Times New Roman"/>
                <w:sz w:val="21"/>
              </w:rPr>
              <w:t>48.19</w:t>
            </w:r>
          </w:p>
        </w:tc>
        <w:tc>
          <w:tcPr>
            <w:tcW w:w="714" w:type="dxa"/>
          </w:tcPr>
          <w:p w14:paraId="04C75384">
            <w:pPr>
              <w:pStyle w:val="14"/>
              <w:spacing w:before="6"/>
              <w:rPr>
                <w:b/>
                <w:sz w:val="22"/>
              </w:rPr>
            </w:pPr>
          </w:p>
          <w:p w14:paraId="3DD0BD6F">
            <w:pPr>
              <w:pStyle w:val="14"/>
              <w:ind w:left="100" w:right="91"/>
              <w:jc w:val="center"/>
              <w:rPr>
                <w:rFonts w:ascii="Times New Roman"/>
                <w:sz w:val="21"/>
              </w:rPr>
            </w:pPr>
            <w:r>
              <w:rPr>
                <w:rFonts w:ascii="Times New Roman"/>
                <w:sz w:val="21"/>
              </w:rPr>
              <w:t>45.08</w:t>
            </w:r>
          </w:p>
        </w:tc>
        <w:tc>
          <w:tcPr>
            <w:tcW w:w="614" w:type="dxa"/>
          </w:tcPr>
          <w:p w14:paraId="77959E9D">
            <w:pPr>
              <w:pStyle w:val="14"/>
              <w:spacing w:before="6"/>
              <w:rPr>
                <w:b/>
                <w:sz w:val="22"/>
              </w:rPr>
            </w:pPr>
          </w:p>
          <w:p w14:paraId="54212799">
            <w:pPr>
              <w:pStyle w:val="14"/>
              <w:ind w:left="102" w:right="92"/>
              <w:jc w:val="center"/>
              <w:rPr>
                <w:rFonts w:ascii="Times New Roman"/>
                <w:sz w:val="21"/>
              </w:rPr>
            </w:pPr>
            <w:r>
              <w:rPr>
                <w:rFonts w:ascii="Times New Roman"/>
                <w:sz w:val="21"/>
              </w:rPr>
              <w:t>0.19</w:t>
            </w:r>
          </w:p>
        </w:tc>
        <w:tc>
          <w:tcPr>
            <w:tcW w:w="615" w:type="dxa"/>
          </w:tcPr>
          <w:p w14:paraId="16A3431B">
            <w:pPr>
              <w:pStyle w:val="14"/>
              <w:spacing w:before="6"/>
              <w:rPr>
                <w:b/>
                <w:sz w:val="22"/>
              </w:rPr>
            </w:pPr>
          </w:p>
          <w:p w14:paraId="45C0450A">
            <w:pPr>
              <w:pStyle w:val="14"/>
              <w:ind w:left="102" w:right="94"/>
              <w:jc w:val="center"/>
              <w:rPr>
                <w:rFonts w:ascii="Times New Roman"/>
                <w:sz w:val="21"/>
              </w:rPr>
            </w:pPr>
            <w:r>
              <w:rPr>
                <w:rFonts w:ascii="Times New Roman"/>
                <w:sz w:val="21"/>
              </w:rPr>
              <w:t>0.08</w:t>
            </w:r>
          </w:p>
        </w:tc>
        <w:tc>
          <w:tcPr>
            <w:tcW w:w="458" w:type="dxa"/>
          </w:tcPr>
          <w:p w14:paraId="425369E8">
            <w:pPr>
              <w:pStyle w:val="14"/>
              <w:spacing w:before="137" w:line="242" w:lineRule="auto"/>
              <w:ind w:left="122" w:right="114"/>
              <w:rPr>
                <w:sz w:val="21"/>
              </w:rPr>
            </w:pPr>
            <w:r>
              <w:rPr>
                <w:sz w:val="21"/>
              </w:rPr>
              <w:t>达标</w:t>
            </w:r>
          </w:p>
        </w:tc>
        <w:tc>
          <w:tcPr>
            <w:tcW w:w="452" w:type="dxa"/>
          </w:tcPr>
          <w:p w14:paraId="7BC09338">
            <w:pPr>
              <w:pStyle w:val="14"/>
              <w:spacing w:before="137" w:line="242" w:lineRule="auto"/>
              <w:ind w:left="120" w:right="110"/>
              <w:rPr>
                <w:sz w:val="21"/>
              </w:rPr>
            </w:pPr>
            <w:r>
              <w:rPr>
                <w:sz w:val="21"/>
              </w:rPr>
              <w:t>达标</w:t>
            </w:r>
          </w:p>
        </w:tc>
      </w:tr>
      <w:tr w14:paraId="13A3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46" w:type="dxa"/>
          </w:tcPr>
          <w:p w14:paraId="615B5E5A">
            <w:pPr>
              <w:pStyle w:val="14"/>
              <w:spacing w:before="4"/>
              <w:rPr>
                <w:b/>
                <w:sz w:val="22"/>
              </w:rPr>
            </w:pPr>
          </w:p>
          <w:p w14:paraId="0246FA76">
            <w:pPr>
              <w:pStyle w:val="14"/>
              <w:ind w:left="8"/>
              <w:jc w:val="center"/>
              <w:rPr>
                <w:rFonts w:ascii="Times New Roman"/>
                <w:sz w:val="21"/>
              </w:rPr>
            </w:pPr>
            <w:r>
              <w:rPr>
                <w:rFonts w:ascii="Times New Roman"/>
                <w:w w:val="99"/>
                <w:sz w:val="21"/>
              </w:rPr>
              <w:t>2</w:t>
            </w:r>
          </w:p>
        </w:tc>
        <w:tc>
          <w:tcPr>
            <w:tcW w:w="497" w:type="dxa"/>
          </w:tcPr>
          <w:p w14:paraId="6E28FCA5">
            <w:pPr>
              <w:pStyle w:val="14"/>
              <w:spacing w:before="1" w:line="242" w:lineRule="auto"/>
              <w:ind w:left="141" w:right="134"/>
              <w:rPr>
                <w:sz w:val="21"/>
              </w:rPr>
            </w:pPr>
            <w:r>
              <w:rPr>
                <w:sz w:val="21"/>
              </w:rPr>
              <w:t>南厂</w:t>
            </w:r>
          </w:p>
          <w:p w14:paraId="5CCEC7E6">
            <w:pPr>
              <w:pStyle w:val="14"/>
              <w:spacing w:before="1" w:line="252" w:lineRule="exact"/>
              <w:ind w:left="141"/>
              <w:rPr>
                <w:sz w:val="21"/>
              </w:rPr>
            </w:pPr>
            <w:r>
              <w:rPr>
                <w:w w:val="99"/>
                <w:sz w:val="21"/>
              </w:rPr>
              <w:t>界</w:t>
            </w:r>
          </w:p>
        </w:tc>
        <w:tc>
          <w:tcPr>
            <w:tcW w:w="463" w:type="dxa"/>
          </w:tcPr>
          <w:p w14:paraId="47BC313E">
            <w:pPr>
              <w:pStyle w:val="14"/>
              <w:spacing w:before="4"/>
              <w:rPr>
                <w:b/>
                <w:sz w:val="22"/>
              </w:rPr>
            </w:pPr>
          </w:p>
          <w:p w14:paraId="710FA69B">
            <w:pPr>
              <w:pStyle w:val="14"/>
              <w:ind w:left="41" w:right="35"/>
              <w:jc w:val="center"/>
              <w:rPr>
                <w:rFonts w:ascii="Times New Roman"/>
                <w:sz w:val="21"/>
              </w:rPr>
            </w:pPr>
            <w:r>
              <w:rPr>
                <w:rFonts w:ascii="Times New Roman"/>
                <w:sz w:val="21"/>
              </w:rPr>
              <w:t>49</w:t>
            </w:r>
          </w:p>
        </w:tc>
        <w:tc>
          <w:tcPr>
            <w:tcW w:w="464" w:type="dxa"/>
          </w:tcPr>
          <w:p w14:paraId="2FC25100">
            <w:pPr>
              <w:pStyle w:val="14"/>
              <w:spacing w:before="4"/>
              <w:rPr>
                <w:b/>
                <w:sz w:val="22"/>
              </w:rPr>
            </w:pPr>
          </w:p>
          <w:p w14:paraId="1A80562E">
            <w:pPr>
              <w:pStyle w:val="14"/>
              <w:ind w:left="127"/>
              <w:rPr>
                <w:rFonts w:ascii="Times New Roman"/>
                <w:sz w:val="21"/>
              </w:rPr>
            </w:pPr>
            <w:r>
              <w:rPr>
                <w:rFonts w:ascii="Times New Roman"/>
                <w:sz w:val="21"/>
              </w:rPr>
              <w:t>44</w:t>
            </w:r>
          </w:p>
        </w:tc>
        <w:tc>
          <w:tcPr>
            <w:tcW w:w="464" w:type="dxa"/>
          </w:tcPr>
          <w:p w14:paraId="22EA7583">
            <w:pPr>
              <w:pStyle w:val="14"/>
              <w:spacing w:before="4"/>
              <w:rPr>
                <w:b/>
                <w:sz w:val="22"/>
              </w:rPr>
            </w:pPr>
          </w:p>
          <w:p w14:paraId="508F4BE0">
            <w:pPr>
              <w:pStyle w:val="14"/>
              <w:ind w:left="10"/>
              <w:jc w:val="center"/>
              <w:rPr>
                <w:rFonts w:ascii="Times New Roman"/>
                <w:sz w:val="21"/>
              </w:rPr>
            </w:pPr>
            <w:r>
              <w:rPr>
                <w:rFonts w:ascii="Times New Roman"/>
                <w:w w:val="99"/>
                <w:sz w:val="21"/>
              </w:rPr>
              <w:t>/</w:t>
            </w:r>
          </w:p>
        </w:tc>
        <w:tc>
          <w:tcPr>
            <w:tcW w:w="464" w:type="dxa"/>
          </w:tcPr>
          <w:p w14:paraId="1DBEE479">
            <w:pPr>
              <w:pStyle w:val="14"/>
              <w:spacing w:before="4"/>
              <w:rPr>
                <w:b/>
                <w:sz w:val="22"/>
              </w:rPr>
            </w:pPr>
          </w:p>
          <w:p w14:paraId="7A51B094">
            <w:pPr>
              <w:pStyle w:val="14"/>
              <w:ind w:right="191"/>
              <w:jc w:val="right"/>
              <w:rPr>
                <w:rFonts w:ascii="Times New Roman"/>
                <w:sz w:val="21"/>
              </w:rPr>
            </w:pPr>
            <w:r>
              <w:rPr>
                <w:rFonts w:ascii="Times New Roman"/>
                <w:w w:val="99"/>
                <w:sz w:val="21"/>
              </w:rPr>
              <w:t>/</w:t>
            </w:r>
          </w:p>
        </w:tc>
        <w:tc>
          <w:tcPr>
            <w:tcW w:w="464" w:type="dxa"/>
          </w:tcPr>
          <w:p w14:paraId="167B47BE">
            <w:pPr>
              <w:pStyle w:val="14"/>
              <w:spacing w:before="4"/>
              <w:rPr>
                <w:b/>
                <w:sz w:val="22"/>
              </w:rPr>
            </w:pPr>
          </w:p>
          <w:p w14:paraId="24477516">
            <w:pPr>
              <w:pStyle w:val="14"/>
              <w:ind w:left="105" w:right="97"/>
              <w:jc w:val="center"/>
              <w:rPr>
                <w:rFonts w:ascii="Times New Roman"/>
                <w:sz w:val="21"/>
              </w:rPr>
            </w:pPr>
            <w:r>
              <w:rPr>
                <w:rFonts w:ascii="Times New Roman"/>
                <w:sz w:val="21"/>
              </w:rPr>
              <w:t>60</w:t>
            </w:r>
          </w:p>
        </w:tc>
        <w:tc>
          <w:tcPr>
            <w:tcW w:w="464" w:type="dxa"/>
          </w:tcPr>
          <w:p w14:paraId="5478D8DD">
            <w:pPr>
              <w:pStyle w:val="14"/>
              <w:spacing w:before="4"/>
              <w:rPr>
                <w:b/>
                <w:sz w:val="22"/>
              </w:rPr>
            </w:pPr>
          </w:p>
          <w:p w14:paraId="1C762F84">
            <w:pPr>
              <w:pStyle w:val="14"/>
              <w:ind w:left="106" w:right="97"/>
              <w:jc w:val="center"/>
              <w:rPr>
                <w:rFonts w:ascii="Times New Roman"/>
                <w:sz w:val="21"/>
              </w:rPr>
            </w:pPr>
            <w:r>
              <w:rPr>
                <w:rFonts w:ascii="Times New Roman"/>
                <w:sz w:val="21"/>
              </w:rPr>
              <w:t>50</w:t>
            </w:r>
          </w:p>
        </w:tc>
        <w:tc>
          <w:tcPr>
            <w:tcW w:w="614" w:type="dxa"/>
          </w:tcPr>
          <w:p w14:paraId="50FD2076">
            <w:pPr>
              <w:pStyle w:val="14"/>
              <w:spacing w:before="4"/>
              <w:rPr>
                <w:b/>
                <w:sz w:val="22"/>
              </w:rPr>
            </w:pPr>
          </w:p>
          <w:p w14:paraId="63BFA120">
            <w:pPr>
              <w:pStyle w:val="14"/>
              <w:ind w:left="103" w:right="92"/>
              <w:jc w:val="center"/>
              <w:rPr>
                <w:rFonts w:ascii="Times New Roman"/>
                <w:sz w:val="21"/>
              </w:rPr>
            </w:pPr>
            <w:r>
              <w:rPr>
                <w:rFonts w:ascii="Times New Roman"/>
                <w:sz w:val="21"/>
              </w:rPr>
              <w:t>42.8</w:t>
            </w:r>
          </w:p>
        </w:tc>
        <w:tc>
          <w:tcPr>
            <w:tcW w:w="615" w:type="dxa"/>
          </w:tcPr>
          <w:p w14:paraId="2326DC49">
            <w:pPr>
              <w:pStyle w:val="14"/>
              <w:spacing w:before="4"/>
              <w:rPr>
                <w:b/>
                <w:sz w:val="22"/>
              </w:rPr>
            </w:pPr>
          </w:p>
          <w:p w14:paraId="514D24E1">
            <w:pPr>
              <w:pStyle w:val="14"/>
              <w:ind w:left="100" w:right="94"/>
              <w:jc w:val="center"/>
              <w:rPr>
                <w:rFonts w:ascii="Times New Roman"/>
                <w:sz w:val="21"/>
              </w:rPr>
            </w:pPr>
            <w:r>
              <w:rPr>
                <w:rFonts w:ascii="Times New Roman"/>
                <w:sz w:val="21"/>
              </w:rPr>
              <w:t>36</w:t>
            </w:r>
          </w:p>
        </w:tc>
        <w:tc>
          <w:tcPr>
            <w:tcW w:w="714" w:type="dxa"/>
          </w:tcPr>
          <w:p w14:paraId="06A17267">
            <w:pPr>
              <w:pStyle w:val="14"/>
              <w:spacing w:before="4"/>
              <w:rPr>
                <w:b/>
                <w:sz w:val="22"/>
              </w:rPr>
            </w:pPr>
          </w:p>
          <w:p w14:paraId="43254818">
            <w:pPr>
              <w:pStyle w:val="14"/>
              <w:ind w:left="100" w:right="91"/>
              <w:jc w:val="center"/>
              <w:rPr>
                <w:rFonts w:ascii="Times New Roman"/>
                <w:sz w:val="21"/>
              </w:rPr>
            </w:pPr>
            <w:r>
              <w:rPr>
                <w:rFonts w:ascii="Times New Roman"/>
                <w:sz w:val="21"/>
              </w:rPr>
              <w:t>49.93</w:t>
            </w:r>
          </w:p>
        </w:tc>
        <w:tc>
          <w:tcPr>
            <w:tcW w:w="714" w:type="dxa"/>
          </w:tcPr>
          <w:p w14:paraId="706BF316">
            <w:pPr>
              <w:pStyle w:val="14"/>
              <w:spacing w:before="4"/>
              <w:rPr>
                <w:b/>
                <w:sz w:val="22"/>
              </w:rPr>
            </w:pPr>
          </w:p>
          <w:p w14:paraId="3985127B">
            <w:pPr>
              <w:pStyle w:val="14"/>
              <w:ind w:left="100" w:right="91"/>
              <w:jc w:val="center"/>
              <w:rPr>
                <w:rFonts w:ascii="Times New Roman"/>
                <w:sz w:val="21"/>
              </w:rPr>
            </w:pPr>
            <w:r>
              <w:rPr>
                <w:rFonts w:ascii="Times New Roman"/>
                <w:sz w:val="21"/>
              </w:rPr>
              <w:t>44.64</w:t>
            </w:r>
          </w:p>
        </w:tc>
        <w:tc>
          <w:tcPr>
            <w:tcW w:w="614" w:type="dxa"/>
          </w:tcPr>
          <w:p w14:paraId="50548030">
            <w:pPr>
              <w:pStyle w:val="14"/>
              <w:spacing w:before="4"/>
              <w:rPr>
                <w:b/>
                <w:sz w:val="22"/>
              </w:rPr>
            </w:pPr>
          </w:p>
          <w:p w14:paraId="2A612921">
            <w:pPr>
              <w:pStyle w:val="14"/>
              <w:ind w:left="102" w:right="92"/>
              <w:jc w:val="center"/>
              <w:rPr>
                <w:rFonts w:ascii="Times New Roman"/>
                <w:sz w:val="21"/>
              </w:rPr>
            </w:pPr>
            <w:r>
              <w:rPr>
                <w:rFonts w:ascii="Times New Roman"/>
                <w:sz w:val="21"/>
              </w:rPr>
              <w:t>0.93</w:t>
            </w:r>
          </w:p>
        </w:tc>
        <w:tc>
          <w:tcPr>
            <w:tcW w:w="615" w:type="dxa"/>
          </w:tcPr>
          <w:p w14:paraId="691D234D">
            <w:pPr>
              <w:pStyle w:val="14"/>
              <w:spacing w:before="4"/>
              <w:rPr>
                <w:b/>
                <w:sz w:val="22"/>
              </w:rPr>
            </w:pPr>
          </w:p>
          <w:p w14:paraId="3F219D45">
            <w:pPr>
              <w:pStyle w:val="14"/>
              <w:ind w:left="102" w:right="94"/>
              <w:jc w:val="center"/>
              <w:rPr>
                <w:rFonts w:ascii="Times New Roman"/>
                <w:sz w:val="21"/>
              </w:rPr>
            </w:pPr>
            <w:r>
              <w:rPr>
                <w:rFonts w:ascii="Times New Roman"/>
                <w:sz w:val="21"/>
              </w:rPr>
              <w:t>0.64</w:t>
            </w:r>
          </w:p>
        </w:tc>
        <w:tc>
          <w:tcPr>
            <w:tcW w:w="458" w:type="dxa"/>
          </w:tcPr>
          <w:p w14:paraId="1B4636D3">
            <w:pPr>
              <w:pStyle w:val="14"/>
              <w:spacing w:before="138" w:line="242" w:lineRule="auto"/>
              <w:ind w:left="122" w:right="114"/>
              <w:rPr>
                <w:sz w:val="21"/>
              </w:rPr>
            </w:pPr>
            <w:r>
              <w:rPr>
                <w:sz w:val="21"/>
              </w:rPr>
              <w:t>达标</w:t>
            </w:r>
          </w:p>
        </w:tc>
        <w:tc>
          <w:tcPr>
            <w:tcW w:w="452" w:type="dxa"/>
          </w:tcPr>
          <w:p w14:paraId="6C4CDA2F">
            <w:pPr>
              <w:pStyle w:val="14"/>
              <w:spacing w:before="138" w:line="242" w:lineRule="auto"/>
              <w:ind w:left="120" w:right="110"/>
              <w:rPr>
                <w:sz w:val="21"/>
              </w:rPr>
            </w:pPr>
            <w:r>
              <w:rPr>
                <w:sz w:val="21"/>
              </w:rPr>
              <w:t>达标</w:t>
            </w:r>
          </w:p>
        </w:tc>
      </w:tr>
      <w:tr w14:paraId="1BE1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46" w:type="dxa"/>
          </w:tcPr>
          <w:p w14:paraId="503C8816">
            <w:pPr>
              <w:pStyle w:val="14"/>
              <w:spacing w:before="4"/>
              <w:rPr>
                <w:b/>
                <w:sz w:val="22"/>
              </w:rPr>
            </w:pPr>
          </w:p>
          <w:p w14:paraId="207F8E5C">
            <w:pPr>
              <w:pStyle w:val="14"/>
              <w:ind w:left="8"/>
              <w:jc w:val="center"/>
              <w:rPr>
                <w:rFonts w:ascii="Times New Roman"/>
                <w:sz w:val="21"/>
              </w:rPr>
            </w:pPr>
            <w:r>
              <w:rPr>
                <w:rFonts w:ascii="Times New Roman"/>
                <w:w w:val="99"/>
                <w:sz w:val="21"/>
              </w:rPr>
              <w:t>3</w:t>
            </w:r>
          </w:p>
        </w:tc>
        <w:tc>
          <w:tcPr>
            <w:tcW w:w="497" w:type="dxa"/>
          </w:tcPr>
          <w:p w14:paraId="029F41E6">
            <w:pPr>
              <w:pStyle w:val="14"/>
              <w:spacing w:line="268" w:lineRule="exact"/>
              <w:ind w:left="141"/>
              <w:rPr>
                <w:sz w:val="21"/>
              </w:rPr>
            </w:pPr>
            <w:r>
              <w:rPr>
                <w:w w:val="99"/>
                <w:sz w:val="21"/>
              </w:rPr>
              <w:t>西</w:t>
            </w:r>
          </w:p>
          <w:p w14:paraId="6B75FBF6">
            <w:pPr>
              <w:pStyle w:val="14"/>
              <w:spacing w:before="3" w:line="270" w:lineRule="atLeast"/>
              <w:ind w:left="141" w:right="134"/>
              <w:rPr>
                <w:sz w:val="21"/>
              </w:rPr>
            </w:pPr>
            <w:r>
              <w:rPr>
                <w:sz w:val="21"/>
              </w:rPr>
              <w:t>厂界</w:t>
            </w:r>
          </w:p>
        </w:tc>
        <w:tc>
          <w:tcPr>
            <w:tcW w:w="463" w:type="dxa"/>
          </w:tcPr>
          <w:p w14:paraId="1BBC721C">
            <w:pPr>
              <w:pStyle w:val="14"/>
              <w:spacing w:before="4"/>
              <w:rPr>
                <w:b/>
                <w:sz w:val="22"/>
              </w:rPr>
            </w:pPr>
          </w:p>
          <w:p w14:paraId="0DE40E77">
            <w:pPr>
              <w:pStyle w:val="14"/>
              <w:ind w:left="41" w:right="35"/>
              <w:jc w:val="center"/>
              <w:rPr>
                <w:rFonts w:ascii="Times New Roman"/>
                <w:sz w:val="21"/>
              </w:rPr>
            </w:pPr>
            <w:r>
              <w:rPr>
                <w:rFonts w:ascii="Times New Roman"/>
                <w:sz w:val="21"/>
              </w:rPr>
              <w:t>51</w:t>
            </w:r>
          </w:p>
        </w:tc>
        <w:tc>
          <w:tcPr>
            <w:tcW w:w="464" w:type="dxa"/>
          </w:tcPr>
          <w:p w14:paraId="02B93D72">
            <w:pPr>
              <w:pStyle w:val="14"/>
              <w:spacing w:before="4"/>
              <w:rPr>
                <w:b/>
                <w:sz w:val="22"/>
              </w:rPr>
            </w:pPr>
          </w:p>
          <w:p w14:paraId="4676CE2D">
            <w:pPr>
              <w:pStyle w:val="14"/>
              <w:ind w:left="127"/>
              <w:rPr>
                <w:rFonts w:ascii="Times New Roman"/>
                <w:sz w:val="21"/>
              </w:rPr>
            </w:pPr>
            <w:r>
              <w:rPr>
                <w:rFonts w:ascii="Times New Roman"/>
                <w:sz w:val="21"/>
              </w:rPr>
              <w:t>46</w:t>
            </w:r>
          </w:p>
        </w:tc>
        <w:tc>
          <w:tcPr>
            <w:tcW w:w="464" w:type="dxa"/>
          </w:tcPr>
          <w:p w14:paraId="23805C19">
            <w:pPr>
              <w:pStyle w:val="14"/>
              <w:spacing w:before="4"/>
              <w:rPr>
                <w:b/>
                <w:sz w:val="22"/>
              </w:rPr>
            </w:pPr>
          </w:p>
          <w:p w14:paraId="5EAFC2A8">
            <w:pPr>
              <w:pStyle w:val="14"/>
              <w:ind w:left="10"/>
              <w:jc w:val="center"/>
              <w:rPr>
                <w:rFonts w:ascii="Times New Roman"/>
                <w:sz w:val="21"/>
              </w:rPr>
            </w:pPr>
            <w:r>
              <w:rPr>
                <w:rFonts w:ascii="Times New Roman"/>
                <w:w w:val="99"/>
                <w:sz w:val="21"/>
              </w:rPr>
              <w:t>/</w:t>
            </w:r>
          </w:p>
        </w:tc>
        <w:tc>
          <w:tcPr>
            <w:tcW w:w="464" w:type="dxa"/>
          </w:tcPr>
          <w:p w14:paraId="4E682DFC">
            <w:pPr>
              <w:pStyle w:val="14"/>
              <w:spacing w:before="4"/>
              <w:rPr>
                <w:b/>
                <w:sz w:val="22"/>
              </w:rPr>
            </w:pPr>
          </w:p>
          <w:p w14:paraId="43C39C39">
            <w:pPr>
              <w:pStyle w:val="14"/>
              <w:ind w:right="191"/>
              <w:jc w:val="right"/>
              <w:rPr>
                <w:rFonts w:ascii="Times New Roman"/>
                <w:sz w:val="21"/>
              </w:rPr>
            </w:pPr>
            <w:r>
              <w:rPr>
                <w:rFonts w:ascii="Times New Roman"/>
                <w:w w:val="99"/>
                <w:sz w:val="21"/>
              </w:rPr>
              <w:t>/</w:t>
            </w:r>
          </w:p>
        </w:tc>
        <w:tc>
          <w:tcPr>
            <w:tcW w:w="464" w:type="dxa"/>
          </w:tcPr>
          <w:p w14:paraId="33AD55DB">
            <w:pPr>
              <w:pStyle w:val="14"/>
              <w:spacing w:before="4"/>
              <w:rPr>
                <w:b/>
                <w:sz w:val="22"/>
              </w:rPr>
            </w:pPr>
          </w:p>
          <w:p w14:paraId="257C8C11">
            <w:pPr>
              <w:pStyle w:val="14"/>
              <w:ind w:left="105" w:right="97"/>
              <w:jc w:val="center"/>
              <w:rPr>
                <w:rFonts w:ascii="Times New Roman"/>
                <w:sz w:val="21"/>
              </w:rPr>
            </w:pPr>
            <w:r>
              <w:rPr>
                <w:rFonts w:ascii="Times New Roman"/>
                <w:sz w:val="21"/>
              </w:rPr>
              <w:t>60</w:t>
            </w:r>
          </w:p>
        </w:tc>
        <w:tc>
          <w:tcPr>
            <w:tcW w:w="464" w:type="dxa"/>
          </w:tcPr>
          <w:p w14:paraId="48892384">
            <w:pPr>
              <w:pStyle w:val="14"/>
              <w:spacing w:before="4"/>
              <w:rPr>
                <w:b/>
                <w:sz w:val="22"/>
              </w:rPr>
            </w:pPr>
          </w:p>
          <w:p w14:paraId="5454B59E">
            <w:pPr>
              <w:pStyle w:val="14"/>
              <w:ind w:left="106" w:right="97"/>
              <w:jc w:val="center"/>
              <w:rPr>
                <w:rFonts w:ascii="Times New Roman"/>
                <w:sz w:val="21"/>
              </w:rPr>
            </w:pPr>
            <w:r>
              <w:rPr>
                <w:rFonts w:ascii="Times New Roman"/>
                <w:sz w:val="21"/>
              </w:rPr>
              <w:t>50</w:t>
            </w:r>
          </w:p>
        </w:tc>
        <w:tc>
          <w:tcPr>
            <w:tcW w:w="614" w:type="dxa"/>
          </w:tcPr>
          <w:p w14:paraId="6BCDFE6A">
            <w:pPr>
              <w:pStyle w:val="14"/>
              <w:spacing w:before="4"/>
              <w:rPr>
                <w:b/>
                <w:sz w:val="22"/>
              </w:rPr>
            </w:pPr>
          </w:p>
          <w:p w14:paraId="59122C60">
            <w:pPr>
              <w:pStyle w:val="14"/>
              <w:ind w:left="103" w:right="92"/>
              <w:jc w:val="center"/>
              <w:rPr>
                <w:rFonts w:ascii="Times New Roman"/>
                <w:sz w:val="21"/>
              </w:rPr>
            </w:pPr>
            <w:r>
              <w:rPr>
                <w:rFonts w:ascii="Times New Roman"/>
                <w:sz w:val="21"/>
              </w:rPr>
              <w:t>37.7</w:t>
            </w:r>
          </w:p>
        </w:tc>
        <w:tc>
          <w:tcPr>
            <w:tcW w:w="615" w:type="dxa"/>
          </w:tcPr>
          <w:p w14:paraId="7DE62DBA">
            <w:pPr>
              <w:pStyle w:val="14"/>
              <w:spacing w:before="4"/>
              <w:rPr>
                <w:b/>
                <w:sz w:val="22"/>
              </w:rPr>
            </w:pPr>
          </w:p>
          <w:p w14:paraId="55AF3ECA">
            <w:pPr>
              <w:pStyle w:val="14"/>
              <w:ind w:left="102" w:right="94"/>
              <w:jc w:val="center"/>
              <w:rPr>
                <w:rFonts w:ascii="Times New Roman"/>
                <w:sz w:val="21"/>
              </w:rPr>
            </w:pPr>
            <w:r>
              <w:rPr>
                <w:rFonts w:ascii="Times New Roman"/>
                <w:sz w:val="21"/>
              </w:rPr>
              <w:t>30.9</w:t>
            </w:r>
          </w:p>
        </w:tc>
        <w:tc>
          <w:tcPr>
            <w:tcW w:w="714" w:type="dxa"/>
          </w:tcPr>
          <w:p w14:paraId="429DE43E">
            <w:pPr>
              <w:pStyle w:val="14"/>
              <w:spacing w:before="4"/>
              <w:rPr>
                <w:b/>
                <w:sz w:val="22"/>
              </w:rPr>
            </w:pPr>
          </w:p>
          <w:p w14:paraId="4731F961">
            <w:pPr>
              <w:pStyle w:val="14"/>
              <w:ind w:left="100" w:right="89"/>
              <w:jc w:val="center"/>
              <w:rPr>
                <w:rFonts w:ascii="Times New Roman"/>
                <w:sz w:val="21"/>
              </w:rPr>
            </w:pPr>
            <w:r>
              <w:rPr>
                <w:rFonts w:ascii="Times New Roman"/>
                <w:sz w:val="21"/>
              </w:rPr>
              <w:t>51.2</w:t>
            </w:r>
          </w:p>
        </w:tc>
        <w:tc>
          <w:tcPr>
            <w:tcW w:w="714" w:type="dxa"/>
          </w:tcPr>
          <w:p w14:paraId="56BBE9F6">
            <w:pPr>
              <w:pStyle w:val="14"/>
              <w:spacing w:before="4"/>
              <w:rPr>
                <w:b/>
                <w:sz w:val="22"/>
              </w:rPr>
            </w:pPr>
          </w:p>
          <w:p w14:paraId="029CFBD0">
            <w:pPr>
              <w:pStyle w:val="14"/>
              <w:ind w:left="100" w:right="91"/>
              <w:jc w:val="center"/>
              <w:rPr>
                <w:rFonts w:ascii="Times New Roman"/>
                <w:sz w:val="21"/>
              </w:rPr>
            </w:pPr>
            <w:r>
              <w:rPr>
                <w:rFonts w:ascii="Times New Roman"/>
                <w:sz w:val="21"/>
              </w:rPr>
              <w:t>46.13</w:t>
            </w:r>
          </w:p>
        </w:tc>
        <w:tc>
          <w:tcPr>
            <w:tcW w:w="614" w:type="dxa"/>
          </w:tcPr>
          <w:p w14:paraId="7D521AB9">
            <w:pPr>
              <w:pStyle w:val="14"/>
              <w:spacing w:before="4"/>
              <w:rPr>
                <w:b/>
                <w:sz w:val="22"/>
              </w:rPr>
            </w:pPr>
          </w:p>
          <w:p w14:paraId="6D29B47C">
            <w:pPr>
              <w:pStyle w:val="14"/>
              <w:ind w:left="98" w:right="92"/>
              <w:jc w:val="center"/>
              <w:rPr>
                <w:rFonts w:ascii="Times New Roman"/>
                <w:sz w:val="21"/>
              </w:rPr>
            </w:pPr>
            <w:r>
              <w:rPr>
                <w:rFonts w:ascii="Times New Roman"/>
                <w:sz w:val="21"/>
              </w:rPr>
              <w:t>0.2</w:t>
            </w:r>
          </w:p>
        </w:tc>
        <w:tc>
          <w:tcPr>
            <w:tcW w:w="615" w:type="dxa"/>
          </w:tcPr>
          <w:p w14:paraId="63EE32DE">
            <w:pPr>
              <w:pStyle w:val="14"/>
              <w:spacing w:before="4"/>
              <w:rPr>
                <w:b/>
                <w:sz w:val="22"/>
              </w:rPr>
            </w:pPr>
          </w:p>
          <w:p w14:paraId="3052F8D7">
            <w:pPr>
              <w:pStyle w:val="14"/>
              <w:ind w:left="102" w:right="94"/>
              <w:jc w:val="center"/>
              <w:rPr>
                <w:rFonts w:ascii="Times New Roman"/>
                <w:sz w:val="21"/>
              </w:rPr>
            </w:pPr>
            <w:r>
              <w:rPr>
                <w:rFonts w:ascii="Times New Roman"/>
                <w:sz w:val="21"/>
              </w:rPr>
              <w:t>0.13</w:t>
            </w:r>
          </w:p>
        </w:tc>
        <w:tc>
          <w:tcPr>
            <w:tcW w:w="458" w:type="dxa"/>
          </w:tcPr>
          <w:p w14:paraId="5347359F">
            <w:pPr>
              <w:pStyle w:val="14"/>
              <w:spacing w:before="135" w:line="242" w:lineRule="auto"/>
              <w:ind w:left="122" w:right="114"/>
              <w:rPr>
                <w:sz w:val="21"/>
              </w:rPr>
            </w:pPr>
            <w:r>
              <w:rPr>
                <w:sz w:val="21"/>
              </w:rPr>
              <w:t>达标</w:t>
            </w:r>
          </w:p>
        </w:tc>
        <w:tc>
          <w:tcPr>
            <w:tcW w:w="452" w:type="dxa"/>
          </w:tcPr>
          <w:p w14:paraId="5CEA5C61">
            <w:pPr>
              <w:pStyle w:val="14"/>
              <w:spacing w:before="135" w:line="242" w:lineRule="auto"/>
              <w:ind w:left="120" w:right="110"/>
              <w:rPr>
                <w:sz w:val="21"/>
              </w:rPr>
            </w:pPr>
            <w:r>
              <w:rPr>
                <w:sz w:val="21"/>
              </w:rPr>
              <w:t>达标</w:t>
            </w:r>
          </w:p>
        </w:tc>
      </w:tr>
      <w:tr w14:paraId="70D02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446" w:type="dxa"/>
          </w:tcPr>
          <w:p w14:paraId="1C533E6D">
            <w:pPr>
              <w:pStyle w:val="14"/>
              <w:spacing w:before="3"/>
              <w:rPr>
                <w:b/>
                <w:sz w:val="22"/>
              </w:rPr>
            </w:pPr>
          </w:p>
          <w:p w14:paraId="6F0C3285">
            <w:pPr>
              <w:pStyle w:val="14"/>
              <w:ind w:left="8"/>
              <w:jc w:val="center"/>
              <w:rPr>
                <w:rFonts w:ascii="Times New Roman"/>
                <w:sz w:val="21"/>
              </w:rPr>
            </w:pPr>
            <w:r>
              <w:rPr>
                <w:rFonts w:ascii="Times New Roman"/>
                <w:w w:val="99"/>
                <w:sz w:val="21"/>
              </w:rPr>
              <w:t>4</w:t>
            </w:r>
          </w:p>
        </w:tc>
        <w:tc>
          <w:tcPr>
            <w:tcW w:w="497" w:type="dxa"/>
          </w:tcPr>
          <w:p w14:paraId="6490D66A">
            <w:pPr>
              <w:pStyle w:val="14"/>
              <w:spacing w:line="242" w:lineRule="auto"/>
              <w:ind w:left="141" w:right="134"/>
              <w:rPr>
                <w:sz w:val="21"/>
              </w:rPr>
            </w:pPr>
            <w:r>
              <w:rPr>
                <w:sz w:val="21"/>
              </w:rPr>
              <w:t>北厂</w:t>
            </w:r>
          </w:p>
          <w:p w14:paraId="77557F97">
            <w:pPr>
              <w:pStyle w:val="14"/>
              <w:spacing w:before="1" w:line="252" w:lineRule="exact"/>
              <w:ind w:left="141"/>
              <w:rPr>
                <w:sz w:val="21"/>
              </w:rPr>
            </w:pPr>
            <w:r>
              <w:rPr>
                <w:w w:val="99"/>
                <w:sz w:val="21"/>
              </w:rPr>
              <w:t>界</w:t>
            </w:r>
          </w:p>
        </w:tc>
        <w:tc>
          <w:tcPr>
            <w:tcW w:w="463" w:type="dxa"/>
          </w:tcPr>
          <w:p w14:paraId="42F99459">
            <w:pPr>
              <w:pStyle w:val="14"/>
              <w:spacing w:before="3"/>
              <w:rPr>
                <w:b/>
                <w:sz w:val="22"/>
              </w:rPr>
            </w:pPr>
          </w:p>
          <w:p w14:paraId="0ED02063">
            <w:pPr>
              <w:pStyle w:val="14"/>
              <w:ind w:left="41" w:right="35"/>
              <w:jc w:val="center"/>
              <w:rPr>
                <w:rFonts w:ascii="Times New Roman"/>
                <w:sz w:val="21"/>
              </w:rPr>
            </w:pPr>
            <w:r>
              <w:rPr>
                <w:rFonts w:ascii="Times New Roman"/>
                <w:sz w:val="21"/>
              </w:rPr>
              <w:t>48</w:t>
            </w:r>
          </w:p>
        </w:tc>
        <w:tc>
          <w:tcPr>
            <w:tcW w:w="464" w:type="dxa"/>
          </w:tcPr>
          <w:p w14:paraId="35236468">
            <w:pPr>
              <w:pStyle w:val="14"/>
              <w:spacing w:before="3"/>
              <w:rPr>
                <w:b/>
                <w:sz w:val="22"/>
              </w:rPr>
            </w:pPr>
          </w:p>
          <w:p w14:paraId="7F4D8D65">
            <w:pPr>
              <w:pStyle w:val="14"/>
              <w:ind w:left="127"/>
              <w:rPr>
                <w:rFonts w:ascii="Times New Roman"/>
                <w:sz w:val="21"/>
              </w:rPr>
            </w:pPr>
            <w:r>
              <w:rPr>
                <w:rFonts w:ascii="Times New Roman"/>
                <w:sz w:val="21"/>
              </w:rPr>
              <w:t>43</w:t>
            </w:r>
          </w:p>
        </w:tc>
        <w:tc>
          <w:tcPr>
            <w:tcW w:w="464" w:type="dxa"/>
          </w:tcPr>
          <w:p w14:paraId="4EE19446">
            <w:pPr>
              <w:pStyle w:val="14"/>
              <w:spacing w:before="3"/>
              <w:rPr>
                <w:b/>
                <w:sz w:val="22"/>
              </w:rPr>
            </w:pPr>
          </w:p>
          <w:p w14:paraId="7C4E7A93">
            <w:pPr>
              <w:pStyle w:val="14"/>
              <w:ind w:left="10"/>
              <w:jc w:val="center"/>
              <w:rPr>
                <w:rFonts w:ascii="Times New Roman"/>
                <w:sz w:val="21"/>
              </w:rPr>
            </w:pPr>
            <w:r>
              <w:rPr>
                <w:rFonts w:ascii="Times New Roman"/>
                <w:w w:val="99"/>
                <w:sz w:val="21"/>
              </w:rPr>
              <w:t>/</w:t>
            </w:r>
          </w:p>
        </w:tc>
        <w:tc>
          <w:tcPr>
            <w:tcW w:w="464" w:type="dxa"/>
          </w:tcPr>
          <w:p w14:paraId="244B2730">
            <w:pPr>
              <w:pStyle w:val="14"/>
              <w:spacing w:before="3"/>
              <w:rPr>
                <w:b/>
                <w:sz w:val="22"/>
              </w:rPr>
            </w:pPr>
          </w:p>
          <w:p w14:paraId="728DA44C">
            <w:pPr>
              <w:pStyle w:val="14"/>
              <w:ind w:right="191"/>
              <w:jc w:val="right"/>
              <w:rPr>
                <w:rFonts w:ascii="Times New Roman"/>
                <w:sz w:val="21"/>
              </w:rPr>
            </w:pPr>
            <w:r>
              <w:rPr>
                <w:rFonts w:ascii="Times New Roman"/>
                <w:w w:val="99"/>
                <w:sz w:val="21"/>
              </w:rPr>
              <w:t>/</w:t>
            </w:r>
          </w:p>
        </w:tc>
        <w:tc>
          <w:tcPr>
            <w:tcW w:w="464" w:type="dxa"/>
          </w:tcPr>
          <w:p w14:paraId="1FB48D1C">
            <w:pPr>
              <w:pStyle w:val="14"/>
              <w:spacing w:before="3"/>
              <w:rPr>
                <w:b/>
                <w:sz w:val="22"/>
              </w:rPr>
            </w:pPr>
          </w:p>
          <w:p w14:paraId="30BF7380">
            <w:pPr>
              <w:pStyle w:val="14"/>
              <w:ind w:left="105" w:right="97"/>
              <w:jc w:val="center"/>
              <w:rPr>
                <w:rFonts w:ascii="Times New Roman"/>
                <w:sz w:val="21"/>
              </w:rPr>
            </w:pPr>
            <w:r>
              <w:rPr>
                <w:rFonts w:ascii="Times New Roman"/>
                <w:sz w:val="21"/>
              </w:rPr>
              <w:t>60</w:t>
            </w:r>
          </w:p>
        </w:tc>
        <w:tc>
          <w:tcPr>
            <w:tcW w:w="464" w:type="dxa"/>
          </w:tcPr>
          <w:p w14:paraId="4ACC2445">
            <w:pPr>
              <w:pStyle w:val="14"/>
              <w:spacing w:before="3"/>
              <w:rPr>
                <w:b/>
                <w:sz w:val="22"/>
              </w:rPr>
            </w:pPr>
          </w:p>
          <w:p w14:paraId="66F2DE4B">
            <w:pPr>
              <w:pStyle w:val="14"/>
              <w:ind w:left="106" w:right="97"/>
              <w:jc w:val="center"/>
              <w:rPr>
                <w:rFonts w:ascii="Times New Roman"/>
                <w:sz w:val="21"/>
              </w:rPr>
            </w:pPr>
            <w:r>
              <w:rPr>
                <w:rFonts w:ascii="Times New Roman"/>
                <w:sz w:val="21"/>
              </w:rPr>
              <w:t>50</w:t>
            </w:r>
          </w:p>
        </w:tc>
        <w:tc>
          <w:tcPr>
            <w:tcW w:w="614" w:type="dxa"/>
          </w:tcPr>
          <w:p w14:paraId="0AB38D49">
            <w:pPr>
              <w:pStyle w:val="14"/>
              <w:spacing w:before="3"/>
              <w:rPr>
                <w:b/>
                <w:sz w:val="22"/>
              </w:rPr>
            </w:pPr>
          </w:p>
          <w:p w14:paraId="629FCACD">
            <w:pPr>
              <w:pStyle w:val="14"/>
              <w:ind w:left="103" w:right="92"/>
              <w:jc w:val="center"/>
              <w:rPr>
                <w:rFonts w:ascii="Times New Roman"/>
                <w:sz w:val="21"/>
              </w:rPr>
            </w:pPr>
            <w:r>
              <w:rPr>
                <w:rFonts w:ascii="Times New Roman"/>
                <w:sz w:val="21"/>
              </w:rPr>
              <w:t>42.8</w:t>
            </w:r>
          </w:p>
        </w:tc>
        <w:tc>
          <w:tcPr>
            <w:tcW w:w="615" w:type="dxa"/>
          </w:tcPr>
          <w:p w14:paraId="27809E04">
            <w:pPr>
              <w:pStyle w:val="14"/>
              <w:spacing w:before="3"/>
              <w:rPr>
                <w:b/>
                <w:sz w:val="22"/>
              </w:rPr>
            </w:pPr>
          </w:p>
          <w:p w14:paraId="7564A07F">
            <w:pPr>
              <w:pStyle w:val="14"/>
              <w:ind w:left="100" w:right="94"/>
              <w:jc w:val="center"/>
              <w:rPr>
                <w:rFonts w:ascii="Times New Roman"/>
                <w:sz w:val="21"/>
              </w:rPr>
            </w:pPr>
            <w:r>
              <w:rPr>
                <w:rFonts w:ascii="Times New Roman"/>
                <w:sz w:val="21"/>
              </w:rPr>
              <w:t>36</w:t>
            </w:r>
          </w:p>
        </w:tc>
        <w:tc>
          <w:tcPr>
            <w:tcW w:w="714" w:type="dxa"/>
          </w:tcPr>
          <w:p w14:paraId="3665A71A">
            <w:pPr>
              <w:pStyle w:val="14"/>
              <w:spacing w:before="3"/>
              <w:rPr>
                <w:b/>
                <w:sz w:val="22"/>
              </w:rPr>
            </w:pPr>
          </w:p>
          <w:p w14:paraId="055A2319">
            <w:pPr>
              <w:pStyle w:val="14"/>
              <w:ind w:left="100" w:right="91"/>
              <w:jc w:val="center"/>
              <w:rPr>
                <w:rFonts w:ascii="Times New Roman"/>
                <w:sz w:val="21"/>
              </w:rPr>
            </w:pPr>
            <w:r>
              <w:rPr>
                <w:rFonts w:ascii="Times New Roman"/>
                <w:sz w:val="21"/>
              </w:rPr>
              <w:t>49.15</w:t>
            </w:r>
          </w:p>
        </w:tc>
        <w:tc>
          <w:tcPr>
            <w:tcW w:w="714" w:type="dxa"/>
          </w:tcPr>
          <w:p w14:paraId="6A6D7A2F">
            <w:pPr>
              <w:pStyle w:val="14"/>
              <w:spacing w:before="3"/>
              <w:rPr>
                <w:b/>
                <w:sz w:val="22"/>
              </w:rPr>
            </w:pPr>
          </w:p>
          <w:p w14:paraId="292A7314">
            <w:pPr>
              <w:pStyle w:val="14"/>
              <w:ind w:left="100" w:right="91"/>
              <w:jc w:val="center"/>
              <w:rPr>
                <w:rFonts w:ascii="Times New Roman"/>
                <w:sz w:val="21"/>
              </w:rPr>
            </w:pPr>
            <w:r>
              <w:rPr>
                <w:rFonts w:ascii="Times New Roman"/>
                <w:sz w:val="21"/>
              </w:rPr>
              <w:t>43.79</w:t>
            </w:r>
          </w:p>
        </w:tc>
        <w:tc>
          <w:tcPr>
            <w:tcW w:w="614" w:type="dxa"/>
          </w:tcPr>
          <w:p w14:paraId="3785FD4B">
            <w:pPr>
              <w:pStyle w:val="14"/>
              <w:spacing w:before="3"/>
              <w:rPr>
                <w:b/>
                <w:sz w:val="22"/>
              </w:rPr>
            </w:pPr>
          </w:p>
          <w:p w14:paraId="6E34FEF3">
            <w:pPr>
              <w:pStyle w:val="14"/>
              <w:ind w:left="102" w:right="92"/>
              <w:jc w:val="center"/>
              <w:rPr>
                <w:rFonts w:ascii="Times New Roman"/>
                <w:sz w:val="21"/>
              </w:rPr>
            </w:pPr>
            <w:r>
              <w:rPr>
                <w:rFonts w:ascii="Times New Roman"/>
                <w:sz w:val="21"/>
              </w:rPr>
              <w:t>1.15</w:t>
            </w:r>
          </w:p>
        </w:tc>
        <w:tc>
          <w:tcPr>
            <w:tcW w:w="615" w:type="dxa"/>
          </w:tcPr>
          <w:p w14:paraId="3300242D">
            <w:pPr>
              <w:pStyle w:val="14"/>
              <w:spacing w:before="3"/>
              <w:rPr>
                <w:b/>
                <w:sz w:val="22"/>
              </w:rPr>
            </w:pPr>
          </w:p>
          <w:p w14:paraId="6435A120">
            <w:pPr>
              <w:pStyle w:val="14"/>
              <w:ind w:left="102" w:right="94"/>
              <w:jc w:val="center"/>
              <w:rPr>
                <w:rFonts w:ascii="Times New Roman"/>
                <w:sz w:val="21"/>
              </w:rPr>
            </w:pPr>
            <w:r>
              <w:rPr>
                <w:rFonts w:ascii="Times New Roman"/>
                <w:sz w:val="21"/>
              </w:rPr>
              <w:t>0.79</w:t>
            </w:r>
          </w:p>
        </w:tc>
        <w:tc>
          <w:tcPr>
            <w:tcW w:w="458" w:type="dxa"/>
          </w:tcPr>
          <w:p w14:paraId="2A73B497">
            <w:pPr>
              <w:pStyle w:val="14"/>
              <w:spacing w:before="136" w:line="242" w:lineRule="auto"/>
              <w:ind w:left="122" w:right="114"/>
              <w:rPr>
                <w:sz w:val="21"/>
              </w:rPr>
            </w:pPr>
            <w:r>
              <w:rPr>
                <w:sz w:val="21"/>
              </w:rPr>
              <w:t>达标</w:t>
            </w:r>
          </w:p>
        </w:tc>
        <w:tc>
          <w:tcPr>
            <w:tcW w:w="452" w:type="dxa"/>
          </w:tcPr>
          <w:p w14:paraId="7CC9BA7B">
            <w:pPr>
              <w:pStyle w:val="14"/>
              <w:spacing w:before="136" w:line="242" w:lineRule="auto"/>
              <w:ind w:left="120" w:right="110"/>
              <w:rPr>
                <w:sz w:val="21"/>
              </w:rPr>
            </w:pPr>
            <w:r>
              <w:rPr>
                <w:sz w:val="21"/>
              </w:rPr>
              <w:t>达标</w:t>
            </w:r>
          </w:p>
        </w:tc>
      </w:tr>
      <w:tr w14:paraId="0316B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446" w:type="dxa"/>
          </w:tcPr>
          <w:p w14:paraId="562E73A3">
            <w:pPr>
              <w:pStyle w:val="14"/>
              <w:rPr>
                <w:b/>
                <w:sz w:val="22"/>
              </w:rPr>
            </w:pPr>
          </w:p>
          <w:p w14:paraId="790841D1">
            <w:pPr>
              <w:pStyle w:val="14"/>
              <w:spacing w:before="6"/>
              <w:rPr>
                <w:b/>
                <w:sz w:val="21"/>
              </w:rPr>
            </w:pPr>
          </w:p>
          <w:p w14:paraId="7D14E7A9">
            <w:pPr>
              <w:pStyle w:val="14"/>
              <w:ind w:left="8"/>
              <w:jc w:val="center"/>
              <w:rPr>
                <w:rFonts w:ascii="Times New Roman"/>
                <w:sz w:val="21"/>
              </w:rPr>
            </w:pPr>
            <w:r>
              <w:rPr>
                <w:rFonts w:ascii="Times New Roman"/>
                <w:w w:val="99"/>
                <w:sz w:val="21"/>
              </w:rPr>
              <w:t>5</w:t>
            </w:r>
          </w:p>
        </w:tc>
        <w:tc>
          <w:tcPr>
            <w:tcW w:w="497" w:type="dxa"/>
          </w:tcPr>
          <w:p w14:paraId="4AF1FCEC">
            <w:pPr>
              <w:pStyle w:val="14"/>
              <w:spacing w:before="1" w:line="242" w:lineRule="auto"/>
              <w:ind w:left="141" w:right="134"/>
              <w:jc w:val="both"/>
              <w:rPr>
                <w:sz w:val="21"/>
              </w:rPr>
            </w:pPr>
            <w:r>
              <w:rPr>
                <w:sz w:val="21"/>
              </w:rPr>
              <w:t>西侧居民</w:t>
            </w:r>
          </w:p>
          <w:p w14:paraId="788D8132">
            <w:pPr>
              <w:pStyle w:val="14"/>
              <w:spacing w:line="253" w:lineRule="exact"/>
              <w:ind w:left="141"/>
              <w:jc w:val="both"/>
              <w:rPr>
                <w:sz w:val="21"/>
              </w:rPr>
            </w:pPr>
            <w:r>
              <w:rPr>
                <w:w w:val="99"/>
                <w:sz w:val="21"/>
              </w:rPr>
              <w:t>点</w:t>
            </w:r>
          </w:p>
        </w:tc>
        <w:tc>
          <w:tcPr>
            <w:tcW w:w="463" w:type="dxa"/>
          </w:tcPr>
          <w:p w14:paraId="59F3051F">
            <w:pPr>
              <w:pStyle w:val="14"/>
              <w:rPr>
                <w:b/>
                <w:sz w:val="22"/>
              </w:rPr>
            </w:pPr>
          </w:p>
          <w:p w14:paraId="60656923">
            <w:pPr>
              <w:pStyle w:val="14"/>
              <w:spacing w:before="6"/>
              <w:rPr>
                <w:b/>
                <w:sz w:val="21"/>
              </w:rPr>
            </w:pPr>
          </w:p>
          <w:p w14:paraId="3E169078">
            <w:pPr>
              <w:pStyle w:val="14"/>
              <w:ind w:left="41" w:right="35"/>
              <w:jc w:val="center"/>
              <w:rPr>
                <w:rFonts w:ascii="Times New Roman"/>
                <w:sz w:val="21"/>
              </w:rPr>
            </w:pPr>
            <w:r>
              <w:rPr>
                <w:rFonts w:ascii="Times New Roman"/>
                <w:sz w:val="21"/>
              </w:rPr>
              <w:t>50</w:t>
            </w:r>
          </w:p>
        </w:tc>
        <w:tc>
          <w:tcPr>
            <w:tcW w:w="464" w:type="dxa"/>
          </w:tcPr>
          <w:p w14:paraId="1F5529FE">
            <w:pPr>
              <w:pStyle w:val="14"/>
              <w:rPr>
                <w:b/>
                <w:sz w:val="22"/>
              </w:rPr>
            </w:pPr>
          </w:p>
          <w:p w14:paraId="768EA1A9">
            <w:pPr>
              <w:pStyle w:val="14"/>
              <w:spacing w:before="6"/>
              <w:rPr>
                <w:b/>
                <w:sz w:val="21"/>
              </w:rPr>
            </w:pPr>
          </w:p>
          <w:p w14:paraId="7598D6DA">
            <w:pPr>
              <w:pStyle w:val="14"/>
              <w:ind w:left="127"/>
              <w:rPr>
                <w:rFonts w:ascii="Times New Roman"/>
                <w:sz w:val="21"/>
              </w:rPr>
            </w:pPr>
            <w:r>
              <w:rPr>
                <w:rFonts w:ascii="Times New Roman"/>
                <w:sz w:val="21"/>
              </w:rPr>
              <w:t>45</w:t>
            </w:r>
          </w:p>
        </w:tc>
        <w:tc>
          <w:tcPr>
            <w:tcW w:w="464" w:type="dxa"/>
          </w:tcPr>
          <w:p w14:paraId="1E806DBD">
            <w:pPr>
              <w:pStyle w:val="14"/>
              <w:rPr>
                <w:b/>
                <w:sz w:val="22"/>
              </w:rPr>
            </w:pPr>
          </w:p>
          <w:p w14:paraId="2CD9C147">
            <w:pPr>
              <w:pStyle w:val="14"/>
              <w:spacing w:before="6"/>
              <w:rPr>
                <w:b/>
                <w:sz w:val="21"/>
              </w:rPr>
            </w:pPr>
          </w:p>
          <w:p w14:paraId="705290FC">
            <w:pPr>
              <w:pStyle w:val="14"/>
              <w:ind w:left="10"/>
              <w:jc w:val="center"/>
              <w:rPr>
                <w:rFonts w:ascii="Times New Roman"/>
                <w:sz w:val="21"/>
              </w:rPr>
            </w:pPr>
            <w:r>
              <w:rPr>
                <w:rFonts w:ascii="Times New Roman"/>
                <w:w w:val="99"/>
                <w:sz w:val="21"/>
              </w:rPr>
              <w:t>/</w:t>
            </w:r>
          </w:p>
        </w:tc>
        <w:tc>
          <w:tcPr>
            <w:tcW w:w="464" w:type="dxa"/>
          </w:tcPr>
          <w:p w14:paraId="60C6C852">
            <w:pPr>
              <w:pStyle w:val="14"/>
              <w:rPr>
                <w:b/>
                <w:sz w:val="22"/>
              </w:rPr>
            </w:pPr>
          </w:p>
          <w:p w14:paraId="5D28DA7D">
            <w:pPr>
              <w:pStyle w:val="14"/>
              <w:spacing w:before="6"/>
              <w:rPr>
                <w:b/>
                <w:sz w:val="21"/>
              </w:rPr>
            </w:pPr>
          </w:p>
          <w:p w14:paraId="5F811DB7">
            <w:pPr>
              <w:pStyle w:val="14"/>
              <w:ind w:right="191"/>
              <w:jc w:val="right"/>
              <w:rPr>
                <w:rFonts w:ascii="Times New Roman"/>
                <w:sz w:val="21"/>
              </w:rPr>
            </w:pPr>
            <w:r>
              <w:rPr>
                <w:rFonts w:ascii="Times New Roman"/>
                <w:w w:val="99"/>
                <w:sz w:val="21"/>
              </w:rPr>
              <w:t>/</w:t>
            </w:r>
          </w:p>
        </w:tc>
        <w:tc>
          <w:tcPr>
            <w:tcW w:w="464" w:type="dxa"/>
          </w:tcPr>
          <w:p w14:paraId="51C8E5C0">
            <w:pPr>
              <w:pStyle w:val="14"/>
              <w:rPr>
                <w:b/>
                <w:sz w:val="22"/>
              </w:rPr>
            </w:pPr>
          </w:p>
          <w:p w14:paraId="603C1941">
            <w:pPr>
              <w:pStyle w:val="14"/>
              <w:spacing w:before="6"/>
              <w:rPr>
                <w:b/>
                <w:sz w:val="21"/>
              </w:rPr>
            </w:pPr>
          </w:p>
          <w:p w14:paraId="426368AC">
            <w:pPr>
              <w:pStyle w:val="14"/>
              <w:ind w:left="105" w:right="97"/>
              <w:jc w:val="center"/>
              <w:rPr>
                <w:rFonts w:ascii="Times New Roman"/>
                <w:sz w:val="21"/>
              </w:rPr>
            </w:pPr>
            <w:r>
              <w:rPr>
                <w:rFonts w:ascii="Times New Roman"/>
                <w:sz w:val="21"/>
              </w:rPr>
              <w:t>60</w:t>
            </w:r>
          </w:p>
        </w:tc>
        <w:tc>
          <w:tcPr>
            <w:tcW w:w="464" w:type="dxa"/>
          </w:tcPr>
          <w:p w14:paraId="6842C0E5">
            <w:pPr>
              <w:pStyle w:val="14"/>
              <w:rPr>
                <w:b/>
                <w:sz w:val="22"/>
              </w:rPr>
            </w:pPr>
          </w:p>
          <w:p w14:paraId="06583ED6">
            <w:pPr>
              <w:pStyle w:val="14"/>
              <w:spacing w:before="6"/>
              <w:rPr>
                <w:b/>
                <w:sz w:val="21"/>
              </w:rPr>
            </w:pPr>
          </w:p>
          <w:p w14:paraId="2498D331">
            <w:pPr>
              <w:pStyle w:val="14"/>
              <w:ind w:left="106" w:right="97"/>
              <w:jc w:val="center"/>
              <w:rPr>
                <w:rFonts w:ascii="Times New Roman"/>
                <w:sz w:val="21"/>
              </w:rPr>
            </w:pPr>
            <w:r>
              <w:rPr>
                <w:rFonts w:ascii="Times New Roman"/>
                <w:sz w:val="21"/>
              </w:rPr>
              <w:t>50</w:t>
            </w:r>
          </w:p>
        </w:tc>
        <w:tc>
          <w:tcPr>
            <w:tcW w:w="614" w:type="dxa"/>
          </w:tcPr>
          <w:p w14:paraId="5DD1EBB8">
            <w:pPr>
              <w:pStyle w:val="14"/>
              <w:rPr>
                <w:b/>
                <w:sz w:val="22"/>
              </w:rPr>
            </w:pPr>
          </w:p>
          <w:p w14:paraId="5756BA43">
            <w:pPr>
              <w:pStyle w:val="14"/>
              <w:spacing w:before="6"/>
              <w:rPr>
                <w:b/>
                <w:sz w:val="21"/>
              </w:rPr>
            </w:pPr>
          </w:p>
          <w:p w14:paraId="1756F6A7">
            <w:pPr>
              <w:pStyle w:val="14"/>
              <w:ind w:left="103" w:right="92"/>
              <w:jc w:val="center"/>
              <w:rPr>
                <w:rFonts w:ascii="Times New Roman"/>
                <w:sz w:val="21"/>
              </w:rPr>
            </w:pPr>
            <w:r>
              <w:rPr>
                <w:rFonts w:ascii="Times New Roman"/>
                <w:sz w:val="21"/>
              </w:rPr>
              <w:t>37.2</w:t>
            </w:r>
          </w:p>
        </w:tc>
        <w:tc>
          <w:tcPr>
            <w:tcW w:w="615" w:type="dxa"/>
          </w:tcPr>
          <w:p w14:paraId="0EACF88B">
            <w:pPr>
              <w:pStyle w:val="14"/>
              <w:rPr>
                <w:b/>
                <w:sz w:val="22"/>
              </w:rPr>
            </w:pPr>
          </w:p>
          <w:p w14:paraId="4D2837B0">
            <w:pPr>
              <w:pStyle w:val="14"/>
              <w:spacing w:before="6"/>
              <w:rPr>
                <w:b/>
                <w:sz w:val="21"/>
              </w:rPr>
            </w:pPr>
          </w:p>
          <w:p w14:paraId="618D2ADA">
            <w:pPr>
              <w:pStyle w:val="14"/>
              <w:ind w:left="102" w:right="94"/>
              <w:jc w:val="center"/>
              <w:rPr>
                <w:rFonts w:ascii="Times New Roman"/>
                <w:sz w:val="21"/>
              </w:rPr>
            </w:pPr>
            <w:r>
              <w:rPr>
                <w:rFonts w:ascii="Times New Roman"/>
                <w:sz w:val="21"/>
              </w:rPr>
              <w:t>30.4</w:t>
            </w:r>
          </w:p>
        </w:tc>
        <w:tc>
          <w:tcPr>
            <w:tcW w:w="714" w:type="dxa"/>
          </w:tcPr>
          <w:p w14:paraId="2DAD91D9">
            <w:pPr>
              <w:pStyle w:val="14"/>
              <w:rPr>
                <w:b/>
                <w:sz w:val="22"/>
              </w:rPr>
            </w:pPr>
          </w:p>
          <w:p w14:paraId="289857A3">
            <w:pPr>
              <w:pStyle w:val="14"/>
              <w:spacing w:before="6"/>
              <w:rPr>
                <w:b/>
                <w:sz w:val="21"/>
              </w:rPr>
            </w:pPr>
          </w:p>
          <w:p w14:paraId="7B2DC662">
            <w:pPr>
              <w:pStyle w:val="14"/>
              <w:ind w:left="100" w:right="91"/>
              <w:jc w:val="center"/>
              <w:rPr>
                <w:rFonts w:ascii="Times New Roman"/>
                <w:sz w:val="21"/>
              </w:rPr>
            </w:pPr>
            <w:r>
              <w:rPr>
                <w:rFonts w:ascii="Times New Roman"/>
                <w:sz w:val="21"/>
              </w:rPr>
              <w:t>50.22</w:t>
            </w:r>
          </w:p>
        </w:tc>
        <w:tc>
          <w:tcPr>
            <w:tcW w:w="714" w:type="dxa"/>
          </w:tcPr>
          <w:p w14:paraId="1402442A">
            <w:pPr>
              <w:pStyle w:val="14"/>
              <w:rPr>
                <w:b/>
                <w:sz w:val="22"/>
              </w:rPr>
            </w:pPr>
          </w:p>
          <w:p w14:paraId="0F6B653F">
            <w:pPr>
              <w:pStyle w:val="14"/>
              <w:spacing w:before="6"/>
              <w:rPr>
                <w:b/>
                <w:sz w:val="21"/>
              </w:rPr>
            </w:pPr>
          </w:p>
          <w:p w14:paraId="6097DFF8">
            <w:pPr>
              <w:pStyle w:val="14"/>
              <w:ind w:left="100" w:right="91"/>
              <w:jc w:val="center"/>
              <w:rPr>
                <w:rFonts w:ascii="Times New Roman"/>
                <w:sz w:val="21"/>
              </w:rPr>
            </w:pPr>
            <w:r>
              <w:rPr>
                <w:rFonts w:ascii="Times New Roman"/>
                <w:sz w:val="21"/>
              </w:rPr>
              <w:t>45.15</w:t>
            </w:r>
          </w:p>
        </w:tc>
        <w:tc>
          <w:tcPr>
            <w:tcW w:w="614" w:type="dxa"/>
          </w:tcPr>
          <w:p w14:paraId="720A01E2">
            <w:pPr>
              <w:pStyle w:val="14"/>
              <w:rPr>
                <w:b/>
                <w:sz w:val="22"/>
              </w:rPr>
            </w:pPr>
          </w:p>
          <w:p w14:paraId="09ADD02B">
            <w:pPr>
              <w:pStyle w:val="14"/>
              <w:spacing w:before="6"/>
              <w:rPr>
                <w:b/>
                <w:sz w:val="21"/>
              </w:rPr>
            </w:pPr>
          </w:p>
          <w:p w14:paraId="10881F28">
            <w:pPr>
              <w:pStyle w:val="14"/>
              <w:ind w:left="102" w:right="92"/>
              <w:jc w:val="center"/>
              <w:rPr>
                <w:rFonts w:ascii="Times New Roman"/>
                <w:sz w:val="21"/>
              </w:rPr>
            </w:pPr>
            <w:r>
              <w:rPr>
                <w:rFonts w:ascii="Times New Roman"/>
                <w:sz w:val="21"/>
              </w:rPr>
              <w:t>0.22</w:t>
            </w:r>
          </w:p>
        </w:tc>
        <w:tc>
          <w:tcPr>
            <w:tcW w:w="615" w:type="dxa"/>
          </w:tcPr>
          <w:p w14:paraId="07C4C06A">
            <w:pPr>
              <w:pStyle w:val="14"/>
              <w:rPr>
                <w:b/>
                <w:sz w:val="22"/>
              </w:rPr>
            </w:pPr>
          </w:p>
          <w:p w14:paraId="485E92E0">
            <w:pPr>
              <w:pStyle w:val="14"/>
              <w:spacing w:before="6"/>
              <w:rPr>
                <w:b/>
                <w:sz w:val="21"/>
              </w:rPr>
            </w:pPr>
          </w:p>
          <w:p w14:paraId="49CB2F7E">
            <w:pPr>
              <w:pStyle w:val="14"/>
              <w:ind w:left="102" w:right="94"/>
              <w:jc w:val="center"/>
              <w:rPr>
                <w:rFonts w:ascii="Times New Roman"/>
                <w:sz w:val="21"/>
              </w:rPr>
            </w:pPr>
            <w:r>
              <w:rPr>
                <w:rFonts w:ascii="Times New Roman"/>
                <w:sz w:val="21"/>
              </w:rPr>
              <w:t>0.15</w:t>
            </w:r>
          </w:p>
        </w:tc>
        <w:tc>
          <w:tcPr>
            <w:tcW w:w="458" w:type="dxa"/>
          </w:tcPr>
          <w:p w14:paraId="34982C5D">
            <w:pPr>
              <w:pStyle w:val="14"/>
              <w:rPr>
                <w:b/>
                <w:sz w:val="20"/>
              </w:rPr>
            </w:pPr>
          </w:p>
          <w:p w14:paraId="778E9A62">
            <w:pPr>
              <w:pStyle w:val="14"/>
              <w:spacing w:before="152" w:line="242" w:lineRule="auto"/>
              <w:ind w:left="122" w:right="114"/>
              <w:rPr>
                <w:sz w:val="21"/>
              </w:rPr>
            </w:pPr>
            <w:r>
              <w:rPr>
                <w:sz w:val="21"/>
              </w:rPr>
              <w:t>达标</w:t>
            </w:r>
          </w:p>
        </w:tc>
        <w:tc>
          <w:tcPr>
            <w:tcW w:w="452" w:type="dxa"/>
          </w:tcPr>
          <w:p w14:paraId="116FD954">
            <w:pPr>
              <w:pStyle w:val="14"/>
              <w:rPr>
                <w:b/>
                <w:sz w:val="20"/>
              </w:rPr>
            </w:pPr>
          </w:p>
          <w:p w14:paraId="19D9C6F0">
            <w:pPr>
              <w:pStyle w:val="14"/>
              <w:spacing w:before="152" w:line="242" w:lineRule="auto"/>
              <w:ind w:left="120" w:right="110"/>
              <w:rPr>
                <w:sz w:val="21"/>
              </w:rPr>
            </w:pPr>
            <w:r>
              <w:rPr>
                <w:sz w:val="21"/>
              </w:rPr>
              <w:t>达标</w:t>
            </w:r>
          </w:p>
        </w:tc>
      </w:tr>
      <w:tr w14:paraId="34E36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446" w:type="dxa"/>
          </w:tcPr>
          <w:p w14:paraId="01B12BA1">
            <w:pPr>
              <w:pStyle w:val="14"/>
              <w:rPr>
                <w:b/>
                <w:sz w:val="22"/>
              </w:rPr>
            </w:pPr>
          </w:p>
          <w:p w14:paraId="41CA926C">
            <w:pPr>
              <w:pStyle w:val="14"/>
              <w:spacing w:before="4"/>
              <w:rPr>
                <w:b/>
                <w:sz w:val="32"/>
              </w:rPr>
            </w:pPr>
          </w:p>
          <w:p w14:paraId="428C6F77">
            <w:pPr>
              <w:pStyle w:val="14"/>
              <w:ind w:left="8"/>
              <w:jc w:val="center"/>
              <w:rPr>
                <w:rFonts w:ascii="Times New Roman"/>
                <w:sz w:val="21"/>
              </w:rPr>
            </w:pPr>
            <w:r>
              <w:rPr>
                <w:rFonts w:ascii="Times New Roman"/>
                <w:w w:val="99"/>
                <w:sz w:val="21"/>
              </w:rPr>
              <w:t>6</w:t>
            </w:r>
          </w:p>
        </w:tc>
        <w:tc>
          <w:tcPr>
            <w:tcW w:w="497" w:type="dxa"/>
          </w:tcPr>
          <w:p w14:paraId="795CFD1D">
            <w:pPr>
              <w:pStyle w:val="14"/>
              <w:spacing w:line="242" w:lineRule="auto"/>
              <w:ind w:left="141" w:right="134"/>
              <w:jc w:val="both"/>
              <w:rPr>
                <w:sz w:val="21"/>
              </w:rPr>
            </w:pPr>
            <w:r>
              <w:rPr>
                <w:sz w:val="21"/>
              </w:rPr>
              <w:t>东南侧居</w:t>
            </w:r>
          </w:p>
          <w:p w14:paraId="4849A1B6">
            <w:pPr>
              <w:pStyle w:val="14"/>
              <w:spacing w:before="2" w:line="270" w:lineRule="atLeast"/>
              <w:ind w:left="141" w:right="134"/>
              <w:jc w:val="both"/>
              <w:rPr>
                <w:sz w:val="21"/>
              </w:rPr>
            </w:pPr>
            <w:r>
              <w:rPr>
                <w:sz w:val="21"/>
              </w:rPr>
              <w:t>民点</w:t>
            </w:r>
          </w:p>
        </w:tc>
        <w:tc>
          <w:tcPr>
            <w:tcW w:w="463" w:type="dxa"/>
          </w:tcPr>
          <w:p w14:paraId="22423794">
            <w:pPr>
              <w:pStyle w:val="14"/>
              <w:rPr>
                <w:b/>
                <w:sz w:val="22"/>
              </w:rPr>
            </w:pPr>
          </w:p>
          <w:p w14:paraId="2456D6A8">
            <w:pPr>
              <w:pStyle w:val="14"/>
              <w:spacing w:before="4"/>
              <w:rPr>
                <w:b/>
                <w:sz w:val="32"/>
              </w:rPr>
            </w:pPr>
          </w:p>
          <w:p w14:paraId="79419785">
            <w:pPr>
              <w:pStyle w:val="14"/>
              <w:ind w:left="41" w:right="35"/>
              <w:jc w:val="center"/>
              <w:rPr>
                <w:rFonts w:ascii="Times New Roman"/>
                <w:sz w:val="21"/>
              </w:rPr>
            </w:pPr>
            <w:r>
              <w:rPr>
                <w:rFonts w:ascii="Times New Roman"/>
                <w:sz w:val="21"/>
              </w:rPr>
              <w:t>48</w:t>
            </w:r>
          </w:p>
        </w:tc>
        <w:tc>
          <w:tcPr>
            <w:tcW w:w="464" w:type="dxa"/>
          </w:tcPr>
          <w:p w14:paraId="37AAA03B">
            <w:pPr>
              <w:pStyle w:val="14"/>
              <w:rPr>
                <w:b/>
                <w:sz w:val="22"/>
              </w:rPr>
            </w:pPr>
          </w:p>
          <w:p w14:paraId="181218C2">
            <w:pPr>
              <w:pStyle w:val="14"/>
              <w:spacing w:before="4"/>
              <w:rPr>
                <w:b/>
                <w:sz w:val="32"/>
              </w:rPr>
            </w:pPr>
          </w:p>
          <w:p w14:paraId="63DBE19E">
            <w:pPr>
              <w:pStyle w:val="14"/>
              <w:ind w:left="127"/>
              <w:rPr>
                <w:rFonts w:ascii="Times New Roman"/>
                <w:sz w:val="21"/>
              </w:rPr>
            </w:pPr>
            <w:r>
              <w:rPr>
                <w:rFonts w:ascii="Times New Roman"/>
                <w:sz w:val="21"/>
              </w:rPr>
              <w:t>43</w:t>
            </w:r>
          </w:p>
        </w:tc>
        <w:tc>
          <w:tcPr>
            <w:tcW w:w="464" w:type="dxa"/>
          </w:tcPr>
          <w:p w14:paraId="27B634BA">
            <w:pPr>
              <w:pStyle w:val="14"/>
              <w:rPr>
                <w:b/>
                <w:sz w:val="22"/>
              </w:rPr>
            </w:pPr>
          </w:p>
          <w:p w14:paraId="31827235">
            <w:pPr>
              <w:pStyle w:val="14"/>
              <w:spacing w:before="4"/>
              <w:rPr>
                <w:b/>
                <w:sz w:val="32"/>
              </w:rPr>
            </w:pPr>
          </w:p>
          <w:p w14:paraId="7E2A3EF4">
            <w:pPr>
              <w:pStyle w:val="14"/>
              <w:ind w:left="10"/>
              <w:jc w:val="center"/>
              <w:rPr>
                <w:rFonts w:ascii="Times New Roman"/>
                <w:sz w:val="21"/>
              </w:rPr>
            </w:pPr>
            <w:r>
              <w:rPr>
                <w:rFonts w:ascii="Times New Roman"/>
                <w:w w:val="99"/>
                <w:sz w:val="21"/>
              </w:rPr>
              <w:t>/</w:t>
            </w:r>
          </w:p>
        </w:tc>
        <w:tc>
          <w:tcPr>
            <w:tcW w:w="464" w:type="dxa"/>
          </w:tcPr>
          <w:p w14:paraId="3C26A3B0">
            <w:pPr>
              <w:pStyle w:val="14"/>
              <w:rPr>
                <w:b/>
                <w:sz w:val="22"/>
              </w:rPr>
            </w:pPr>
          </w:p>
          <w:p w14:paraId="09019801">
            <w:pPr>
              <w:pStyle w:val="14"/>
              <w:spacing w:before="4"/>
              <w:rPr>
                <w:b/>
                <w:sz w:val="32"/>
              </w:rPr>
            </w:pPr>
          </w:p>
          <w:p w14:paraId="70CCE21D">
            <w:pPr>
              <w:pStyle w:val="14"/>
              <w:ind w:right="191"/>
              <w:jc w:val="right"/>
              <w:rPr>
                <w:rFonts w:ascii="Times New Roman"/>
                <w:sz w:val="21"/>
              </w:rPr>
            </w:pPr>
            <w:r>
              <w:rPr>
                <w:rFonts w:ascii="Times New Roman"/>
                <w:w w:val="99"/>
                <w:sz w:val="21"/>
              </w:rPr>
              <w:t>/</w:t>
            </w:r>
          </w:p>
        </w:tc>
        <w:tc>
          <w:tcPr>
            <w:tcW w:w="464" w:type="dxa"/>
          </w:tcPr>
          <w:p w14:paraId="017FCB82">
            <w:pPr>
              <w:pStyle w:val="14"/>
              <w:rPr>
                <w:b/>
                <w:sz w:val="22"/>
              </w:rPr>
            </w:pPr>
          </w:p>
          <w:p w14:paraId="3D4C0B8C">
            <w:pPr>
              <w:pStyle w:val="14"/>
              <w:spacing w:before="4"/>
              <w:rPr>
                <w:b/>
                <w:sz w:val="32"/>
              </w:rPr>
            </w:pPr>
          </w:p>
          <w:p w14:paraId="0BCFD230">
            <w:pPr>
              <w:pStyle w:val="14"/>
              <w:ind w:left="105" w:right="97"/>
              <w:jc w:val="center"/>
              <w:rPr>
                <w:rFonts w:ascii="Times New Roman"/>
                <w:sz w:val="21"/>
              </w:rPr>
            </w:pPr>
            <w:r>
              <w:rPr>
                <w:rFonts w:ascii="Times New Roman"/>
                <w:sz w:val="21"/>
              </w:rPr>
              <w:t>60</w:t>
            </w:r>
          </w:p>
        </w:tc>
        <w:tc>
          <w:tcPr>
            <w:tcW w:w="464" w:type="dxa"/>
          </w:tcPr>
          <w:p w14:paraId="52A24BF2">
            <w:pPr>
              <w:pStyle w:val="14"/>
              <w:rPr>
                <w:b/>
                <w:sz w:val="22"/>
              </w:rPr>
            </w:pPr>
          </w:p>
          <w:p w14:paraId="4FF96574">
            <w:pPr>
              <w:pStyle w:val="14"/>
              <w:spacing w:before="4"/>
              <w:rPr>
                <w:b/>
                <w:sz w:val="32"/>
              </w:rPr>
            </w:pPr>
          </w:p>
          <w:p w14:paraId="704B3CF3">
            <w:pPr>
              <w:pStyle w:val="14"/>
              <w:ind w:left="106" w:right="97"/>
              <w:jc w:val="center"/>
              <w:rPr>
                <w:rFonts w:ascii="Times New Roman"/>
                <w:sz w:val="21"/>
              </w:rPr>
            </w:pPr>
            <w:r>
              <w:rPr>
                <w:rFonts w:ascii="Times New Roman"/>
                <w:sz w:val="21"/>
              </w:rPr>
              <w:t>50</w:t>
            </w:r>
          </w:p>
        </w:tc>
        <w:tc>
          <w:tcPr>
            <w:tcW w:w="614" w:type="dxa"/>
          </w:tcPr>
          <w:p w14:paraId="4A55BC49">
            <w:pPr>
              <w:pStyle w:val="14"/>
              <w:rPr>
                <w:b/>
                <w:sz w:val="22"/>
              </w:rPr>
            </w:pPr>
          </w:p>
          <w:p w14:paraId="40455ADD">
            <w:pPr>
              <w:pStyle w:val="14"/>
              <w:spacing w:before="4"/>
              <w:rPr>
                <w:b/>
                <w:sz w:val="32"/>
              </w:rPr>
            </w:pPr>
          </w:p>
          <w:p w14:paraId="660C6FFE">
            <w:pPr>
              <w:pStyle w:val="14"/>
              <w:ind w:left="103" w:right="92"/>
              <w:jc w:val="center"/>
              <w:rPr>
                <w:rFonts w:ascii="Times New Roman"/>
                <w:sz w:val="21"/>
              </w:rPr>
            </w:pPr>
            <w:r>
              <w:rPr>
                <w:rFonts w:ascii="Times New Roman"/>
                <w:sz w:val="21"/>
              </w:rPr>
              <w:t>30.3</w:t>
            </w:r>
          </w:p>
        </w:tc>
        <w:tc>
          <w:tcPr>
            <w:tcW w:w="615" w:type="dxa"/>
          </w:tcPr>
          <w:p w14:paraId="67AC50AC">
            <w:pPr>
              <w:pStyle w:val="14"/>
              <w:rPr>
                <w:b/>
                <w:sz w:val="22"/>
              </w:rPr>
            </w:pPr>
          </w:p>
          <w:p w14:paraId="7D4DA7E5">
            <w:pPr>
              <w:pStyle w:val="14"/>
              <w:spacing w:before="4"/>
              <w:rPr>
                <w:b/>
                <w:sz w:val="32"/>
              </w:rPr>
            </w:pPr>
          </w:p>
          <w:p w14:paraId="33DA7548">
            <w:pPr>
              <w:pStyle w:val="14"/>
              <w:ind w:left="102" w:right="94"/>
              <w:jc w:val="center"/>
              <w:rPr>
                <w:rFonts w:ascii="Times New Roman"/>
                <w:sz w:val="21"/>
              </w:rPr>
            </w:pPr>
            <w:r>
              <w:rPr>
                <w:rFonts w:ascii="Times New Roman"/>
                <w:sz w:val="21"/>
              </w:rPr>
              <w:t>23.6</w:t>
            </w:r>
          </w:p>
        </w:tc>
        <w:tc>
          <w:tcPr>
            <w:tcW w:w="714" w:type="dxa"/>
          </w:tcPr>
          <w:p w14:paraId="3A5B9CEC">
            <w:pPr>
              <w:pStyle w:val="14"/>
              <w:rPr>
                <w:b/>
                <w:sz w:val="22"/>
              </w:rPr>
            </w:pPr>
          </w:p>
          <w:p w14:paraId="165CE56A">
            <w:pPr>
              <w:pStyle w:val="14"/>
              <w:spacing w:before="4"/>
              <w:rPr>
                <w:b/>
                <w:sz w:val="32"/>
              </w:rPr>
            </w:pPr>
          </w:p>
          <w:p w14:paraId="3A7BC96B">
            <w:pPr>
              <w:pStyle w:val="14"/>
              <w:ind w:left="100" w:right="91"/>
              <w:jc w:val="center"/>
              <w:rPr>
                <w:rFonts w:ascii="Times New Roman"/>
                <w:sz w:val="21"/>
              </w:rPr>
            </w:pPr>
            <w:r>
              <w:rPr>
                <w:rFonts w:ascii="Times New Roman"/>
                <w:sz w:val="21"/>
              </w:rPr>
              <w:t>48.07</w:t>
            </w:r>
          </w:p>
        </w:tc>
        <w:tc>
          <w:tcPr>
            <w:tcW w:w="714" w:type="dxa"/>
          </w:tcPr>
          <w:p w14:paraId="5483DA3F">
            <w:pPr>
              <w:pStyle w:val="14"/>
              <w:rPr>
                <w:b/>
                <w:sz w:val="22"/>
              </w:rPr>
            </w:pPr>
          </w:p>
          <w:p w14:paraId="1EC40CD2">
            <w:pPr>
              <w:pStyle w:val="14"/>
              <w:spacing w:before="4"/>
              <w:rPr>
                <w:b/>
                <w:sz w:val="32"/>
              </w:rPr>
            </w:pPr>
          </w:p>
          <w:p w14:paraId="0536BD77">
            <w:pPr>
              <w:pStyle w:val="14"/>
              <w:ind w:left="100" w:right="91"/>
              <w:jc w:val="center"/>
              <w:rPr>
                <w:rFonts w:ascii="Times New Roman"/>
                <w:sz w:val="21"/>
              </w:rPr>
            </w:pPr>
            <w:r>
              <w:rPr>
                <w:rFonts w:ascii="Times New Roman"/>
                <w:sz w:val="21"/>
              </w:rPr>
              <w:t>43.05</w:t>
            </w:r>
          </w:p>
        </w:tc>
        <w:tc>
          <w:tcPr>
            <w:tcW w:w="614" w:type="dxa"/>
          </w:tcPr>
          <w:p w14:paraId="0F333BDB">
            <w:pPr>
              <w:pStyle w:val="14"/>
              <w:rPr>
                <w:b/>
                <w:sz w:val="22"/>
              </w:rPr>
            </w:pPr>
          </w:p>
          <w:p w14:paraId="5FCA3829">
            <w:pPr>
              <w:pStyle w:val="14"/>
              <w:spacing w:before="4"/>
              <w:rPr>
                <w:b/>
                <w:sz w:val="32"/>
              </w:rPr>
            </w:pPr>
          </w:p>
          <w:p w14:paraId="7D9924D7">
            <w:pPr>
              <w:pStyle w:val="14"/>
              <w:ind w:left="102" w:right="92"/>
              <w:jc w:val="center"/>
              <w:rPr>
                <w:rFonts w:ascii="Times New Roman"/>
                <w:sz w:val="21"/>
              </w:rPr>
            </w:pPr>
            <w:r>
              <w:rPr>
                <w:rFonts w:ascii="Times New Roman"/>
                <w:sz w:val="21"/>
              </w:rPr>
              <w:t>0.07</w:t>
            </w:r>
          </w:p>
        </w:tc>
        <w:tc>
          <w:tcPr>
            <w:tcW w:w="615" w:type="dxa"/>
          </w:tcPr>
          <w:p w14:paraId="1F23DAB3">
            <w:pPr>
              <w:pStyle w:val="14"/>
              <w:rPr>
                <w:b/>
                <w:sz w:val="22"/>
              </w:rPr>
            </w:pPr>
          </w:p>
          <w:p w14:paraId="7F55075B">
            <w:pPr>
              <w:pStyle w:val="14"/>
              <w:spacing w:before="4"/>
              <w:rPr>
                <w:b/>
                <w:sz w:val="32"/>
              </w:rPr>
            </w:pPr>
          </w:p>
          <w:p w14:paraId="442008D7">
            <w:pPr>
              <w:pStyle w:val="14"/>
              <w:ind w:left="102" w:right="94"/>
              <w:jc w:val="center"/>
              <w:rPr>
                <w:rFonts w:ascii="Times New Roman"/>
                <w:sz w:val="21"/>
              </w:rPr>
            </w:pPr>
            <w:r>
              <w:rPr>
                <w:rFonts w:ascii="Times New Roman"/>
                <w:sz w:val="21"/>
              </w:rPr>
              <w:t>0.05</w:t>
            </w:r>
          </w:p>
        </w:tc>
        <w:tc>
          <w:tcPr>
            <w:tcW w:w="458" w:type="dxa"/>
          </w:tcPr>
          <w:p w14:paraId="1FE93719">
            <w:pPr>
              <w:pStyle w:val="14"/>
              <w:rPr>
                <w:b/>
                <w:sz w:val="20"/>
              </w:rPr>
            </w:pPr>
          </w:p>
          <w:p w14:paraId="7D213E20">
            <w:pPr>
              <w:pStyle w:val="14"/>
              <w:spacing w:before="7"/>
              <w:rPr>
                <w:b/>
                <w:sz w:val="22"/>
              </w:rPr>
            </w:pPr>
          </w:p>
          <w:p w14:paraId="19925D90">
            <w:pPr>
              <w:pStyle w:val="14"/>
              <w:spacing w:line="242" w:lineRule="auto"/>
              <w:ind w:left="122" w:right="114"/>
              <w:rPr>
                <w:sz w:val="21"/>
              </w:rPr>
            </w:pPr>
            <w:r>
              <w:rPr>
                <w:sz w:val="21"/>
              </w:rPr>
              <w:t>达标</w:t>
            </w:r>
          </w:p>
        </w:tc>
        <w:tc>
          <w:tcPr>
            <w:tcW w:w="452" w:type="dxa"/>
          </w:tcPr>
          <w:p w14:paraId="121572E0">
            <w:pPr>
              <w:pStyle w:val="14"/>
              <w:rPr>
                <w:b/>
                <w:sz w:val="20"/>
              </w:rPr>
            </w:pPr>
          </w:p>
          <w:p w14:paraId="57B3592E">
            <w:pPr>
              <w:pStyle w:val="14"/>
              <w:spacing w:before="7"/>
              <w:rPr>
                <w:b/>
                <w:sz w:val="22"/>
              </w:rPr>
            </w:pPr>
          </w:p>
          <w:p w14:paraId="3CD6D9F5">
            <w:pPr>
              <w:pStyle w:val="14"/>
              <w:spacing w:line="242" w:lineRule="auto"/>
              <w:ind w:left="120" w:right="110"/>
              <w:rPr>
                <w:sz w:val="21"/>
              </w:rPr>
            </w:pPr>
            <w:r>
              <w:rPr>
                <w:sz w:val="21"/>
              </w:rPr>
              <w:t>达标</w:t>
            </w:r>
          </w:p>
        </w:tc>
      </w:tr>
    </w:tbl>
    <w:p w14:paraId="14F56B95">
      <w:pPr>
        <w:pStyle w:val="7"/>
        <w:spacing w:before="121"/>
        <w:ind w:left="940"/>
      </w:pPr>
      <w:r>
        <w:t>由表 可以看出，本项目噪声源对声环境影响情况为：厂界噪声贡献值为</w:t>
      </w:r>
    </w:p>
    <w:p w14:paraId="2E77FC7E">
      <w:pPr>
        <w:pStyle w:val="7"/>
        <w:spacing w:before="161" w:line="364" w:lineRule="auto"/>
        <w:ind w:left="460" w:right="477"/>
        <w:jc w:val="both"/>
      </w:pPr>
      <w:r>
        <w:rPr>
          <w:rFonts w:ascii="Times New Roman" w:eastAsia="Times New Roman"/>
        </w:rPr>
        <w:t>27.7~42.8dB(A)</w:t>
      </w:r>
      <w:r>
        <w:rPr>
          <w:spacing w:val="2"/>
        </w:rPr>
        <w:t>，昼、夜间厂界噪声值均符合《工业企业厂界环境噪声排放标</w:t>
      </w:r>
      <w:r>
        <w:rPr>
          <w:spacing w:val="-58"/>
        </w:rPr>
        <w:t>准》</w:t>
      </w:r>
      <w:r>
        <w:t>（</w:t>
      </w:r>
      <w:r>
        <w:rPr>
          <w:rFonts w:ascii="Times New Roman" w:eastAsia="Times New Roman"/>
        </w:rPr>
        <w:t>GB12348-2008</w:t>
      </w:r>
      <w:r>
        <w:t>）</w:t>
      </w:r>
      <w:r>
        <w:rPr>
          <w:rFonts w:ascii="Times New Roman" w:eastAsia="Times New Roman"/>
        </w:rPr>
        <w:t xml:space="preserve">2 </w:t>
      </w:r>
      <w:r>
        <w:t>类标准，厂界西侧和东南侧距离较近的两处居民散户的</w:t>
      </w:r>
      <w:r>
        <w:rPr>
          <w:spacing w:val="-6"/>
        </w:rPr>
        <w:t>噪声值满足《声环境质量标准》</w:t>
      </w:r>
      <w:r>
        <w:t>（</w:t>
      </w:r>
      <w:r>
        <w:rPr>
          <w:rFonts w:ascii="Times New Roman" w:eastAsia="Times New Roman"/>
        </w:rPr>
        <w:t>GB3096-2008</w:t>
      </w:r>
      <w:r>
        <w:t>）</w:t>
      </w:r>
      <w:r>
        <w:rPr>
          <w:rFonts w:ascii="Times New Roman" w:eastAsia="Times New Roman"/>
        </w:rPr>
        <w:t xml:space="preserve">2 </w:t>
      </w:r>
      <w:r>
        <w:rPr>
          <w:spacing w:val="1"/>
        </w:rPr>
        <w:t>类标准，厂界噪声经采取必要的降噪措施后，满足达标排放并不会对周边声环境较大改变。</w:t>
      </w:r>
    </w:p>
    <w:p w14:paraId="2F850F3D">
      <w:pPr>
        <w:pStyle w:val="13"/>
        <w:numPr>
          <w:ilvl w:val="2"/>
          <w:numId w:val="22"/>
        </w:numPr>
        <w:tabs>
          <w:tab w:val="left" w:pos="1080"/>
        </w:tabs>
        <w:spacing w:before="0" w:after="0" w:line="357" w:lineRule="exact"/>
        <w:ind w:left="1079" w:right="0" w:hanging="619"/>
        <w:jc w:val="both"/>
        <w:rPr>
          <w:b/>
          <w:sz w:val="28"/>
        </w:rPr>
      </w:pPr>
      <w:bookmarkStart w:id="185" w:name="5.2.3地表水环境影响预测与评价"/>
      <w:bookmarkEnd w:id="185"/>
      <w:bookmarkStart w:id="186" w:name="5.2.3地表水环境影响预测与评价"/>
      <w:bookmarkEnd w:id="186"/>
      <w:r>
        <w:rPr>
          <w:b/>
          <w:sz w:val="28"/>
        </w:rPr>
        <w:t>地表水环境影响预测与评价</w:t>
      </w:r>
    </w:p>
    <w:p w14:paraId="7966DA76">
      <w:pPr>
        <w:pStyle w:val="7"/>
        <w:spacing w:before="185"/>
        <w:ind w:left="940"/>
      </w:pPr>
      <w:r>
        <w:t>项目营运期外排废水主要为生产废水、生活污水，其中生产废水包括牲畜</w:t>
      </w:r>
    </w:p>
    <w:p w14:paraId="2E25C8F4">
      <w:pPr>
        <w:spacing w:after="0"/>
        <w:sectPr>
          <w:pgSz w:w="11910" w:h="16840"/>
          <w:pgMar w:top="1360" w:right="1320" w:bottom="1400" w:left="1340" w:header="878" w:footer="1204" w:gutter="0"/>
          <w:cols w:space="720" w:num="1"/>
        </w:sectPr>
      </w:pPr>
    </w:p>
    <w:p w14:paraId="6CA7A8C5">
      <w:pPr>
        <w:pStyle w:val="7"/>
        <w:spacing w:before="68" w:line="364" w:lineRule="auto"/>
        <w:ind w:left="460" w:right="477"/>
        <w:jc w:val="both"/>
      </w:pPr>
      <w:r>
        <w:t>尿液、屠宰废水等。项目生活污水经化粪池处理后与生产废水经厂内污水处理站预处理，经同一排放口污水管路送至岳阳县污水处理厂处理达标后排入新墙河。根据《环境影响评价技术导则地表水环境》</w:t>
      </w:r>
      <w:r>
        <w:rPr>
          <w:rFonts w:ascii="Times New Roman" w:eastAsia="Times New Roman"/>
        </w:rPr>
        <w:t>(HJ2.3-2018)</w:t>
      </w:r>
      <w:r>
        <w:t xml:space="preserve">，项目外排废水属于间接排放，本项目评价等级为三级 </w:t>
      </w:r>
      <w:r>
        <w:rPr>
          <w:rFonts w:ascii="Times New Roman" w:eastAsia="Times New Roman"/>
        </w:rPr>
        <w:t>B</w:t>
      </w:r>
      <w:r>
        <w:t>，可不进行水环境影响预测。</w:t>
      </w:r>
    </w:p>
    <w:p w14:paraId="21BD41F0">
      <w:pPr>
        <w:pStyle w:val="6"/>
        <w:numPr>
          <w:ilvl w:val="3"/>
          <w:numId w:val="22"/>
        </w:numPr>
        <w:tabs>
          <w:tab w:val="left" w:pos="1171"/>
        </w:tabs>
        <w:spacing w:before="0" w:after="0" w:line="305" w:lineRule="exact"/>
        <w:ind w:left="1170" w:right="0" w:hanging="710"/>
        <w:jc w:val="left"/>
      </w:pPr>
      <w:bookmarkStart w:id="187" w:name="5.2.3.1水污染控制和水环境影响减缓措施有效性评价"/>
      <w:bookmarkEnd w:id="187"/>
      <w:bookmarkStart w:id="188" w:name="5.2.3.1水污染控制和水环境影响减缓措施有效性评价"/>
      <w:bookmarkEnd w:id="188"/>
      <w:r>
        <w:t>水污染控制和水环境影响减缓措施有效性评价</w:t>
      </w:r>
    </w:p>
    <w:p w14:paraId="034498ED">
      <w:pPr>
        <w:pStyle w:val="7"/>
        <w:spacing w:before="160" w:line="364" w:lineRule="auto"/>
        <w:ind w:left="460" w:right="477" w:firstLine="480"/>
        <w:jc w:val="both"/>
      </w:pPr>
      <w:r>
        <w:t>根据项目规划设计，生活污水经化粪池预处理，项目生产废水排入自建污水处理站处理，拟采用</w:t>
      </w:r>
      <w:r>
        <w:rPr>
          <w:rFonts w:ascii="Times New Roman" w:hAnsi="Times New Roman" w:eastAsia="Times New Roman"/>
        </w:rPr>
        <w:t>“</w:t>
      </w:r>
      <w:r>
        <w:t>预处理</w:t>
      </w:r>
      <w:r>
        <w:rPr>
          <w:rFonts w:ascii="Times New Roman" w:hAnsi="Times New Roman" w:eastAsia="Times New Roman"/>
        </w:rPr>
        <w:t>+</w:t>
      </w:r>
      <w:r>
        <w:t>水解酸化</w:t>
      </w:r>
      <w:r>
        <w:rPr>
          <w:rFonts w:ascii="Times New Roman" w:hAnsi="Times New Roman" w:eastAsia="Times New Roman"/>
        </w:rPr>
        <w:t>+A/O+</w:t>
      </w:r>
      <w:r>
        <w:t>混凝沉淀</w:t>
      </w:r>
      <w:r>
        <w:rPr>
          <w:rFonts w:ascii="Times New Roman" w:hAnsi="Times New Roman" w:eastAsia="Times New Roman"/>
        </w:rPr>
        <w:t>+</w:t>
      </w:r>
      <w:r>
        <w:t>消毒</w:t>
      </w:r>
      <w:r>
        <w:rPr>
          <w:rFonts w:ascii="Times New Roman" w:hAnsi="Times New Roman" w:eastAsia="Times New Roman"/>
        </w:rPr>
        <w:t>”</w:t>
      </w:r>
      <w:r>
        <w:t xml:space="preserve">处理工艺进行厂内预处理后，经同一总排口 </w:t>
      </w:r>
      <w:r>
        <w:rPr>
          <w:rFonts w:ascii="Times New Roman" w:hAnsi="Times New Roman" w:eastAsia="Times New Roman"/>
        </w:rPr>
        <w:t xml:space="preserve">DW001 </w:t>
      </w:r>
      <w:r>
        <w:t>排入污水管网。废水处理工艺为《屠宰与肉类加工废水治理工程技术规范》</w:t>
      </w:r>
      <w:r>
        <w:rPr>
          <w:rFonts w:ascii="Times New Roman" w:hAnsi="Times New Roman" w:eastAsia="Times New Roman"/>
        </w:rPr>
        <w:t>(HJ2004-2010)</w:t>
      </w:r>
      <w:r>
        <w:t>推荐处理工艺，满足屠宰废水的处理需求。</w:t>
      </w:r>
    </w:p>
    <w:p w14:paraId="6B9704D7">
      <w:pPr>
        <w:pStyle w:val="7"/>
        <w:spacing w:line="364" w:lineRule="auto"/>
        <w:ind w:left="460" w:right="477" w:firstLine="480"/>
        <w:jc w:val="both"/>
      </w:pPr>
      <w:r>
        <w:t>项目废污水经配套处理设施预处理后，废水排放浓度均可达到《肉类加工工业水污染物排放标准》</w:t>
      </w:r>
      <w:r>
        <w:rPr>
          <w:rFonts w:ascii="Times New Roman" w:eastAsia="Times New Roman"/>
        </w:rPr>
        <w:t>(GB13457-92</w:t>
      </w:r>
      <w:r>
        <w:t>）</w:t>
      </w:r>
      <w:r>
        <w:rPr>
          <w:spacing w:val="-17"/>
        </w:rPr>
        <w:t xml:space="preserve">中表 </w:t>
      </w:r>
      <w:r>
        <w:rPr>
          <w:rFonts w:ascii="Times New Roman" w:eastAsia="Times New Roman"/>
        </w:rPr>
        <w:t xml:space="preserve">3 </w:t>
      </w:r>
      <w:r>
        <w:t>三级标准限值要求和岳阳县污水处理厂进水水质要求，项目水污染控制措施及各类废水排放口排放浓度限值满足相关排放标准，对区域水环境影响可以接受。</w:t>
      </w:r>
    </w:p>
    <w:p w14:paraId="3FE9BFB4">
      <w:pPr>
        <w:pStyle w:val="6"/>
        <w:numPr>
          <w:ilvl w:val="3"/>
          <w:numId w:val="22"/>
        </w:numPr>
        <w:tabs>
          <w:tab w:val="left" w:pos="1171"/>
        </w:tabs>
        <w:spacing w:before="0" w:after="0" w:line="240" w:lineRule="auto"/>
        <w:ind w:left="1170" w:right="0" w:hanging="710"/>
        <w:jc w:val="left"/>
      </w:pPr>
      <w:bookmarkStart w:id="189" w:name="5.2.3.2依托污水处理设施的环境可行性评价"/>
      <w:bookmarkEnd w:id="189"/>
      <w:bookmarkStart w:id="190" w:name="5.2.3.2依托污水处理设施的环境可行性评价"/>
      <w:bookmarkEnd w:id="190"/>
      <w:r>
        <w:t>依托污水处理设施的环境可行性评价</w:t>
      </w:r>
    </w:p>
    <w:p w14:paraId="5DB057A8">
      <w:pPr>
        <w:pStyle w:val="7"/>
        <w:spacing w:before="154" w:line="364" w:lineRule="auto"/>
        <w:ind w:left="460" w:right="480" w:firstLine="480"/>
        <w:jc w:val="both"/>
      </w:pPr>
      <w:r>
        <w:t>本项目属于岳阳县污水处理厂纳污范围，项目废水经厂内自建污水处理设施处理后，经岳阳县污水处理厂进一步处理达到《城镇污水处理厂污染物排放标准》</w:t>
      </w:r>
      <w:r>
        <w:rPr>
          <w:rFonts w:ascii="Times New Roman" w:eastAsia="Times New Roman"/>
        </w:rPr>
        <w:t>(GB18918-2002</w:t>
      </w:r>
      <w:r>
        <w:t xml:space="preserve">）一级 </w:t>
      </w:r>
      <w:r>
        <w:rPr>
          <w:rFonts w:ascii="Times New Roman" w:eastAsia="Times New Roman"/>
        </w:rPr>
        <w:t xml:space="preserve">A </w:t>
      </w:r>
      <w:r>
        <w:t>标准后排入新墙河。</w:t>
      </w:r>
    </w:p>
    <w:p w14:paraId="2A4F8217">
      <w:pPr>
        <w:pStyle w:val="6"/>
        <w:spacing w:line="307" w:lineRule="exact"/>
        <w:ind w:left="940"/>
      </w:pPr>
      <w:r>
        <w:t>（</w:t>
      </w:r>
      <w:r>
        <w:rPr>
          <w:rFonts w:ascii="Times New Roman" w:eastAsia="Times New Roman"/>
        </w:rPr>
        <w:t>1</w:t>
      </w:r>
      <w:r>
        <w:t>）污水处理厂废水处理能力</w:t>
      </w:r>
    </w:p>
    <w:p w14:paraId="7B921BF5">
      <w:pPr>
        <w:pStyle w:val="7"/>
        <w:spacing w:before="158"/>
        <w:ind w:left="940"/>
      </w:pPr>
      <w:r>
        <w:t>岳阳县污水处理厂位于县城富荣路荣站村，新墙河西侧，厂区现占地面积</w:t>
      </w:r>
    </w:p>
    <w:p w14:paraId="5EED56FC">
      <w:pPr>
        <w:pStyle w:val="7"/>
        <w:spacing w:before="161" w:line="364" w:lineRule="auto"/>
        <w:ind w:left="460" w:right="477"/>
        <w:jc w:val="both"/>
      </w:pPr>
      <w:r>
        <w:rPr>
          <w:rFonts w:ascii="Times New Roman" w:eastAsia="Times New Roman"/>
        </w:rPr>
        <w:t>56</w:t>
      </w:r>
      <w:r>
        <w:rPr>
          <w:rFonts w:ascii="Times New Roman" w:eastAsia="Times New Roman"/>
          <w:spacing w:val="-8"/>
        </w:rPr>
        <w:t xml:space="preserve"> </w:t>
      </w:r>
      <w:r>
        <w:rPr>
          <w:spacing w:val="-8"/>
        </w:rPr>
        <w:t xml:space="preserve">亩，始建于 </w:t>
      </w:r>
      <w:r>
        <w:rPr>
          <w:rFonts w:ascii="Times New Roman" w:eastAsia="Times New Roman"/>
        </w:rPr>
        <w:t>2009</w:t>
      </w:r>
      <w:r>
        <w:rPr>
          <w:rFonts w:ascii="Times New Roman" w:eastAsia="Times New Roman"/>
          <w:spacing w:val="-8"/>
        </w:rPr>
        <w:t xml:space="preserve"> </w:t>
      </w:r>
      <w:r>
        <w:rPr>
          <w:spacing w:val="-28"/>
        </w:rPr>
        <w:t xml:space="preserve">年 </w:t>
      </w:r>
      <w:r>
        <w:rPr>
          <w:rFonts w:ascii="Times New Roman" w:eastAsia="Times New Roman"/>
        </w:rPr>
        <w:t>8</w:t>
      </w:r>
      <w:r>
        <w:rPr>
          <w:rFonts w:ascii="Times New Roman" w:eastAsia="Times New Roman"/>
          <w:spacing w:val="-8"/>
        </w:rPr>
        <w:t xml:space="preserve"> </w:t>
      </w:r>
      <w:r>
        <w:rPr>
          <w:spacing w:val="-28"/>
        </w:rPr>
        <w:t xml:space="preserve">月 </w:t>
      </w:r>
      <w:r>
        <w:rPr>
          <w:rFonts w:ascii="Times New Roman" w:eastAsia="Times New Roman"/>
        </w:rPr>
        <w:t>25</w:t>
      </w:r>
      <w:r>
        <w:rPr>
          <w:rFonts w:ascii="Times New Roman" w:eastAsia="Times New Roman"/>
          <w:spacing w:val="-8"/>
        </w:rPr>
        <w:t xml:space="preserve"> </w:t>
      </w:r>
      <w:r>
        <w:rPr>
          <w:spacing w:val="0"/>
        </w:rPr>
        <w:t>日，</w:t>
      </w:r>
      <w:r>
        <w:rPr>
          <w:rFonts w:ascii="Times New Roman" w:eastAsia="Times New Roman"/>
        </w:rPr>
        <w:t>2010</w:t>
      </w:r>
      <w:r>
        <w:rPr>
          <w:rFonts w:ascii="Times New Roman" w:eastAsia="Times New Roman"/>
          <w:spacing w:val="-8"/>
        </w:rPr>
        <w:t xml:space="preserve"> </w:t>
      </w:r>
      <w:r>
        <w:rPr>
          <w:spacing w:val="-28"/>
        </w:rPr>
        <w:t xml:space="preserve">年 </w:t>
      </w:r>
      <w:r>
        <w:rPr>
          <w:rFonts w:ascii="Times New Roman" w:eastAsia="Times New Roman"/>
        </w:rPr>
        <w:t>4</w:t>
      </w:r>
      <w:r>
        <w:rPr>
          <w:rFonts w:ascii="Times New Roman" w:eastAsia="Times New Roman"/>
          <w:spacing w:val="-8"/>
        </w:rPr>
        <w:t xml:space="preserve"> </w:t>
      </w:r>
      <w:r>
        <w:rPr>
          <w:spacing w:val="-29"/>
        </w:rPr>
        <w:t xml:space="preserve">月 </w:t>
      </w:r>
      <w:r>
        <w:rPr>
          <w:rFonts w:ascii="Times New Roman" w:eastAsia="Times New Roman"/>
        </w:rPr>
        <w:t>16</w:t>
      </w:r>
      <w:r>
        <w:rPr>
          <w:rFonts w:ascii="Times New Roman" w:eastAsia="Times New Roman"/>
          <w:spacing w:val="-5"/>
        </w:rPr>
        <w:t xml:space="preserve"> </w:t>
      </w:r>
      <w:r>
        <w:rPr>
          <w:spacing w:val="-6"/>
        </w:rPr>
        <w:t xml:space="preserve">日投入试运行， </w:t>
      </w:r>
      <w:r>
        <w:rPr>
          <w:rFonts w:ascii="Times New Roman" w:eastAsia="Times New Roman"/>
        </w:rPr>
        <w:t>2016</w:t>
      </w:r>
      <w:r>
        <w:rPr>
          <w:rFonts w:ascii="Times New Roman" w:eastAsia="Times New Roman"/>
          <w:spacing w:val="-8"/>
        </w:rPr>
        <w:t xml:space="preserve"> </w:t>
      </w:r>
      <w:r>
        <w:rPr>
          <w:spacing w:val="-28"/>
        </w:rPr>
        <w:t xml:space="preserve">年 </w:t>
      </w:r>
      <w:r>
        <w:rPr>
          <w:rFonts w:ascii="Times New Roman" w:eastAsia="Times New Roman"/>
        </w:rPr>
        <w:t>6</w:t>
      </w:r>
      <w:r>
        <w:rPr>
          <w:rFonts w:ascii="Times New Roman" w:eastAsia="Times New Roman"/>
          <w:spacing w:val="-10"/>
        </w:rPr>
        <w:t xml:space="preserve"> </w:t>
      </w:r>
      <w:r>
        <w:t>月开始并入中国葛洲坝集团水务运营有限公司旗下运营。岳阳县污水处理厂现主要服务范围为县城以内区域范围，尾水排放现执行《城镇污水处理厂污染物排放标准》</w:t>
      </w:r>
      <w:r>
        <w:rPr>
          <w:rFonts w:ascii="Times New Roman" w:eastAsia="Times New Roman"/>
        </w:rPr>
        <w:t>(GB18918-2002)</w:t>
      </w:r>
      <w:r>
        <w:rPr>
          <w:spacing w:val="-14"/>
        </w:rPr>
        <w:t xml:space="preserve">中的一 </w:t>
      </w:r>
      <w:r>
        <w:rPr>
          <w:rFonts w:ascii="Times New Roman" w:eastAsia="Times New Roman"/>
        </w:rPr>
        <w:t>A</w:t>
      </w:r>
      <w:r>
        <w:rPr>
          <w:rFonts w:ascii="Times New Roman" w:eastAsia="Times New Roman"/>
          <w:spacing w:val="-11"/>
        </w:rPr>
        <w:t xml:space="preserve"> </w:t>
      </w:r>
      <w:r>
        <w:rPr>
          <w:spacing w:val="-11"/>
        </w:rPr>
        <w:t xml:space="preserve">标准。于 </w:t>
      </w:r>
      <w:r>
        <w:rPr>
          <w:rFonts w:ascii="Times New Roman" w:eastAsia="Times New Roman"/>
        </w:rPr>
        <w:t>1019</w:t>
      </w:r>
      <w:r>
        <w:rPr>
          <w:rFonts w:ascii="Times New Roman" w:eastAsia="Times New Roman"/>
          <w:spacing w:val="-10"/>
        </w:rPr>
        <w:t xml:space="preserve"> </w:t>
      </w:r>
      <w:r>
        <w:t>年进行提标改造扩建工程提标</w:t>
      </w:r>
    </w:p>
    <w:p w14:paraId="46A6207F">
      <w:pPr>
        <w:pStyle w:val="7"/>
        <w:spacing w:line="305" w:lineRule="exact"/>
        <w:ind w:left="460"/>
      </w:pPr>
      <w:r>
        <w:rPr>
          <w:rFonts w:ascii="Times New Roman" w:eastAsia="Times New Roman"/>
        </w:rPr>
        <w:t xml:space="preserve">2 </w:t>
      </w:r>
      <w: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 xml:space="preserve">，扩建 </w:t>
      </w:r>
      <w:r>
        <w:rPr>
          <w:rFonts w:ascii="Times New Roman" w:eastAsia="Times New Roman"/>
        </w:rPr>
        <w:t xml:space="preserve">2 </w:t>
      </w:r>
      <w: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 xml:space="preserve">，总计 </w:t>
      </w:r>
      <w:r>
        <w:rPr>
          <w:rFonts w:ascii="Times New Roman" w:eastAsia="Times New Roman"/>
        </w:rPr>
        <w:t xml:space="preserve">4 </w:t>
      </w:r>
      <w:r>
        <w:t xml:space="preserve">万 </w:t>
      </w:r>
      <w:r>
        <w:rPr>
          <w:rFonts w:ascii="Times New Roman" w:eastAsia="Times New Roman"/>
        </w:rPr>
        <w:t>m</w:t>
      </w:r>
      <w:r>
        <w:rPr>
          <w:rFonts w:ascii="Times New Roman" w:eastAsia="Times New Roman"/>
          <w:position w:val="8"/>
          <w:sz w:val="15"/>
        </w:rPr>
        <w:t>3</w:t>
      </w:r>
      <w:r>
        <w:rPr>
          <w:rFonts w:ascii="Times New Roman" w:eastAsia="Times New Roman"/>
        </w:rPr>
        <w:t>/d</w:t>
      </w:r>
      <w:r>
        <w:t xml:space="preserve">，于 </w:t>
      </w:r>
      <w:r>
        <w:rPr>
          <w:rFonts w:ascii="Times New Roman" w:eastAsia="Times New Roman"/>
        </w:rPr>
        <w:t xml:space="preserve">2020 </w:t>
      </w:r>
      <w:r>
        <w:t xml:space="preserve">年 </w:t>
      </w:r>
      <w:r>
        <w:rPr>
          <w:rFonts w:ascii="Times New Roman" w:eastAsia="Times New Roman"/>
        </w:rPr>
        <w:t xml:space="preserve">6 </w:t>
      </w:r>
      <w:r>
        <w:t>月完成竣工验收并备案</w:t>
      </w:r>
    </w:p>
    <w:p w14:paraId="1119BB76">
      <w:pPr>
        <w:pStyle w:val="7"/>
        <w:spacing w:before="158" w:line="364" w:lineRule="auto"/>
        <w:ind w:left="940" w:right="710" w:hanging="480"/>
      </w:pPr>
      <w:r>
        <w:t>（详见附件）</w:t>
      </w:r>
      <w:r>
        <w:rPr>
          <w:spacing w:val="-6"/>
        </w:rPr>
        <w:t xml:space="preserve">。本项目日排水量约为 </w:t>
      </w:r>
      <w:r>
        <w:rPr>
          <w:rFonts w:ascii="Times New Roman" w:eastAsia="Times New Roman"/>
        </w:rPr>
        <w:t>656t/d</w:t>
      </w:r>
      <w:r>
        <w:rPr>
          <w:spacing w:val="-6"/>
        </w:rPr>
        <w:t xml:space="preserve">，仅占岳阳县污水处理厂 </w:t>
      </w:r>
      <w:r>
        <w:rPr>
          <w:rFonts w:ascii="Times New Roman" w:eastAsia="Times New Roman"/>
        </w:rPr>
        <w:t>1.64%</w:t>
      </w:r>
      <w:r>
        <w:t>。岳阳县污水处理厂设计进出水水质如下表所示：</w:t>
      </w:r>
    </w:p>
    <w:p w14:paraId="17C0570B">
      <w:pPr>
        <w:spacing w:before="0" w:after="2"/>
        <w:ind w:left="264" w:right="286" w:firstLine="0"/>
        <w:jc w:val="center"/>
        <w:rPr>
          <w:rFonts w:ascii="Times New Roman" w:eastAsia="Times New Roman"/>
          <w:b/>
          <w:sz w:val="21"/>
        </w:rPr>
      </w:pPr>
      <w:r>
        <w:rPr>
          <w:b/>
          <w:sz w:val="21"/>
        </w:rPr>
        <w:t xml:space="preserve">表 </w:t>
      </w:r>
      <w:r>
        <w:rPr>
          <w:rFonts w:ascii="Times New Roman" w:eastAsia="Times New Roman"/>
          <w:b/>
          <w:sz w:val="21"/>
        </w:rPr>
        <w:t xml:space="preserve">5.2-7 </w:t>
      </w:r>
      <w:r>
        <w:rPr>
          <w:b/>
          <w:sz w:val="21"/>
        </w:rPr>
        <w:t xml:space="preserve">岳阳县污水处理厂设计进出水水质一览表 单位 </w:t>
      </w:r>
      <w:r>
        <w:rPr>
          <w:rFonts w:ascii="Times New Roman" w:eastAsia="Times New Roman"/>
          <w:b/>
          <w:sz w:val="21"/>
        </w:rPr>
        <w:t>mg/L</w:t>
      </w:r>
    </w:p>
    <w:tbl>
      <w:tblPr>
        <w:tblStyle w:val="10"/>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6"/>
        <w:gridCol w:w="1110"/>
        <w:gridCol w:w="1085"/>
        <w:gridCol w:w="1185"/>
        <w:gridCol w:w="826"/>
        <w:gridCol w:w="1009"/>
        <w:gridCol w:w="787"/>
        <w:gridCol w:w="748"/>
      </w:tblGrid>
      <w:tr w14:paraId="283F4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726" w:type="dxa"/>
          </w:tcPr>
          <w:p w14:paraId="74479991">
            <w:pPr>
              <w:pStyle w:val="14"/>
              <w:spacing w:before="96"/>
              <w:ind w:left="441" w:right="391"/>
              <w:jc w:val="center"/>
              <w:rPr>
                <w:b/>
                <w:sz w:val="21"/>
              </w:rPr>
            </w:pPr>
            <w:r>
              <w:rPr>
                <w:b/>
                <w:sz w:val="21"/>
              </w:rPr>
              <w:t>水质指标</w:t>
            </w:r>
          </w:p>
        </w:tc>
        <w:tc>
          <w:tcPr>
            <w:tcW w:w="1110" w:type="dxa"/>
          </w:tcPr>
          <w:p w14:paraId="18C6718A">
            <w:pPr>
              <w:pStyle w:val="14"/>
              <w:spacing w:before="110"/>
              <w:ind w:left="393" w:right="343"/>
              <w:jc w:val="center"/>
              <w:rPr>
                <w:rFonts w:ascii="Times New Roman"/>
                <w:b/>
                <w:sz w:val="21"/>
              </w:rPr>
            </w:pPr>
            <w:r>
              <w:rPr>
                <w:rFonts w:ascii="Times New Roman"/>
                <w:b/>
                <w:sz w:val="21"/>
              </w:rPr>
              <w:t>PH</w:t>
            </w:r>
          </w:p>
        </w:tc>
        <w:tc>
          <w:tcPr>
            <w:tcW w:w="1085" w:type="dxa"/>
          </w:tcPr>
          <w:p w14:paraId="2243AAD8">
            <w:pPr>
              <w:pStyle w:val="14"/>
              <w:spacing w:before="110"/>
              <w:ind w:left="199" w:right="148"/>
              <w:jc w:val="center"/>
              <w:rPr>
                <w:rFonts w:ascii="Times New Roman"/>
                <w:b/>
                <w:sz w:val="21"/>
              </w:rPr>
            </w:pPr>
            <w:r>
              <w:rPr>
                <w:rFonts w:ascii="Times New Roman"/>
                <w:b/>
                <w:sz w:val="21"/>
              </w:rPr>
              <w:t>COD</w:t>
            </w:r>
          </w:p>
        </w:tc>
        <w:tc>
          <w:tcPr>
            <w:tcW w:w="1185" w:type="dxa"/>
          </w:tcPr>
          <w:p w14:paraId="557102A4">
            <w:pPr>
              <w:pStyle w:val="14"/>
              <w:spacing w:before="109"/>
              <w:ind w:left="121" w:right="68"/>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826" w:type="dxa"/>
          </w:tcPr>
          <w:p w14:paraId="31C237C1">
            <w:pPr>
              <w:pStyle w:val="14"/>
              <w:spacing w:before="110"/>
              <w:ind w:left="254" w:right="205"/>
              <w:jc w:val="center"/>
              <w:rPr>
                <w:rFonts w:ascii="Times New Roman"/>
                <w:b/>
                <w:sz w:val="21"/>
              </w:rPr>
            </w:pPr>
            <w:r>
              <w:rPr>
                <w:rFonts w:ascii="Times New Roman"/>
                <w:b/>
                <w:sz w:val="21"/>
              </w:rPr>
              <w:t>SS</w:t>
            </w:r>
          </w:p>
        </w:tc>
        <w:tc>
          <w:tcPr>
            <w:tcW w:w="1009" w:type="dxa"/>
          </w:tcPr>
          <w:p w14:paraId="2F470D13">
            <w:pPr>
              <w:pStyle w:val="14"/>
              <w:spacing w:before="96"/>
              <w:ind w:left="293" w:right="244"/>
              <w:jc w:val="center"/>
              <w:rPr>
                <w:b/>
                <w:sz w:val="21"/>
              </w:rPr>
            </w:pPr>
            <w:r>
              <w:rPr>
                <w:b/>
                <w:sz w:val="21"/>
              </w:rPr>
              <w:t>氨氮</w:t>
            </w:r>
          </w:p>
        </w:tc>
        <w:tc>
          <w:tcPr>
            <w:tcW w:w="787" w:type="dxa"/>
          </w:tcPr>
          <w:p w14:paraId="31C6FE0B">
            <w:pPr>
              <w:pStyle w:val="14"/>
              <w:spacing w:before="110"/>
              <w:ind w:left="269"/>
              <w:rPr>
                <w:rFonts w:ascii="Times New Roman"/>
                <w:b/>
                <w:sz w:val="21"/>
              </w:rPr>
            </w:pPr>
            <w:r>
              <w:rPr>
                <w:rFonts w:ascii="Times New Roman"/>
                <w:b/>
                <w:sz w:val="21"/>
              </w:rPr>
              <w:t>TN</w:t>
            </w:r>
          </w:p>
        </w:tc>
        <w:tc>
          <w:tcPr>
            <w:tcW w:w="748" w:type="dxa"/>
          </w:tcPr>
          <w:p w14:paraId="4B9182D9">
            <w:pPr>
              <w:pStyle w:val="14"/>
              <w:spacing w:before="110"/>
              <w:ind w:left="241" w:right="187"/>
              <w:jc w:val="center"/>
              <w:rPr>
                <w:rFonts w:ascii="Times New Roman"/>
                <w:b/>
                <w:sz w:val="21"/>
              </w:rPr>
            </w:pPr>
            <w:r>
              <w:rPr>
                <w:rFonts w:ascii="Times New Roman"/>
                <w:b/>
                <w:sz w:val="21"/>
              </w:rPr>
              <w:t>TP</w:t>
            </w:r>
          </w:p>
        </w:tc>
      </w:tr>
      <w:tr w14:paraId="4FB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726" w:type="dxa"/>
          </w:tcPr>
          <w:p w14:paraId="3808E455">
            <w:pPr>
              <w:pStyle w:val="14"/>
              <w:spacing w:before="96"/>
              <w:ind w:left="441" w:right="391"/>
              <w:jc w:val="center"/>
              <w:rPr>
                <w:b/>
                <w:sz w:val="21"/>
              </w:rPr>
            </w:pPr>
            <w:r>
              <w:rPr>
                <w:b/>
                <w:sz w:val="21"/>
              </w:rPr>
              <w:t>进水浓度</w:t>
            </w:r>
          </w:p>
        </w:tc>
        <w:tc>
          <w:tcPr>
            <w:tcW w:w="1110" w:type="dxa"/>
          </w:tcPr>
          <w:p w14:paraId="2EE56848">
            <w:pPr>
              <w:pStyle w:val="14"/>
              <w:spacing w:before="110"/>
              <w:ind w:left="393" w:right="343"/>
              <w:jc w:val="center"/>
              <w:rPr>
                <w:rFonts w:ascii="Times New Roman"/>
                <w:sz w:val="21"/>
              </w:rPr>
            </w:pPr>
            <w:r>
              <w:rPr>
                <w:rFonts w:ascii="Times New Roman"/>
                <w:sz w:val="21"/>
              </w:rPr>
              <w:t>6~9</w:t>
            </w:r>
          </w:p>
        </w:tc>
        <w:tc>
          <w:tcPr>
            <w:tcW w:w="1085" w:type="dxa"/>
          </w:tcPr>
          <w:p w14:paraId="4BA7AB6A">
            <w:pPr>
              <w:pStyle w:val="14"/>
              <w:spacing w:before="110"/>
              <w:ind w:left="199" w:right="144"/>
              <w:jc w:val="center"/>
              <w:rPr>
                <w:rFonts w:ascii="Times New Roman"/>
                <w:sz w:val="21"/>
              </w:rPr>
            </w:pPr>
            <w:r>
              <w:rPr>
                <w:rFonts w:ascii="Times New Roman"/>
                <w:sz w:val="21"/>
              </w:rPr>
              <w:t>300</w:t>
            </w:r>
          </w:p>
        </w:tc>
        <w:tc>
          <w:tcPr>
            <w:tcW w:w="1185" w:type="dxa"/>
          </w:tcPr>
          <w:p w14:paraId="36011E26">
            <w:pPr>
              <w:pStyle w:val="14"/>
              <w:spacing w:before="110"/>
              <w:ind w:left="121" w:right="65"/>
              <w:jc w:val="center"/>
              <w:rPr>
                <w:rFonts w:ascii="Times New Roman"/>
                <w:sz w:val="21"/>
              </w:rPr>
            </w:pPr>
            <w:r>
              <w:rPr>
                <w:rFonts w:ascii="Times New Roman"/>
                <w:sz w:val="21"/>
              </w:rPr>
              <w:t>130</w:t>
            </w:r>
          </w:p>
        </w:tc>
        <w:tc>
          <w:tcPr>
            <w:tcW w:w="826" w:type="dxa"/>
          </w:tcPr>
          <w:p w14:paraId="02F9AE26">
            <w:pPr>
              <w:pStyle w:val="14"/>
              <w:spacing w:before="110"/>
              <w:ind w:left="256" w:right="205"/>
              <w:jc w:val="center"/>
              <w:rPr>
                <w:rFonts w:ascii="Times New Roman"/>
                <w:sz w:val="21"/>
              </w:rPr>
            </w:pPr>
            <w:r>
              <w:rPr>
                <w:rFonts w:ascii="Times New Roman"/>
                <w:sz w:val="21"/>
              </w:rPr>
              <w:t>200</w:t>
            </w:r>
          </w:p>
        </w:tc>
        <w:tc>
          <w:tcPr>
            <w:tcW w:w="1009" w:type="dxa"/>
          </w:tcPr>
          <w:p w14:paraId="276B2DF8">
            <w:pPr>
              <w:pStyle w:val="14"/>
              <w:spacing w:before="110"/>
              <w:ind w:left="293" w:right="243"/>
              <w:jc w:val="center"/>
              <w:rPr>
                <w:rFonts w:ascii="Times New Roman"/>
                <w:sz w:val="21"/>
              </w:rPr>
            </w:pPr>
            <w:r>
              <w:rPr>
                <w:rFonts w:ascii="Times New Roman"/>
                <w:sz w:val="21"/>
              </w:rPr>
              <w:t>35</w:t>
            </w:r>
          </w:p>
        </w:tc>
        <w:tc>
          <w:tcPr>
            <w:tcW w:w="787" w:type="dxa"/>
          </w:tcPr>
          <w:p w14:paraId="78917275">
            <w:pPr>
              <w:pStyle w:val="14"/>
              <w:spacing w:before="110"/>
              <w:ind w:left="310"/>
              <w:rPr>
                <w:rFonts w:ascii="Times New Roman"/>
                <w:sz w:val="21"/>
              </w:rPr>
            </w:pPr>
            <w:r>
              <w:rPr>
                <w:rFonts w:ascii="Times New Roman"/>
                <w:sz w:val="21"/>
              </w:rPr>
              <w:t>40</w:t>
            </w:r>
          </w:p>
        </w:tc>
        <w:tc>
          <w:tcPr>
            <w:tcW w:w="748" w:type="dxa"/>
          </w:tcPr>
          <w:p w14:paraId="7916F26C">
            <w:pPr>
              <w:pStyle w:val="14"/>
              <w:spacing w:before="110"/>
              <w:ind w:left="237" w:right="187"/>
              <w:jc w:val="center"/>
              <w:rPr>
                <w:rFonts w:ascii="Times New Roman"/>
                <w:sz w:val="21"/>
              </w:rPr>
            </w:pPr>
            <w:r>
              <w:rPr>
                <w:rFonts w:ascii="Times New Roman"/>
                <w:sz w:val="21"/>
              </w:rPr>
              <w:t>4.0</w:t>
            </w:r>
          </w:p>
        </w:tc>
      </w:tr>
    </w:tbl>
    <w:p w14:paraId="16F80F39">
      <w:pPr>
        <w:spacing w:after="0"/>
        <w:jc w:val="center"/>
        <w:rPr>
          <w:rFonts w:ascii="Times New Roman"/>
          <w:sz w:val="21"/>
        </w:rPr>
        <w:sectPr>
          <w:pgSz w:w="11910" w:h="16840"/>
          <w:pgMar w:top="1360" w:right="1320" w:bottom="1400" w:left="1340" w:header="878" w:footer="1204" w:gutter="0"/>
          <w:cols w:space="720" w:num="1"/>
        </w:sectPr>
      </w:pPr>
    </w:p>
    <w:p w14:paraId="2446AFC4">
      <w:pPr>
        <w:pStyle w:val="7"/>
        <w:spacing w:before="9"/>
        <w:rPr>
          <w:rFonts w:ascii="Times New Roman"/>
          <w:b/>
          <w:sz w:val="5"/>
        </w:rPr>
      </w:pPr>
    </w:p>
    <w:tbl>
      <w:tblPr>
        <w:tblStyle w:val="10"/>
        <w:tblW w:w="0" w:type="auto"/>
        <w:tblInd w:w="3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6"/>
        <w:gridCol w:w="1110"/>
        <w:gridCol w:w="1085"/>
        <w:gridCol w:w="1185"/>
        <w:gridCol w:w="826"/>
        <w:gridCol w:w="1009"/>
        <w:gridCol w:w="787"/>
        <w:gridCol w:w="748"/>
      </w:tblGrid>
      <w:tr w14:paraId="0C26C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726" w:type="dxa"/>
          </w:tcPr>
          <w:p w14:paraId="53FDB5FC">
            <w:pPr>
              <w:pStyle w:val="14"/>
              <w:spacing w:before="98"/>
              <w:ind w:left="461"/>
              <w:rPr>
                <w:b/>
                <w:sz w:val="21"/>
              </w:rPr>
            </w:pPr>
            <w:r>
              <w:rPr>
                <w:b/>
                <w:sz w:val="21"/>
              </w:rPr>
              <w:t>出水浓度</w:t>
            </w:r>
          </w:p>
        </w:tc>
        <w:tc>
          <w:tcPr>
            <w:tcW w:w="1110" w:type="dxa"/>
          </w:tcPr>
          <w:p w14:paraId="2D0F7893">
            <w:pPr>
              <w:pStyle w:val="14"/>
              <w:spacing w:before="112"/>
              <w:ind w:left="336"/>
              <w:rPr>
                <w:rFonts w:ascii="Times New Roman"/>
                <w:sz w:val="21"/>
              </w:rPr>
            </w:pPr>
            <w:r>
              <w:rPr>
                <w:rFonts w:ascii="Times New Roman"/>
                <w:sz w:val="21"/>
              </w:rPr>
              <w:t>6~8.5</w:t>
            </w:r>
          </w:p>
        </w:tc>
        <w:tc>
          <w:tcPr>
            <w:tcW w:w="1085" w:type="dxa"/>
          </w:tcPr>
          <w:p w14:paraId="56418AB9">
            <w:pPr>
              <w:pStyle w:val="14"/>
              <w:spacing w:before="112"/>
              <w:ind w:left="199" w:right="148"/>
              <w:jc w:val="center"/>
              <w:rPr>
                <w:rFonts w:ascii="Times New Roman"/>
                <w:sz w:val="21"/>
              </w:rPr>
            </w:pPr>
            <w:r>
              <w:rPr>
                <w:rFonts w:ascii="Times New Roman"/>
                <w:sz w:val="21"/>
              </w:rPr>
              <w:t>50</w:t>
            </w:r>
          </w:p>
        </w:tc>
        <w:tc>
          <w:tcPr>
            <w:tcW w:w="1185" w:type="dxa"/>
          </w:tcPr>
          <w:p w14:paraId="0638CF10">
            <w:pPr>
              <w:pStyle w:val="14"/>
              <w:spacing w:before="112"/>
              <w:ind w:left="121" w:right="70"/>
              <w:jc w:val="center"/>
              <w:rPr>
                <w:rFonts w:ascii="Times New Roman"/>
                <w:sz w:val="21"/>
              </w:rPr>
            </w:pPr>
            <w:r>
              <w:rPr>
                <w:rFonts w:ascii="Times New Roman"/>
                <w:sz w:val="21"/>
              </w:rPr>
              <w:t>10</w:t>
            </w:r>
          </w:p>
        </w:tc>
        <w:tc>
          <w:tcPr>
            <w:tcW w:w="826" w:type="dxa"/>
          </w:tcPr>
          <w:p w14:paraId="0ACD5564">
            <w:pPr>
              <w:pStyle w:val="14"/>
              <w:spacing w:before="112"/>
              <w:ind w:left="256" w:right="205"/>
              <w:jc w:val="center"/>
              <w:rPr>
                <w:rFonts w:ascii="Times New Roman"/>
                <w:sz w:val="21"/>
              </w:rPr>
            </w:pPr>
            <w:r>
              <w:rPr>
                <w:rFonts w:ascii="Times New Roman"/>
                <w:sz w:val="21"/>
              </w:rPr>
              <w:t>10</w:t>
            </w:r>
          </w:p>
        </w:tc>
        <w:tc>
          <w:tcPr>
            <w:tcW w:w="1009" w:type="dxa"/>
          </w:tcPr>
          <w:p w14:paraId="11FAC11B">
            <w:pPr>
              <w:pStyle w:val="14"/>
              <w:spacing w:before="112"/>
              <w:ind w:left="55"/>
              <w:jc w:val="center"/>
              <w:rPr>
                <w:rFonts w:ascii="Times New Roman"/>
                <w:sz w:val="21"/>
              </w:rPr>
            </w:pPr>
            <w:r>
              <w:rPr>
                <w:rFonts w:ascii="Times New Roman"/>
                <w:w w:val="99"/>
                <w:sz w:val="21"/>
              </w:rPr>
              <w:t>5</w:t>
            </w:r>
          </w:p>
        </w:tc>
        <w:tc>
          <w:tcPr>
            <w:tcW w:w="787" w:type="dxa"/>
          </w:tcPr>
          <w:p w14:paraId="427C18FB">
            <w:pPr>
              <w:pStyle w:val="14"/>
              <w:spacing w:before="112"/>
              <w:ind w:left="310"/>
              <w:rPr>
                <w:rFonts w:ascii="Times New Roman"/>
                <w:sz w:val="21"/>
              </w:rPr>
            </w:pPr>
            <w:r>
              <w:rPr>
                <w:rFonts w:ascii="Times New Roman"/>
                <w:sz w:val="21"/>
              </w:rPr>
              <w:t>15</w:t>
            </w:r>
          </w:p>
        </w:tc>
        <w:tc>
          <w:tcPr>
            <w:tcW w:w="748" w:type="dxa"/>
          </w:tcPr>
          <w:p w14:paraId="02F56327">
            <w:pPr>
              <w:pStyle w:val="14"/>
              <w:spacing w:before="112"/>
              <w:ind w:left="262"/>
              <w:rPr>
                <w:rFonts w:ascii="Times New Roman"/>
                <w:sz w:val="21"/>
              </w:rPr>
            </w:pPr>
            <w:r>
              <w:rPr>
                <w:rFonts w:ascii="Times New Roman"/>
                <w:sz w:val="21"/>
              </w:rPr>
              <w:t>0.5</w:t>
            </w:r>
          </w:p>
        </w:tc>
      </w:tr>
    </w:tbl>
    <w:p w14:paraId="2624C896">
      <w:pPr>
        <w:pStyle w:val="6"/>
        <w:spacing w:before="2"/>
        <w:ind w:left="940"/>
      </w:pPr>
      <w:r>
        <w:t>（</w:t>
      </w:r>
      <w:r>
        <w:rPr>
          <w:rFonts w:ascii="Times New Roman" w:eastAsia="Times New Roman"/>
        </w:rPr>
        <w:t>2</w:t>
      </w:r>
      <w:r>
        <w:t>）污水处理厂废水处理工艺</w:t>
      </w:r>
    </w:p>
    <w:p w14:paraId="6B16CA14">
      <w:pPr>
        <w:pStyle w:val="7"/>
        <w:spacing w:before="160" w:line="364" w:lineRule="auto"/>
        <w:ind w:left="460" w:right="477" w:firstLine="480"/>
        <w:jc w:val="both"/>
      </w:pPr>
      <w:r>
        <w:t>提标改造扩建工程前岳阳县污水处理厂采取“</w:t>
      </w:r>
      <w:r>
        <w:rPr>
          <w:rFonts w:ascii="Times New Roman" w:hAnsi="Times New Roman" w:eastAsia="Times New Roman"/>
        </w:rPr>
        <w:t xml:space="preserve">Carrousel 2000 </w:t>
      </w:r>
      <w:r>
        <w:t>氧化沟”工艺，工程运行后采用</w:t>
      </w:r>
      <w:r>
        <w:rPr>
          <w:rFonts w:ascii="Times New Roman" w:hAnsi="Times New Roman" w:eastAsia="Times New Roman"/>
        </w:rPr>
        <w:t>“CAST</w:t>
      </w:r>
      <w:r>
        <w:t xml:space="preserve">（一期）＋改良 </w:t>
      </w:r>
      <w:r>
        <w:rPr>
          <w:rFonts w:ascii="Times New Roman" w:hAnsi="Times New Roman" w:eastAsia="Times New Roman"/>
        </w:rPr>
        <w:t>A</w:t>
      </w:r>
      <w:r>
        <w:rPr>
          <w:rFonts w:ascii="Times New Roman" w:hAnsi="Times New Roman" w:eastAsia="Times New Roman"/>
          <w:position w:val="8"/>
          <w:sz w:val="15"/>
        </w:rPr>
        <w:t>2</w:t>
      </w:r>
      <w:r>
        <w:rPr>
          <w:rFonts w:ascii="Times New Roman" w:hAnsi="Times New Roman" w:eastAsia="Times New Roman"/>
        </w:rPr>
        <w:t xml:space="preserve">/O </w:t>
      </w:r>
      <w:r>
        <w:t>生物池（二期）</w:t>
      </w:r>
      <w:r>
        <w:rPr>
          <w:rFonts w:ascii="Times New Roman" w:hAnsi="Times New Roman" w:eastAsia="Times New Roman"/>
        </w:rPr>
        <w:t>+</w:t>
      </w:r>
      <w:r>
        <w:t>絮凝沉淀</w:t>
      </w:r>
      <w:r>
        <w:rPr>
          <w:rFonts w:ascii="Times New Roman" w:hAnsi="Times New Roman" w:eastAsia="Times New Roman"/>
        </w:rPr>
        <w:t>”</w:t>
      </w:r>
      <w:r>
        <w:t>的主体处理工艺，消毒采用</w:t>
      </w:r>
      <w:r>
        <w:rPr>
          <w:rFonts w:ascii="Times New Roman" w:hAnsi="Times New Roman" w:eastAsia="Times New Roman"/>
        </w:rPr>
        <w:t>“</w:t>
      </w:r>
      <w:r>
        <w:t>紫外线＋次氯酸钠</w:t>
      </w:r>
      <w:r>
        <w:rPr>
          <w:rFonts w:ascii="Times New Roman" w:hAnsi="Times New Roman" w:eastAsia="Times New Roman"/>
        </w:rPr>
        <w:t>”</w:t>
      </w:r>
      <w:r>
        <w:t>工艺，污泥处理采用</w:t>
      </w:r>
      <w:r>
        <w:rPr>
          <w:rFonts w:ascii="Times New Roman" w:hAnsi="Times New Roman" w:eastAsia="Times New Roman"/>
        </w:rPr>
        <w:t>“</w:t>
      </w:r>
      <w:r>
        <w:t>机械浓缩</w:t>
      </w:r>
      <w:r>
        <w:rPr>
          <w:rFonts w:ascii="Times New Roman" w:hAnsi="Times New Roman" w:eastAsia="Times New Roman"/>
        </w:rPr>
        <w:t xml:space="preserve">+ </w:t>
      </w:r>
      <w:r>
        <w:t>低温风冷干化</w:t>
      </w:r>
      <w:r>
        <w:rPr>
          <w:rFonts w:ascii="Times New Roman" w:hAnsi="Times New Roman" w:eastAsia="Times New Roman"/>
        </w:rPr>
        <w:t>”</w:t>
      </w:r>
      <w:r>
        <w:t>的污泥处理工艺。</w:t>
      </w:r>
    </w:p>
    <w:p w14:paraId="38831FF1">
      <w:pPr>
        <w:pStyle w:val="7"/>
        <w:ind w:left="2368"/>
        <w:rPr>
          <w:sz w:val="20"/>
        </w:rPr>
      </w:pPr>
      <w:r>
        <w:rPr>
          <w:sz w:val="20"/>
        </w:rPr>
        <w:drawing>
          <wp:inline distT="0" distB="0" distL="0" distR="0">
            <wp:extent cx="2829560" cy="1568450"/>
            <wp:effectExtent l="0" t="0" r="0" b="0"/>
            <wp:docPr id="4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7.jpeg"/>
                    <pic:cNvPicPr>
                      <a:picLocks noChangeAspect="1"/>
                    </pic:cNvPicPr>
                  </pic:nvPicPr>
                  <pic:blipFill>
                    <a:blip r:embed="rId84" cstate="print"/>
                    <a:stretch>
                      <a:fillRect/>
                    </a:stretch>
                  </pic:blipFill>
                  <pic:spPr>
                    <a:xfrm>
                      <a:off x="0" y="0"/>
                      <a:ext cx="2830130" cy="1569053"/>
                    </a:xfrm>
                    <a:prstGeom prst="rect">
                      <a:avLst/>
                    </a:prstGeom>
                  </pic:spPr>
                </pic:pic>
              </a:graphicData>
            </a:graphic>
          </wp:inline>
        </w:drawing>
      </w:r>
    </w:p>
    <w:p w14:paraId="154E52DD">
      <w:pPr>
        <w:spacing w:before="139" w:after="3"/>
        <w:ind w:left="2550" w:right="0" w:firstLine="0"/>
        <w:jc w:val="left"/>
        <w:rPr>
          <w:b/>
          <w:sz w:val="21"/>
        </w:rPr>
      </w:pPr>
      <w:r>
        <w:rPr>
          <w:b/>
          <w:sz w:val="21"/>
        </w:rPr>
        <w:t xml:space="preserve">图 </w:t>
      </w:r>
      <w:r>
        <w:rPr>
          <w:rFonts w:ascii="Times New Roman" w:eastAsia="Times New Roman"/>
          <w:b/>
          <w:sz w:val="21"/>
        </w:rPr>
        <w:t xml:space="preserve">5.2-2 </w:t>
      </w:r>
      <w:r>
        <w:rPr>
          <w:b/>
          <w:sz w:val="21"/>
        </w:rPr>
        <w:t>岳阳县污水处理厂一期污水处理工艺</w:t>
      </w:r>
    </w:p>
    <w:p w14:paraId="2D839259">
      <w:pPr>
        <w:pStyle w:val="7"/>
        <w:ind w:left="507"/>
        <w:rPr>
          <w:sz w:val="20"/>
        </w:rPr>
      </w:pPr>
      <w:r>
        <w:rPr>
          <w:sz w:val="20"/>
        </w:rPr>
        <w:drawing>
          <wp:inline distT="0" distB="0" distL="0" distR="0">
            <wp:extent cx="5290185" cy="2499360"/>
            <wp:effectExtent l="0" t="0" r="0" b="0"/>
            <wp:docPr id="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8.jpeg"/>
                    <pic:cNvPicPr>
                      <a:picLocks noChangeAspect="1"/>
                    </pic:cNvPicPr>
                  </pic:nvPicPr>
                  <pic:blipFill>
                    <a:blip r:embed="rId85" cstate="print"/>
                    <a:stretch>
                      <a:fillRect/>
                    </a:stretch>
                  </pic:blipFill>
                  <pic:spPr>
                    <a:xfrm>
                      <a:off x="0" y="0"/>
                      <a:ext cx="5290229" cy="2499360"/>
                    </a:xfrm>
                    <a:prstGeom prst="rect">
                      <a:avLst/>
                    </a:prstGeom>
                  </pic:spPr>
                </pic:pic>
              </a:graphicData>
            </a:graphic>
          </wp:inline>
        </w:drawing>
      </w:r>
    </w:p>
    <w:p w14:paraId="32D584F0">
      <w:pPr>
        <w:spacing w:before="151"/>
        <w:ind w:left="2550" w:right="0" w:firstLine="0"/>
        <w:jc w:val="left"/>
        <w:rPr>
          <w:b/>
          <w:sz w:val="21"/>
        </w:rPr>
      </w:pPr>
      <w:r>
        <w:rPr>
          <w:b/>
          <w:sz w:val="21"/>
        </w:rPr>
        <w:t xml:space="preserve">图 </w:t>
      </w:r>
      <w:r>
        <w:rPr>
          <w:rFonts w:ascii="Times New Roman" w:eastAsia="Times New Roman"/>
          <w:b/>
          <w:sz w:val="21"/>
        </w:rPr>
        <w:t xml:space="preserve">5.2-3 </w:t>
      </w:r>
      <w:r>
        <w:rPr>
          <w:b/>
          <w:sz w:val="21"/>
        </w:rPr>
        <w:t>岳阳县污水处理厂二期污水处理工艺</w:t>
      </w:r>
    </w:p>
    <w:p w14:paraId="5FAF288D">
      <w:pPr>
        <w:pStyle w:val="7"/>
        <w:spacing w:before="5" w:line="364" w:lineRule="auto"/>
        <w:ind w:left="460" w:right="477" w:firstLine="480"/>
        <w:jc w:val="both"/>
        <w:rPr>
          <w:rFonts w:ascii="Times New Roman" w:eastAsia="Times New Roman"/>
        </w:rPr>
      </w:pPr>
      <w:r>
        <w:t>本项目废水主要屠宰生产废水，废水水质可生化性好，水质较为简单，水质经厂内预处理达到《肉类加工工业水污染物排放标准》</w:t>
      </w:r>
      <w:r>
        <w:rPr>
          <w:rFonts w:ascii="Times New Roman" w:eastAsia="Times New Roman"/>
        </w:rPr>
        <w:t xml:space="preserve">(GB13457-92) </w:t>
      </w:r>
      <w:r>
        <w:t>三级后，无难降解的污染物，岳阳县污水处理厂污水处理工艺对项目废水具有较高的去除效率，不会因项目水量、水质问题而影响污水处理厂处理效率。岳阳县污水处理厂出水水质可以达到《城镇污水处理厂污染物排放标准》（</w:t>
      </w:r>
      <w:r>
        <w:rPr>
          <w:rFonts w:ascii="Times New Roman" w:eastAsia="Times New Roman"/>
        </w:rPr>
        <w:t>GB18918-</w:t>
      </w:r>
    </w:p>
    <w:p w14:paraId="7B82FD32">
      <w:pPr>
        <w:pStyle w:val="7"/>
        <w:spacing w:line="364" w:lineRule="auto"/>
        <w:ind w:left="460" w:right="477"/>
      </w:pPr>
      <w:r>
        <w:rPr>
          <w:rFonts w:ascii="Times New Roman" w:eastAsia="Times New Roman"/>
        </w:rPr>
        <w:t>2002</w:t>
      </w:r>
      <w:r>
        <w:t xml:space="preserve">）中的一级 </w:t>
      </w:r>
      <w:r>
        <w:rPr>
          <w:rFonts w:ascii="Times New Roman" w:eastAsia="Times New Roman"/>
        </w:rPr>
        <w:t xml:space="preserve">A </w:t>
      </w:r>
      <w:r>
        <w:t>标准后排入新墙河。因此，项目废水预处理后纳入岳阳县污水处理厂可行。</w:t>
      </w:r>
    </w:p>
    <w:p w14:paraId="2D079E86">
      <w:pPr>
        <w:pStyle w:val="6"/>
        <w:spacing w:line="306" w:lineRule="exact"/>
        <w:ind w:left="940"/>
      </w:pPr>
      <w:r>
        <w:t>（</w:t>
      </w:r>
      <w:r>
        <w:rPr>
          <w:rFonts w:ascii="Times New Roman" w:eastAsia="Times New Roman"/>
        </w:rPr>
        <w:t>3</w:t>
      </w:r>
      <w:r>
        <w:t>）废水中污染因子涵盖情况</w:t>
      </w:r>
    </w:p>
    <w:p w14:paraId="654C4CBE">
      <w:pPr>
        <w:spacing w:after="0" w:line="306" w:lineRule="exact"/>
        <w:sectPr>
          <w:pgSz w:w="11910" w:h="16840"/>
          <w:pgMar w:top="1360" w:right="1320" w:bottom="1400" w:left="1340" w:header="878" w:footer="1204" w:gutter="0"/>
          <w:cols w:space="720" w:num="1"/>
        </w:sectPr>
      </w:pPr>
    </w:p>
    <w:p w14:paraId="1B3CA3A8">
      <w:pPr>
        <w:pStyle w:val="7"/>
        <w:spacing w:before="65" w:line="364" w:lineRule="auto"/>
        <w:ind w:left="460" w:right="477" w:firstLine="480"/>
        <w:jc w:val="both"/>
      </w:pPr>
      <w:r>
        <w:rPr>
          <w:position w:val="2"/>
        </w:rPr>
        <w:t xml:space="preserve">本项目废水中主要污染指标为 </w:t>
      </w:r>
      <w:r>
        <w:rPr>
          <w:rFonts w:ascii="Times New Roman" w:eastAsia="Times New Roman"/>
          <w:position w:val="2"/>
        </w:rPr>
        <w:t>COD</w:t>
      </w:r>
      <w:r>
        <w:rPr>
          <w:rFonts w:ascii="Times New Roman" w:eastAsia="Times New Roman"/>
          <w:position w:val="2"/>
          <w:vertAlign w:val="subscript"/>
        </w:rPr>
        <w:t>Cr</w:t>
      </w:r>
      <w:r>
        <w:rPr>
          <w:position w:val="2"/>
          <w:vertAlign w:val="baseline"/>
        </w:rPr>
        <w:t>、</w:t>
      </w:r>
      <w:r>
        <w:rPr>
          <w:rFonts w:ascii="Times New Roman" w:eastAsia="Times New Roman"/>
          <w:position w:val="2"/>
          <w:vertAlign w:val="baseline"/>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、动植物油和总</w:t>
      </w:r>
      <w:r>
        <w:rPr>
          <w:vertAlign w:val="baseline"/>
        </w:rPr>
        <w:t>氮、总磷等，废水成分简单，均包括在《城镇污水处理厂污染物排放标准》</w:t>
      </w:r>
      <w:r>
        <w:rPr>
          <w:rFonts w:ascii="Times New Roman" w:eastAsia="Times New Roman"/>
          <w:vertAlign w:val="baseline"/>
        </w:rPr>
        <w:t>(GB18918- -2002)</w:t>
      </w:r>
      <w:r>
        <w:rPr>
          <w:vertAlign w:val="baseline"/>
        </w:rPr>
        <w:t>中，并属于岳阳县污水处理厂自行监测项目。因此，本项目外排废水可依托岳阳县污水处理厂进行处理且能够满足达标排放的要求。</w:t>
      </w:r>
    </w:p>
    <w:p w14:paraId="196EAB63">
      <w:pPr>
        <w:pStyle w:val="6"/>
        <w:numPr>
          <w:ilvl w:val="3"/>
          <w:numId w:val="22"/>
        </w:numPr>
        <w:tabs>
          <w:tab w:val="left" w:pos="1171"/>
        </w:tabs>
        <w:spacing w:before="0" w:after="0" w:line="304" w:lineRule="exact"/>
        <w:ind w:left="1170" w:right="0" w:hanging="710"/>
        <w:jc w:val="left"/>
      </w:pPr>
      <w:bookmarkStart w:id="191" w:name="5.2.3.3废水污染源排放量核算"/>
      <w:bookmarkEnd w:id="191"/>
      <w:bookmarkStart w:id="192" w:name="5.2.3.3废水污染源排放量核算"/>
      <w:bookmarkEnd w:id="192"/>
      <w:r>
        <w:t>废水污染源排放量核算</w:t>
      </w:r>
    </w:p>
    <w:p w14:paraId="20644A5A">
      <w:pPr>
        <w:pStyle w:val="7"/>
        <w:spacing w:before="160" w:line="362" w:lineRule="auto"/>
        <w:ind w:left="460" w:right="477" w:firstLine="480"/>
        <w:jc w:val="both"/>
      </w:pPr>
      <w:r>
        <w:t xml:space="preserve">项目废水经厂内污水处理设施预处理后，依托岳阳高新技术产业园区污水处理设施进行处理，外排废水属于间接排放，地表水评价等级为三级 </w:t>
      </w:r>
      <w:r>
        <w:rPr>
          <w:rFonts w:ascii="Times New Roman" w:eastAsia="Times New Roman"/>
        </w:rPr>
        <w:t>B</w:t>
      </w:r>
      <w:r>
        <w:t>。根据</w:t>
      </w:r>
    </w:p>
    <w:p w14:paraId="0697399E">
      <w:pPr>
        <w:pStyle w:val="7"/>
        <w:spacing w:before="5" w:line="364" w:lineRule="auto"/>
        <w:ind w:left="460" w:right="477"/>
        <w:jc w:val="both"/>
      </w:pPr>
      <w:r>
        <w:t>《环境影响评价技术导则地表水环境》</w:t>
      </w:r>
      <w:r>
        <w:rPr>
          <w:rFonts w:ascii="Times New Roman" w:eastAsia="Times New Roman"/>
        </w:rPr>
        <w:t>(HJ2.3-2018</w:t>
      </w:r>
      <w:r>
        <w:t>）</w:t>
      </w:r>
      <w:r>
        <w:rPr>
          <w:spacing w:val="-24"/>
        </w:rPr>
        <w:t xml:space="preserve">第 </w:t>
      </w:r>
      <w:r>
        <w:rPr>
          <w:rFonts w:ascii="Times New Roman" w:eastAsia="Times New Roman"/>
        </w:rPr>
        <w:t xml:space="preserve">8.3.2 </w:t>
      </w:r>
      <w:r>
        <w:t>条，间接排放建设</w:t>
      </w:r>
      <w:r>
        <w:rPr>
          <w:spacing w:val="16"/>
        </w:rPr>
        <w:t>项目污染源排放量核算根据依托污水处理设施的控制要求核算确定。根据</w:t>
      </w:r>
      <w:r>
        <w:rPr>
          <w:rFonts w:ascii="Times New Roman" w:eastAsia="Times New Roman"/>
          <w:spacing w:val="16"/>
        </w:rPr>
        <w:t>HJ2.3-2018</w:t>
      </w:r>
      <w:r>
        <w:rPr>
          <w:rFonts w:ascii="Times New Roman" w:eastAsia="Times New Roman"/>
          <w:spacing w:val="15"/>
        </w:rPr>
        <w:t xml:space="preserve"> </w:t>
      </w:r>
      <w:r>
        <w:rPr>
          <w:spacing w:val="-20"/>
        </w:rPr>
        <w:t xml:space="preserve">附录 </w:t>
      </w:r>
      <w:r>
        <w:rPr>
          <w:rFonts w:ascii="Times New Roman" w:eastAsia="Times New Roman"/>
        </w:rPr>
        <w:t>G</w:t>
      </w:r>
      <w:r>
        <w:t>，项目废水污染物排放信息如下。</w:t>
      </w:r>
    </w:p>
    <w:p w14:paraId="32FF7D88">
      <w:pPr>
        <w:pStyle w:val="7"/>
        <w:spacing w:line="304" w:lineRule="exact"/>
        <w:ind w:left="940"/>
      </w:pPr>
      <w:r>
        <w:rPr>
          <w:rFonts w:ascii="Times New Roman" w:eastAsia="Times New Roman"/>
        </w:rPr>
        <w:t>1</w:t>
      </w:r>
      <w:r>
        <w:t>）废水类别、污染物及污染治理设施信息表</w:t>
      </w:r>
    </w:p>
    <w:p w14:paraId="649ECB15">
      <w:pPr>
        <w:spacing w:before="159" w:after="4"/>
        <w:ind w:left="264" w:right="286" w:firstLine="0"/>
        <w:jc w:val="center"/>
        <w:rPr>
          <w:b/>
          <w:sz w:val="21"/>
        </w:rPr>
      </w:pPr>
      <w:r>
        <w:rPr>
          <w:b/>
          <w:spacing w:val="-28"/>
          <w:sz w:val="21"/>
        </w:rPr>
        <w:t xml:space="preserve">表 </w:t>
      </w:r>
      <w:r>
        <w:rPr>
          <w:rFonts w:ascii="Times New Roman" w:eastAsia="Times New Roman"/>
          <w:b/>
          <w:sz w:val="21"/>
        </w:rPr>
        <w:t>5.2-7</w:t>
      </w:r>
      <w:r>
        <w:rPr>
          <w:rFonts w:ascii="Times New Roman" w:eastAsia="Times New Roman"/>
          <w:b/>
          <w:spacing w:val="50"/>
          <w:sz w:val="21"/>
        </w:rPr>
        <w:t xml:space="preserve"> </w:t>
      </w:r>
      <w:r>
        <w:rPr>
          <w:b/>
          <w:sz w:val="21"/>
        </w:rPr>
        <w:t>废水类别、污染物及污染治理设施信息表</w:t>
      </w:r>
    </w:p>
    <w:tbl>
      <w:tblPr>
        <w:tblStyle w:val="10"/>
        <w:tblW w:w="0" w:type="auto"/>
        <w:tblInd w:w="4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
        <w:gridCol w:w="403"/>
        <w:gridCol w:w="891"/>
        <w:gridCol w:w="634"/>
        <w:gridCol w:w="843"/>
        <w:gridCol w:w="947"/>
        <w:gridCol w:w="634"/>
        <w:gridCol w:w="1775"/>
        <w:gridCol w:w="685"/>
        <w:gridCol w:w="823"/>
        <w:gridCol w:w="460"/>
      </w:tblGrid>
      <w:tr w14:paraId="709C8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31" w:type="dxa"/>
            <w:vMerge w:val="restart"/>
          </w:tcPr>
          <w:p w14:paraId="3CEE940D">
            <w:pPr>
              <w:pStyle w:val="14"/>
              <w:rPr>
                <w:b/>
                <w:sz w:val="20"/>
              </w:rPr>
            </w:pPr>
          </w:p>
          <w:p w14:paraId="3F4A45A4">
            <w:pPr>
              <w:pStyle w:val="14"/>
              <w:spacing w:before="11"/>
              <w:rPr>
                <w:b/>
                <w:sz w:val="20"/>
              </w:rPr>
            </w:pPr>
          </w:p>
          <w:p w14:paraId="76831F23">
            <w:pPr>
              <w:pStyle w:val="14"/>
              <w:spacing w:before="1" w:line="242" w:lineRule="auto"/>
              <w:ind w:left="9"/>
              <w:rPr>
                <w:b/>
                <w:sz w:val="21"/>
              </w:rPr>
            </w:pPr>
            <w:r>
              <w:rPr>
                <w:b/>
                <w:sz w:val="21"/>
              </w:rPr>
              <w:t>序号</w:t>
            </w:r>
          </w:p>
        </w:tc>
        <w:tc>
          <w:tcPr>
            <w:tcW w:w="403" w:type="dxa"/>
            <w:vMerge w:val="restart"/>
          </w:tcPr>
          <w:p w14:paraId="37AD287A">
            <w:pPr>
              <w:pStyle w:val="14"/>
              <w:spacing w:before="7"/>
              <w:rPr>
                <w:b/>
                <w:sz w:val="19"/>
              </w:rPr>
            </w:pPr>
          </w:p>
          <w:p w14:paraId="43366273">
            <w:pPr>
              <w:pStyle w:val="14"/>
              <w:spacing w:line="242" w:lineRule="auto"/>
              <w:ind w:left="95" w:right="86"/>
              <w:jc w:val="both"/>
              <w:rPr>
                <w:b/>
                <w:sz w:val="21"/>
              </w:rPr>
            </w:pPr>
            <w:r>
              <w:rPr>
                <w:b/>
                <w:sz w:val="21"/>
              </w:rPr>
              <w:t>废水类别</w:t>
            </w:r>
          </w:p>
        </w:tc>
        <w:tc>
          <w:tcPr>
            <w:tcW w:w="891" w:type="dxa"/>
            <w:vMerge w:val="restart"/>
          </w:tcPr>
          <w:p w14:paraId="4EA72578">
            <w:pPr>
              <w:pStyle w:val="14"/>
              <w:rPr>
                <w:b/>
                <w:sz w:val="20"/>
              </w:rPr>
            </w:pPr>
          </w:p>
          <w:p w14:paraId="6A48D268">
            <w:pPr>
              <w:pStyle w:val="14"/>
              <w:spacing w:before="11"/>
              <w:rPr>
                <w:b/>
                <w:sz w:val="20"/>
              </w:rPr>
            </w:pPr>
          </w:p>
          <w:p w14:paraId="1AC0A86E">
            <w:pPr>
              <w:pStyle w:val="14"/>
              <w:spacing w:before="1" w:line="242" w:lineRule="auto"/>
              <w:ind w:left="232" w:right="118" w:hanging="104"/>
              <w:rPr>
                <w:b/>
                <w:sz w:val="21"/>
              </w:rPr>
            </w:pPr>
            <w:r>
              <w:rPr>
                <w:b/>
                <w:sz w:val="21"/>
              </w:rPr>
              <w:t>污染物种类</w:t>
            </w:r>
          </w:p>
        </w:tc>
        <w:tc>
          <w:tcPr>
            <w:tcW w:w="634" w:type="dxa"/>
            <w:vMerge w:val="restart"/>
          </w:tcPr>
          <w:p w14:paraId="41158102">
            <w:pPr>
              <w:pStyle w:val="14"/>
              <w:rPr>
                <w:b/>
                <w:sz w:val="20"/>
              </w:rPr>
            </w:pPr>
          </w:p>
          <w:p w14:paraId="6AC316D7">
            <w:pPr>
              <w:pStyle w:val="14"/>
              <w:spacing w:before="11"/>
              <w:rPr>
                <w:b/>
                <w:sz w:val="20"/>
              </w:rPr>
            </w:pPr>
          </w:p>
          <w:p w14:paraId="689A1B9A">
            <w:pPr>
              <w:pStyle w:val="14"/>
              <w:spacing w:before="1" w:line="242" w:lineRule="auto"/>
              <w:ind w:left="104" w:right="97"/>
              <w:rPr>
                <w:b/>
                <w:sz w:val="21"/>
              </w:rPr>
            </w:pPr>
            <w:r>
              <w:rPr>
                <w:b/>
                <w:sz w:val="21"/>
              </w:rPr>
              <w:t>排放去向</w:t>
            </w:r>
          </w:p>
        </w:tc>
        <w:tc>
          <w:tcPr>
            <w:tcW w:w="843" w:type="dxa"/>
            <w:vMerge w:val="restart"/>
          </w:tcPr>
          <w:p w14:paraId="7F485A59">
            <w:pPr>
              <w:pStyle w:val="14"/>
              <w:rPr>
                <w:b/>
                <w:sz w:val="20"/>
              </w:rPr>
            </w:pPr>
          </w:p>
          <w:p w14:paraId="7D4DD62A">
            <w:pPr>
              <w:pStyle w:val="14"/>
              <w:spacing w:before="11"/>
              <w:rPr>
                <w:b/>
                <w:sz w:val="20"/>
              </w:rPr>
            </w:pPr>
          </w:p>
          <w:p w14:paraId="72C71BEC">
            <w:pPr>
              <w:pStyle w:val="14"/>
              <w:spacing w:before="1" w:line="242" w:lineRule="auto"/>
              <w:ind w:left="315" w:right="95" w:hanging="212"/>
              <w:rPr>
                <w:b/>
                <w:sz w:val="21"/>
              </w:rPr>
            </w:pPr>
            <w:r>
              <w:rPr>
                <w:b/>
                <w:sz w:val="21"/>
              </w:rPr>
              <w:t>排放规律</w:t>
            </w:r>
          </w:p>
        </w:tc>
        <w:tc>
          <w:tcPr>
            <w:tcW w:w="3356" w:type="dxa"/>
            <w:gridSpan w:val="3"/>
          </w:tcPr>
          <w:p w14:paraId="7359B085">
            <w:pPr>
              <w:pStyle w:val="14"/>
              <w:spacing w:before="90"/>
              <w:ind w:left="1044"/>
              <w:rPr>
                <w:b/>
                <w:sz w:val="21"/>
              </w:rPr>
            </w:pPr>
            <w:r>
              <w:rPr>
                <w:b/>
                <w:sz w:val="21"/>
              </w:rPr>
              <w:t>污染治理设施</w:t>
            </w:r>
          </w:p>
        </w:tc>
        <w:tc>
          <w:tcPr>
            <w:tcW w:w="685" w:type="dxa"/>
            <w:vMerge w:val="restart"/>
          </w:tcPr>
          <w:p w14:paraId="19F80183">
            <w:pPr>
              <w:pStyle w:val="14"/>
              <w:rPr>
                <w:b/>
                <w:sz w:val="20"/>
              </w:rPr>
            </w:pPr>
          </w:p>
          <w:p w14:paraId="18424DFC">
            <w:pPr>
              <w:pStyle w:val="14"/>
              <w:spacing w:before="11"/>
              <w:rPr>
                <w:b/>
                <w:sz w:val="20"/>
              </w:rPr>
            </w:pPr>
          </w:p>
          <w:p w14:paraId="43F8DE09">
            <w:pPr>
              <w:pStyle w:val="14"/>
              <w:spacing w:before="1" w:line="242" w:lineRule="auto"/>
              <w:ind w:left="131" w:right="15" w:hanging="106"/>
              <w:rPr>
                <w:b/>
                <w:sz w:val="21"/>
              </w:rPr>
            </w:pPr>
            <w:r>
              <w:rPr>
                <w:b/>
                <w:sz w:val="21"/>
              </w:rPr>
              <w:t>排放口编号</w:t>
            </w:r>
          </w:p>
        </w:tc>
        <w:tc>
          <w:tcPr>
            <w:tcW w:w="823" w:type="dxa"/>
            <w:vMerge w:val="restart"/>
          </w:tcPr>
          <w:p w14:paraId="5203B74F">
            <w:pPr>
              <w:pStyle w:val="14"/>
              <w:spacing w:before="7"/>
              <w:rPr>
                <w:b/>
                <w:sz w:val="19"/>
              </w:rPr>
            </w:pPr>
          </w:p>
          <w:p w14:paraId="0F2F0935">
            <w:pPr>
              <w:pStyle w:val="14"/>
              <w:spacing w:line="242" w:lineRule="auto"/>
              <w:ind w:left="94" w:right="84"/>
              <w:jc w:val="both"/>
              <w:rPr>
                <w:b/>
                <w:sz w:val="21"/>
              </w:rPr>
            </w:pPr>
            <w:r>
              <w:rPr>
                <w:b/>
                <w:sz w:val="21"/>
              </w:rPr>
              <w:t>排放口设置是否符合要求</w:t>
            </w:r>
          </w:p>
        </w:tc>
        <w:tc>
          <w:tcPr>
            <w:tcW w:w="460" w:type="dxa"/>
            <w:vMerge w:val="restart"/>
          </w:tcPr>
          <w:p w14:paraId="2268847B">
            <w:pPr>
              <w:pStyle w:val="14"/>
              <w:rPr>
                <w:b/>
                <w:sz w:val="20"/>
              </w:rPr>
            </w:pPr>
          </w:p>
          <w:p w14:paraId="0B144B8F">
            <w:pPr>
              <w:pStyle w:val="14"/>
              <w:spacing w:before="131" w:line="242" w:lineRule="auto"/>
              <w:ind w:left="18" w:right="9"/>
              <w:jc w:val="center"/>
              <w:rPr>
                <w:b/>
                <w:sz w:val="21"/>
              </w:rPr>
            </w:pPr>
            <w:r>
              <w:rPr>
                <w:b/>
                <w:w w:val="95"/>
                <w:sz w:val="21"/>
              </w:rPr>
              <w:t>排放</w:t>
            </w:r>
            <w:r>
              <w:rPr>
                <w:b/>
                <w:sz w:val="21"/>
              </w:rPr>
              <w:t xml:space="preserve">口 </w:t>
            </w:r>
            <w:r>
              <w:rPr>
                <w:b/>
                <w:w w:val="95"/>
                <w:sz w:val="21"/>
              </w:rPr>
              <w:t>类型</w:t>
            </w:r>
          </w:p>
        </w:tc>
      </w:tr>
      <w:tr w14:paraId="43754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231" w:type="dxa"/>
            <w:vMerge w:val="continue"/>
            <w:tcBorders>
              <w:top w:val="nil"/>
            </w:tcBorders>
          </w:tcPr>
          <w:p w14:paraId="5E0F34D7">
            <w:pPr>
              <w:rPr>
                <w:sz w:val="2"/>
                <w:szCs w:val="2"/>
              </w:rPr>
            </w:pPr>
          </w:p>
        </w:tc>
        <w:tc>
          <w:tcPr>
            <w:tcW w:w="403" w:type="dxa"/>
            <w:vMerge w:val="continue"/>
            <w:tcBorders>
              <w:top w:val="nil"/>
            </w:tcBorders>
          </w:tcPr>
          <w:p w14:paraId="60DA2729">
            <w:pPr>
              <w:rPr>
                <w:sz w:val="2"/>
                <w:szCs w:val="2"/>
              </w:rPr>
            </w:pPr>
          </w:p>
        </w:tc>
        <w:tc>
          <w:tcPr>
            <w:tcW w:w="891" w:type="dxa"/>
            <w:vMerge w:val="continue"/>
            <w:tcBorders>
              <w:top w:val="nil"/>
            </w:tcBorders>
          </w:tcPr>
          <w:p w14:paraId="2FF39586">
            <w:pPr>
              <w:rPr>
                <w:sz w:val="2"/>
                <w:szCs w:val="2"/>
              </w:rPr>
            </w:pPr>
          </w:p>
        </w:tc>
        <w:tc>
          <w:tcPr>
            <w:tcW w:w="634" w:type="dxa"/>
            <w:vMerge w:val="continue"/>
            <w:tcBorders>
              <w:top w:val="nil"/>
            </w:tcBorders>
          </w:tcPr>
          <w:p w14:paraId="4D8BA8B8">
            <w:pPr>
              <w:rPr>
                <w:sz w:val="2"/>
                <w:szCs w:val="2"/>
              </w:rPr>
            </w:pPr>
          </w:p>
        </w:tc>
        <w:tc>
          <w:tcPr>
            <w:tcW w:w="843" w:type="dxa"/>
            <w:vMerge w:val="continue"/>
            <w:tcBorders>
              <w:top w:val="nil"/>
            </w:tcBorders>
          </w:tcPr>
          <w:p w14:paraId="599CCF90">
            <w:pPr>
              <w:rPr>
                <w:sz w:val="2"/>
                <w:szCs w:val="2"/>
              </w:rPr>
            </w:pPr>
          </w:p>
        </w:tc>
        <w:tc>
          <w:tcPr>
            <w:tcW w:w="947" w:type="dxa"/>
          </w:tcPr>
          <w:p w14:paraId="2B018560">
            <w:pPr>
              <w:pStyle w:val="14"/>
              <w:spacing w:before="11"/>
              <w:rPr>
                <w:b/>
                <w:sz w:val="22"/>
              </w:rPr>
            </w:pPr>
          </w:p>
          <w:p w14:paraId="0C8B00DF">
            <w:pPr>
              <w:pStyle w:val="14"/>
              <w:spacing w:line="242" w:lineRule="auto"/>
              <w:ind w:left="50" w:right="41"/>
              <w:rPr>
                <w:b/>
                <w:sz w:val="21"/>
              </w:rPr>
            </w:pPr>
            <w:r>
              <w:rPr>
                <w:b/>
                <w:sz w:val="21"/>
              </w:rPr>
              <w:t>污染治理设施编号</w:t>
            </w:r>
          </w:p>
        </w:tc>
        <w:tc>
          <w:tcPr>
            <w:tcW w:w="634" w:type="dxa"/>
          </w:tcPr>
          <w:p w14:paraId="529B948C">
            <w:pPr>
              <w:pStyle w:val="14"/>
              <w:spacing w:before="19" w:line="242" w:lineRule="auto"/>
              <w:ind w:left="104" w:right="97"/>
              <w:jc w:val="both"/>
              <w:rPr>
                <w:b/>
                <w:sz w:val="21"/>
              </w:rPr>
            </w:pPr>
            <w:r>
              <w:rPr>
                <w:b/>
                <w:sz w:val="21"/>
              </w:rPr>
              <w:t>污染治理设施名称</w:t>
            </w:r>
          </w:p>
        </w:tc>
        <w:tc>
          <w:tcPr>
            <w:tcW w:w="1775" w:type="dxa"/>
          </w:tcPr>
          <w:p w14:paraId="08CA1EEC">
            <w:pPr>
              <w:pStyle w:val="14"/>
              <w:rPr>
                <w:b/>
                <w:sz w:val="20"/>
              </w:rPr>
            </w:pPr>
          </w:p>
          <w:p w14:paraId="14BF485A">
            <w:pPr>
              <w:pStyle w:val="14"/>
              <w:spacing w:before="171"/>
              <w:ind w:left="23" w:right="15"/>
              <w:jc w:val="center"/>
              <w:rPr>
                <w:b/>
                <w:sz w:val="21"/>
              </w:rPr>
            </w:pPr>
            <w:r>
              <w:rPr>
                <w:b/>
                <w:sz w:val="21"/>
              </w:rPr>
              <w:t>污染治理设施工艺</w:t>
            </w:r>
          </w:p>
        </w:tc>
        <w:tc>
          <w:tcPr>
            <w:tcW w:w="685" w:type="dxa"/>
            <w:vMerge w:val="continue"/>
            <w:tcBorders>
              <w:top w:val="nil"/>
            </w:tcBorders>
          </w:tcPr>
          <w:p w14:paraId="120A771C">
            <w:pPr>
              <w:rPr>
                <w:sz w:val="2"/>
                <w:szCs w:val="2"/>
              </w:rPr>
            </w:pPr>
          </w:p>
        </w:tc>
        <w:tc>
          <w:tcPr>
            <w:tcW w:w="823" w:type="dxa"/>
            <w:vMerge w:val="continue"/>
            <w:tcBorders>
              <w:top w:val="nil"/>
            </w:tcBorders>
          </w:tcPr>
          <w:p w14:paraId="34D9C0AE">
            <w:pPr>
              <w:rPr>
                <w:sz w:val="2"/>
                <w:szCs w:val="2"/>
              </w:rPr>
            </w:pPr>
          </w:p>
        </w:tc>
        <w:tc>
          <w:tcPr>
            <w:tcW w:w="460" w:type="dxa"/>
            <w:vMerge w:val="continue"/>
            <w:tcBorders>
              <w:top w:val="nil"/>
            </w:tcBorders>
          </w:tcPr>
          <w:p w14:paraId="453482B8">
            <w:pPr>
              <w:rPr>
                <w:sz w:val="2"/>
                <w:szCs w:val="2"/>
              </w:rPr>
            </w:pPr>
          </w:p>
        </w:tc>
      </w:tr>
      <w:tr w14:paraId="11454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31" w:type="dxa"/>
            <w:tcBorders>
              <w:bottom w:val="nil"/>
            </w:tcBorders>
          </w:tcPr>
          <w:p w14:paraId="2AC689EF">
            <w:pPr>
              <w:pStyle w:val="14"/>
              <w:rPr>
                <w:rFonts w:ascii="Times New Roman"/>
                <w:sz w:val="20"/>
              </w:rPr>
            </w:pPr>
          </w:p>
        </w:tc>
        <w:tc>
          <w:tcPr>
            <w:tcW w:w="403" w:type="dxa"/>
            <w:vMerge w:val="restart"/>
          </w:tcPr>
          <w:p w14:paraId="22868DE2">
            <w:pPr>
              <w:pStyle w:val="14"/>
              <w:rPr>
                <w:b/>
                <w:sz w:val="20"/>
              </w:rPr>
            </w:pPr>
          </w:p>
          <w:p w14:paraId="0337D78E">
            <w:pPr>
              <w:pStyle w:val="14"/>
              <w:rPr>
                <w:b/>
                <w:sz w:val="20"/>
              </w:rPr>
            </w:pPr>
          </w:p>
          <w:p w14:paraId="2EBCA229">
            <w:pPr>
              <w:pStyle w:val="14"/>
              <w:spacing w:before="3"/>
              <w:rPr>
                <w:b/>
                <w:sz w:val="25"/>
              </w:rPr>
            </w:pPr>
          </w:p>
          <w:p w14:paraId="3235F45B">
            <w:pPr>
              <w:pStyle w:val="14"/>
              <w:spacing w:line="242" w:lineRule="auto"/>
              <w:ind w:left="95" w:right="86"/>
              <w:jc w:val="both"/>
              <w:rPr>
                <w:sz w:val="21"/>
              </w:rPr>
            </w:pPr>
            <w:r>
              <w:rPr>
                <w:sz w:val="21"/>
              </w:rPr>
              <w:t>生活污水</w:t>
            </w:r>
          </w:p>
        </w:tc>
        <w:tc>
          <w:tcPr>
            <w:tcW w:w="891" w:type="dxa"/>
            <w:tcBorders>
              <w:bottom w:val="nil"/>
            </w:tcBorders>
          </w:tcPr>
          <w:p w14:paraId="26A5E89A">
            <w:pPr>
              <w:pStyle w:val="14"/>
              <w:rPr>
                <w:rFonts w:ascii="Times New Roman"/>
                <w:sz w:val="20"/>
              </w:rPr>
            </w:pPr>
          </w:p>
        </w:tc>
        <w:tc>
          <w:tcPr>
            <w:tcW w:w="634" w:type="dxa"/>
            <w:tcBorders>
              <w:bottom w:val="nil"/>
            </w:tcBorders>
          </w:tcPr>
          <w:p w14:paraId="161A1959">
            <w:pPr>
              <w:pStyle w:val="14"/>
              <w:rPr>
                <w:rFonts w:ascii="Times New Roman"/>
                <w:sz w:val="20"/>
              </w:rPr>
            </w:pPr>
          </w:p>
        </w:tc>
        <w:tc>
          <w:tcPr>
            <w:tcW w:w="843" w:type="dxa"/>
            <w:tcBorders>
              <w:bottom w:val="nil"/>
            </w:tcBorders>
          </w:tcPr>
          <w:p w14:paraId="603BE5E1">
            <w:pPr>
              <w:pStyle w:val="14"/>
              <w:spacing w:before="20" w:line="247" w:lineRule="exact"/>
              <w:ind w:right="95"/>
              <w:jc w:val="right"/>
              <w:rPr>
                <w:sz w:val="21"/>
              </w:rPr>
            </w:pPr>
            <w:r>
              <w:rPr>
                <w:w w:val="95"/>
                <w:sz w:val="21"/>
              </w:rPr>
              <w:t>间断排</w:t>
            </w:r>
          </w:p>
        </w:tc>
        <w:tc>
          <w:tcPr>
            <w:tcW w:w="947" w:type="dxa"/>
            <w:tcBorders>
              <w:bottom w:val="nil"/>
            </w:tcBorders>
          </w:tcPr>
          <w:p w14:paraId="11093DFA">
            <w:pPr>
              <w:pStyle w:val="14"/>
              <w:rPr>
                <w:rFonts w:ascii="Times New Roman"/>
                <w:sz w:val="20"/>
              </w:rPr>
            </w:pPr>
          </w:p>
        </w:tc>
        <w:tc>
          <w:tcPr>
            <w:tcW w:w="634" w:type="dxa"/>
            <w:tcBorders>
              <w:bottom w:val="nil"/>
            </w:tcBorders>
          </w:tcPr>
          <w:p w14:paraId="025374F3">
            <w:pPr>
              <w:pStyle w:val="14"/>
              <w:rPr>
                <w:rFonts w:ascii="Times New Roman"/>
                <w:sz w:val="20"/>
              </w:rPr>
            </w:pPr>
          </w:p>
        </w:tc>
        <w:tc>
          <w:tcPr>
            <w:tcW w:w="1775" w:type="dxa"/>
            <w:tcBorders>
              <w:bottom w:val="nil"/>
            </w:tcBorders>
          </w:tcPr>
          <w:p w14:paraId="1C5777AA">
            <w:pPr>
              <w:pStyle w:val="14"/>
              <w:rPr>
                <w:rFonts w:ascii="Times New Roman"/>
                <w:sz w:val="20"/>
              </w:rPr>
            </w:pPr>
          </w:p>
        </w:tc>
        <w:tc>
          <w:tcPr>
            <w:tcW w:w="685" w:type="dxa"/>
            <w:tcBorders>
              <w:bottom w:val="nil"/>
            </w:tcBorders>
          </w:tcPr>
          <w:p w14:paraId="5E9AC4B6">
            <w:pPr>
              <w:pStyle w:val="14"/>
              <w:rPr>
                <w:rFonts w:ascii="Times New Roman"/>
                <w:sz w:val="20"/>
              </w:rPr>
            </w:pPr>
          </w:p>
        </w:tc>
        <w:tc>
          <w:tcPr>
            <w:tcW w:w="823" w:type="dxa"/>
            <w:tcBorders>
              <w:bottom w:val="nil"/>
            </w:tcBorders>
          </w:tcPr>
          <w:p w14:paraId="360330F7">
            <w:pPr>
              <w:pStyle w:val="14"/>
              <w:rPr>
                <w:rFonts w:ascii="Times New Roman"/>
                <w:sz w:val="20"/>
              </w:rPr>
            </w:pPr>
          </w:p>
        </w:tc>
        <w:tc>
          <w:tcPr>
            <w:tcW w:w="460" w:type="dxa"/>
            <w:tcBorders>
              <w:bottom w:val="nil"/>
            </w:tcBorders>
          </w:tcPr>
          <w:p w14:paraId="62C58365">
            <w:pPr>
              <w:pStyle w:val="14"/>
              <w:rPr>
                <w:rFonts w:ascii="Times New Roman"/>
                <w:sz w:val="20"/>
              </w:rPr>
            </w:pPr>
          </w:p>
        </w:tc>
      </w:tr>
      <w:tr w14:paraId="0C9FC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231" w:type="dxa"/>
            <w:tcBorders>
              <w:top w:val="nil"/>
              <w:bottom w:val="nil"/>
            </w:tcBorders>
          </w:tcPr>
          <w:p w14:paraId="7E377D7C">
            <w:pPr>
              <w:pStyle w:val="14"/>
              <w:rPr>
                <w:rFonts w:ascii="Times New Roman"/>
                <w:sz w:val="18"/>
              </w:rPr>
            </w:pPr>
          </w:p>
        </w:tc>
        <w:tc>
          <w:tcPr>
            <w:tcW w:w="403" w:type="dxa"/>
            <w:vMerge w:val="continue"/>
            <w:tcBorders>
              <w:top w:val="nil"/>
            </w:tcBorders>
          </w:tcPr>
          <w:p w14:paraId="4E3257A6">
            <w:pPr>
              <w:rPr>
                <w:sz w:val="2"/>
                <w:szCs w:val="2"/>
              </w:rPr>
            </w:pPr>
          </w:p>
        </w:tc>
        <w:tc>
          <w:tcPr>
            <w:tcW w:w="891" w:type="dxa"/>
            <w:tcBorders>
              <w:top w:val="nil"/>
              <w:bottom w:val="nil"/>
            </w:tcBorders>
          </w:tcPr>
          <w:p w14:paraId="0D7FC862">
            <w:pPr>
              <w:pStyle w:val="14"/>
              <w:rPr>
                <w:rFonts w:ascii="Times New Roman"/>
                <w:sz w:val="18"/>
              </w:rPr>
            </w:pPr>
          </w:p>
        </w:tc>
        <w:tc>
          <w:tcPr>
            <w:tcW w:w="634" w:type="dxa"/>
            <w:tcBorders>
              <w:top w:val="nil"/>
              <w:bottom w:val="nil"/>
            </w:tcBorders>
          </w:tcPr>
          <w:p w14:paraId="6B06FE94">
            <w:pPr>
              <w:pStyle w:val="14"/>
              <w:rPr>
                <w:rFonts w:ascii="Times New Roman"/>
                <w:sz w:val="18"/>
              </w:rPr>
            </w:pPr>
          </w:p>
        </w:tc>
        <w:tc>
          <w:tcPr>
            <w:tcW w:w="843" w:type="dxa"/>
            <w:tcBorders>
              <w:top w:val="nil"/>
              <w:bottom w:val="nil"/>
            </w:tcBorders>
          </w:tcPr>
          <w:p w14:paraId="6EAB0AEB">
            <w:pPr>
              <w:pStyle w:val="14"/>
              <w:spacing w:line="239" w:lineRule="exact"/>
              <w:ind w:right="95"/>
              <w:jc w:val="right"/>
              <w:rPr>
                <w:sz w:val="21"/>
              </w:rPr>
            </w:pPr>
            <w:r>
              <w:rPr>
                <w:w w:val="95"/>
                <w:sz w:val="21"/>
              </w:rPr>
              <w:t>放，排</w:t>
            </w:r>
          </w:p>
        </w:tc>
        <w:tc>
          <w:tcPr>
            <w:tcW w:w="947" w:type="dxa"/>
            <w:tcBorders>
              <w:top w:val="nil"/>
              <w:bottom w:val="nil"/>
            </w:tcBorders>
          </w:tcPr>
          <w:p w14:paraId="268B7EF9">
            <w:pPr>
              <w:pStyle w:val="14"/>
              <w:rPr>
                <w:rFonts w:ascii="Times New Roman"/>
                <w:sz w:val="18"/>
              </w:rPr>
            </w:pPr>
          </w:p>
        </w:tc>
        <w:tc>
          <w:tcPr>
            <w:tcW w:w="634" w:type="dxa"/>
            <w:tcBorders>
              <w:top w:val="nil"/>
              <w:bottom w:val="nil"/>
            </w:tcBorders>
          </w:tcPr>
          <w:p w14:paraId="45717683">
            <w:pPr>
              <w:pStyle w:val="14"/>
              <w:rPr>
                <w:rFonts w:ascii="Times New Roman"/>
                <w:sz w:val="18"/>
              </w:rPr>
            </w:pPr>
          </w:p>
        </w:tc>
        <w:tc>
          <w:tcPr>
            <w:tcW w:w="1775" w:type="dxa"/>
            <w:tcBorders>
              <w:top w:val="nil"/>
              <w:bottom w:val="nil"/>
            </w:tcBorders>
          </w:tcPr>
          <w:p w14:paraId="36345762">
            <w:pPr>
              <w:pStyle w:val="14"/>
              <w:rPr>
                <w:rFonts w:ascii="Times New Roman"/>
                <w:sz w:val="18"/>
              </w:rPr>
            </w:pPr>
          </w:p>
        </w:tc>
        <w:tc>
          <w:tcPr>
            <w:tcW w:w="685" w:type="dxa"/>
            <w:tcBorders>
              <w:top w:val="nil"/>
              <w:bottom w:val="nil"/>
            </w:tcBorders>
          </w:tcPr>
          <w:p w14:paraId="4B8AD4F8">
            <w:pPr>
              <w:pStyle w:val="14"/>
              <w:rPr>
                <w:rFonts w:ascii="Times New Roman"/>
                <w:sz w:val="18"/>
              </w:rPr>
            </w:pPr>
          </w:p>
        </w:tc>
        <w:tc>
          <w:tcPr>
            <w:tcW w:w="823" w:type="dxa"/>
            <w:tcBorders>
              <w:top w:val="nil"/>
              <w:bottom w:val="nil"/>
            </w:tcBorders>
          </w:tcPr>
          <w:p w14:paraId="51829643">
            <w:pPr>
              <w:pStyle w:val="14"/>
              <w:rPr>
                <w:rFonts w:ascii="Times New Roman"/>
                <w:sz w:val="18"/>
              </w:rPr>
            </w:pPr>
          </w:p>
        </w:tc>
        <w:tc>
          <w:tcPr>
            <w:tcW w:w="460" w:type="dxa"/>
            <w:tcBorders>
              <w:top w:val="nil"/>
              <w:bottom w:val="nil"/>
            </w:tcBorders>
          </w:tcPr>
          <w:p w14:paraId="0C4B4B56">
            <w:pPr>
              <w:pStyle w:val="14"/>
              <w:rPr>
                <w:rFonts w:ascii="Times New Roman"/>
                <w:sz w:val="18"/>
              </w:rPr>
            </w:pPr>
          </w:p>
        </w:tc>
      </w:tr>
      <w:tr w14:paraId="47443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231" w:type="dxa"/>
            <w:tcBorders>
              <w:top w:val="nil"/>
              <w:bottom w:val="nil"/>
            </w:tcBorders>
          </w:tcPr>
          <w:p w14:paraId="25656C18">
            <w:pPr>
              <w:pStyle w:val="14"/>
              <w:rPr>
                <w:rFonts w:ascii="Times New Roman"/>
                <w:sz w:val="18"/>
              </w:rPr>
            </w:pPr>
          </w:p>
        </w:tc>
        <w:tc>
          <w:tcPr>
            <w:tcW w:w="403" w:type="dxa"/>
            <w:vMerge w:val="continue"/>
            <w:tcBorders>
              <w:top w:val="nil"/>
            </w:tcBorders>
          </w:tcPr>
          <w:p w14:paraId="7CE7FE04">
            <w:pPr>
              <w:rPr>
                <w:sz w:val="2"/>
                <w:szCs w:val="2"/>
              </w:rPr>
            </w:pPr>
          </w:p>
        </w:tc>
        <w:tc>
          <w:tcPr>
            <w:tcW w:w="891" w:type="dxa"/>
            <w:tcBorders>
              <w:top w:val="nil"/>
              <w:bottom w:val="nil"/>
            </w:tcBorders>
          </w:tcPr>
          <w:p w14:paraId="522BC053">
            <w:pPr>
              <w:pStyle w:val="14"/>
              <w:spacing w:line="249" w:lineRule="exact"/>
              <w:ind w:left="119"/>
              <w:rPr>
                <w:sz w:val="21"/>
              </w:rPr>
            </w:pPr>
            <w:r>
              <w:rPr>
                <w:rFonts w:ascii="Times New Roman" w:eastAsia="Times New Roman"/>
                <w:sz w:val="21"/>
              </w:rPr>
              <w:t>COD</w:t>
            </w:r>
            <w:r>
              <w:rPr>
                <w:sz w:val="21"/>
              </w:rPr>
              <w:t>、</w:t>
            </w:r>
          </w:p>
        </w:tc>
        <w:tc>
          <w:tcPr>
            <w:tcW w:w="634" w:type="dxa"/>
            <w:tcBorders>
              <w:top w:val="nil"/>
              <w:bottom w:val="nil"/>
            </w:tcBorders>
          </w:tcPr>
          <w:p w14:paraId="59FC3065">
            <w:pPr>
              <w:pStyle w:val="14"/>
              <w:rPr>
                <w:rFonts w:ascii="Times New Roman"/>
                <w:sz w:val="18"/>
              </w:rPr>
            </w:pPr>
          </w:p>
        </w:tc>
        <w:tc>
          <w:tcPr>
            <w:tcW w:w="843" w:type="dxa"/>
            <w:tcBorders>
              <w:top w:val="nil"/>
              <w:bottom w:val="nil"/>
            </w:tcBorders>
          </w:tcPr>
          <w:p w14:paraId="56E79CFA">
            <w:pPr>
              <w:pStyle w:val="14"/>
              <w:spacing w:line="249" w:lineRule="exact"/>
              <w:ind w:right="95"/>
              <w:jc w:val="right"/>
              <w:rPr>
                <w:sz w:val="21"/>
              </w:rPr>
            </w:pPr>
            <w:r>
              <w:rPr>
                <w:w w:val="95"/>
                <w:sz w:val="21"/>
              </w:rPr>
              <w:t>放期间</w:t>
            </w:r>
          </w:p>
        </w:tc>
        <w:tc>
          <w:tcPr>
            <w:tcW w:w="947" w:type="dxa"/>
            <w:tcBorders>
              <w:top w:val="nil"/>
              <w:bottom w:val="nil"/>
            </w:tcBorders>
          </w:tcPr>
          <w:p w14:paraId="3E27B754">
            <w:pPr>
              <w:pStyle w:val="14"/>
              <w:rPr>
                <w:rFonts w:ascii="Times New Roman"/>
                <w:sz w:val="18"/>
              </w:rPr>
            </w:pPr>
          </w:p>
        </w:tc>
        <w:tc>
          <w:tcPr>
            <w:tcW w:w="634" w:type="dxa"/>
            <w:tcBorders>
              <w:top w:val="nil"/>
              <w:bottom w:val="nil"/>
            </w:tcBorders>
          </w:tcPr>
          <w:p w14:paraId="3B8C8AF4">
            <w:pPr>
              <w:pStyle w:val="14"/>
              <w:rPr>
                <w:rFonts w:ascii="Times New Roman"/>
                <w:sz w:val="18"/>
              </w:rPr>
            </w:pPr>
          </w:p>
        </w:tc>
        <w:tc>
          <w:tcPr>
            <w:tcW w:w="1775" w:type="dxa"/>
            <w:tcBorders>
              <w:top w:val="nil"/>
              <w:bottom w:val="nil"/>
            </w:tcBorders>
          </w:tcPr>
          <w:p w14:paraId="0A1FD160">
            <w:pPr>
              <w:pStyle w:val="14"/>
              <w:rPr>
                <w:rFonts w:ascii="Times New Roman"/>
                <w:sz w:val="18"/>
              </w:rPr>
            </w:pPr>
          </w:p>
        </w:tc>
        <w:tc>
          <w:tcPr>
            <w:tcW w:w="685" w:type="dxa"/>
            <w:tcBorders>
              <w:top w:val="nil"/>
              <w:bottom w:val="nil"/>
            </w:tcBorders>
          </w:tcPr>
          <w:p w14:paraId="72E4E3C8">
            <w:pPr>
              <w:pStyle w:val="14"/>
              <w:rPr>
                <w:rFonts w:ascii="Times New Roman"/>
                <w:sz w:val="18"/>
              </w:rPr>
            </w:pPr>
          </w:p>
        </w:tc>
        <w:tc>
          <w:tcPr>
            <w:tcW w:w="823" w:type="dxa"/>
            <w:tcBorders>
              <w:top w:val="nil"/>
              <w:bottom w:val="nil"/>
            </w:tcBorders>
          </w:tcPr>
          <w:p w14:paraId="756999B4">
            <w:pPr>
              <w:pStyle w:val="14"/>
              <w:rPr>
                <w:rFonts w:ascii="Times New Roman"/>
                <w:sz w:val="18"/>
              </w:rPr>
            </w:pPr>
          </w:p>
        </w:tc>
        <w:tc>
          <w:tcPr>
            <w:tcW w:w="460" w:type="dxa"/>
            <w:tcBorders>
              <w:top w:val="nil"/>
              <w:bottom w:val="nil"/>
            </w:tcBorders>
          </w:tcPr>
          <w:p w14:paraId="6C35427C">
            <w:pPr>
              <w:pStyle w:val="14"/>
              <w:rPr>
                <w:rFonts w:ascii="Times New Roman"/>
                <w:sz w:val="18"/>
              </w:rPr>
            </w:pPr>
          </w:p>
        </w:tc>
      </w:tr>
      <w:tr w14:paraId="6D2C1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231" w:type="dxa"/>
            <w:tcBorders>
              <w:top w:val="nil"/>
            </w:tcBorders>
          </w:tcPr>
          <w:p w14:paraId="45D5FBD4">
            <w:pPr>
              <w:pStyle w:val="14"/>
              <w:spacing w:before="5"/>
              <w:rPr>
                <w:b/>
                <w:sz w:val="32"/>
              </w:rPr>
            </w:pPr>
          </w:p>
          <w:p w14:paraId="568B5954">
            <w:pPr>
              <w:pStyle w:val="14"/>
              <w:ind w:left="8"/>
              <w:jc w:val="center"/>
              <w:rPr>
                <w:rFonts w:ascii="Times New Roman"/>
                <w:sz w:val="21"/>
              </w:rPr>
            </w:pPr>
            <w:r>
              <w:rPr>
                <w:rFonts w:ascii="Times New Roman"/>
                <w:w w:val="99"/>
                <w:sz w:val="21"/>
              </w:rPr>
              <w:t>1</w:t>
            </w:r>
          </w:p>
        </w:tc>
        <w:tc>
          <w:tcPr>
            <w:tcW w:w="403" w:type="dxa"/>
            <w:vMerge w:val="continue"/>
            <w:tcBorders>
              <w:top w:val="nil"/>
            </w:tcBorders>
          </w:tcPr>
          <w:p w14:paraId="6577AC30">
            <w:pPr>
              <w:rPr>
                <w:sz w:val="2"/>
                <w:szCs w:val="2"/>
              </w:rPr>
            </w:pPr>
          </w:p>
        </w:tc>
        <w:tc>
          <w:tcPr>
            <w:tcW w:w="891" w:type="dxa"/>
            <w:tcBorders>
              <w:top w:val="nil"/>
            </w:tcBorders>
          </w:tcPr>
          <w:p w14:paraId="73391BA0">
            <w:pPr>
              <w:pStyle w:val="14"/>
              <w:spacing w:line="263" w:lineRule="exact"/>
              <w:ind w:left="83"/>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p>
          <w:p w14:paraId="442B9721">
            <w:pPr>
              <w:pStyle w:val="14"/>
              <w:spacing w:before="1"/>
              <w:ind w:left="42" w:right="34"/>
              <w:jc w:val="center"/>
              <w:rPr>
                <w:sz w:val="21"/>
              </w:rPr>
            </w:pPr>
            <w:r>
              <w:rPr>
                <w:rFonts w:ascii="Times New Roman" w:eastAsia="Times New Roman"/>
                <w:sz w:val="21"/>
              </w:rPr>
              <w:t>SS</w:t>
            </w:r>
            <w:r>
              <w:rPr>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w:t>
            </w:r>
          </w:p>
          <w:p w14:paraId="00907162">
            <w:pPr>
              <w:pStyle w:val="14"/>
              <w:spacing w:line="242" w:lineRule="auto"/>
              <w:ind w:left="234" w:right="17" w:hanging="212"/>
              <w:rPr>
                <w:sz w:val="21"/>
              </w:rPr>
            </w:pPr>
            <w:r>
              <w:rPr>
                <w:w w:val="95"/>
                <w:sz w:val="21"/>
              </w:rPr>
              <w:t>动植物油</w:t>
            </w:r>
            <w:r>
              <w:rPr>
                <w:sz w:val="21"/>
              </w:rPr>
              <w:t>类等</w:t>
            </w:r>
          </w:p>
        </w:tc>
        <w:tc>
          <w:tcPr>
            <w:tcW w:w="634" w:type="dxa"/>
            <w:tcBorders>
              <w:top w:val="nil"/>
            </w:tcBorders>
          </w:tcPr>
          <w:p w14:paraId="176A15D0">
            <w:pPr>
              <w:pStyle w:val="14"/>
              <w:spacing w:line="242" w:lineRule="auto"/>
              <w:ind w:left="107" w:right="97"/>
              <w:jc w:val="both"/>
              <w:rPr>
                <w:sz w:val="21"/>
              </w:rPr>
            </w:pPr>
            <w:r>
              <w:rPr>
                <w:w w:val="95"/>
                <w:sz w:val="21"/>
              </w:rPr>
              <w:t>岳阳县污水处理厂</w:t>
            </w:r>
          </w:p>
        </w:tc>
        <w:tc>
          <w:tcPr>
            <w:tcW w:w="843" w:type="dxa"/>
            <w:tcBorders>
              <w:top w:val="nil"/>
            </w:tcBorders>
          </w:tcPr>
          <w:p w14:paraId="17845731">
            <w:pPr>
              <w:pStyle w:val="14"/>
              <w:spacing w:line="242" w:lineRule="auto"/>
              <w:ind w:left="106" w:right="95"/>
              <w:jc w:val="center"/>
              <w:rPr>
                <w:sz w:val="21"/>
              </w:rPr>
            </w:pPr>
            <w:r>
              <w:rPr>
                <w:w w:val="95"/>
                <w:sz w:val="21"/>
              </w:rPr>
              <w:t>流量不稳定且</w:t>
            </w:r>
            <w:r>
              <w:rPr>
                <w:sz w:val="21"/>
              </w:rPr>
              <w:t xml:space="preserve">无规 </w:t>
            </w:r>
            <w:r>
              <w:rPr>
                <w:w w:val="95"/>
                <w:sz w:val="21"/>
              </w:rPr>
              <w:t>律，但不属于冲击型</w:t>
            </w:r>
            <w:r>
              <w:rPr>
                <w:sz w:val="21"/>
              </w:rPr>
              <w:t>排放</w:t>
            </w:r>
          </w:p>
        </w:tc>
        <w:tc>
          <w:tcPr>
            <w:tcW w:w="947" w:type="dxa"/>
            <w:tcBorders>
              <w:top w:val="nil"/>
            </w:tcBorders>
          </w:tcPr>
          <w:p w14:paraId="2F991ACD">
            <w:pPr>
              <w:pStyle w:val="14"/>
              <w:spacing w:before="5"/>
              <w:rPr>
                <w:b/>
                <w:sz w:val="32"/>
              </w:rPr>
            </w:pPr>
          </w:p>
          <w:p w14:paraId="1F059ACD">
            <w:pPr>
              <w:pStyle w:val="14"/>
              <w:ind w:left="129" w:right="123"/>
              <w:jc w:val="center"/>
              <w:rPr>
                <w:rFonts w:ascii="Times New Roman"/>
                <w:sz w:val="21"/>
              </w:rPr>
            </w:pPr>
            <w:r>
              <w:rPr>
                <w:rFonts w:ascii="Times New Roman"/>
                <w:sz w:val="21"/>
              </w:rPr>
              <w:t>TW001</w:t>
            </w:r>
          </w:p>
        </w:tc>
        <w:tc>
          <w:tcPr>
            <w:tcW w:w="634" w:type="dxa"/>
            <w:tcBorders>
              <w:top w:val="nil"/>
            </w:tcBorders>
          </w:tcPr>
          <w:p w14:paraId="3DAFEE8E">
            <w:pPr>
              <w:pStyle w:val="14"/>
              <w:spacing w:before="128" w:line="242" w:lineRule="auto"/>
              <w:ind w:left="107" w:right="97"/>
              <w:jc w:val="both"/>
              <w:rPr>
                <w:sz w:val="21"/>
              </w:rPr>
            </w:pPr>
            <w:r>
              <w:rPr>
                <w:w w:val="95"/>
                <w:sz w:val="21"/>
              </w:rPr>
              <w:t>污水处理</w:t>
            </w:r>
            <w:r>
              <w:rPr>
                <w:sz w:val="21"/>
              </w:rPr>
              <w:t>站</w:t>
            </w:r>
          </w:p>
        </w:tc>
        <w:tc>
          <w:tcPr>
            <w:tcW w:w="1775" w:type="dxa"/>
            <w:tcBorders>
              <w:top w:val="nil"/>
            </w:tcBorders>
          </w:tcPr>
          <w:p w14:paraId="56FC3CCF">
            <w:pPr>
              <w:pStyle w:val="14"/>
              <w:rPr>
                <w:b/>
                <w:sz w:val="20"/>
              </w:rPr>
            </w:pPr>
          </w:p>
          <w:p w14:paraId="6CB82DCC">
            <w:pPr>
              <w:pStyle w:val="14"/>
              <w:spacing w:before="145"/>
              <w:ind w:left="21" w:right="15"/>
              <w:jc w:val="center"/>
              <w:rPr>
                <w:sz w:val="21"/>
              </w:rPr>
            </w:pPr>
            <w:r>
              <w:rPr>
                <w:sz w:val="21"/>
              </w:rPr>
              <w:t>厌氧发酵</w:t>
            </w:r>
          </w:p>
        </w:tc>
        <w:tc>
          <w:tcPr>
            <w:tcW w:w="685" w:type="dxa"/>
            <w:tcBorders>
              <w:top w:val="nil"/>
              <w:bottom w:val="nil"/>
            </w:tcBorders>
          </w:tcPr>
          <w:p w14:paraId="4ADDB435">
            <w:pPr>
              <w:pStyle w:val="14"/>
              <w:rPr>
                <w:b/>
                <w:sz w:val="22"/>
              </w:rPr>
            </w:pPr>
          </w:p>
          <w:p w14:paraId="55EE4168">
            <w:pPr>
              <w:pStyle w:val="14"/>
              <w:rPr>
                <w:b/>
                <w:sz w:val="22"/>
              </w:rPr>
            </w:pPr>
          </w:p>
          <w:p w14:paraId="03EAACAB">
            <w:pPr>
              <w:pStyle w:val="14"/>
              <w:rPr>
                <w:b/>
                <w:sz w:val="22"/>
              </w:rPr>
            </w:pPr>
          </w:p>
          <w:p w14:paraId="200E79C1">
            <w:pPr>
              <w:pStyle w:val="14"/>
              <w:spacing w:before="12"/>
              <w:rPr>
                <w:b/>
                <w:sz w:val="31"/>
              </w:rPr>
            </w:pPr>
          </w:p>
          <w:p w14:paraId="502C2F37">
            <w:pPr>
              <w:pStyle w:val="14"/>
              <w:ind w:left="9"/>
              <w:rPr>
                <w:rFonts w:ascii="Times New Roman"/>
                <w:sz w:val="21"/>
              </w:rPr>
            </w:pPr>
            <w:r>
              <w:rPr>
                <w:rFonts w:ascii="Times New Roman"/>
                <w:sz w:val="21"/>
              </w:rPr>
              <w:t>DW001</w:t>
            </w:r>
          </w:p>
        </w:tc>
        <w:tc>
          <w:tcPr>
            <w:tcW w:w="823" w:type="dxa"/>
            <w:tcBorders>
              <w:top w:val="nil"/>
              <w:bottom w:val="nil"/>
            </w:tcBorders>
          </w:tcPr>
          <w:p w14:paraId="4FE4DDC7">
            <w:pPr>
              <w:pStyle w:val="14"/>
              <w:rPr>
                <w:b/>
                <w:sz w:val="20"/>
              </w:rPr>
            </w:pPr>
          </w:p>
          <w:p w14:paraId="3FAF3BB1">
            <w:pPr>
              <w:pStyle w:val="14"/>
              <w:rPr>
                <w:b/>
                <w:sz w:val="20"/>
              </w:rPr>
            </w:pPr>
          </w:p>
          <w:p w14:paraId="0BBA8EF7">
            <w:pPr>
              <w:pStyle w:val="14"/>
              <w:rPr>
                <w:b/>
                <w:sz w:val="20"/>
              </w:rPr>
            </w:pPr>
          </w:p>
          <w:p w14:paraId="68A9130B">
            <w:pPr>
              <w:pStyle w:val="14"/>
              <w:rPr>
                <w:b/>
                <w:sz w:val="20"/>
              </w:rPr>
            </w:pPr>
          </w:p>
          <w:p w14:paraId="7B68B61B">
            <w:pPr>
              <w:pStyle w:val="14"/>
              <w:spacing w:before="11"/>
              <w:rPr>
                <w:b/>
                <w:sz w:val="16"/>
              </w:rPr>
            </w:pPr>
          </w:p>
          <w:p w14:paraId="255D3090">
            <w:pPr>
              <w:pStyle w:val="14"/>
              <w:ind w:left="7"/>
              <w:jc w:val="center"/>
              <w:rPr>
                <w:sz w:val="21"/>
              </w:rPr>
            </w:pPr>
            <w:r>
              <w:rPr>
                <w:w w:val="99"/>
                <w:sz w:val="21"/>
              </w:rPr>
              <w:t>是</w:t>
            </w:r>
          </w:p>
        </w:tc>
        <w:tc>
          <w:tcPr>
            <w:tcW w:w="460" w:type="dxa"/>
            <w:tcBorders>
              <w:top w:val="nil"/>
              <w:bottom w:val="nil"/>
            </w:tcBorders>
          </w:tcPr>
          <w:p w14:paraId="4E69F84E">
            <w:pPr>
              <w:pStyle w:val="14"/>
              <w:rPr>
                <w:b/>
                <w:sz w:val="20"/>
              </w:rPr>
            </w:pPr>
          </w:p>
          <w:p w14:paraId="1BF4893E">
            <w:pPr>
              <w:pStyle w:val="14"/>
              <w:rPr>
                <w:b/>
                <w:sz w:val="20"/>
              </w:rPr>
            </w:pPr>
          </w:p>
          <w:p w14:paraId="5B50770E">
            <w:pPr>
              <w:pStyle w:val="14"/>
              <w:rPr>
                <w:b/>
                <w:sz w:val="20"/>
              </w:rPr>
            </w:pPr>
          </w:p>
          <w:p w14:paraId="678A79F3">
            <w:pPr>
              <w:pStyle w:val="14"/>
              <w:spacing w:before="9"/>
              <w:rPr>
                <w:b/>
                <w:sz w:val="15"/>
              </w:rPr>
            </w:pPr>
          </w:p>
          <w:p w14:paraId="720619BE">
            <w:pPr>
              <w:pStyle w:val="14"/>
              <w:spacing w:line="242" w:lineRule="auto"/>
              <w:ind w:left="20" w:right="9"/>
              <w:jc w:val="both"/>
              <w:rPr>
                <w:sz w:val="21"/>
              </w:rPr>
            </w:pPr>
            <w:r>
              <w:rPr>
                <w:w w:val="95"/>
                <w:sz w:val="21"/>
              </w:rPr>
              <w:t>企业总排</w:t>
            </w:r>
            <w:r>
              <w:rPr>
                <w:sz w:val="21"/>
              </w:rPr>
              <w:t>口</w:t>
            </w:r>
          </w:p>
        </w:tc>
      </w:tr>
      <w:tr w14:paraId="27381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231" w:type="dxa"/>
            <w:tcBorders>
              <w:bottom w:val="nil"/>
            </w:tcBorders>
          </w:tcPr>
          <w:p w14:paraId="6B23AFAC">
            <w:pPr>
              <w:pStyle w:val="14"/>
              <w:rPr>
                <w:rFonts w:ascii="Times New Roman"/>
                <w:sz w:val="20"/>
              </w:rPr>
            </w:pPr>
          </w:p>
        </w:tc>
        <w:tc>
          <w:tcPr>
            <w:tcW w:w="403" w:type="dxa"/>
            <w:vMerge w:val="restart"/>
          </w:tcPr>
          <w:p w14:paraId="67720E59">
            <w:pPr>
              <w:pStyle w:val="14"/>
              <w:spacing w:before="10"/>
              <w:rPr>
                <w:b/>
                <w:sz w:val="22"/>
              </w:rPr>
            </w:pPr>
          </w:p>
          <w:p w14:paraId="5B00B02F">
            <w:pPr>
              <w:pStyle w:val="14"/>
              <w:spacing w:line="242" w:lineRule="auto"/>
              <w:ind w:left="95" w:right="86"/>
              <w:jc w:val="both"/>
              <w:rPr>
                <w:sz w:val="21"/>
              </w:rPr>
            </w:pPr>
            <w:r>
              <w:rPr>
                <w:sz w:val="21"/>
              </w:rPr>
              <w:t>生产废水</w:t>
            </w:r>
          </w:p>
        </w:tc>
        <w:tc>
          <w:tcPr>
            <w:tcW w:w="891" w:type="dxa"/>
            <w:tcBorders>
              <w:bottom w:val="nil"/>
            </w:tcBorders>
          </w:tcPr>
          <w:p w14:paraId="57B4F057">
            <w:pPr>
              <w:pStyle w:val="14"/>
              <w:spacing w:before="21" w:line="250" w:lineRule="exact"/>
              <w:ind w:left="119"/>
              <w:rPr>
                <w:sz w:val="21"/>
              </w:rPr>
            </w:pPr>
            <w:r>
              <w:rPr>
                <w:rFonts w:ascii="Times New Roman" w:eastAsia="Times New Roman"/>
                <w:sz w:val="21"/>
              </w:rPr>
              <w:t>COD</w:t>
            </w:r>
            <w:r>
              <w:rPr>
                <w:sz w:val="21"/>
              </w:rPr>
              <w:t>、</w:t>
            </w:r>
          </w:p>
        </w:tc>
        <w:tc>
          <w:tcPr>
            <w:tcW w:w="634" w:type="dxa"/>
            <w:tcBorders>
              <w:bottom w:val="nil"/>
            </w:tcBorders>
          </w:tcPr>
          <w:p w14:paraId="400A07BA">
            <w:pPr>
              <w:pStyle w:val="14"/>
              <w:rPr>
                <w:rFonts w:ascii="Times New Roman"/>
                <w:sz w:val="20"/>
              </w:rPr>
            </w:pPr>
          </w:p>
        </w:tc>
        <w:tc>
          <w:tcPr>
            <w:tcW w:w="843" w:type="dxa"/>
            <w:vMerge w:val="restart"/>
          </w:tcPr>
          <w:p w14:paraId="56D2C02C">
            <w:pPr>
              <w:pStyle w:val="14"/>
              <w:rPr>
                <w:b/>
                <w:sz w:val="20"/>
              </w:rPr>
            </w:pPr>
          </w:p>
          <w:p w14:paraId="0D91711E">
            <w:pPr>
              <w:pStyle w:val="14"/>
              <w:spacing w:before="172" w:line="242" w:lineRule="auto"/>
              <w:ind w:left="106" w:right="95"/>
              <w:jc w:val="both"/>
              <w:rPr>
                <w:sz w:val="21"/>
              </w:rPr>
            </w:pPr>
            <w:r>
              <w:rPr>
                <w:sz w:val="21"/>
              </w:rPr>
              <w:t>连续排放，流量稳定</w:t>
            </w:r>
          </w:p>
        </w:tc>
        <w:tc>
          <w:tcPr>
            <w:tcW w:w="947" w:type="dxa"/>
            <w:tcBorders>
              <w:bottom w:val="nil"/>
            </w:tcBorders>
          </w:tcPr>
          <w:p w14:paraId="601E15FC">
            <w:pPr>
              <w:pStyle w:val="14"/>
              <w:rPr>
                <w:rFonts w:ascii="Times New Roman"/>
                <w:sz w:val="20"/>
              </w:rPr>
            </w:pPr>
          </w:p>
        </w:tc>
        <w:tc>
          <w:tcPr>
            <w:tcW w:w="634" w:type="dxa"/>
            <w:vMerge w:val="restart"/>
          </w:tcPr>
          <w:p w14:paraId="6A6039A6">
            <w:pPr>
              <w:pStyle w:val="14"/>
              <w:rPr>
                <w:b/>
                <w:sz w:val="20"/>
              </w:rPr>
            </w:pPr>
          </w:p>
          <w:p w14:paraId="3FE36C64">
            <w:pPr>
              <w:pStyle w:val="14"/>
              <w:spacing w:before="172" w:line="242" w:lineRule="auto"/>
              <w:ind w:left="107" w:right="97"/>
              <w:jc w:val="both"/>
              <w:rPr>
                <w:sz w:val="21"/>
              </w:rPr>
            </w:pPr>
            <w:r>
              <w:rPr>
                <w:w w:val="95"/>
                <w:sz w:val="21"/>
              </w:rPr>
              <w:t>污水处理</w:t>
            </w:r>
            <w:r>
              <w:rPr>
                <w:sz w:val="21"/>
              </w:rPr>
              <w:t>站</w:t>
            </w:r>
          </w:p>
        </w:tc>
        <w:tc>
          <w:tcPr>
            <w:tcW w:w="1775" w:type="dxa"/>
            <w:vMerge w:val="restart"/>
          </w:tcPr>
          <w:p w14:paraId="0C049971">
            <w:pPr>
              <w:pStyle w:val="14"/>
              <w:rPr>
                <w:b/>
                <w:sz w:val="22"/>
              </w:rPr>
            </w:pPr>
          </w:p>
          <w:p w14:paraId="7C8FFBFD">
            <w:pPr>
              <w:pStyle w:val="14"/>
              <w:spacing w:before="147"/>
              <w:ind w:left="21" w:right="15"/>
              <w:jc w:val="center"/>
              <w:rPr>
                <w:sz w:val="21"/>
              </w:rPr>
            </w:pPr>
            <w:r>
              <w:rPr>
                <w:w w:val="95"/>
                <w:sz w:val="21"/>
              </w:rPr>
              <w:t>预处理</w:t>
            </w:r>
            <w:r>
              <w:rPr>
                <w:rFonts w:ascii="Times New Roman" w:eastAsia="Times New Roman"/>
                <w:w w:val="95"/>
                <w:sz w:val="21"/>
              </w:rPr>
              <w:t>+</w:t>
            </w:r>
            <w:r>
              <w:rPr>
                <w:w w:val="95"/>
                <w:sz w:val="21"/>
              </w:rPr>
              <w:t>水解酸化</w:t>
            </w:r>
          </w:p>
          <w:p w14:paraId="4E884D06">
            <w:pPr>
              <w:pStyle w:val="14"/>
              <w:spacing w:before="2"/>
              <w:ind w:left="23" w:right="15"/>
              <w:jc w:val="center"/>
              <w:rPr>
                <w:rFonts w:ascii="Times New Roman" w:eastAsia="Times New Roman"/>
                <w:sz w:val="21"/>
              </w:rPr>
            </w:pPr>
            <w:r>
              <w:rPr>
                <w:rFonts w:ascii="Times New Roman" w:eastAsia="Times New Roman"/>
                <w:w w:val="95"/>
                <w:sz w:val="21"/>
              </w:rPr>
              <w:t>+A/O+</w:t>
            </w:r>
            <w:r>
              <w:rPr>
                <w:w w:val="95"/>
                <w:sz w:val="21"/>
              </w:rPr>
              <w:t>混凝沉淀</w:t>
            </w:r>
            <w:r>
              <w:rPr>
                <w:rFonts w:ascii="Times New Roman" w:eastAsia="Times New Roman"/>
                <w:w w:val="95"/>
                <w:sz w:val="21"/>
              </w:rPr>
              <w:t>+</w:t>
            </w:r>
          </w:p>
          <w:p w14:paraId="0F5D68C8">
            <w:pPr>
              <w:pStyle w:val="14"/>
              <w:spacing w:before="2"/>
              <w:ind w:left="18" w:right="15"/>
              <w:jc w:val="center"/>
              <w:rPr>
                <w:sz w:val="21"/>
              </w:rPr>
            </w:pPr>
            <w:r>
              <w:rPr>
                <w:sz w:val="21"/>
              </w:rPr>
              <w:t>消毒</w:t>
            </w:r>
          </w:p>
        </w:tc>
        <w:tc>
          <w:tcPr>
            <w:tcW w:w="685" w:type="dxa"/>
            <w:tcBorders>
              <w:top w:val="nil"/>
              <w:bottom w:val="nil"/>
            </w:tcBorders>
          </w:tcPr>
          <w:p w14:paraId="3FDE7ADA">
            <w:pPr>
              <w:pStyle w:val="14"/>
              <w:rPr>
                <w:rFonts w:ascii="Times New Roman"/>
                <w:sz w:val="20"/>
              </w:rPr>
            </w:pPr>
          </w:p>
        </w:tc>
        <w:tc>
          <w:tcPr>
            <w:tcW w:w="823" w:type="dxa"/>
            <w:tcBorders>
              <w:top w:val="nil"/>
              <w:bottom w:val="nil"/>
            </w:tcBorders>
          </w:tcPr>
          <w:p w14:paraId="1F1C36D0">
            <w:pPr>
              <w:pStyle w:val="14"/>
              <w:rPr>
                <w:rFonts w:ascii="Times New Roman"/>
                <w:sz w:val="20"/>
              </w:rPr>
            </w:pPr>
          </w:p>
        </w:tc>
        <w:tc>
          <w:tcPr>
            <w:tcW w:w="460" w:type="dxa"/>
            <w:tcBorders>
              <w:top w:val="nil"/>
              <w:bottom w:val="nil"/>
            </w:tcBorders>
          </w:tcPr>
          <w:p w14:paraId="73DB8F3E">
            <w:pPr>
              <w:pStyle w:val="14"/>
              <w:rPr>
                <w:rFonts w:ascii="Times New Roman"/>
                <w:sz w:val="20"/>
              </w:rPr>
            </w:pPr>
          </w:p>
        </w:tc>
      </w:tr>
      <w:tr w14:paraId="27D56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231" w:type="dxa"/>
            <w:tcBorders>
              <w:top w:val="nil"/>
              <w:bottom w:val="nil"/>
            </w:tcBorders>
          </w:tcPr>
          <w:p w14:paraId="3DCD259F">
            <w:pPr>
              <w:pStyle w:val="14"/>
              <w:rPr>
                <w:rFonts w:ascii="Times New Roman"/>
                <w:sz w:val="18"/>
              </w:rPr>
            </w:pPr>
          </w:p>
        </w:tc>
        <w:tc>
          <w:tcPr>
            <w:tcW w:w="403" w:type="dxa"/>
            <w:vMerge w:val="continue"/>
            <w:tcBorders>
              <w:top w:val="nil"/>
            </w:tcBorders>
          </w:tcPr>
          <w:p w14:paraId="329F9E0D">
            <w:pPr>
              <w:rPr>
                <w:sz w:val="2"/>
                <w:szCs w:val="2"/>
              </w:rPr>
            </w:pPr>
          </w:p>
        </w:tc>
        <w:tc>
          <w:tcPr>
            <w:tcW w:w="891" w:type="dxa"/>
            <w:tcBorders>
              <w:top w:val="nil"/>
              <w:bottom w:val="nil"/>
            </w:tcBorders>
          </w:tcPr>
          <w:p w14:paraId="4C3B1709">
            <w:pPr>
              <w:pStyle w:val="14"/>
              <w:spacing w:line="242" w:lineRule="exact"/>
              <w:ind w:left="83"/>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p>
        </w:tc>
        <w:tc>
          <w:tcPr>
            <w:tcW w:w="634" w:type="dxa"/>
            <w:tcBorders>
              <w:top w:val="nil"/>
              <w:bottom w:val="nil"/>
            </w:tcBorders>
          </w:tcPr>
          <w:p w14:paraId="192BCF79">
            <w:pPr>
              <w:pStyle w:val="14"/>
              <w:spacing w:line="242" w:lineRule="exact"/>
              <w:ind w:right="97"/>
              <w:jc w:val="right"/>
              <w:rPr>
                <w:sz w:val="21"/>
              </w:rPr>
            </w:pPr>
            <w:r>
              <w:rPr>
                <w:w w:val="95"/>
                <w:sz w:val="21"/>
              </w:rPr>
              <w:t>岳阳</w:t>
            </w:r>
          </w:p>
        </w:tc>
        <w:tc>
          <w:tcPr>
            <w:tcW w:w="843" w:type="dxa"/>
            <w:vMerge w:val="continue"/>
            <w:tcBorders>
              <w:top w:val="nil"/>
            </w:tcBorders>
          </w:tcPr>
          <w:p w14:paraId="1CB85183">
            <w:pPr>
              <w:rPr>
                <w:sz w:val="2"/>
                <w:szCs w:val="2"/>
              </w:rPr>
            </w:pPr>
          </w:p>
        </w:tc>
        <w:tc>
          <w:tcPr>
            <w:tcW w:w="947" w:type="dxa"/>
            <w:tcBorders>
              <w:top w:val="nil"/>
              <w:bottom w:val="nil"/>
            </w:tcBorders>
          </w:tcPr>
          <w:p w14:paraId="2FC3C710">
            <w:pPr>
              <w:pStyle w:val="14"/>
              <w:rPr>
                <w:rFonts w:ascii="Times New Roman"/>
                <w:sz w:val="18"/>
              </w:rPr>
            </w:pPr>
          </w:p>
        </w:tc>
        <w:tc>
          <w:tcPr>
            <w:tcW w:w="634" w:type="dxa"/>
            <w:vMerge w:val="continue"/>
            <w:tcBorders>
              <w:top w:val="nil"/>
            </w:tcBorders>
          </w:tcPr>
          <w:p w14:paraId="3EC1F69F">
            <w:pPr>
              <w:rPr>
                <w:sz w:val="2"/>
                <w:szCs w:val="2"/>
              </w:rPr>
            </w:pPr>
          </w:p>
        </w:tc>
        <w:tc>
          <w:tcPr>
            <w:tcW w:w="1775" w:type="dxa"/>
            <w:vMerge w:val="continue"/>
            <w:tcBorders>
              <w:top w:val="nil"/>
            </w:tcBorders>
          </w:tcPr>
          <w:p w14:paraId="4FD8CA5E">
            <w:pPr>
              <w:rPr>
                <w:sz w:val="2"/>
                <w:szCs w:val="2"/>
              </w:rPr>
            </w:pPr>
          </w:p>
        </w:tc>
        <w:tc>
          <w:tcPr>
            <w:tcW w:w="685" w:type="dxa"/>
            <w:tcBorders>
              <w:top w:val="nil"/>
              <w:bottom w:val="nil"/>
            </w:tcBorders>
          </w:tcPr>
          <w:p w14:paraId="32A864AE">
            <w:pPr>
              <w:pStyle w:val="14"/>
              <w:rPr>
                <w:rFonts w:ascii="Times New Roman"/>
                <w:sz w:val="18"/>
              </w:rPr>
            </w:pPr>
          </w:p>
        </w:tc>
        <w:tc>
          <w:tcPr>
            <w:tcW w:w="823" w:type="dxa"/>
            <w:tcBorders>
              <w:top w:val="nil"/>
              <w:bottom w:val="nil"/>
            </w:tcBorders>
          </w:tcPr>
          <w:p w14:paraId="6F90AFC3">
            <w:pPr>
              <w:pStyle w:val="14"/>
              <w:rPr>
                <w:rFonts w:ascii="Times New Roman"/>
                <w:sz w:val="18"/>
              </w:rPr>
            </w:pPr>
          </w:p>
        </w:tc>
        <w:tc>
          <w:tcPr>
            <w:tcW w:w="460" w:type="dxa"/>
            <w:tcBorders>
              <w:top w:val="nil"/>
              <w:bottom w:val="nil"/>
            </w:tcBorders>
          </w:tcPr>
          <w:p w14:paraId="47AC745F">
            <w:pPr>
              <w:pStyle w:val="14"/>
              <w:rPr>
                <w:rFonts w:ascii="Times New Roman"/>
                <w:sz w:val="18"/>
              </w:rPr>
            </w:pPr>
          </w:p>
        </w:tc>
      </w:tr>
      <w:tr w14:paraId="4E6FE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31" w:type="dxa"/>
            <w:tcBorders>
              <w:top w:val="nil"/>
              <w:bottom w:val="nil"/>
            </w:tcBorders>
          </w:tcPr>
          <w:p w14:paraId="204F8188">
            <w:pPr>
              <w:pStyle w:val="14"/>
              <w:spacing w:before="141"/>
              <w:ind w:left="8"/>
              <w:jc w:val="center"/>
              <w:rPr>
                <w:rFonts w:ascii="Times New Roman"/>
                <w:sz w:val="21"/>
              </w:rPr>
            </w:pPr>
            <w:r>
              <w:rPr>
                <w:rFonts w:ascii="Times New Roman"/>
                <w:w w:val="99"/>
                <w:sz w:val="21"/>
              </w:rPr>
              <w:t>2</w:t>
            </w:r>
          </w:p>
        </w:tc>
        <w:tc>
          <w:tcPr>
            <w:tcW w:w="403" w:type="dxa"/>
            <w:vMerge w:val="continue"/>
            <w:tcBorders>
              <w:top w:val="nil"/>
            </w:tcBorders>
          </w:tcPr>
          <w:p w14:paraId="45DF7071">
            <w:pPr>
              <w:rPr>
                <w:sz w:val="2"/>
                <w:szCs w:val="2"/>
              </w:rPr>
            </w:pPr>
          </w:p>
        </w:tc>
        <w:tc>
          <w:tcPr>
            <w:tcW w:w="891" w:type="dxa"/>
            <w:tcBorders>
              <w:top w:val="nil"/>
              <w:bottom w:val="nil"/>
            </w:tcBorders>
          </w:tcPr>
          <w:p w14:paraId="71FAFDA3">
            <w:pPr>
              <w:pStyle w:val="14"/>
              <w:spacing w:line="260" w:lineRule="exact"/>
              <w:ind w:left="40" w:right="34"/>
              <w:jc w:val="center"/>
              <w:rPr>
                <w:sz w:val="21"/>
              </w:rPr>
            </w:pPr>
            <w:r>
              <w:rPr>
                <w:rFonts w:ascii="Times New Roman" w:eastAsia="Times New Roman"/>
                <w:sz w:val="21"/>
              </w:rPr>
              <w:t>SS</w:t>
            </w:r>
            <w:r>
              <w:rPr>
                <w:sz w:val="21"/>
              </w:rPr>
              <w:t>、</w:t>
            </w:r>
          </w:p>
          <w:p w14:paraId="5FF0E357">
            <w:pPr>
              <w:pStyle w:val="14"/>
              <w:spacing w:before="1" w:line="257" w:lineRule="exact"/>
              <w:ind w:left="21" w:right="15"/>
              <w:jc w:val="center"/>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w:t>
            </w:r>
          </w:p>
        </w:tc>
        <w:tc>
          <w:tcPr>
            <w:tcW w:w="634" w:type="dxa"/>
            <w:tcBorders>
              <w:top w:val="nil"/>
              <w:bottom w:val="nil"/>
            </w:tcBorders>
          </w:tcPr>
          <w:p w14:paraId="36C02A73">
            <w:pPr>
              <w:pStyle w:val="14"/>
              <w:spacing w:line="260" w:lineRule="exact"/>
              <w:ind w:left="107"/>
              <w:rPr>
                <w:sz w:val="21"/>
              </w:rPr>
            </w:pPr>
            <w:r>
              <w:rPr>
                <w:w w:val="95"/>
                <w:sz w:val="21"/>
              </w:rPr>
              <w:t>县污</w:t>
            </w:r>
          </w:p>
          <w:p w14:paraId="2128948F">
            <w:pPr>
              <w:pStyle w:val="14"/>
              <w:spacing w:before="4" w:line="254" w:lineRule="exact"/>
              <w:ind w:left="107"/>
              <w:rPr>
                <w:sz w:val="21"/>
              </w:rPr>
            </w:pPr>
            <w:r>
              <w:rPr>
                <w:w w:val="95"/>
                <w:sz w:val="21"/>
              </w:rPr>
              <w:t>水处</w:t>
            </w:r>
          </w:p>
        </w:tc>
        <w:tc>
          <w:tcPr>
            <w:tcW w:w="843" w:type="dxa"/>
            <w:vMerge w:val="continue"/>
            <w:tcBorders>
              <w:top w:val="nil"/>
            </w:tcBorders>
          </w:tcPr>
          <w:p w14:paraId="73558B64">
            <w:pPr>
              <w:rPr>
                <w:sz w:val="2"/>
                <w:szCs w:val="2"/>
              </w:rPr>
            </w:pPr>
          </w:p>
        </w:tc>
        <w:tc>
          <w:tcPr>
            <w:tcW w:w="947" w:type="dxa"/>
            <w:tcBorders>
              <w:top w:val="nil"/>
              <w:bottom w:val="nil"/>
            </w:tcBorders>
          </w:tcPr>
          <w:p w14:paraId="6FF30B03">
            <w:pPr>
              <w:pStyle w:val="14"/>
              <w:spacing w:before="141"/>
              <w:ind w:left="130" w:right="122"/>
              <w:jc w:val="center"/>
              <w:rPr>
                <w:rFonts w:ascii="Times New Roman"/>
                <w:sz w:val="21"/>
              </w:rPr>
            </w:pPr>
            <w:r>
              <w:rPr>
                <w:rFonts w:ascii="Times New Roman"/>
                <w:sz w:val="21"/>
              </w:rPr>
              <w:t>TW002</w:t>
            </w:r>
          </w:p>
        </w:tc>
        <w:tc>
          <w:tcPr>
            <w:tcW w:w="634" w:type="dxa"/>
            <w:vMerge w:val="continue"/>
            <w:tcBorders>
              <w:top w:val="nil"/>
            </w:tcBorders>
          </w:tcPr>
          <w:p w14:paraId="2E5603A7">
            <w:pPr>
              <w:rPr>
                <w:sz w:val="2"/>
                <w:szCs w:val="2"/>
              </w:rPr>
            </w:pPr>
          </w:p>
        </w:tc>
        <w:tc>
          <w:tcPr>
            <w:tcW w:w="1775" w:type="dxa"/>
            <w:vMerge w:val="continue"/>
            <w:tcBorders>
              <w:top w:val="nil"/>
            </w:tcBorders>
          </w:tcPr>
          <w:p w14:paraId="7B766A12">
            <w:pPr>
              <w:rPr>
                <w:sz w:val="2"/>
                <w:szCs w:val="2"/>
              </w:rPr>
            </w:pPr>
          </w:p>
        </w:tc>
        <w:tc>
          <w:tcPr>
            <w:tcW w:w="685" w:type="dxa"/>
            <w:tcBorders>
              <w:top w:val="nil"/>
              <w:bottom w:val="nil"/>
            </w:tcBorders>
          </w:tcPr>
          <w:p w14:paraId="7CB11645">
            <w:pPr>
              <w:pStyle w:val="14"/>
              <w:rPr>
                <w:rFonts w:ascii="Times New Roman"/>
                <w:sz w:val="22"/>
              </w:rPr>
            </w:pPr>
          </w:p>
        </w:tc>
        <w:tc>
          <w:tcPr>
            <w:tcW w:w="823" w:type="dxa"/>
            <w:tcBorders>
              <w:top w:val="nil"/>
              <w:bottom w:val="nil"/>
            </w:tcBorders>
          </w:tcPr>
          <w:p w14:paraId="2ED3A67B">
            <w:pPr>
              <w:pStyle w:val="14"/>
              <w:rPr>
                <w:rFonts w:ascii="Times New Roman"/>
                <w:sz w:val="22"/>
              </w:rPr>
            </w:pPr>
          </w:p>
        </w:tc>
        <w:tc>
          <w:tcPr>
            <w:tcW w:w="460" w:type="dxa"/>
            <w:tcBorders>
              <w:top w:val="nil"/>
              <w:bottom w:val="nil"/>
            </w:tcBorders>
          </w:tcPr>
          <w:p w14:paraId="22053691">
            <w:pPr>
              <w:pStyle w:val="14"/>
              <w:rPr>
                <w:rFonts w:ascii="Times New Roman"/>
                <w:sz w:val="22"/>
              </w:rPr>
            </w:pPr>
          </w:p>
        </w:tc>
      </w:tr>
      <w:tr w14:paraId="5DB83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231" w:type="dxa"/>
            <w:tcBorders>
              <w:top w:val="nil"/>
              <w:bottom w:val="nil"/>
            </w:tcBorders>
          </w:tcPr>
          <w:p w14:paraId="17F23564">
            <w:pPr>
              <w:pStyle w:val="14"/>
              <w:rPr>
                <w:rFonts w:ascii="Times New Roman"/>
                <w:sz w:val="18"/>
              </w:rPr>
            </w:pPr>
          </w:p>
        </w:tc>
        <w:tc>
          <w:tcPr>
            <w:tcW w:w="403" w:type="dxa"/>
            <w:vMerge w:val="continue"/>
            <w:tcBorders>
              <w:top w:val="nil"/>
            </w:tcBorders>
          </w:tcPr>
          <w:p w14:paraId="4A3FBB14">
            <w:pPr>
              <w:rPr>
                <w:sz w:val="2"/>
                <w:szCs w:val="2"/>
              </w:rPr>
            </w:pPr>
          </w:p>
        </w:tc>
        <w:tc>
          <w:tcPr>
            <w:tcW w:w="891" w:type="dxa"/>
            <w:tcBorders>
              <w:top w:val="nil"/>
              <w:bottom w:val="nil"/>
            </w:tcBorders>
          </w:tcPr>
          <w:p w14:paraId="65A5E1C2">
            <w:pPr>
              <w:pStyle w:val="14"/>
              <w:spacing w:line="234" w:lineRule="exact"/>
              <w:ind w:left="23"/>
              <w:rPr>
                <w:sz w:val="21"/>
              </w:rPr>
            </w:pPr>
            <w:r>
              <w:rPr>
                <w:sz w:val="21"/>
              </w:rPr>
              <w:t>动植物油</w:t>
            </w:r>
          </w:p>
        </w:tc>
        <w:tc>
          <w:tcPr>
            <w:tcW w:w="634" w:type="dxa"/>
            <w:tcBorders>
              <w:top w:val="nil"/>
              <w:bottom w:val="nil"/>
            </w:tcBorders>
          </w:tcPr>
          <w:p w14:paraId="1AA90A0A">
            <w:pPr>
              <w:pStyle w:val="14"/>
              <w:spacing w:line="234" w:lineRule="exact"/>
              <w:ind w:right="97"/>
              <w:jc w:val="right"/>
              <w:rPr>
                <w:sz w:val="21"/>
              </w:rPr>
            </w:pPr>
            <w:r>
              <w:rPr>
                <w:w w:val="95"/>
                <w:sz w:val="21"/>
              </w:rPr>
              <w:t>理厂</w:t>
            </w:r>
          </w:p>
        </w:tc>
        <w:tc>
          <w:tcPr>
            <w:tcW w:w="843" w:type="dxa"/>
            <w:vMerge w:val="continue"/>
            <w:tcBorders>
              <w:top w:val="nil"/>
            </w:tcBorders>
          </w:tcPr>
          <w:p w14:paraId="71B32525">
            <w:pPr>
              <w:rPr>
                <w:sz w:val="2"/>
                <w:szCs w:val="2"/>
              </w:rPr>
            </w:pPr>
          </w:p>
        </w:tc>
        <w:tc>
          <w:tcPr>
            <w:tcW w:w="947" w:type="dxa"/>
            <w:tcBorders>
              <w:top w:val="nil"/>
              <w:bottom w:val="nil"/>
            </w:tcBorders>
          </w:tcPr>
          <w:p w14:paraId="06D640B1">
            <w:pPr>
              <w:pStyle w:val="14"/>
              <w:rPr>
                <w:rFonts w:ascii="Times New Roman"/>
                <w:sz w:val="18"/>
              </w:rPr>
            </w:pPr>
          </w:p>
        </w:tc>
        <w:tc>
          <w:tcPr>
            <w:tcW w:w="634" w:type="dxa"/>
            <w:vMerge w:val="continue"/>
            <w:tcBorders>
              <w:top w:val="nil"/>
            </w:tcBorders>
          </w:tcPr>
          <w:p w14:paraId="058A1AB2">
            <w:pPr>
              <w:rPr>
                <w:sz w:val="2"/>
                <w:szCs w:val="2"/>
              </w:rPr>
            </w:pPr>
          </w:p>
        </w:tc>
        <w:tc>
          <w:tcPr>
            <w:tcW w:w="1775" w:type="dxa"/>
            <w:vMerge w:val="continue"/>
            <w:tcBorders>
              <w:top w:val="nil"/>
            </w:tcBorders>
          </w:tcPr>
          <w:p w14:paraId="019D90E3">
            <w:pPr>
              <w:rPr>
                <w:sz w:val="2"/>
                <w:szCs w:val="2"/>
              </w:rPr>
            </w:pPr>
          </w:p>
        </w:tc>
        <w:tc>
          <w:tcPr>
            <w:tcW w:w="685" w:type="dxa"/>
            <w:tcBorders>
              <w:top w:val="nil"/>
              <w:bottom w:val="nil"/>
            </w:tcBorders>
          </w:tcPr>
          <w:p w14:paraId="1B4AE6C9">
            <w:pPr>
              <w:pStyle w:val="14"/>
              <w:rPr>
                <w:rFonts w:ascii="Times New Roman"/>
                <w:sz w:val="18"/>
              </w:rPr>
            </w:pPr>
          </w:p>
        </w:tc>
        <w:tc>
          <w:tcPr>
            <w:tcW w:w="823" w:type="dxa"/>
            <w:tcBorders>
              <w:top w:val="nil"/>
              <w:bottom w:val="nil"/>
            </w:tcBorders>
          </w:tcPr>
          <w:p w14:paraId="600FF09D">
            <w:pPr>
              <w:pStyle w:val="14"/>
              <w:rPr>
                <w:rFonts w:ascii="Times New Roman"/>
                <w:sz w:val="18"/>
              </w:rPr>
            </w:pPr>
          </w:p>
        </w:tc>
        <w:tc>
          <w:tcPr>
            <w:tcW w:w="460" w:type="dxa"/>
            <w:tcBorders>
              <w:top w:val="nil"/>
              <w:bottom w:val="nil"/>
            </w:tcBorders>
          </w:tcPr>
          <w:p w14:paraId="5EBBBA71">
            <w:pPr>
              <w:pStyle w:val="14"/>
              <w:rPr>
                <w:rFonts w:ascii="Times New Roman"/>
                <w:sz w:val="18"/>
              </w:rPr>
            </w:pPr>
          </w:p>
        </w:tc>
      </w:tr>
      <w:tr w14:paraId="4F8E6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31" w:type="dxa"/>
            <w:tcBorders>
              <w:top w:val="nil"/>
            </w:tcBorders>
          </w:tcPr>
          <w:p w14:paraId="3A6970F3">
            <w:pPr>
              <w:pStyle w:val="14"/>
              <w:rPr>
                <w:rFonts w:ascii="Times New Roman"/>
                <w:sz w:val="20"/>
              </w:rPr>
            </w:pPr>
          </w:p>
        </w:tc>
        <w:tc>
          <w:tcPr>
            <w:tcW w:w="403" w:type="dxa"/>
            <w:vMerge w:val="continue"/>
            <w:tcBorders>
              <w:top w:val="nil"/>
            </w:tcBorders>
          </w:tcPr>
          <w:p w14:paraId="210B2807">
            <w:pPr>
              <w:rPr>
                <w:sz w:val="2"/>
                <w:szCs w:val="2"/>
              </w:rPr>
            </w:pPr>
          </w:p>
        </w:tc>
        <w:tc>
          <w:tcPr>
            <w:tcW w:w="891" w:type="dxa"/>
            <w:tcBorders>
              <w:top w:val="nil"/>
            </w:tcBorders>
          </w:tcPr>
          <w:p w14:paraId="79A09455">
            <w:pPr>
              <w:pStyle w:val="14"/>
              <w:spacing w:line="266" w:lineRule="exact"/>
              <w:ind w:left="234"/>
              <w:rPr>
                <w:sz w:val="21"/>
              </w:rPr>
            </w:pPr>
            <w:r>
              <w:rPr>
                <w:sz w:val="21"/>
              </w:rPr>
              <w:t>类等</w:t>
            </w:r>
          </w:p>
        </w:tc>
        <w:tc>
          <w:tcPr>
            <w:tcW w:w="634" w:type="dxa"/>
            <w:tcBorders>
              <w:top w:val="nil"/>
            </w:tcBorders>
          </w:tcPr>
          <w:p w14:paraId="4EAED3EC">
            <w:pPr>
              <w:pStyle w:val="14"/>
              <w:rPr>
                <w:rFonts w:ascii="Times New Roman"/>
                <w:sz w:val="20"/>
              </w:rPr>
            </w:pPr>
          </w:p>
        </w:tc>
        <w:tc>
          <w:tcPr>
            <w:tcW w:w="843" w:type="dxa"/>
            <w:vMerge w:val="continue"/>
            <w:tcBorders>
              <w:top w:val="nil"/>
            </w:tcBorders>
          </w:tcPr>
          <w:p w14:paraId="74348227">
            <w:pPr>
              <w:rPr>
                <w:sz w:val="2"/>
                <w:szCs w:val="2"/>
              </w:rPr>
            </w:pPr>
          </w:p>
        </w:tc>
        <w:tc>
          <w:tcPr>
            <w:tcW w:w="947" w:type="dxa"/>
            <w:tcBorders>
              <w:top w:val="nil"/>
            </w:tcBorders>
          </w:tcPr>
          <w:p w14:paraId="1283FC40">
            <w:pPr>
              <w:pStyle w:val="14"/>
              <w:rPr>
                <w:rFonts w:ascii="Times New Roman"/>
                <w:sz w:val="20"/>
              </w:rPr>
            </w:pPr>
          </w:p>
        </w:tc>
        <w:tc>
          <w:tcPr>
            <w:tcW w:w="634" w:type="dxa"/>
            <w:vMerge w:val="continue"/>
            <w:tcBorders>
              <w:top w:val="nil"/>
            </w:tcBorders>
          </w:tcPr>
          <w:p w14:paraId="392A81C5">
            <w:pPr>
              <w:rPr>
                <w:sz w:val="2"/>
                <w:szCs w:val="2"/>
              </w:rPr>
            </w:pPr>
          </w:p>
        </w:tc>
        <w:tc>
          <w:tcPr>
            <w:tcW w:w="1775" w:type="dxa"/>
            <w:vMerge w:val="continue"/>
            <w:tcBorders>
              <w:top w:val="nil"/>
            </w:tcBorders>
          </w:tcPr>
          <w:p w14:paraId="4919F8D6">
            <w:pPr>
              <w:rPr>
                <w:sz w:val="2"/>
                <w:szCs w:val="2"/>
              </w:rPr>
            </w:pPr>
          </w:p>
        </w:tc>
        <w:tc>
          <w:tcPr>
            <w:tcW w:w="685" w:type="dxa"/>
            <w:tcBorders>
              <w:top w:val="nil"/>
            </w:tcBorders>
          </w:tcPr>
          <w:p w14:paraId="627600A6">
            <w:pPr>
              <w:pStyle w:val="14"/>
              <w:rPr>
                <w:rFonts w:ascii="Times New Roman"/>
                <w:sz w:val="20"/>
              </w:rPr>
            </w:pPr>
          </w:p>
        </w:tc>
        <w:tc>
          <w:tcPr>
            <w:tcW w:w="823" w:type="dxa"/>
            <w:tcBorders>
              <w:top w:val="nil"/>
            </w:tcBorders>
          </w:tcPr>
          <w:p w14:paraId="1A77B52B">
            <w:pPr>
              <w:pStyle w:val="14"/>
              <w:rPr>
                <w:rFonts w:ascii="Times New Roman"/>
                <w:sz w:val="20"/>
              </w:rPr>
            </w:pPr>
          </w:p>
        </w:tc>
        <w:tc>
          <w:tcPr>
            <w:tcW w:w="460" w:type="dxa"/>
            <w:tcBorders>
              <w:top w:val="nil"/>
            </w:tcBorders>
          </w:tcPr>
          <w:p w14:paraId="7862D244">
            <w:pPr>
              <w:pStyle w:val="14"/>
              <w:rPr>
                <w:rFonts w:ascii="Times New Roman"/>
                <w:sz w:val="20"/>
              </w:rPr>
            </w:pPr>
          </w:p>
        </w:tc>
      </w:tr>
    </w:tbl>
    <w:p w14:paraId="1B6EEFE8">
      <w:pPr>
        <w:pStyle w:val="7"/>
        <w:spacing w:before="1"/>
        <w:ind w:left="940"/>
      </w:pPr>
      <w:r>
        <w:rPr>
          <w:rFonts w:ascii="Times New Roman" w:eastAsia="Times New Roman"/>
        </w:rPr>
        <w:t>2</w:t>
      </w:r>
      <w:r>
        <w:t>）废水排口基本信息表</w:t>
      </w:r>
    </w:p>
    <w:p w14:paraId="64914DBF">
      <w:pPr>
        <w:spacing w:before="160"/>
        <w:ind w:left="264" w:right="286" w:firstLine="0"/>
        <w:jc w:val="center"/>
        <w:rPr>
          <w:b/>
          <w:sz w:val="21"/>
        </w:rPr>
      </w:pPr>
      <w:r>
        <w:rPr>
          <w:b/>
          <w:sz w:val="21"/>
        </w:rPr>
        <w:t xml:space="preserve">表 </w:t>
      </w:r>
      <w:r>
        <w:rPr>
          <w:rFonts w:ascii="Times New Roman" w:eastAsia="Times New Roman"/>
          <w:b/>
          <w:sz w:val="21"/>
        </w:rPr>
        <w:t xml:space="preserve">5.2-8 </w:t>
      </w:r>
      <w:r>
        <w:rPr>
          <w:b/>
          <w:sz w:val="21"/>
        </w:rPr>
        <w:t>废水间接排口基本信息表</w:t>
      </w:r>
    </w:p>
    <w:tbl>
      <w:tblPr>
        <w:tblStyle w:val="10"/>
        <w:tblW w:w="0" w:type="auto"/>
        <w:tblInd w:w="4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
        <w:gridCol w:w="685"/>
        <w:gridCol w:w="709"/>
        <w:gridCol w:w="709"/>
        <w:gridCol w:w="633"/>
        <w:gridCol w:w="821"/>
        <w:gridCol w:w="1031"/>
        <w:gridCol w:w="485"/>
        <w:gridCol w:w="821"/>
        <w:gridCol w:w="774"/>
        <w:gridCol w:w="1427"/>
      </w:tblGrid>
      <w:tr w14:paraId="4D5F8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231" w:type="dxa"/>
            <w:vMerge w:val="restart"/>
          </w:tcPr>
          <w:p w14:paraId="287593A6">
            <w:pPr>
              <w:pStyle w:val="14"/>
              <w:rPr>
                <w:b/>
                <w:sz w:val="20"/>
              </w:rPr>
            </w:pPr>
          </w:p>
          <w:p w14:paraId="199F9D28">
            <w:pPr>
              <w:pStyle w:val="14"/>
              <w:spacing w:before="156" w:line="242" w:lineRule="auto"/>
              <w:ind w:left="9"/>
              <w:rPr>
                <w:b/>
                <w:sz w:val="21"/>
              </w:rPr>
            </w:pPr>
            <w:r>
              <w:rPr>
                <w:b/>
                <w:sz w:val="21"/>
              </w:rPr>
              <w:t>序号</w:t>
            </w:r>
          </w:p>
        </w:tc>
        <w:tc>
          <w:tcPr>
            <w:tcW w:w="685" w:type="dxa"/>
            <w:vMerge w:val="restart"/>
          </w:tcPr>
          <w:p w14:paraId="4F8204B7">
            <w:pPr>
              <w:pStyle w:val="14"/>
              <w:rPr>
                <w:b/>
                <w:sz w:val="20"/>
              </w:rPr>
            </w:pPr>
          </w:p>
          <w:p w14:paraId="6DD2EA90">
            <w:pPr>
              <w:pStyle w:val="14"/>
              <w:spacing w:before="156" w:line="242" w:lineRule="auto"/>
              <w:ind w:left="131" w:right="15" w:hanging="106"/>
              <w:rPr>
                <w:b/>
                <w:sz w:val="21"/>
              </w:rPr>
            </w:pPr>
            <w:r>
              <w:rPr>
                <w:b/>
                <w:sz w:val="21"/>
              </w:rPr>
              <w:t>排放口编号</w:t>
            </w:r>
          </w:p>
        </w:tc>
        <w:tc>
          <w:tcPr>
            <w:tcW w:w="1418" w:type="dxa"/>
            <w:gridSpan w:val="2"/>
          </w:tcPr>
          <w:p w14:paraId="69D8A802">
            <w:pPr>
              <w:pStyle w:val="14"/>
              <w:spacing w:before="20" w:line="270" w:lineRule="atLeast"/>
              <w:ind w:left="603" w:right="68" w:hanging="528"/>
              <w:rPr>
                <w:b/>
                <w:sz w:val="21"/>
              </w:rPr>
            </w:pPr>
            <w:r>
              <w:rPr>
                <w:b/>
                <w:w w:val="95"/>
                <w:sz w:val="21"/>
              </w:rPr>
              <w:t>排放口地理坐</w:t>
            </w:r>
            <w:r>
              <w:rPr>
                <w:b/>
                <w:sz w:val="21"/>
              </w:rPr>
              <w:t>标</w:t>
            </w:r>
          </w:p>
        </w:tc>
        <w:tc>
          <w:tcPr>
            <w:tcW w:w="633" w:type="dxa"/>
            <w:vMerge w:val="restart"/>
          </w:tcPr>
          <w:p w14:paraId="3391D2A0">
            <w:pPr>
              <w:pStyle w:val="14"/>
              <w:spacing w:before="21" w:line="242" w:lineRule="auto"/>
              <w:ind w:left="104" w:right="96"/>
              <w:jc w:val="both"/>
              <w:rPr>
                <w:b/>
                <w:sz w:val="21"/>
              </w:rPr>
            </w:pPr>
            <w:r>
              <w:rPr>
                <w:b/>
                <w:sz w:val="21"/>
              </w:rPr>
              <w:t>废水排放量</w:t>
            </w:r>
          </w:p>
          <w:p w14:paraId="30434712">
            <w:pPr>
              <w:pStyle w:val="14"/>
              <w:spacing w:before="1" w:line="240" w:lineRule="atLeast"/>
              <w:ind w:left="164" w:right="154" w:firstLine="12"/>
              <w:jc w:val="both"/>
              <w:rPr>
                <w:rFonts w:ascii="Times New Roman" w:eastAsia="Times New Roman"/>
                <w:b/>
                <w:sz w:val="21"/>
              </w:rPr>
            </w:pPr>
            <w:r>
              <w:rPr>
                <w:rFonts w:ascii="Times New Roman" w:eastAsia="Times New Roman"/>
                <w:b/>
                <w:sz w:val="21"/>
              </w:rPr>
              <w:t>(</w:t>
            </w:r>
            <w:r>
              <w:rPr>
                <w:b/>
                <w:sz w:val="21"/>
              </w:rPr>
              <w:t>万</w:t>
            </w:r>
            <w:r>
              <w:rPr>
                <w:rFonts w:ascii="Times New Roman" w:eastAsia="Times New Roman"/>
                <w:b/>
                <w:sz w:val="21"/>
              </w:rPr>
              <w:t>t/a)</w:t>
            </w:r>
          </w:p>
        </w:tc>
        <w:tc>
          <w:tcPr>
            <w:tcW w:w="821" w:type="dxa"/>
            <w:vMerge w:val="restart"/>
          </w:tcPr>
          <w:p w14:paraId="465081B6">
            <w:pPr>
              <w:pStyle w:val="14"/>
              <w:rPr>
                <w:b/>
                <w:sz w:val="20"/>
              </w:rPr>
            </w:pPr>
          </w:p>
          <w:p w14:paraId="19789464">
            <w:pPr>
              <w:pStyle w:val="14"/>
              <w:spacing w:before="156" w:line="242" w:lineRule="auto"/>
              <w:ind w:left="198" w:right="190"/>
              <w:rPr>
                <w:b/>
                <w:sz w:val="21"/>
              </w:rPr>
            </w:pPr>
            <w:r>
              <w:rPr>
                <w:b/>
                <w:sz w:val="21"/>
              </w:rPr>
              <w:t>排放去向</w:t>
            </w:r>
          </w:p>
        </w:tc>
        <w:tc>
          <w:tcPr>
            <w:tcW w:w="1031" w:type="dxa"/>
            <w:vMerge w:val="restart"/>
          </w:tcPr>
          <w:p w14:paraId="666317C0">
            <w:pPr>
              <w:pStyle w:val="14"/>
              <w:rPr>
                <w:b/>
                <w:sz w:val="20"/>
              </w:rPr>
            </w:pPr>
          </w:p>
          <w:p w14:paraId="33204B1E">
            <w:pPr>
              <w:pStyle w:val="14"/>
              <w:spacing w:before="156" w:line="242" w:lineRule="auto"/>
              <w:ind w:left="304" w:right="294"/>
              <w:rPr>
                <w:b/>
                <w:sz w:val="21"/>
              </w:rPr>
            </w:pPr>
            <w:r>
              <w:rPr>
                <w:b/>
                <w:sz w:val="21"/>
              </w:rPr>
              <w:t>排放规律</w:t>
            </w:r>
          </w:p>
        </w:tc>
        <w:tc>
          <w:tcPr>
            <w:tcW w:w="485" w:type="dxa"/>
            <w:vMerge w:val="restart"/>
          </w:tcPr>
          <w:p w14:paraId="7B98B1B0">
            <w:pPr>
              <w:pStyle w:val="14"/>
              <w:spacing w:before="6"/>
              <w:rPr>
                <w:b/>
                <w:sz w:val="21"/>
              </w:rPr>
            </w:pPr>
          </w:p>
          <w:p w14:paraId="45FAECD1">
            <w:pPr>
              <w:pStyle w:val="14"/>
              <w:spacing w:before="1" w:line="242" w:lineRule="auto"/>
              <w:ind w:left="31" w:right="21"/>
              <w:jc w:val="both"/>
              <w:rPr>
                <w:b/>
                <w:sz w:val="21"/>
              </w:rPr>
            </w:pPr>
            <w:r>
              <w:rPr>
                <w:b/>
                <w:sz w:val="21"/>
              </w:rPr>
              <w:t>间歇排放时段</w:t>
            </w:r>
          </w:p>
        </w:tc>
        <w:tc>
          <w:tcPr>
            <w:tcW w:w="3022" w:type="dxa"/>
            <w:gridSpan w:val="3"/>
          </w:tcPr>
          <w:p w14:paraId="4FC86F03">
            <w:pPr>
              <w:pStyle w:val="14"/>
              <w:spacing w:before="156"/>
              <w:ind w:left="561"/>
              <w:rPr>
                <w:b/>
                <w:sz w:val="21"/>
              </w:rPr>
            </w:pPr>
            <w:r>
              <w:rPr>
                <w:b/>
                <w:sz w:val="21"/>
              </w:rPr>
              <w:t>受纳污水处理厂信息</w:t>
            </w:r>
          </w:p>
        </w:tc>
      </w:tr>
      <w:tr w14:paraId="0E6AA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231" w:type="dxa"/>
            <w:vMerge w:val="continue"/>
            <w:tcBorders>
              <w:top w:val="nil"/>
            </w:tcBorders>
          </w:tcPr>
          <w:p w14:paraId="3C290B4B">
            <w:pPr>
              <w:rPr>
                <w:sz w:val="2"/>
                <w:szCs w:val="2"/>
              </w:rPr>
            </w:pPr>
          </w:p>
        </w:tc>
        <w:tc>
          <w:tcPr>
            <w:tcW w:w="685" w:type="dxa"/>
            <w:vMerge w:val="continue"/>
            <w:tcBorders>
              <w:top w:val="nil"/>
            </w:tcBorders>
          </w:tcPr>
          <w:p w14:paraId="44F73B51">
            <w:pPr>
              <w:rPr>
                <w:sz w:val="2"/>
                <w:szCs w:val="2"/>
              </w:rPr>
            </w:pPr>
          </w:p>
        </w:tc>
        <w:tc>
          <w:tcPr>
            <w:tcW w:w="709" w:type="dxa"/>
          </w:tcPr>
          <w:p w14:paraId="1DED50D3">
            <w:pPr>
              <w:pStyle w:val="14"/>
              <w:spacing w:before="8"/>
              <w:rPr>
                <w:b/>
                <w:sz w:val="19"/>
              </w:rPr>
            </w:pPr>
          </w:p>
          <w:p w14:paraId="3BD32DF2">
            <w:pPr>
              <w:pStyle w:val="14"/>
              <w:ind w:left="142"/>
              <w:rPr>
                <w:b/>
                <w:sz w:val="21"/>
              </w:rPr>
            </w:pPr>
            <w:r>
              <w:rPr>
                <w:b/>
                <w:sz w:val="21"/>
              </w:rPr>
              <w:t>经度</w:t>
            </w:r>
          </w:p>
        </w:tc>
        <w:tc>
          <w:tcPr>
            <w:tcW w:w="709" w:type="dxa"/>
          </w:tcPr>
          <w:p w14:paraId="2B4B95BA">
            <w:pPr>
              <w:pStyle w:val="14"/>
              <w:spacing w:before="8"/>
              <w:rPr>
                <w:b/>
                <w:sz w:val="19"/>
              </w:rPr>
            </w:pPr>
          </w:p>
          <w:p w14:paraId="6CFAED12">
            <w:pPr>
              <w:pStyle w:val="14"/>
              <w:ind w:left="141"/>
              <w:rPr>
                <w:b/>
                <w:sz w:val="21"/>
              </w:rPr>
            </w:pPr>
            <w:r>
              <w:rPr>
                <w:b/>
                <w:sz w:val="21"/>
              </w:rPr>
              <w:t>纬度</w:t>
            </w:r>
          </w:p>
        </w:tc>
        <w:tc>
          <w:tcPr>
            <w:tcW w:w="633" w:type="dxa"/>
            <w:vMerge w:val="continue"/>
            <w:tcBorders>
              <w:top w:val="nil"/>
            </w:tcBorders>
          </w:tcPr>
          <w:p w14:paraId="5FD35448">
            <w:pPr>
              <w:rPr>
                <w:sz w:val="2"/>
                <w:szCs w:val="2"/>
              </w:rPr>
            </w:pPr>
          </w:p>
        </w:tc>
        <w:tc>
          <w:tcPr>
            <w:tcW w:w="821" w:type="dxa"/>
            <w:vMerge w:val="continue"/>
            <w:tcBorders>
              <w:top w:val="nil"/>
            </w:tcBorders>
          </w:tcPr>
          <w:p w14:paraId="63EE819C">
            <w:pPr>
              <w:rPr>
                <w:sz w:val="2"/>
                <w:szCs w:val="2"/>
              </w:rPr>
            </w:pPr>
          </w:p>
        </w:tc>
        <w:tc>
          <w:tcPr>
            <w:tcW w:w="1031" w:type="dxa"/>
            <w:vMerge w:val="continue"/>
            <w:tcBorders>
              <w:top w:val="nil"/>
            </w:tcBorders>
          </w:tcPr>
          <w:p w14:paraId="53158922">
            <w:pPr>
              <w:rPr>
                <w:sz w:val="2"/>
                <w:szCs w:val="2"/>
              </w:rPr>
            </w:pPr>
          </w:p>
        </w:tc>
        <w:tc>
          <w:tcPr>
            <w:tcW w:w="485" w:type="dxa"/>
            <w:vMerge w:val="continue"/>
            <w:tcBorders>
              <w:top w:val="nil"/>
            </w:tcBorders>
          </w:tcPr>
          <w:p w14:paraId="17A708C6">
            <w:pPr>
              <w:rPr>
                <w:sz w:val="2"/>
                <w:szCs w:val="2"/>
              </w:rPr>
            </w:pPr>
          </w:p>
        </w:tc>
        <w:tc>
          <w:tcPr>
            <w:tcW w:w="821" w:type="dxa"/>
          </w:tcPr>
          <w:p w14:paraId="1629B0D3">
            <w:pPr>
              <w:pStyle w:val="14"/>
              <w:spacing w:before="8"/>
              <w:rPr>
                <w:b/>
                <w:sz w:val="19"/>
              </w:rPr>
            </w:pPr>
          </w:p>
          <w:p w14:paraId="5AAA67B2">
            <w:pPr>
              <w:pStyle w:val="14"/>
              <w:ind w:left="199"/>
              <w:rPr>
                <w:b/>
                <w:sz w:val="21"/>
              </w:rPr>
            </w:pPr>
            <w:r>
              <w:rPr>
                <w:b/>
                <w:sz w:val="21"/>
              </w:rPr>
              <w:t>名称</w:t>
            </w:r>
          </w:p>
        </w:tc>
        <w:tc>
          <w:tcPr>
            <w:tcW w:w="774" w:type="dxa"/>
          </w:tcPr>
          <w:p w14:paraId="14E64589">
            <w:pPr>
              <w:pStyle w:val="14"/>
              <w:spacing w:before="115" w:line="242" w:lineRule="auto"/>
              <w:ind w:left="175" w:right="61" w:hanging="106"/>
              <w:rPr>
                <w:b/>
                <w:sz w:val="21"/>
              </w:rPr>
            </w:pPr>
            <w:r>
              <w:rPr>
                <w:b/>
                <w:sz w:val="21"/>
              </w:rPr>
              <w:t>污染物种类</w:t>
            </w:r>
          </w:p>
        </w:tc>
        <w:tc>
          <w:tcPr>
            <w:tcW w:w="1427" w:type="dxa"/>
          </w:tcPr>
          <w:p w14:paraId="647608C9">
            <w:pPr>
              <w:pStyle w:val="14"/>
              <w:spacing w:before="115"/>
              <w:ind w:left="59" w:right="53"/>
              <w:jc w:val="center"/>
              <w:rPr>
                <w:b/>
                <w:sz w:val="21"/>
              </w:rPr>
            </w:pPr>
            <w:r>
              <w:rPr>
                <w:b/>
                <w:sz w:val="21"/>
              </w:rPr>
              <w:t>标准浓度限值</w:t>
            </w:r>
          </w:p>
          <w:p w14:paraId="22108E3A">
            <w:pPr>
              <w:pStyle w:val="14"/>
              <w:spacing w:before="2"/>
              <w:ind w:left="59" w:right="53"/>
              <w:jc w:val="center"/>
              <w:rPr>
                <w:b/>
                <w:sz w:val="21"/>
              </w:rPr>
            </w:pPr>
            <w:r>
              <w:rPr>
                <w:b/>
                <w:sz w:val="21"/>
              </w:rPr>
              <w:t>（</w:t>
            </w:r>
            <w:r>
              <w:rPr>
                <w:rFonts w:ascii="Times New Roman" w:eastAsia="Times New Roman"/>
                <w:b/>
                <w:sz w:val="21"/>
              </w:rPr>
              <w:t>mg/L</w:t>
            </w:r>
            <w:r>
              <w:rPr>
                <w:b/>
                <w:sz w:val="21"/>
              </w:rPr>
              <w:t>）</w:t>
            </w:r>
          </w:p>
        </w:tc>
      </w:tr>
    </w:tbl>
    <w:p w14:paraId="2BF5BF1E">
      <w:pPr>
        <w:spacing w:after="0"/>
        <w:jc w:val="center"/>
        <w:rPr>
          <w:sz w:val="21"/>
        </w:rPr>
        <w:sectPr>
          <w:pgSz w:w="11910" w:h="16840"/>
          <w:pgMar w:top="1360" w:right="1320" w:bottom="1400" w:left="1340" w:header="878" w:footer="1204" w:gutter="0"/>
          <w:cols w:space="720" w:num="1"/>
        </w:sectPr>
      </w:pPr>
    </w:p>
    <w:p w14:paraId="01FB231B">
      <w:pPr>
        <w:pStyle w:val="7"/>
        <w:spacing w:before="3"/>
        <w:rPr>
          <w:b/>
          <w:sz w:val="5"/>
        </w:rPr>
      </w:pPr>
    </w:p>
    <w:tbl>
      <w:tblPr>
        <w:tblStyle w:val="10"/>
        <w:tblW w:w="0" w:type="auto"/>
        <w:tblInd w:w="4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
        <w:gridCol w:w="685"/>
        <w:gridCol w:w="709"/>
        <w:gridCol w:w="709"/>
        <w:gridCol w:w="633"/>
        <w:gridCol w:w="821"/>
        <w:gridCol w:w="1031"/>
        <w:gridCol w:w="485"/>
        <w:gridCol w:w="821"/>
        <w:gridCol w:w="774"/>
        <w:gridCol w:w="1427"/>
      </w:tblGrid>
      <w:tr w14:paraId="3A7F3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31" w:type="dxa"/>
            <w:vMerge w:val="restart"/>
          </w:tcPr>
          <w:p w14:paraId="777CA127">
            <w:pPr>
              <w:pStyle w:val="14"/>
              <w:rPr>
                <w:b/>
                <w:sz w:val="22"/>
              </w:rPr>
            </w:pPr>
          </w:p>
          <w:p w14:paraId="2AD3A377">
            <w:pPr>
              <w:pStyle w:val="14"/>
              <w:rPr>
                <w:b/>
                <w:sz w:val="22"/>
              </w:rPr>
            </w:pPr>
          </w:p>
          <w:p w14:paraId="3F568D97">
            <w:pPr>
              <w:pStyle w:val="14"/>
              <w:rPr>
                <w:b/>
                <w:sz w:val="22"/>
              </w:rPr>
            </w:pPr>
          </w:p>
          <w:p w14:paraId="4EFBE2C9">
            <w:pPr>
              <w:pStyle w:val="14"/>
              <w:rPr>
                <w:b/>
                <w:sz w:val="22"/>
              </w:rPr>
            </w:pPr>
          </w:p>
          <w:p w14:paraId="215DFEDB">
            <w:pPr>
              <w:pStyle w:val="14"/>
              <w:spacing w:before="179"/>
              <w:ind w:left="62"/>
              <w:rPr>
                <w:rFonts w:ascii="Times New Roman"/>
                <w:sz w:val="21"/>
              </w:rPr>
            </w:pPr>
            <w:r>
              <w:rPr>
                <w:rFonts w:ascii="Times New Roman"/>
                <w:w w:val="99"/>
                <w:sz w:val="21"/>
              </w:rPr>
              <w:t>1</w:t>
            </w:r>
          </w:p>
        </w:tc>
        <w:tc>
          <w:tcPr>
            <w:tcW w:w="685" w:type="dxa"/>
            <w:vMerge w:val="restart"/>
          </w:tcPr>
          <w:p w14:paraId="5F575719">
            <w:pPr>
              <w:pStyle w:val="14"/>
              <w:rPr>
                <w:b/>
                <w:sz w:val="22"/>
              </w:rPr>
            </w:pPr>
          </w:p>
          <w:p w14:paraId="284C7371">
            <w:pPr>
              <w:pStyle w:val="14"/>
              <w:rPr>
                <w:b/>
                <w:sz w:val="22"/>
              </w:rPr>
            </w:pPr>
          </w:p>
          <w:p w14:paraId="571B59CC">
            <w:pPr>
              <w:pStyle w:val="14"/>
              <w:rPr>
                <w:b/>
                <w:sz w:val="22"/>
              </w:rPr>
            </w:pPr>
          </w:p>
          <w:p w14:paraId="1B43E4C8">
            <w:pPr>
              <w:pStyle w:val="14"/>
              <w:rPr>
                <w:b/>
                <w:sz w:val="22"/>
              </w:rPr>
            </w:pPr>
          </w:p>
          <w:p w14:paraId="2267130B">
            <w:pPr>
              <w:pStyle w:val="14"/>
              <w:spacing w:before="179"/>
              <w:ind w:left="9"/>
              <w:rPr>
                <w:rFonts w:ascii="Times New Roman"/>
                <w:sz w:val="21"/>
              </w:rPr>
            </w:pPr>
            <w:r>
              <w:rPr>
                <w:rFonts w:ascii="Times New Roman"/>
                <w:sz w:val="21"/>
              </w:rPr>
              <w:t>DW001</w:t>
            </w:r>
          </w:p>
        </w:tc>
        <w:tc>
          <w:tcPr>
            <w:tcW w:w="709" w:type="dxa"/>
            <w:vMerge w:val="restart"/>
          </w:tcPr>
          <w:p w14:paraId="05CA4895">
            <w:pPr>
              <w:pStyle w:val="14"/>
              <w:rPr>
                <w:b/>
                <w:sz w:val="22"/>
              </w:rPr>
            </w:pPr>
          </w:p>
          <w:p w14:paraId="214D97BD">
            <w:pPr>
              <w:pStyle w:val="14"/>
              <w:rPr>
                <w:b/>
                <w:sz w:val="22"/>
              </w:rPr>
            </w:pPr>
          </w:p>
          <w:p w14:paraId="34725D61">
            <w:pPr>
              <w:pStyle w:val="14"/>
              <w:rPr>
                <w:b/>
                <w:sz w:val="22"/>
              </w:rPr>
            </w:pPr>
          </w:p>
          <w:p w14:paraId="6CFCA014">
            <w:pPr>
              <w:pStyle w:val="14"/>
              <w:spacing w:before="8"/>
              <w:rPr>
                <w:b/>
                <w:sz w:val="26"/>
              </w:rPr>
            </w:pPr>
          </w:p>
          <w:p w14:paraId="0E55A81C">
            <w:pPr>
              <w:pStyle w:val="14"/>
              <w:spacing w:line="241" w:lineRule="exact"/>
              <w:ind w:left="87"/>
              <w:rPr>
                <w:rFonts w:ascii="Times New Roman" w:hAnsi="Times New Roman"/>
                <w:sz w:val="21"/>
              </w:rPr>
            </w:pPr>
            <w:r>
              <w:rPr>
                <w:rFonts w:ascii="Times New Roman" w:hAnsi="Times New Roman"/>
                <w:sz w:val="21"/>
              </w:rPr>
              <w:t>113°6'</w:t>
            </w:r>
          </w:p>
          <w:p w14:paraId="09723F99">
            <w:pPr>
              <w:pStyle w:val="14"/>
              <w:spacing w:line="241" w:lineRule="exact"/>
              <w:ind w:left="22"/>
              <w:rPr>
                <w:rFonts w:ascii="Times New Roman"/>
                <w:sz w:val="21"/>
              </w:rPr>
            </w:pPr>
            <w:r>
              <w:rPr>
                <w:rFonts w:ascii="Times New Roman"/>
                <w:sz w:val="21"/>
              </w:rPr>
              <w:t>44.226"</w:t>
            </w:r>
          </w:p>
        </w:tc>
        <w:tc>
          <w:tcPr>
            <w:tcW w:w="709" w:type="dxa"/>
            <w:vMerge w:val="restart"/>
          </w:tcPr>
          <w:p w14:paraId="3D27E5FF">
            <w:pPr>
              <w:pStyle w:val="14"/>
              <w:rPr>
                <w:b/>
                <w:sz w:val="22"/>
              </w:rPr>
            </w:pPr>
          </w:p>
          <w:p w14:paraId="36ABC465">
            <w:pPr>
              <w:pStyle w:val="14"/>
              <w:rPr>
                <w:b/>
                <w:sz w:val="22"/>
              </w:rPr>
            </w:pPr>
          </w:p>
          <w:p w14:paraId="49BB758B">
            <w:pPr>
              <w:pStyle w:val="14"/>
              <w:rPr>
                <w:b/>
                <w:sz w:val="22"/>
              </w:rPr>
            </w:pPr>
          </w:p>
          <w:p w14:paraId="48C8398A">
            <w:pPr>
              <w:pStyle w:val="14"/>
              <w:spacing w:before="8"/>
              <w:rPr>
                <w:b/>
                <w:sz w:val="26"/>
              </w:rPr>
            </w:pPr>
          </w:p>
          <w:p w14:paraId="5ECD0DD4">
            <w:pPr>
              <w:pStyle w:val="14"/>
              <w:spacing w:line="241" w:lineRule="exact"/>
              <w:ind w:left="10"/>
              <w:jc w:val="center"/>
              <w:rPr>
                <w:rFonts w:ascii="Times New Roman" w:hAnsi="Times New Roman"/>
                <w:sz w:val="21"/>
              </w:rPr>
            </w:pPr>
            <w:r>
              <w:rPr>
                <w:rFonts w:ascii="Times New Roman" w:hAnsi="Times New Roman"/>
                <w:sz w:val="21"/>
              </w:rPr>
              <w:t>29°7'</w:t>
            </w:r>
          </w:p>
          <w:p w14:paraId="3824EFAC">
            <w:pPr>
              <w:pStyle w:val="14"/>
              <w:spacing w:line="241" w:lineRule="exact"/>
              <w:ind w:left="7"/>
              <w:jc w:val="center"/>
              <w:rPr>
                <w:rFonts w:ascii="Times New Roman"/>
                <w:sz w:val="21"/>
              </w:rPr>
            </w:pPr>
            <w:r>
              <w:rPr>
                <w:rFonts w:ascii="Times New Roman"/>
                <w:sz w:val="21"/>
              </w:rPr>
              <w:t>26.522"</w:t>
            </w:r>
          </w:p>
        </w:tc>
        <w:tc>
          <w:tcPr>
            <w:tcW w:w="633" w:type="dxa"/>
            <w:vMerge w:val="restart"/>
          </w:tcPr>
          <w:p w14:paraId="460728D5">
            <w:pPr>
              <w:pStyle w:val="14"/>
              <w:rPr>
                <w:b/>
                <w:sz w:val="22"/>
              </w:rPr>
            </w:pPr>
          </w:p>
          <w:p w14:paraId="04FAE2D9">
            <w:pPr>
              <w:pStyle w:val="14"/>
              <w:rPr>
                <w:b/>
                <w:sz w:val="22"/>
              </w:rPr>
            </w:pPr>
          </w:p>
          <w:p w14:paraId="6F36C76E">
            <w:pPr>
              <w:pStyle w:val="14"/>
              <w:rPr>
                <w:b/>
                <w:sz w:val="22"/>
              </w:rPr>
            </w:pPr>
          </w:p>
          <w:p w14:paraId="058C6058">
            <w:pPr>
              <w:pStyle w:val="14"/>
              <w:rPr>
                <w:b/>
                <w:sz w:val="22"/>
              </w:rPr>
            </w:pPr>
          </w:p>
          <w:p w14:paraId="76ACD66A">
            <w:pPr>
              <w:pStyle w:val="14"/>
              <w:spacing w:before="179"/>
              <w:ind w:left="80"/>
              <w:rPr>
                <w:rFonts w:ascii="Times New Roman"/>
                <w:sz w:val="21"/>
              </w:rPr>
            </w:pPr>
            <w:r>
              <w:rPr>
                <w:rFonts w:ascii="Times New Roman"/>
                <w:sz w:val="21"/>
              </w:rPr>
              <w:t>19.68</w:t>
            </w:r>
          </w:p>
        </w:tc>
        <w:tc>
          <w:tcPr>
            <w:tcW w:w="821" w:type="dxa"/>
            <w:vMerge w:val="restart"/>
          </w:tcPr>
          <w:p w14:paraId="219A29A8">
            <w:pPr>
              <w:pStyle w:val="14"/>
              <w:rPr>
                <w:b/>
                <w:sz w:val="20"/>
              </w:rPr>
            </w:pPr>
          </w:p>
          <w:p w14:paraId="6C8735B2">
            <w:pPr>
              <w:pStyle w:val="14"/>
              <w:rPr>
                <w:b/>
                <w:sz w:val="20"/>
              </w:rPr>
            </w:pPr>
          </w:p>
          <w:p w14:paraId="27F633E3">
            <w:pPr>
              <w:pStyle w:val="14"/>
              <w:rPr>
                <w:b/>
                <w:sz w:val="20"/>
              </w:rPr>
            </w:pPr>
          </w:p>
          <w:p w14:paraId="1FA3860B">
            <w:pPr>
              <w:pStyle w:val="14"/>
              <w:spacing w:before="9"/>
              <w:rPr>
                <w:b/>
                <w:sz w:val="19"/>
              </w:rPr>
            </w:pPr>
          </w:p>
          <w:p w14:paraId="3076977B">
            <w:pPr>
              <w:pStyle w:val="14"/>
              <w:spacing w:before="1" w:line="242" w:lineRule="auto"/>
              <w:ind w:left="95" w:right="84"/>
              <w:jc w:val="both"/>
              <w:rPr>
                <w:sz w:val="21"/>
              </w:rPr>
            </w:pPr>
            <w:r>
              <w:rPr>
                <w:sz w:val="21"/>
              </w:rPr>
              <w:t>岳阳县污水处理厂</w:t>
            </w:r>
          </w:p>
        </w:tc>
        <w:tc>
          <w:tcPr>
            <w:tcW w:w="1031" w:type="dxa"/>
            <w:vMerge w:val="restart"/>
          </w:tcPr>
          <w:p w14:paraId="047116FE">
            <w:pPr>
              <w:pStyle w:val="14"/>
              <w:rPr>
                <w:b/>
                <w:sz w:val="20"/>
              </w:rPr>
            </w:pPr>
          </w:p>
          <w:p w14:paraId="60CFC035">
            <w:pPr>
              <w:pStyle w:val="14"/>
              <w:rPr>
                <w:b/>
                <w:sz w:val="20"/>
              </w:rPr>
            </w:pPr>
          </w:p>
          <w:p w14:paraId="62C6E042">
            <w:pPr>
              <w:pStyle w:val="14"/>
              <w:rPr>
                <w:b/>
                <w:sz w:val="20"/>
              </w:rPr>
            </w:pPr>
          </w:p>
          <w:p w14:paraId="0E2EF2A3">
            <w:pPr>
              <w:pStyle w:val="14"/>
              <w:spacing w:before="9"/>
              <w:rPr>
                <w:b/>
                <w:sz w:val="19"/>
              </w:rPr>
            </w:pPr>
          </w:p>
          <w:p w14:paraId="38E3507A">
            <w:pPr>
              <w:pStyle w:val="14"/>
              <w:spacing w:before="1" w:line="242" w:lineRule="auto"/>
              <w:ind w:left="95" w:right="85" w:hanging="3"/>
              <w:jc w:val="center"/>
              <w:rPr>
                <w:sz w:val="21"/>
              </w:rPr>
            </w:pPr>
            <w:r>
              <w:rPr>
                <w:sz w:val="21"/>
              </w:rPr>
              <w:t xml:space="preserve">连续排 </w:t>
            </w:r>
            <w:r>
              <w:rPr>
                <w:w w:val="95"/>
                <w:sz w:val="21"/>
              </w:rPr>
              <w:t>放，流量</w:t>
            </w:r>
            <w:r>
              <w:rPr>
                <w:sz w:val="21"/>
              </w:rPr>
              <w:t>稳定</w:t>
            </w:r>
          </w:p>
        </w:tc>
        <w:tc>
          <w:tcPr>
            <w:tcW w:w="485" w:type="dxa"/>
            <w:vMerge w:val="restart"/>
          </w:tcPr>
          <w:p w14:paraId="6C7EBD2A">
            <w:pPr>
              <w:pStyle w:val="14"/>
              <w:rPr>
                <w:b/>
                <w:sz w:val="22"/>
              </w:rPr>
            </w:pPr>
          </w:p>
          <w:p w14:paraId="6B2AF954">
            <w:pPr>
              <w:pStyle w:val="14"/>
              <w:rPr>
                <w:b/>
                <w:sz w:val="22"/>
              </w:rPr>
            </w:pPr>
          </w:p>
          <w:p w14:paraId="32C2E797">
            <w:pPr>
              <w:pStyle w:val="14"/>
              <w:rPr>
                <w:b/>
                <w:sz w:val="22"/>
              </w:rPr>
            </w:pPr>
          </w:p>
          <w:p w14:paraId="1884DF02">
            <w:pPr>
              <w:pStyle w:val="14"/>
              <w:rPr>
                <w:b/>
                <w:sz w:val="22"/>
              </w:rPr>
            </w:pPr>
          </w:p>
          <w:p w14:paraId="28E5DE92">
            <w:pPr>
              <w:pStyle w:val="14"/>
              <w:spacing w:before="179"/>
              <w:ind w:left="6"/>
              <w:jc w:val="center"/>
              <w:rPr>
                <w:rFonts w:ascii="Times New Roman"/>
                <w:sz w:val="21"/>
              </w:rPr>
            </w:pPr>
            <w:r>
              <w:rPr>
                <w:rFonts w:ascii="Times New Roman"/>
                <w:w w:val="99"/>
                <w:sz w:val="21"/>
              </w:rPr>
              <w:t>/</w:t>
            </w:r>
          </w:p>
        </w:tc>
        <w:tc>
          <w:tcPr>
            <w:tcW w:w="821" w:type="dxa"/>
            <w:vMerge w:val="restart"/>
          </w:tcPr>
          <w:p w14:paraId="1A4E5D2C">
            <w:pPr>
              <w:pStyle w:val="14"/>
              <w:rPr>
                <w:b/>
                <w:sz w:val="20"/>
              </w:rPr>
            </w:pPr>
          </w:p>
          <w:p w14:paraId="50DE9883">
            <w:pPr>
              <w:pStyle w:val="14"/>
              <w:rPr>
                <w:b/>
                <w:sz w:val="20"/>
              </w:rPr>
            </w:pPr>
          </w:p>
          <w:p w14:paraId="02C0AE12">
            <w:pPr>
              <w:pStyle w:val="14"/>
              <w:rPr>
                <w:b/>
                <w:sz w:val="20"/>
              </w:rPr>
            </w:pPr>
          </w:p>
          <w:p w14:paraId="62E36F58">
            <w:pPr>
              <w:pStyle w:val="14"/>
              <w:spacing w:before="9"/>
              <w:rPr>
                <w:b/>
                <w:sz w:val="19"/>
              </w:rPr>
            </w:pPr>
          </w:p>
          <w:p w14:paraId="363D0E77">
            <w:pPr>
              <w:pStyle w:val="14"/>
              <w:spacing w:before="1" w:line="242" w:lineRule="auto"/>
              <w:ind w:left="93" w:right="86"/>
              <w:jc w:val="both"/>
              <w:rPr>
                <w:sz w:val="21"/>
              </w:rPr>
            </w:pPr>
            <w:r>
              <w:rPr>
                <w:sz w:val="21"/>
              </w:rPr>
              <w:t>岳阳县污水处理厂</w:t>
            </w:r>
          </w:p>
        </w:tc>
        <w:tc>
          <w:tcPr>
            <w:tcW w:w="774" w:type="dxa"/>
          </w:tcPr>
          <w:p w14:paraId="077104A7">
            <w:pPr>
              <w:pStyle w:val="14"/>
              <w:spacing w:before="60"/>
              <w:ind w:right="101"/>
              <w:jc w:val="right"/>
              <w:rPr>
                <w:rFonts w:ascii="Times New Roman"/>
                <w:sz w:val="21"/>
              </w:rPr>
            </w:pPr>
            <w:r>
              <w:rPr>
                <w:rFonts w:ascii="Times New Roman"/>
                <w:position w:val="2"/>
                <w:sz w:val="21"/>
              </w:rPr>
              <w:t>COD</w:t>
            </w:r>
            <w:r>
              <w:rPr>
                <w:rFonts w:ascii="Times New Roman"/>
                <w:position w:val="2"/>
                <w:sz w:val="21"/>
                <w:vertAlign w:val="subscript"/>
              </w:rPr>
              <w:t>cr</w:t>
            </w:r>
          </w:p>
        </w:tc>
        <w:tc>
          <w:tcPr>
            <w:tcW w:w="1427" w:type="dxa"/>
          </w:tcPr>
          <w:p w14:paraId="1468257D">
            <w:pPr>
              <w:pStyle w:val="14"/>
              <w:spacing w:before="64"/>
              <w:ind w:left="59" w:right="50"/>
              <w:jc w:val="center"/>
              <w:rPr>
                <w:rFonts w:ascii="Times New Roman"/>
                <w:sz w:val="21"/>
              </w:rPr>
            </w:pPr>
            <w:r>
              <w:rPr>
                <w:rFonts w:ascii="Times New Roman"/>
                <w:sz w:val="21"/>
              </w:rPr>
              <w:t>50</w:t>
            </w:r>
          </w:p>
        </w:tc>
      </w:tr>
      <w:tr w14:paraId="72313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31" w:type="dxa"/>
            <w:vMerge w:val="continue"/>
            <w:tcBorders>
              <w:top w:val="nil"/>
            </w:tcBorders>
          </w:tcPr>
          <w:p w14:paraId="2B0711DE">
            <w:pPr>
              <w:rPr>
                <w:sz w:val="2"/>
                <w:szCs w:val="2"/>
              </w:rPr>
            </w:pPr>
          </w:p>
        </w:tc>
        <w:tc>
          <w:tcPr>
            <w:tcW w:w="685" w:type="dxa"/>
            <w:vMerge w:val="continue"/>
            <w:tcBorders>
              <w:top w:val="nil"/>
            </w:tcBorders>
          </w:tcPr>
          <w:p w14:paraId="432B418C">
            <w:pPr>
              <w:rPr>
                <w:sz w:val="2"/>
                <w:szCs w:val="2"/>
              </w:rPr>
            </w:pPr>
          </w:p>
        </w:tc>
        <w:tc>
          <w:tcPr>
            <w:tcW w:w="709" w:type="dxa"/>
            <w:vMerge w:val="continue"/>
            <w:tcBorders>
              <w:top w:val="nil"/>
            </w:tcBorders>
          </w:tcPr>
          <w:p w14:paraId="6C71B78F">
            <w:pPr>
              <w:rPr>
                <w:sz w:val="2"/>
                <w:szCs w:val="2"/>
              </w:rPr>
            </w:pPr>
          </w:p>
        </w:tc>
        <w:tc>
          <w:tcPr>
            <w:tcW w:w="709" w:type="dxa"/>
            <w:vMerge w:val="continue"/>
            <w:tcBorders>
              <w:top w:val="nil"/>
            </w:tcBorders>
          </w:tcPr>
          <w:p w14:paraId="2806241B">
            <w:pPr>
              <w:rPr>
                <w:sz w:val="2"/>
                <w:szCs w:val="2"/>
              </w:rPr>
            </w:pPr>
          </w:p>
        </w:tc>
        <w:tc>
          <w:tcPr>
            <w:tcW w:w="633" w:type="dxa"/>
            <w:vMerge w:val="continue"/>
            <w:tcBorders>
              <w:top w:val="nil"/>
            </w:tcBorders>
          </w:tcPr>
          <w:p w14:paraId="50778E5D">
            <w:pPr>
              <w:rPr>
                <w:sz w:val="2"/>
                <w:szCs w:val="2"/>
              </w:rPr>
            </w:pPr>
          </w:p>
        </w:tc>
        <w:tc>
          <w:tcPr>
            <w:tcW w:w="821" w:type="dxa"/>
            <w:vMerge w:val="continue"/>
            <w:tcBorders>
              <w:top w:val="nil"/>
            </w:tcBorders>
          </w:tcPr>
          <w:p w14:paraId="452281F7">
            <w:pPr>
              <w:rPr>
                <w:sz w:val="2"/>
                <w:szCs w:val="2"/>
              </w:rPr>
            </w:pPr>
          </w:p>
        </w:tc>
        <w:tc>
          <w:tcPr>
            <w:tcW w:w="1031" w:type="dxa"/>
            <w:vMerge w:val="continue"/>
            <w:tcBorders>
              <w:top w:val="nil"/>
            </w:tcBorders>
          </w:tcPr>
          <w:p w14:paraId="774F0424">
            <w:pPr>
              <w:rPr>
                <w:sz w:val="2"/>
                <w:szCs w:val="2"/>
              </w:rPr>
            </w:pPr>
          </w:p>
        </w:tc>
        <w:tc>
          <w:tcPr>
            <w:tcW w:w="485" w:type="dxa"/>
            <w:vMerge w:val="continue"/>
            <w:tcBorders>
              <w:top w:val="nil"/>
            </w:tcBorders>
          </w:tcPr>
          <w:p w14:paraId="707B4A23">
            <w:pPr>
              <w:rPr>
                <w:sz w:val="2"/>
                <w:szCs w:val="2"/>
              </w:rPr>
            </w:pPr>
          </w:p>
        </w:tc>
        <w:tc>
          <w:tcPr>
            <w:tcW w:w="821" w:type="dxa"/>
            <w:vMerge w:val="continue"/>
            <w:tcBorders>
              <w:top w:val="nil"/>
            </w:tcBorders>
          </w:tcPr>
          <w:p w14:paraId="38D6C45E">
            <w:pPr>
              <w:rPr>
                <w:sz w:val="2"/>
                <w:szCs w:val="2"/>
              </w:rPr>
            </w:pPr>
          </w:p>
        </w:tc>
        <w:tc>
          <w:tcPr>
            <w:tcW w:w="774" w:type="dxa"/>
          </w:tcPr>
          <w:p w14:paraId="0041D891">
            <w:pPr>
              <w:pStyle w:val="14"/>
              <w:spacing w:before="61"/>
              <w:ind w:right="119"/>
              <w:jc w:val="right"/>
              <w:rPr>
                <w:rFonts w:ascii="Times New Roman"/>
                <w:sz w:val="21"/>
              </w:rPr>
            </w:pPr>
            <w:r>
              <w:rPr>
                <w:rFonts w:ascii="Times New Roman"/>
                <w:position w:val="2"/>
                <w:sz w:val="21"/>
              </w:rPr>
              <w:t>BOD</w:t>
            </w:r>
            <w:r>
              <w:rPr>
                <w:rFonts w:ascii="Times New Roman"/>
                <w:position w:val="2"/>
                <w:sz w:val="21"/>
                <w:vertAlign w:val="subscript"/>
              </w:rPr>
              <w:t>5</w:t>
            </w:r>
          </w:p>
        </w:tc>
        <w:tc>
          <w:tcPr>
            <w:tcW w:w="1427" w:type="dxa"/>
          </w:tcPr>
          <w:p w14:paraId="7994FCB0">
            <w:pPr>
              <w:pStyle w:val="14"/>
              <w:spacing w:before="64"/>
              <w:ind w:left="59" w:right="50"/>
              <w:jc w:val="center"/>
              <w:rPr>
                <w:rFonts w:ascii="Times New Roman"/>
                <w:sz w:val="21"/>
              </w:rPr>
            </w:pPr>
            <w:r>
              <w:rPr>
                <w:rFonts w:ascii="Times New Roman"/>
                <w:sz w:val="21"/>
              </w:rPr>
              <w:t>10</w:t>
            </w:r>
          </w:p>
        </w:tc>
      </w:tr>
      <w:tr w14:paraId="24D34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31" w:type="dxa"/>
            <w:vMerge w:val="continue"/>
            <w:tcBorders>
              <w:top w:val="nil"/>
            </w:tcBorders>
          </w:tcPr>
          <w:p w14:paraId="54929376">
            <w:pPr>
              <w:rPr>
                <w:sz w:val="2"/>
                <w:szCs w:val="2"/>
              </w:rPr>
            </w:pPr>
          </w:p>
        </w:tc>
        <w:tc>
          <w:tcPr>
            <w:tcW w:w="685" w:type="dxa"/>
            <w:vMerge w:val="continue"/>
            <w:tcBorders>
              <w:top w:val="nil"/>
            </w:tcBorders>
          </w:tcPr>
          <w:p w14:paraId="0731C233">
            <w:pPr>
              <w:rPr>
                <w:sz w:val="2"/>
                <w:szCs w:val="2"/>
              </w:rPr>
            </w:pPr>
          </w:p>
        </w:tc>
        <w:tc>
          <w:tcPr>
            <w:tcW w:w="709" w:type="dxa"/>
            <w:vMerge w:val="continue"/>
            <w:tcBorders>
              <w:top w:val="nil"/>
            </w:tcBorders>
          </w:tcPr>
          <w:p w14:paraId="798EF7A3">
            <w:pPr>
              <w:rPr>
                <w:sz w:val="2"/>
                <w:szCs w:val="2"/>
              </w:rPr>
            </w:pPr>
          </w:p>
        </w:tc>
        <w:tc>
          <w:tcPr>
            <w:tcW w:w="709" w:type="dxa"/>
            <w:vMerge w:val="continue"/>
            <w:tcBorders>
              <w:top w:val="nil"/>
            </w:tcBorders>
          </w:tcPr>
          <w:p w14:paraId="685DD0DE">
            <w:pPr>
              <w:rPr>
                <w:sz w:val="2"/>
                <w:szCs w:val="2"/>
              </w:rPr>
            </w:pPr>
          </w:p>
        </w:tc>
        <w:tc>
          <w:tcPr>
            <w:tcW w:w="633" w:type="dxa"/>
            <w:vMerge w:val="continue"/>
            <w:tcBorders>
              <w:top w:val="nil"/>
            </w:tcBorders>
          </w:tcPr>
          <w:p w14:paraId="0A515E0E">
            <w:pPr>
              <w:rPr>
                <w:sz w:val="2"/>
                <w:szCs w:val="2"/>
              </w:rPr>
            </w:pPr>
          </w:p>
        </w:tc>
        <w:tc>
          <w:tcPr>
            <w:tcW w:w="821" w:type="dxa"/>
            <w:vMerge w:val="continue"/>
            <w:tcBorders>
              <w:top w:val="nil"/>
            </w:tcBorders>
          </w:tcPr>
          <w:p w14:paraId="2C4671A4">
            <w:pPr>
              <w:rPr>
                <w:sz w:val="2"/>
                <w:szCs w:val="2"/>
              </w:rPr>
            </w:pPr>
          </w:p>
        </w:tc>
        <w:tc>
          <w:tcPr>
            <w:tcW w:w="1031" w:type="dxa"/>
            <w:vMerge w:val="continue"/>
            <w:tcBorders>
              <w:top w:val="nil"/>
            </w:tcBorders>
          </w:tcPr>
          <w:p w14:paraId="35779534">
            <w:pPr>
              <w:rPr>
                <w:sz w:val="2"/>
                <w:szCs w:val="2"/>
              </w:rPr>
            </w:pPr>
          </w:p>
        </w:tc>
        <w:tc>
          <w:tcPr>
            <w:tcW w:w="485" w:type="dxa"/>
            <w:vMerge w:val="continue"/>
            <w:tcBorders>
              <w:top w:val="nil"/>
            </w:tcBorders>
          </w:tcPr>
          <w:p w14:paraId="0D977032">
            <w:pPr>
              <w:rPr>
                <w:sz w:val="2"/>
                <w:szCs w:val="2"/>
              </w:rPr>
            </w:pPr>
          </w:p>
        </w:tc>
        <w:tc>
          <w:tcPr>
            <w:tcW w:w="821" w:type="dxa"/>
            <w:vMerge w:val="continue"/>
            <w:tcBorders>
              <w:top w:val="nil"/>
            </w:tcBorders>
          </w:tcPr>
          <w:p w14:paraId="7B40A723">
            <w:pPr>
              <w:rPr>
                <w:sz w:val="2"/>
                <w:szCs w:val="2"/>
              </w:rPr>
            </w:pPr>
          </w:p>
        </w:tc>
        <w:tc>
          <w:tcPr>
            <w:tcW w:w="774" w:type="dxa"/>
          </w:tcPr>
          <w:p w14:paraId="52A839D5">
            <w:pPr>
              <w:pStyle w:val="14"/>
              <w:spacing w:before="62"/>
              <w:ind w:left="153" w:right="148"/>
              <w:jc w:val="center"/>
              <w:rPr>
                <w:rFonts w:ascii="Times New Roman"/>
                <w:sz w:val="21"/>
              </w:rPr>
            </w:pPr>
            <w:r>
              <w:rPr>
                <w:rFonts w:ascii="Times New Roman"/>
                <w:sz w:val="21"/>
              </w:rPr>
              <w:t>SS</w:t>
            </w:r>
          </w:p>
        </w:tc>
        <w:tc>
          <w:tcPr>
            <w:tcW w:w="1427" w:type="dxa"/>
          </w:tcPr>
          <w:p w14:paraId="5C8CB276">
            <w:pPr>
              <w:pStyle w:val="14"/>
              <w:spacing w:before="62"/>
              <w:ind w:left="59" w:right="50"/>
              <w:jc w:val="center"/>
              <w:rPr>
                <w:rFonts w:ascii="Times New Roman"/>
                <w:sz w:val="21"/>
              </w:rPr>
            </w:pPr>
            <w:r>
              <w:rPr>
                <w:rFonts w:ascii="Times New Roman"/>
                <w:sz w:val="21"/>
              </w:rPr>
              <w:t>10</w:t>
            </w:r>
          </w:p>
        </w:tc>
      </w:tr>
      <w:tr w14:paraId="1314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31" w:type="dxa"/>
            <w:vMerge w:val="continue"/>
            <w:tcBorders>
              <w:top w:val="nil"/>
            </w:tcBorders>
          </w:tcPr>
          <w:p w14:paraId="77130B50">
            <w:pPr>
              <w:rPr>
                <w:sz w:val="2"/>
                <w:szCs w:val="2"/>
              </w:rPr>
            </w:pPr>
          </w:p>
        </w:tc>
        <w:tc>
          <w:tcPr>
            <w:tcW w:w="685" w:type="dxa"/>
            <w:vMerge w:val="continue"/>
            <w:tcBorders>
              <w:top w:val="nil"/>
            </w:tcBorders>
          </w:tcPr>
          <w:p w14:paraId="65FBB3F7">
            <w:pPr>
              <w:rPr>
                <w:sz w:val="2"/>
                <w:szCs w:val="2"/>
              </w:rPr>
            </w:pPr>
          </w:p>
        </w:tc>
        <w:tc>
          <w:tcPr>
            <w:tcW w:w="709" w:type="dxa"/>
            <w:vMerge w:val="continue"/>
            <w:tcBorders>
              <w:top w:val="nil"/>
            </w:tcBorders>
          </w:tcPr>
          <w:p w14:paraId="72EC4E0D">
            <w:pPr>
              <w:rPr>
                <w:sz w:val="2"/>
                <w:szCs w:val="2"/>
              </w:rPr>
            </w:pPr>
          </w:p>
        </w:tc>
        <w:tc>
          <w:tcPr>
            <w:tcW w:w="709" w:type="dxa"/>
            <w:vMerge w:val="continue"/>
            <w:tcBorders>
              <w:top w:val="nil"/>
            </w:tcBorders>
          </w:tcPr>
          <w:p w14:paraId="0C9585DF">
            <w:pPr>
              <w:rPr>
                <w:sz w:val="2"/>
                <w:szCs w:val="2"/>
              </w:rPr>
            </w:pPr>
          </w:p>
        </w:tc>
        <w:tc>
          <w:tcPr>
            <w:tcW w:w="633" w:type="dxa"/>
            <w:vMerge w:val="continue"/>
            <w:tcBorders>
              <w:top w:val="nil"/>
            </w:tcBorders>
          </w:tcPr>
          <w:p w14:paraId="46791D6A">
            <w:pPr>
              <w:rPr>
                <w:sz w:val="2"/>
                <w:szCs w:val="2"/>
              </w:rPr>
            </w:pPr>
          </w:p>
        </w:tc>
        <w:tc>
          <w:tcPr>
            <w:tcW w:w="821" w:type="dxa"/>
            <w:vMerge w:val="continue"/>
            <w:tcBorders>
              <w:top w:val="nil"/>
            </w:tcBorders>
          </w:tcPr>
          <w:p w14:paraId="331484D1">
            <w:pPr>
              <w:rPr>
                <w:sz w:val="2"/>
                <w:szCs w:val="2"/>
              </w:rPr>
            </w:pPr>
          </w:p>
        </w:tc>
        <w:tc>
          <w:tcPr>
            <w:tcW w:w="1031" w:type="dxa"/>
            <w:vMerge w:val="continue"/>
            <w:tcBorders>
              <w:top w:val="nil"/>
            </w:tcBorders>
          </w:tcPr>
          <w:p w14:paraId="5EF278F1">
            <w:pPr>
              <w:rPr>
                <w:sz w:val="2"/>
                <w:szCs w:val="2"/>
              </w:rPr>
            </w:pPr>
          </w:p>
        </w:tc>
        <w:tc>
          <w:tcPr>
            <w:tcW w:w="485" w:type="dxa"/>
            <w:vMerge w:val="continue"/>
            <w:tcBorders>
              <w:top w:val="nil"/>
            </w:tcBorders>
          </w:tcPr>
          <w:p w14:paraId="340E7CBA">
            <w:pPr>
              <w:rPr>
                <w:sz w:val="2"/>
                <w:szCs w:val="2"/>
              </w:rPr>
            </w:pPr>
          </w:p>
        </w:tc>
        <w:tc>
          <w:tcPr>
            <w:tcW w:w="821" w:type="dxa"/>
            <w:vMerge w:val="continue"/>
            <w:tcBorders>
              <w:top w:val="nil"/>
            </w:tcBorders>
          </w:tcPr>
          <w:p w14:paraId="3157152C">
            <w:pPr>
              <w:rPr>
                <w:sz w:val="2"/>
                <w:szCs w:val="2"/>
              </w:rPr>
            </w:pPr>
          </w:p>
        </w:tc>
        <w:tc>
          <w:tcPr>
            <w:tcW w:w="774" w:type="dxa"/>
          </w:tcPr>
          <w:p w14:paraId="539BE286">
            <w:pPr>
              <w:pStyle w:val="14"/>
              <w:spacing w:before="59"/>
              <w:ind w:right="80"/>
              <w:jc w:val="right"/>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1427" w:type="dxa"/>
          </w:tcPr>
          <w:p w14:paraId="157D26F3">
            <w:pPr>
              <w:pStyle w:val="14"/>
              <w:spacing w:before="62"/>
              <w:ind w:left="59" w:right="49"/>
              <w:jc w:val="center"/>
              <w:rPr>
                <w:rFonts w:ascii="Times New Roman"/>
                <w:sz w:val="21"/>
              </w:rPr>
            </w:pPr>
            <w:r>
              <w:rPr>
                <w:rFonts w:ascii="Times New Roman"/>
                <w:sz w:val="21"/>
              </w:rPr>
              <w:t>5(8)</w:t>
            </w:r>
          </w:p>
        </w:tc>
      </w:tr>
      <w:tr w14:paraId="00CF5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231" w:type="dxa"/>
            <w:vMerge w:val="continue"/>
            <w:tcBorders>
              <w:top w:val="nil"/>
            </w:tcBorders>
          </w:tcPr>
          <w:p w14:paraId="14C0350E">
            <w:pPr>
              <w:rPr>
                <w:sz w:val="2"/>
                <w:szCs w:val="2"/>
              </w:rPr>
            </w:pPr>
          </w:p>
        </w:tc>
        <w:tc>
          <w:tcPr>
            <w:tcW w:w="685" w:type="dxa"/>
            <w:vMerge w:val="continue"/>
            <w:tcBorders>
              <w:top w:val="nil"/>
            </w:tcBorders>
          </w:tcPr>
          <w:p w14:paraId="7905B658">
            <w:pPr>
              <w:rPr>
                <w:sz w:val="2"/>
                <w:szCs w:val="2"/>
              </w:rPr>
            </w:pPr>
          </w:p>
        </w:tc>
        <w:tc>
          <w:tcPr>
            <w:tcW w:w="709" w:type="dxa"/>
            <w:vMerge w:val="continue"/>
            <w:tcBorders>
              <w:top w:val="nil"/>
            </w:tcBorders>
          </w:tcPr>
          <w:p w14:paraId="5A837A5A">
            <w:pPr>
              <w:rPr>
                <w:sz w:val="2"/>
                <w:szCs w:val="2"/>
              </w:rPr>
            </w:pPr>
          </w:p>
        </w:tc>
        <w:tc>
          <w:tcPr>
            <w:tcW w:w="709" w:type="dxa"/>
            <w:vMerge w:val="continue"/>
            <w:tcBorders>
              <w:top w:val="nil"/>
            </w:tcBorders>
          </w:tcPr>
          <w:p w14:paraId="6335182E">
            <w:pPr>
              <w:rPr>
                <w:sz w:val="2"/>
                <w:szCs w:val="2"/>
              </w:rPr>
            </w:pPr>
          </w:p>
        </w:tc>
        <w:tc>
          <w:tcPr>
            <w:tcW w:w="633" w:type="dxa"/>
            <w:vMerge w:val="continue"/>
            <w:tcBorders>
              <w:top w:val="nil"/>
            </w:tcBorders>
          </w:tcPr>
          <w:p w14:paraId="1470B427">
            <w:pPr>
              <w:rPr>
                <w:sz w:val="2"/>
                <w:szCs w:val="2"/>
              </w:rPr>
            </w:pPr>
          </w:p>
        </w:tc>
        <w:tc>
          <w:tcPr>
            <w:tcW w:w="821" w:type="dxa"/>
            <w:vMerge w:val="continue"/>
            <w:tcBorders>
              <w:top w:val="nil"/>
            </w:tcBorders>
          </w:tcPr>
          <w:p w14:paraId="42ECDA83">
            <w:pPr>
              <w:rPr>
                <w:sz w:val="2"/>
                <w:szCs w:val="2"/>
              </w:rPr>
            </w:pPr>
          </w:p>
        </w:tc>
        <w:tc>
          <w:tcPr>
            <w:tcW w:w="1031" w:type="dxa"/>
            <w:vMerge w:val="continue"/>
            <w:tcBorders>
              <w:top w:val="nil"/>
            </w:tcBorders>
          </w:tcPr>
          <w:p w14:paraId="1FAC78BD">
            <w:pPr>
              <w:rPr>
                <w:sz w:val="2"/>
                <w:szCs w:val="2"/>
              </w:rPr>
            </w:pPr>
          </w:p>
        </w:tc>
        <w:tc>
          <w:tcPr>
            <w:tcW w:w="485" w:type="dxa"/>
            <w:vMerge w:val="continue"/>
            <w:tcBorders>
              <w:top w:val="nil"/>
            </w:tcBorders>
          </w:tcPr>
          <w:p w14:paraId="416BA3C7">
            <w:pPr>
              <w:rPr>
                <w:sz w:val="2"/>
                <w:szCs w:val="2"/>
              </w:rPr>
            </w:pPr>
          </w:p>
        </w:tc>
        <w:tc>
          <w:tcPr>
            <w:tcW w:w="821" w:type="dxa"/>
            <w:vMerge w:val="continue"/>
            <w:tcBorders>
              <w:top w:val="nil"/>
            </w:tcBorders>
          </w:tcPr>
          <w:p w14:paraId="115E823B">
            <w:pPr>
              <w:rPr>
                <w:sz w:val="2"/>
                <w:szCs w:val="2"/>
              </w:rPr>
            </w:pPr>
          </w:p>
        </w:tc>
        <w:tc>
          <w:tcPr>
            <w:tcW w:w="774" w:type="dxa"/>
          </w:tcPr>
          <w:p w14:paraId="11A21221">
            <w:pPr>
              <w:pStyle w:val="14"/>
              <w:spacing w:before="21" w:line="270" w:lineRule="atLeast"/>
              <w:ind w:left="280" w:right="61" w:hanging="209"/>
              <w:rPr>
                <w:sz w:val="21"/>
              </w:rPr>
            </w:pPr>
            <w:r>
              <w:rPr>
                <w:sz w:val="21"/>
              </w:rPr>
              <w:t>动植物油</w:t>
            </w:r>
          </w:p>
        </w:tc>
        <w:tc>
          <w:tcPr>
            <w:tcW w:w="1427" w:type="dxa"/>
          </w:tcPr>
          <w:p w14:paraId="7443954D">
            <w:pPr>
              <w:pStyle w:val="14"/>
              <w:spacing w:before="170"/>
              <w:ind w:left="9"/>
              <w:jc w:val="center"/>
              <w:rPr>
                <w:rFonts w:ascii="Times New Roman"/>
                <w:sz w:val="21"/>
              </w:rPr>
            </w:pPr>
            <w:r>
              <w:rPr>
                <w:rFonts w:ascii="Times New Roman"/>
                <w:w w:val="99"/>
                <w:sz w:val="21"/>
              </w:rPr>
              <w:t>1</w:t>
            </w:r>
          </w:p>
        </w:tc>
      </w:tr>
      <w:tr w14:paraId="12169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31" w:type="dxa"/>
            <w:vMerge w:val="continue"/>
            <w:tcBorders>
              <w:top w:val="nil"/>
            </w:tcBorders>
          </w:tcPr>
          <w:p w14:paraId="570F5DF1">
            <w:pPr>
              <w:rPr>
                <w:sz w:val="2"/>
                <w:szCs w:val="2"/>
              </w:rPr>
            </w:pPr>
          </w:p>
        </w:tc>
        <w:tc>
          <w:tcPr>
            <w:tcW w:w="685" w:type="dxa"/>
            <w:vMerge w:val="continue"/>
            <w:tcBorders>
              <w:top w:val="nil"/>
            </w:tcBorders>
          </w:tcPr>
          <w:p w14:paraId="5147EA9E">
            <w:pPr>
              <w:rPr>
                <w:sz w:val="2"/>
                <w:szCs w:val="2"/>
              </w:rPr>
            </w:pPr>
          </w:p>
        </w:tc>
        <w:tc>
          <w:tcPr>
            <w:tcW w:w="709" w:type="dxa"/>
            <w:vMerge w:val="continue"/>
            <w:tcBorders>
              <w:top w:val="nil"/>
            </w:tcBorders>
          </w:tcPr>
          <w:p w14:paraId="7FF5E411">
            <w:pPr>
              <w:rPr>
                <w:sz w:val="2"/>
                <w:szCs w:val="2"/>
              </w:rPr>
            </w:pPr>
          </w:p>
        </w:tc>
        <w:tc>
          <w:tcPr>
            <w:tcW w:w="709" w:type="dxa"/>
            <w:vMerge w:val="continue"/>
            <w:tcBorders>
              <w:top w:val="nil"/>
            </w:tcBorders>
          </w:tcPr>
          <w:p w14:paraId="54C78A26">
            <w:pPr>
              <w:rPr>
                <w:sz w:val="2"/>
                <w:szCs w:val="2"/>
              </w:rPr>
            </w:pPr>
          </w:p>
        </w:tc>
        <w:tc>
          <w:tcPr>
            <w:tcW w:w="633" w:type="dxa"/>
            <w:vMerge w:val="continue"/>
            <w:tcBorders>
              <w:top w:val="nil"/>
            </w:tcBorders>
          </w:tcPr>
          <w:p w14:paraId="0B6B70B5">
            <w:pPr>
              <w:rPr>
                <w:sz w:val="2"/>
                <w:szCs w:val="2"/>
              </w:rPr>
            </w:pPr>
          </w:p>
        </w:tc>
        <w:tc>
          <w:tcPr>
            <w:tcW w:w="821" w:type="dxa"/>
            <w:vMerge w:val="continue"/>
            <w:tcBorders>
              <w:top w:val="nil"/>
            </w:tcBorders>
          </w:tcPr>
          <w:p w14:paraId="6D35AB8B">
            <w:pPr>
              <w:rPr>
                <w:sz w:val="2"/>
                <w:szCs w:val="2"/>
              </w:rPr>
            </w:pPr>
          </w:p>
        </w:tc>
        <w:tc>
          <w:tcPr>
            <w:tcW w:w="1031" w:type="dxa"/>
            <w:vMerge w:val="continue"/>
            <w:tcBorders>
              <w:top w:val="nil"/>
            </w:tcBorders>
          </w:tcPr>
          <w:p w14:paraId="7A09B3B3">
            <w:pPr>
              <w:rPr>
                <w:sz w:val="2"/>
                <w:szCs w:val="2"/>
              </w:rPr>
            </w:pPr>
          </w:p>
        </w:tc>
        <w:tc>
          <w:tcPr>
            <w:tcW w:w="485" w:type="dxa"/>
            <w:vMerge w:val="continue"/>
            <w:tcBorders>
              <w:top w:val="nil"/>
            </w:tcBorders>
          </w:tcPr>
          <w:p w14:paraId="06EB5F0A">
            <w:pPr>
              <w:rPr>
                <w:sz w:val="2"/>
                <w:szCs w:val="2"/>
              </w:rPr>
            </w:pPr>
          </w:p>
        </w:tc>
        <w:tc>
          <w:tcPr>
            <w:tcW w:w="821" w:type="dxa"/>
            <w:vMerge w:val="continue"/>
            <w:tcBorders>
              <w:top w:val="nil"/>
            </w:tcBorders>
          </w:tcPr>
          <w:p w14:paraId="76C5E8D4">
            <w:pPr>
              <w:rPr>
                <w:sz w:val="2"/>
                <w:szCs w:val="2"/>
              </w:rPr>
            </w:pPr>
          </w:p>
        </w:tc>
        <w:tc>
          <w:tcPr>
            <w:tcW w:w="774" w:type="dxa"/>
          </w:tcPr>
          <w:p w14:paraId="167EB7EE">
            <w:pPr>
              <w:pStyle w:val="14"/>
              <w:spacing w:before="48"/>
              <w:ind w:left="177"/>
              <w:rPr>
                <w:sz w:val="21"/>
              </w:rPr>
            </w:pPr>
            <w:r>
              <w:rPr>
                <w:sz w:val="21"/>
              </w:rPr>
              <w:t>总氮</w:t>
            </w:r>
          </w:p>
        </w:tc>
        <w:tc>
          <w:tcPr>
            <w:tcW w:w="1427" w:type="dxa"/>
          </w:tcPr>
          <w:p w14:paraId="46F1FDCB">
            <w:pPr>
              <w:pStyle w:val="14"/>
              <w:spacing w:before="62"/>
              <w:ind w:left="59" w:right="50"/>
              <w:jc w:val="center"/>
              <w:rPr>
                <w:rFonts w:ascii="Times New Roman"/>
                <w:sz w:val="21"/>
              </w:rPr>
            </w:pPr>
            <w:r>
              <w:rPr>
                <w:rFonts w:ascii="Times New Roman"/>
                <w:sz w:val="21"/>
              </w:rPr>
              <w:t>15</w:t>
            </w:r>
          </w:p>
        </w:tc>
      </w:tr>
      <w:tr w14:paraId="1777A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31" w:type="dxa"/>
            <w:vMerge w:val="continue"/>
            <w:tcBorders>
              <w:top w:val="nil"/>
            </w:tcBorders>
          </w:tcPr>
          <w:p w14:paraId="72ED46CD">
            <w:pPr>
              <w:rPr>
                <w:sz w:val="2"/>
                <w:szCs w:val="2"/>
              </w:rPr>
            </w:pPr>
          </w:p>
        </w:tc>
        <w:tc>
          <w:tcPr>
            <w:tcW w:w="685" w:type="dxa"/>
            <w:vMerge w:val="continue"/>
            <w:tcBorders>
              <w:top w:val="nil"/>
            </w:tcBorders>
          </w:tcPr>
          <w:p w14:paraId="3D5544C2">
            <w:pPr>
              <w:rPr>
                <w:sz w:val="2"/>
                <w:szCs w:val="2"/>
              </w:rPr>
            </w:pPr>
          </w:p>
        </w:tc>
        <w:tc>
          <w:tcPr>
            <w:tcW w:w="709" w:type="dxa"/>
            <w:vMerge w:val="continue"/>
            <w:tcBorders>
              <w:top w:val="nil"/>
            </w:tcBorders>
          </w:tcPr>
          <w:p w14:paraId="262F259D">
            <w:pPr>
              <w:rPr>
                <w:sz w:val="2"/>
                <w:szCs w:val="2"/>
              </w:rPr>
            </w:pPr>
          </w:p>
        </w:tc>
        <w:tc>
          <w:tcPr>
            <w:tcW w:w="709" w:type="dxa"/>
            <w:vMerge w:val="continue"/>
            <w:tcBorders>
              <w:top w:val="nil"/>
            </w:tcBorders>
          </w:tcPr>
          <w:p w14:paraId="67B99C69">
            <w:pPr>
              <w:rPr>
                <w:sz w:val="2"/>
                <w:szCs w:val="2"/>
              </w:rPr>
            </w:pPr>
          </w:p>
        </w:tc>
        <w:tc>
          <w:tcPr>
            <w:tcW w:w="633" w:type="dxa"/>
            <w:vMerge w:val="continue"/>
            <w:tcBorders>
              <w:top w:val="nil"/>
            </w:tcBorders>
          </w:tcPr>
          <w:p w14:paraId="5DF39D94">
            <w:pPr>
              <w:rPr>
                <w:sz w:val="2"/>
                <w:szCs w:val="2"/>
              </w:rPr>
            </w:pPr>
          </w:p>
        </w:tc>
        <w:tc>
          <w:tcPr>
            <w:tcW w:w="821" w:type="dxa"/>
            <w:vMerge w:val="continue"/>
            <w:tcBorders>
              <w:top w:val="nil"/>
            </w:tcBorders>
          </w:tcPr>
          <w:p w14:paraId="59AC4EEE">
            <w:pPr>
              <w:rPr>
                <w:sz w:val="2"/>
                <w:szCs w:val="2"/>
              </w:rPr>
            </w:pPr>
          </w:p>
        </w:tc>
        <w:tc>
          <w:tcPr>
            <w:tcW w:w="1031" w:type="dxa"/>
            <w:vMerge w:val="continue"/>
            <w:tcBorders>
              <w:top w:val="nil"/>
            </w:tcBorders>
          </w:tcPr>
          <w:p w14:paraId="18DBB5CA">
            <w:pPr>
              <w:rPr>
                <w:sz w:val="2"/>
                <w:szCs w:val="2"/>
              </w:rPr>
            </w:pPr>
          </w:p>
        </w:tc>
        <w:tc>
          <w:tcPr>
            <w:tcW w:w="485" w:type="dxa"/>
            <w:vMerge w:val="continue"/>
            <w:tcBorders>
              <w:top w:val="nil"/>
            </w:tcBorders>
          </w:tcPr>
          <w:p w14:paraId="4CEC723E">
            <w:pPr>
              <w:rPr>
                <w:sz w:val="2"/>
                <w:szCs w:val="2"/>
              </w:rPr>
            </w:pPr>
          </w:p>
        </w:tc>
        <w:tc>
          <w:tcPr>
            <w:tcW w:w="821" w:type="dxa"/>
            <w:vMerge w:val="continue"/>
            <w:tcBorders>
              <w:top w:val="nil"/>
            </w:tcBorders>
          </w:tcPr>
          <w:p w14:paraId="53961C10">
            <w:pPr>
              <w:rPr>
                <w:sz w:val="2"/>
                <w:szCs w:val="2"/>
              </w:rPr>
            </w:pPr>
          </w:p>
        </w:tc>
        <w:tc>
          <w:tcPr>
            <w:tcW w:w="774" w:type="dxa"/>
          </w:tcPr>
          <w:p w14:paraId="0C8D4522">
            <w:pPr>
              <w:pStyle w:val="14"/>
              <w:spacing w:before="49"/>
              <w:ind w:left="177"/>
              <w:rPr>
                <w:sz w:val="21"/>
              </w:rPr>
            </w:pPr>
            <w:r>
              <w:rPr>
                <w:sz w:val="21"/>
              </w:rPr>
              <w:t>总磷</w:t>
            </w:r>
          </w:p>
        </w:tc>
        <w:tc>
          <w:tcPr>
            <w:tcW w:w="1427" w:type="dxa"/>
          </w:tcPr>
          <w:p w14:paraId="2DF459FF">
            <w:pPr>
              <w:pStyle w:val="14"/>
              <w:spacing w:before="62"/>
              <w:ind w:left="9"/>
              <w:jc w:val="center"/>
              <w:rPr>
                <w:rFonts w:ascii="Times New Roman"/>
                <w:sz w:val="21"/>
              </w:rPr>
            </w:pPr>
            <w:r>
              <w:rPr>
                <w:rFonts w:ascii="Times New Roman"/>
                <w:w w:val="99"/>
                <w:sz w:val="21"/>
              </w:rPr>
              <w:t>1</w:t>
            </w:r>
          </w:p>
        </w:tc>
      </w:tr>
    </w:tbl>
    <w:p w14:paraId="2EFAA571">
      <w:pPr>
        <w:pStyle w:val="7"/>
        <w:spacing w:before="2"/>
        <w:ind w:left="940"/>
      </w:pPr>
      <w:r>
        <w:rPr>
          <w:rFonts w:ascii="Times New Roman" w:eastAsia="Times New Roman"/>
        </w:rPr>
        <w:t>3</w:t>
      </w:r>
      <w:r>
        <w:t>）废水污染物排放执行标准表</w:t>
      </w:r>
    </w:p>
    <w:p w14:paraId="015F38B3">
      <w:pPr>
        <w:spacing w:before="157" w:after="4"/>
        <w:ind w:left="274" w:right="246" w:firstLine="0"/>
        <w:jc w:val="center"/>
        <w:rPr>
          <w:b/>
          <w:sz w:val="21"/>
        </w:rPr>
      </w:pPr>
      <w:r>
        <w:pict>
          <v:rect id="_x0000_s1389" o:spid="_x0000_s1389" o:spt="1" style="position:absolute;left:0pt;margin-left:394.95pt;margin-top:114.6pt;height:22.95pt;width:110.75pt;mso-position-horizontal-relative:page;z-index:-251649024;mso-width-relative:page;mso-height-relative:page;" fillcolor="#FFFFFF" filled="t" stroked="f" coordsize="21600,21600">
            <v:path/>
            <v:fill on="t" focussize="0,0"/>
            <v:stroke on="f"/>
            <v:imagedata o:title=""/>
            <o:lock v:ext="edit"/>
          </v:rect>
        </w:pict>
      </w:r>
      <w:r>
        <w:rPr>
          <w:b/>
          <w:spacing w:val="-26"/>
          <w:sz w:val="21"/>
        </w:rPr>
        <w:t xml:space="preserve">表 </w:t>
      </w:r>
      <w:r>
        <w:rPr>
          <w:rFonts w:ascii="Times New Roman" w:eastAsia="Times New Roman"/>
          <w:b/>
          <w:sz w:val="21"/>
        </w:rPr>
        <w:t>5.2-9</w:t>
      </w:r>
      <w:r>
        <w:rPr>
          <w:rFonts w:ascii="Times New Roman" w:eastAsia="Times New Roman"/>
          <w:b/>
          <w:spacing w:val="50"/>
          <w:sz w:val="21"/>
        </w:rPr>
        <w:t xml:space="preserve"> </w:t>
      </w:r>
      <w:r>
        <w:rPr>
          <w:b/>
          <w:sz w:val="21"/>
        </w:rPr>
        <w:t>废水污染物排放执行标准表</w:t>
      </w:r>
    </w:p>
    <w:tbl>
      <w:tblPr>
        <w:tblStyle w:val="10"/>
        <w:tblW w:w="0" w:type="auto"/>
        <w:tblInd w:w="4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851"/>
        <w:gridCol w:w="1276"/>
        <w:gridCol w:w="3402"/>
        <w:gridCol w:w="2220"/>
      </w:tblGrid>
      <w:tr w14:paraId="4AB87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7" w:type="dxa"/>
            <w:vMerge w:val="restart"/>
          </w:tcPr>
          <w:p w14:paraId="63BB232F">
            <w:pPr>
              <w:pStyle w:val="14"/>
              <w:spacing w:before="2"/>
              <w:rPr>
                <w:b/>
                <w:sz w:val="25"/>
              </w:rPr>
            </w:pPr>
          </w:p>
          <w:p w14:paraId="1DE2AD59">
            <w:pPr>
              <w:pStyle w:val="14"/>
              <w:ind w:left="76"/>
              <w:rPr>
                <w:b/>
                <w:sz w:val="21"/>
              </w:rPr>
            </w:pPr>
            <w:r>
              <w:rPr>
                <w:b/>
                <w:sz w:val="21"/>
              </w:rPr>
              <w:t>序号</w:t>
            </w:r>
          </w:p>
        </w:tc>
        <w:tc>
          <w:tcPr>
            <w:tcW w:w="851" w:type="dxa"/>
            <w:vMerge w:val="restart"/>
          </w:tcPr>
          <w:p w14:paraId="6ADDED06">
            <w:pPr>
              <w:pStyle w:val="14"/>
              <w:spacing w:before="6"/>
              <w:rPr>
                <w:b/>
                <w:sz w:val="14"/>
              </w:rPr>
            </w:pPr>
          </w:p>
          <w:p w14:paraId="11FDA95F">
            <w:pPr>
              <w:pStyle w:val="14"/>
              <w:spacing w:line="244" w:lineRule="auto"/>
              <w:ind w:left="212" w:right="98" w:hanging="104"/>
              <w:rPr>
                <w:b/>
                <w:sz w:val="21"/>
              </w:rPr>
            </w:pPr>
            <w:r>
              <w:rPr>
                <w:b/>
                <w:sz w:val="21"/>
              </w:rPr>
              <w:t>排放口编号</w:t>
            </w:r>
          </w:p>
        </w:tc>
        <w:tc>
          <w:tcPr>
            <w:tcW w:w="1276" w:type="dxa"/>
            <w:vMerge w:val="restart"/>
          </w:tcPr>
          <w:p w14:paraId="36CCAF58">
            <w:pPr>
              <w:pStyle w:val="14"/>
              <w:spacing w:before="2"/>
              <w:rPr>
                <w:b/>
                <w:sz w:val="25"/>
              </w:rPr>
            </w:pPr>
          </w:p>
          <w:p w14:paraId="46E71F86">
            <w:pPr>
              <w:pStyle w:val="14"/>
              <w:ind w:left="110"/>
              <w:rPr>
                <w:b/>
                <w:sz w:val="21"/>
              </w:rPr>
            </w:pPr>
            <w:r>
              <w:rPr>
                <w:b/>
                <w:sz w:val="21"/>
              </w:rPr>
              <w:t>污染物种类</w:t>
            </w:r>
          </w:p>
        </w:tc>
        <w:tc>
          <w:tcPr>
            <w:tcW w:w="5622" w:type="dxa"/>
            <w:gridSpan w:val="2"/>
          </w:tcPr>
          <w:p w14:paraId="41AAFC5C">
            <w:pPr>
              <w:pStyle w:val="14"/>
              <w:spacing w:before="89"/>
              <w:ind w:left="173"/>
              <w:rPr>
                <w:b/>
                <w:sz w:val="21"/>
              </w:rPr>
            </w:pPr>
            <w:r>
              <w:rPr>
                <w:b/>
                <w:sz w:val="21"/>
              </w:rPr>
              <w:t>国家或地方污染物排放标准及其他按规定商定的排放协议</w:t>
            </w:r>
          </w:p>
        </w:tc>
      </w:tr>
      <w:tr w14:paraId="639F1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7" w:type="dxa"/>
            <w:vMerge w:val="continue"/>
            <w:tcBorders>
              <w:top w:val="nil"/>
            </w:tcBorders>
          </w:tcPr>
          <w:p w14:paraId="5810FD7D">
            <w:pPr>
              <w:rPr>
                <w:sz w:val="2"/>
                <w:szCs w:val="2"/>
              </w:rPr>
            </w:pPr>
          </w:p>
        </w:tc>
        <w:tc>
          <w:tcPr>
            <w:tcW w:w="851" w:type="dxa"/>
            <w:vMerge w:val="continue"/>
            <w:tcBorders>
              <w:top w:val="nil"/>
            </w:tcBorders>
          </w:tcPr>
          <w:p w14:paraId="48C65286">
            <w:pPr>
              <w:rPr>
                <w:sz w:val="2"/>
                <w:szCs w:val="2"/>
              </w:rPr>
            </w:pPr>
          </w:p>
        </w:tc>
        <w:tc>
          <w:tcPr>
            <w:tcW w:w="1276" w:type="dxa"/>
            <w:vMerge w:val="continue"/>
            <w:tcBorders>
              <w:top w:val="nil"/>
            </w:tcBorders>
          </w:tcPr>
          <w:p w14:paraId="5B65389A">
            <w:pPr>
              <w:rPr>
                <w:sz w:val="2"/>
                <w:szCs w:val="2"/>
              </w:rPr>
            </w:pPr>
          </w:p>
        </w:tc>
        <w:tc>
          <w:tcPr>
            <w:tcW w:w="3402" w:type="dxa"/>
          </w:tcPr>
          <w:p w14:paraId="27026E5A">
            <w:pPr>
              <w:pStyle w:val="14"/>
              <w:spacing w:before="91"/>
              <w:ind w:left="18" w:right="12"/>
              <w:jc w:val="center"/>
              <w:rPr>
                <w:b/>
                <w:sz w:val="21"/>
              </w:rPr>
            </w:pPr>
            <w:r>
              <w:rPr>
                <w:b/>
                <w:sz w:val="21"/>
              </w:rPr>
              <w:t>名称</w:t>
            </w:r>
          </w:p>
        </w:tc>
        <w:tc>
          <w:tcPr>
            <w:tcW w:w="2220" w:type="dxa"/>
          </w:tcPr>
          <w:p w14:paraId="6E757EFD">
            <w:pPr>
              <w:pStyle w:val="14"/>
              <w:spacing w:before="91"/>
              <w:ind w:left="328" w:right="321"/>
              <w:jc w:val="center"/>
              <w:rPr>
                <w:rFonts w:ascii="Times New Roman" w:eastAsia="Times New Roman"/>
                <w:b/>
                <w:sz w:val="21"/>
              </w:rPr>
            </w:pPr>
            <w:r>
              <w:rPr>
                <w:b/>
                <w:sz w:val="21"/>
              </w:rPr>
              <w:t>浓度限值</w:t>
            </w:r>
            <w:r>
              <w:rPr>
                <w:rFonts w:ascii="Times New Roman" w:eastAsia="Times New Roman"/>
                <w:b/>
                <w:sz w:val="21"/>
              </w:rPr>
              <w:t>/(mg/L)</w:t>
            </w:r>
          </w:p>
        </w:tc>
      </w:tr>
      <w:tr w14:paraId="5C0DA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7" w:type="dxa"/>
            <w:vMerge w:val="restart"/>
          </w:tcPr>
          <w:p w14:paraId="72EE9172">
            <w:pPr>
              <w:pStyle w:val="14"/>
              <w:rPr>
                <w:b/>
                <w:sz w:val="22"/>
              </w:rPr>
            </w:pPr>
          </w:p>
          <w:p w14:paraId="61E2E644">
            <w:pPr>
              <w:pStyle w:val="14"/>
              <w:rPr>
                <w:b/>
                <w:sz w:val="22"/>
              </w:rPr>
            </w:pPr>
          </w:p>
          <w:p w14:paraId="01679830">
            <w:pPr>
              <w:pStyle w:val="14"/>
              <w:rPr>
                <w:b/>
                <w:sz w:val="22"/>
              </w:rPr>
            </w:pPr>
          </w:p>
          <w:p w14:paraId="5958523D">
            <w:pPr>
              <w:pStyle w:val="14"/>
              <w:rPr>
                <w:b/>
                <w:sz w:val="22"/>
              </w:rPr>
            </w:pPr>
          </w:p>
          <w:p w14:paraId="05BC4DF7">
            <w:pPr>
              <w:pStyle w:val="14"/>
              <w:spacing w:before="10"/>
              <w:rPr>
                <w:b/>
                <w:sz w:val="28"/>
              </w:rPr>
            </w:pPr>
          </w:p>
          <w:p w14:paraId="081D657E">
            <w:pPr>
              <w:pStyle w:val="14"/>
              <w:ind w:left="8"/>
              <w:jc w:val="center"/>
              <w:rPr>
                <w:rFonts w:ascii="Times New Roman"/>
                <w:sz w:val="21"/>
              </w:rPr>
            </w:pPr>
            <w:r>
              <w:rPr>
                <w:rFonts w:ascii="Times New Roman"/>
                <w:w w:val="99"/>
                <w:sz w:val="21"/>
              </w:rPr>
              <w:t>1</w:t>
            </w:r>
          </w:p>
        </w:tc>
        <w:tc>
          <w:tcPr>
            <w:tcW w:w="851" w:type="dxa"/>
            <w:vMerge w:val="restart"/>
          </w:tcPr>
          <w:p w14:paraId="7D04EDCE">
            <w:pPr>
              <w:pStyle w:val="14"/>
              <w:rPr>
                <w:b/>
                <w:sz w:val="22"/>
              </w:rPr>
            </w:pPr>
          </w:p>
          <w:p w14:paraId="6659CCF0">
            <w:pPr>
              <w:pStyle w:val="14"/>
              <w:rPr>
                <w:b/>
                <w:sz w:val="22"/>
              </w:rPr>
            </w:pPr>
          </w:p>
          <w:p w14:paraId="0AFA5E53">
            <w:pPr>
              <w:pStyle w:val="14"/>
              <w:rPr>
                <w:b/>
                <w:sz w:val="22"/>
              </w:rPr>
            </w:pPr>
          </w:p>
          <w:p w14:paraId="7CF9F283">
            <w:pPr>
              <w:pStyle w:val="14"/>
              <w:rPr>
                <w:b/>
                <w:sz w:val="22"/>
              </w:rPr>
            </w:pPr>
          </w:p>
          <w:p w14:paraId="7182EDF9">
            <w:pPr>
              <w:pStyle w:val="14"/>
              <w:spacing w:before="10"/>
              <w:rPr>
                <w:b/>
                <w:sz w:val="28"/>
              </w:rPr>
            </w:pPr>
          </w:p>
          <w:p w14:paraId="72BBE602">
            <w:pPr>
              <w:pStyle w:val="14"/>
              <w:ind w:left="92"/>
              <w:rPr>
                <w:rFonts w:ascii="Times New Roman"/>
                <w:sz w:val="21"/>
              </w:rPr>
            </w:pPr>
            <w:r>
              <w:rPr>
                <w:rFonts w:ascii="Times New Roman"/>
                <w:sz w:val="21"/>
              </w:rPr>
              <w:t>DW001</w:t>
            </w:r>
          </w:p>
        </w:tc>
        <w:tc>
          <w:tcPr>
            <w:tcW w:w="1276" w:type="dxa"/>
          </w:tcPr>
          <w:p w14:paraId="1C45A02D">
            <w:pPr>
              <w:pStyle w:val="14"/>
              <w:spacing w:before="101"/>
              <w:ind w:left="197" w:right="189"/>
              <w:jc w:val="center"/>
              <w:rPr>
                <w:rFonts w:ascii="Times New Roman"/>
                <w:sz w:val="21"/>
              </w:rPr>
            </w:pPr>
            <w:r>
              <w:rPr>
                <w:rFonts w:ascii="Times New Roman"/>
                <w:position w:val="2"/>
                <w:sz w:val="21"/>
              </w:rPr>
              <w:t>COD</w:t>
            </w:r>
            <w:r>
              <w:rPr>
                <w:rFonts w:ascii="Times New Roman"/>
                <w:position w:val="2"/>
                <w:sz w:val="21"/>
                <w:vertAlign w:val="subscript"/>
              </w:rPr>
              <w:t>Cr</w:t>
            </w:r>
          </w:p>
        </w:tc>
        <w:tc>
          <w:tcPr>
            <w:tcW w:w="3402" w:type="dxa"/>
            <w:vMerge w:val="restart"/>
          </w:tcPr>
          <w:p w14:paraId="4A715C1F">
            <w:pPr>
              <w:pStyle w:val="14"/>
              <w:rPr>
                <w:b/>
                <w:sz w:val="20"/>
              </w:rPr>
            </w:pPr>
          </w:p>
          <w:p w14:paraId="40E679E2">
            <w:pPr>
              <w:pStyle w:val="14"/>
              <w:rPr>
                <w:b/>
                <w:sz w:val="20"/>
              </w:rPr>
            </w:pPr>
          </w:p>
          <w:p w14:paraId="17255659">
            <w:pPr>
              <w:pStyle w:val="14"/>
              <w:rPr>
                <w:b/>
                <w:sz w:val="20"/>
              </w:rPr>
            </w:pPr>
          </w:p>
          <w:p w14:paraId="06FF1FDB">
            <w:pPr>
              <w:pStyle w:val="14"/>
              <w:spacing w:before="10"/>
              <w:rPr>
                <w:b/>
                <w:sz w:val="23"/>
              </w:rPr>
            </w:pPr>
          </w:p>
          <w:p w14:paraId="7FBE34D1">
            <w:pPr>
              <w:pStyle w:val="14"/>
              <w:spacing w:before="1"/>
              <w:ind w:left="72" w:right="-44"/>
              <w:rPr>
                <w:sz w:val="21"/>
              </w:rPr>
            </w:pPr>
            <w:r>
              <w:rPr>
                <w:w w:val="95"/>
                <w:sz w:val="21"/>
              </w:rPr>
              <w:t>《肉类加工工业水污染物排放标准》</w:t>
            </w:r>
          </w:p>
          <w:p w14:paraId="14815124">
            <w:pPr>
              <w:pStyle w:val="14"/>
              <w:spacing w:before="2" w:line="242" w:lineRule="auto"/>
              <w:ind w:left="20" w:right="12"/>
              <w:jc w:val="center"/>
              <w:rPr>
                <w:sz w:val="21"/>
              </w:rPr>
            </w:pPr>
            <w:r>
              <w:rPr>
                <w:sz w:val="21"/>
              </w:rPr>
              <w:t>（</w:t>
            </w:r>
            <w:r>
              <w:rPr>
                <w:rFonts w:ascii="Times New Roman" w:eastAsia="Times New Roman"/>
                <w:sz w:val="21"/>
              </w:rPr>
              <w:t>GB13457-92</w:t>
            </w:r>
            <w:r>
              <w:rPr>
                <w:sz w:val="21"/>
              </w:rPr>
              <w:t xml:space="preserve">）表 </w:t>
            </w:r>
            <w:r>
              <w:rPr>
                <w:rFonts w:ascii="Times New Roman" w:eastAsia="Times New Roman"/>
                <w:sz w:val="21"/>
              </w:rPr>
              <w:t xml:space="preserve">3 </w:t>
            </w:r>
            <w:r>
              <w:rPr>
                <w:sz w:val="21"/>
              </w:rPr>
              <w:t>畜类屠宰加工</w:t>
            </w:r>
            <w:r>
              <w:rPr>
                <w:w w:val="95"/>
                <w:sz w:val="21"/>
              </w:rPr>
              <w:t>三级标准和岳阳县污水处理厂进水水</w:t>
            </w:r>
            <w:r>
              <w:rPr>
                <w:sz w:val="21"/>
              </w:rPr>
              <w:t>质标准</w:t>
            </w:r>
          </w:p>
        </w:tc>
        <w:tc>
          <w:tcPr>
            <w:tcW w:w="2220" w:type="dxa"/>
          </w:tcPr>
          <w:p w14:paraId="4D7F6528">
            <w:pPr>
              <w:pStyle w:val="14"/>
              <w:spacing w:before="104"/>
              <w:ind w:left="328" w:right="318"/>
              <w:jc w:val="center"/>
              <w:rPr>
                <w:rFonts w:ascii="Times New Roman"/>
                <w:sz w:val="21"/>
              </w:rPr>
            </w:pPr>
            <w:r>
              <w:rPr>
                <w:rFonts w:ascii="Times New Roman"/>
                <w:sz w:val="21"/>
              </w:rPr>
              <w:t>300</w:t>
            </w:r>
          </w:p>
        </w:tc>
      </w:tr>
      <w:tr w14:paraId="74F6C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7" w:type="dxa"/>
            <w:vMerge w:val="continue"/>
            <w:tcBorders>
              <w:top w:val="nil"/>
            </w:tcBorders>
          </w:tcPr>
          <w:p w14:paraId="5DAC6CA7">
            <w:pPr>
              <w:rPr>
                <w:sz w:val="2"/>
                <w:szCs w:val="2"/>
              </w:rPr>
            </w:pPr>
          </w:p>
        </w:tc>
        <w:tc>
          <w:tcPr>
            <w:tcW w:w="851" w:type="dxa"/>
            <w:vMerge w:val="continue"/>
            <w:tcBorders>
              <w:top w:val="nil"/>
            </w:tcBorders>
          </w:tcPr>
          <w:p w14:paraId="03B011D1">
            <w:pPr>
              <w:rPr>
                <w:sz w:val="2"/>
                <w:szCs w:val="2"/>
              </w:rPr>
            </w:pPr>
          </w:p>
        </w:tc>
        <w:tc>
          <w:tcPr>
            <w:tcW w:w="1276" w:type="dxa"/>
          </w:tcPr>
          <w:p w14:paraId="3D1A4514">
            <w:pPr>
              <w:pStyle w:val="14"/>
              <w:spacing w:before="102"/>
              <w:ind w:left="197" w:right="187"/>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3402" w:type="dxa"/>
            <w:vMerge w:val="continue"/>
            <w:tcBorders>
              <w:top w:val="nil"/>
            </w:tcBorders>
          </w:tcPr>
          <w:p w14:paraId="01550D0E">
            <w:pPr>
              <w:rPr>
                <w:sz w:val="2"/>
                <w:szCs w:val="2"/>
              </w:rPr>
            </w:pPr>
          </w:p>
        </w:tc>
        <w:tc>
          <w:tcPr>
            <w:tcW w:w="2220" w:type="dxa"/>
          </w:tcPr>
          <w:p w14:paraId="0E86F97B">
            <w:pPr>
              <w:pStyle w:val="14"/>
              <w:spacing w:before="106"/>
              <w:ind w:left="328" w:right="318"/>
              <w:jc w:val="center"/>
              <w:rPr>
                <w:rFonts w:ascii="Times New Roman"/>
                <w:sz w:val="21"/>
              </w:rPr>
            </w:pPr>
            <w:r>
              <w:rPr>
                <w:rFonts w:ascii="Times New Roman"/>
                <w:sz w:val="21"/>
              </w:rPr>
              <w:t>130</w:t>
            </w:r>
          </w:p>
        </w:tc>
      </w:tr>
      <w:tr w14:paraId="6253A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7" w:type="dxa"/>
            <w:vMerge w:val="continue"/>
            <w:tcBorders>
              <w:top w:val="nil"/>
            </w:tcBorders>
          </w:tcPr>
          <w:p w14:paraId="418CD783">
            <w:pPr>
              <w:rPr>
                <w:sz w:val="2"/>
                <w:szCs w:val="2"/>
              </w:rPr>
            </w:pPr>
          </w:p>
        </w:tc>
        <w:tc>
          <w:tcPr>
            <w:tcW w:w="851" w:type="dxa"/>
            <w:vMerge w:val="continue"/>
            <w:tcBorders>
              <w:top w:val="nil"/>
            </w:tcBorders>
          </w:tcPr>
          <w:p w14:paraId="53AFBBA0">
            <w:pPr>
              <w:rPr>
                <w:sz w:val="2"/>
                <w:szCs w:val="2"/>
              </w:rPr>
            </w:pPr>
          </w:p>
        </w:tc>
        <w:tc>
          <w:tcPr>
            <w:tcW w:w="1276" w:type="dxa"/>
          </w:tcPr>
          <w:p w14:paraId="224E8219">
            <w:pPr>
              <w:pStyle w:val="14"/>
              <w:spacing w:before="105"/>
              <w:ind w:left="196" w:right="189"/>
              <w:jc w:val="center"/>
              <w:rPr>
                <w:rFonts w:ascii="Times New Roman"/>
                <w:sz w:val="21"/>
              </w:rPr>
            </w:pPr>
            <w:r>
              <w:rPr>
                <w:rFonts w:ascii="Times New Roman"/>
                <w:sz w:val="21"/>
              </w:rPr>
              <w:t>SS</w:t>
            </w:r>
          </w:p>
        </w:tc>
        <w:tc>
          <w:tcPr>
            <w:tcW w:w="3402" w:type="dxa"/>
            <w:vMerge w:val="continue"/>
            <w:tcBorders>
              <w:top w:val="nil"/>
            </w:tcBorders>
          </w:tcPr>
          <w:p w14:paraId="528CD696">
            <w:pPr>
              <w:rPr>
                <w:sz w:val="2"/>
                <w:szCs w:val="2"/>
              </w:rPr>
            </w:pPr>
          </w:p>
        </w:tc>
        <w:tc>
          <w:tcPr>
            <w:tcW w:w="2220" w:type="dxa"/>
          </w:tcPr>
          <w:p w14:paraId="0D24E165">
            <w:pPr>
              <w:pStyle w:val="14"/>
              <w:spacing w:before="105"/>
              <w:ind w:left="328" w:right="318"/>
              <w:jc w:val="center"/>
              <w:rPr>
                <w:rFonts w:ascii="Times New Roman"/>
                <w:sz w:val="21"/>
              </w:rPr>
            </w:pPr>
            <w:r>
              <w:rPr>
                <w:rFonts w:ascii="Times New Roman"/>
                <w:sz w:val="21"/>
              </w:rPr>
              <w:t>200</w:t>
            </w:r>
          </w:p>
        </w:tc>
      </w:tr>
      <w:tr w14:paraId="2BF04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7" w:type="dxa"/>
            <w:vMerge w:val="continue"/>
            <w:tcBorders>
              <w:top w:val="nil"/>
            </w:tcBorders>
          </w:tcPr>
          <w:p w14:paraId="453B3713">
            <w:pPr>
              <w:rPr>
                <w:sz w:val="2"/>
                <w:szCs w:val="2"/>
              </w:rPr>
            </w:pPr>
          </w:p>
        </w:tc>
        <w:tc>
          <w:tcPr>
            <w:tcW w:w="851" w:type="dxa"/>
            <w:vMerge w:val="continue"/>
            <w:tcBorders>
              <w:top w:val="nil"/>
            </w:tcBorders>
          </w:tcPr>
          <w:p w14:paraId="7AE32B13">
            <w:pPr>
              <w:rPr>
                <w:sz w:val="2"/>
                <w:szCs w:val="2"/>
              </w:rPr>
            </w:pPr>
          </w:p>
        </w:tc>
        <w:tc>
          <w:tcPr>
            <w:tcW w:w="1276" w:type="dxa"/>
          </w:tcPr>
          <w:p w14:paraId="18BCE460">
            <w:pPr>
              <w:pStyle w:val="14"/>
              <w:spacing w:before="101"/>
              <w:ind w:left="195" w:right="189"/>
              <w:jc w:val="center"/>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vertAlign w:val="baseline"/>
              </w:rPr>
              <w:t>-N</w:t>
            </w:r>
          </w:p>
        </w:tc>
        <w:tc>
          <w:tcPr>
            <w:tcW w:w="3402" w:type="dxa"/>
            <w:vMerge w:val="continue"/>
            <w:tcBorders>
              <w:top w:val="nil"/>
            </w:tcBorders>
          </w:tcPr>
          <w:p w14:paraId="2B9E36A9">
            <w:pPr>
              <w:rPr>
                <w:sz w:val="2"/>
                <w:szCs w:val="2"/>
              </w:rPr>
            </w:pPr>
          </w:p>
        </w:tc>
        <w:tc>
          <w:tcPr>
            <w:tcW w:w="2220" w:type="dxa"/>
          </w:tcPr>
          <w:p w14:paraId="19901586">
            <w:pPr>
              <w:pStyle w:val="14"/>
              <w:spacing w:before="104"/>
              <w:ind w:left="328" w:right="318"/>
              <w:jc w:val="center"/>
              <w:rPr>
                <w:rFonts w:ascii="Times New Roman"/>
                <w:sz w:val="21"/>
              </w:rPr>
            </w:pPr>
            <w:r>
              <w:rPr>
                <w:rFonts w:ascii="Times New Roman"/>
                <w:sz w:val="21"/>
              </w:rPr>
              <w:t>35</w:t>
            </w:r>
          </w:p>
        </w:tc>
      </w:tr>
      <w:tr w14:paraId="2D421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7" w:type="dxa"/>
            <w:vMerge w:val="continue"/>
            <w:tcBorders>
              <w:top w:val="nil"/>
            </w:tcBorders>
          </w:tcPr>
          <w:p w14:paraId="6D07897D">
            <w:pPr>
              <w:rPr>
                <w:sz w:val="2"/>
                <w:szCs w:val="2"/>
              </w:rPr>
            </w:pPr>
          </w:p>
        </w:tc>
        <w:tc>
          <w:tcPr>
            <w:tcW w:w="851" w:type="dxa"/>
            <w:vMerge w:val="continue"/>
            <w:tcBorders>
              <w:top w:val="nil"/>
            </w:tcBorders>
          </w:tcPr>
          <w:p w14:paraId="32F96A8E">
            <w:pPr>
              <w:rPr>
                <w:sz w:val="2"/>
                <w:szCs w:val="2"/>
              </w:rPr>
            </w:pPr>
          </w:p>
        </w:tc>
        <w:tc>
          <w:tcPr>
            <w:tcW w:w="1276" w:type="dxa"/>
          </w:tcPr>
          <w:p w14:paraId="6E60B707">
            <w:pPr>
              <w:pStyle w:val="14"/>
              <w:spacing w:before="89"/>
              <w:ind w:left="197" w:right="189"/>
              <w:jc w:val="center"/>
              <w:rPr>
                <w:sz w:val="21"/>
              </w:rPr>
            </w:pPr>
            <w:r>
              <w:rPr>
                <w:sz w:val="21"/>
              </w:rPr>
              <w:t>动植物油</w:t>
            </w:r>
          </w:p>
        </w:tc>
        <w:tc>
          <w:tcPr>
            <w:tcW w:w="3402" w:type="dxa"/>
            <w:vMerge w:val="continue"/>
            <w:tcBorders>
              <w:top w:val="nil"/>
            </w:tcBorders>
          </w:tcPr>
          <w:p w14:paraId="74F26EE6">
            <w:pPr>
              <w:rPr>
                <w:sz w:val="2"/>
                <w:szCs w:val="2"/>
              </w:rPr>
            </w:pPr>
          </w:p>
        </w:tc>
        <w:tc>
          <w:tcPr>
            <w:tcW w:w="2220" w:type="dxa"/>
          </w:tcPr>
          <w:p w14:paraId="476C3565">
            <w:pPr>
              <w:pStyle w:val="14"/>
              <w:spacing w:before="106"/>
              <w:ind w:left="328" w:right="318"/>
              <w:jc w:val="center"/>
              <w:rPr>
                <w:rFonts w:ascii="Times New Roman"/>
                <w:sz w:val="21"/>
              </w:rPr>
            </w:pPr>
            <w:r>
              <w:rPr>
                <w:rFonts w:ascii="Times New Roman"/>
                <w:sz w:val="21"/>
              </w:rPr>
              <w:t>60</w:t>
            </w:r>
          </w:p>
        </w:tc>
      </w:tr>
      <w:tr w14:paraId="1E3DC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7" w:type="dxa"/>
            <w:vMerge w:val="continue"/>
            <w:tcBorders>
              <w:top w:val="nil"/>
            </w:tcBorders>
          </w:tcPr>
          <w:p w14:paraId="7538AC7A">
            <w:pPr>
              <w:rPr>
                <w:sz w:val="2"/>
                <w:szCs w:val="2"/>
              </w:rPr>
            </w:pPr>
          </w:p>
        </w:tc>
        <w:tc>
          <w:tcPr>
            <w:tcW w:w="851" w:type="dxa"/>
            <w:vMerge w:val="continue"/>
            <w:tcBorders>
              <w:top w:val="nil"/>
            </w:tcBorders>
          </w:tcPr>
          <w:p w14:paraId="15A055D2">
            <w:pPr>
              <w:rPr>
                <w:sz w:val="2"/>
                <w:szCs w:val="2"/>
              </w:rPr>
            </w:pPr>
          </w:p>
        </w:tc>
        <w:tc>
          <w:tcPr>
            <w:tcW w:w="1276" w:type="dxa"/>
          </w:tcPr>
          <w:p w14:paraId="252CCF9F">
            <w:pPr>
              <w:pStyle w:val="14"/>
              <w:spacing w:before="91"/>
              <w:ind w:left="195" w:right="189"/>
              <w:jc w:val="center"/>
              <w:rPr>
                <w:sz w:val="21"/>
              </w:rPr>
            </w:pPr>
            <w:r>
              <w:rPr>
                <w:sz w:val="21"/>
              </w:rPr>
              <w:t>总氮</w:t>
            </w:r>
          </w:p>
        </w:tc>
        <w:tc>
          <w:tcPr>
            <w:tcW w:w="3402" w:type="dxa"/>
            <w:vMerge w:val="continue"/>
            <w:tcBorders>
              <w:top w:val="nil"/>
            </w:tcBorders>
          </w:tcPr>
          <w:p w14:paraId="2EA25DB9">
            <w:pPr>
              <w:rPr>
                <w:sz w:val="2"/>
                <w:szCs w:val="2"/>
              </w:rPr>
            </w:pPr>
          </w:p>
        </w:tc>
        <w:tc>
          <w:tcPr>
            <w:tcW w:w="2220" w:type="dxa"/>
          </w:tcPr>
          <w:p w14:paraId="6B16A6DA">
            <w:pPr>
              <w:pStyle w:val="14"/>
              <w:spacing w:before="105"/>
              <w:ind w:left="328" w:right="318"/>
              <w:jc w:val="center"/>
              <w:rPr>
                <w:rFonts w:ascii="Times New Roman"/>
                <w:sz w:val="21"/>
              </w:rPr>
            </w:pPr>
            <w:r>
              <w:rPr>
                <w:rFonts w:ascii="Times New Roman"/>
                <w:sz w:val="21"/>
              </w:rPr>
              <w:t>40</w:t>
            </w:r>
          </w:p>
        </w:tc>
      </w:tr>
      <w:tr w14:paraId="5EA75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577" w:type="dxa"/>
            <w:vMerge w:val="continue"/>
            <w:tcBorders>
              <w:top w:val="nil"/>
            </w:tcBorders>
          </w:tcPr>
          <w:p w14:paraId="6F4BB341">
            <w:pPr>
              <w:rPr>
                <w:sz w:val="2"/>
                <w:szCs w:val="2"/>
              </w:rPr>
            </w:pPr>
          </w:p>
        </w:tc>
        <w:tc>
          <w:tcPr>
            <w:tcW w:w="851" w:type="dxa"/>
            <w:vMerge w:val="continue"/>
            <w:tcBorders>
              <w:top w:val="nil"/>
            </w:tcBorders>
          </w:tcPr>
          <w:p w14:paraId="1DD922EF">
            <w:pPr>
              <w:rPr>
                <w:sz w:val="2"/>
                <w:szCs w:val="2"/>
              </w:rPr>
            </w:pPr>
          </w:p>
        </w:tc>
        <w:tc>
          <w:tcPr>
            <w:tcW w:w="1276" w:type="dxa"/>
          </w:tcPr>
          <w:p w14:paraId="290ABA25">
            <w:pPr>
              <w:pStyle w:val="14"/>
              <w:spacing w:before="90"/>
              <w:ind w:left="195" w:right="189"/>
              <w:jc w:val="center"/>
              <w:rPr>
                <w:sz w:val="21"/>
              </w:rPr>
            </w:pPr>
            <w:r>
              <w:rPr>
                <w:sz w:val="21"/>
              </w:rPr>
              <w:t>总磷</w:t>
            </w:r>
          </w:p>
        </w:tc>
        <w:tc>
          <w:tcPr>
            <w:tcW w:w="3402" w:type="dxa"/>
            <w:vMerge w:val="continue"/>
            <w:tcBorders>
              <w:top w:val="nil"/>
            </w:tcBorders>
          </w:tcPr>
          <w:p w14:paraId="67763A7E">
            <w:pPr>
              <w:rPr>
                <w:sz w:val="2"/>
                <w:szCs w:val="2"/>
              </w:rPr>
            </w:pPr>
          </w:p>
        </w:tc>
        <w:tc>
          <w:tcPr>
            <w:tcW w:w="2220" w:type="dxa"/>
          </w:tcPr>
          <w:p w14:paraId="2A7BBAD4">
            <w:pPr>
              <w:pStyle w:val="14"/>
              <w:spacing w:before="104"/>
              <w:ind w:left="6"/>
              <w:jc w:val="center"/>
              <w:rPr>
                <w:rFonts w:ascii="Times New Roman"/>
                <w:sz w:val="21"/>
              </w:rPr>
            </w:pPr>
            <w:r>
              <w:rPr>
                <w:rFonts w:ascii="Times New Roman"/>
                <w:w w:val="99"/>
                <w:sz w:val="21"/>
              </w:rPr>
              <w:t>4</w:t>
            </w:r>
          </w:p>
        </w:tc>
      </w:tr>
    </w:tbl>
    <w:p w14:paraId="4FD0012E">
      <w:pPr>
        <w:pStyle w:val="7"/>
        <w:spacing w:before="2"/>
        <w:ind w:left="940"/>
      </w:pPr>
      <w:r>
        <w:rPr>
          <w:rFonts w:ascii="Times New Roman" w:eastAsia="Times New Roman"/>
        </w:rPr>
        <w:t>4</w:t>
      </w:r>
      <w:r>
        <w:t>）污染物排放信息表</w:t>
      </w:r>
    </w:p>
    <w:p w14:paraId="08CDF39C">
      <w:pPr>
        <w:spacing w:before="157" w:after="4"/>
        <w:ind w:left="266" w:right="286" w:firstLine="0"/>
        <w:jc w:val="center"/>
        <w:rPr>
          <w:rFonts w:ascii="Times New Roman" w:eastAsia="Times New Roman"/>
          <w:b/>
          <w:sz w:val="21"/>
        </w:rPr>
      </w:pPr>
      <w:r>
        <w:rPr>
          <w:b/>
          <w:spacing w:val="-26"/>
          <w:sz w:val="21"/>
        </w:rPr>
        <w:t xml:space="preserve">表 </w:t>
      </w:r>
      <w:r>
        <w:rPr>
          <w:rFonts w:ascii="Times New Roman" w:eastAsia="Times New Roman"/>
          <w:b/>
          <w:sz w:val="21"/>
        </w:rPr>
        <w:t>5.2-10</w:t>
      </w:r>
      <w:r>
        <w:rPr>
          <w:rFonts w:ascii="Times New Roman" w:eastAsia="Times New Roman"/>
          <w:b/>
          <w:spacing w:val="50"/>
          <w:sz w:val="21"/>
        </w:rPr>
        <w:t xml:space="preserve"> </w:t>
      </w:r>
      <w:r>
        <w:rPr>
          <w:b/>
          <w:sz w:val="21"/>
        </w:rPr>
        <w:t>废水污染物排放信息表（新建项目</w:t>
      </w:r>
      <w:r>
        <w:rPr>
          <w:rFonts w:ascii="Times New Roman" w:eastAsia="Times New Roman"/>
          <w:b/>
          <w:sz w:val="21"/>
        </w:rPr>
        <w:t>)</w:t>
      </w:r>
    </w:p>
    <w:tbl>
      <w:tblPr>
        <w:tblStyle w:val="10"/>
        <w:tblW w:w="0" w:type="auto"/>
        <w:tblInd w:w="4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8"/>
        <w:gridCol w:w="1071"/>
        <w:gridCol w:w="1717"/>
        <w:gridCol w:w="1580"/>
        <w:gridCol w:w="1765"/>
        <w:gridCol w:w="1755"/>
      </w:tblGrid>
      <w:tr w14:paraId="2C5F3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38" w:type="dxa"/>
          </w:tcPr>
          <w:p w14:paraId="2AC07787">
            <w:pPr>
              <w:pStyle w:val="14"/>
              <w:spacing w:before="21" w:line="270" w:lineRule="atLeast"/>
              <w:ind w:left="112" w:right="104"/>
              <w:rPr>
                <w:b/>
                <w:sz w:val="21"/>
              </w:rPr>
            </w:pPr>
            <w:r>
              <w:rPr>
                <w:b/>
                <w:sz w:val="21"/>
              </w:rPr>
              <w:t>序号</w:t>
            </w:r>
          </w:p>
        </w:tc>
        <w:tc>
          <w:tcPr>
            <w:tcW w:w="1071" w:type="dxa"/>
          </w:tcPr>
          <w:p w14:paraId="2551FFEC">
            <w:pPr>
              <w:pStyle w:val="14"/>
              <w:spacing w:before="21" w:line="270" w:lineRule="atLeast"/>
              <w:ind w:left="428" w:right="102" w:hanging="315"/>
              <w:rPr>
                <w:b/>
                <w:sz w:val="21"/>
              </w:rPr>
            </w:pPr>
            <w:r>
              <w:rPr>
                <w:b/>
                <w:sz w:val="21"/>
              </w:rPr>
              <w:t>排放口编号</w:t>
            </w:r>
          </w:p>
        </w:tc>
        <w:tc>
          <w:tcPr>
            <w:tcW w:w="1717" w:type="dxa"/>
          </w:tcPr>
          <w:p w14:paraId="4DAF350C">
            <w:pPr>
              <w:pStyle w:val="14"/>
              <w:spacing w:before="22"/>
              <w:ind w:left="307" w:right="304"/>
              <w:jc w:val="center"/>
              <w:rPr>
                <w:b/>
                <w:sz w:val="21"/>
              </w:rPr>
            </w:pPr>
            <w:r>
              <w:rPr>
                <w:b/>
                <w:sz w:val="21"/>
              </w:rPr>
              <w:t>污染物种类</w:t>
            </w:r>
          </w:p>
          <w:p w14:paraId="69E94BED">
            <w:pPr>
              <w:pStyle w:val="14"/>
              <w:spacing w:before="2"/>
              <w:ind w:left="307" w:right="299"/>
              <w:jc w:val="center"/>
              <w:rPr>
                <w:b/>
                <w:sz w:val="21"/>
              </w:rPr>
            </w:pPr>
            <w:r>
              <w:rPr>
                <w:b/>
                <w:sz w:val="21"/>
              </w:rPr>
              <w:t>（</w:t>
            </w:r>
            <w:r>
              <w:rPr>
                <w:rFonts w:ascii="Times New Roman" w:eastAsia="Times New Roman"/>
                <w:b/>
                <w:sz w:val="21"/>
              </w:rPr>
              <w:t>t/a</w:t>
            </w:r>
            <w:r>
              <w:rPr>
                <w:b/>
                <w:sz w:val="21"/>
              </w:rPr>
              <w:t>）</w:t>
            </w:r>
          </w:p>
        </w:tc>
        <w:tc>
          <w:tcPr>
            <w:tcW w:w="1580" w:type="dxa"/>
          </w:tcPr>
          <w:p w14:paraId="02CE1ADD">
            <w:pPr>
              <w:pStyle w:val="14"/>
              <w:spacing w:before="36"/>
              <w:ind w:left="479" w:right="311" w:hanging="142"/>
              <w:rPr>
                <w:rFonts w:ascii="Times New Roman" w:eastAsia="Times New Roman"/>
                <w:b/>
                <w:sz w:val="21"/>
              </w:rPr>
            </w:pPr>
            <w:r>
              <w:rPr>
                <w:b/>
                <w:sz w:val="21"/>
              </w:rPr>
              <w:t>排放浓度</w:t>
            </w:r>
            <w:r>
              <w:rPr>
                <w:rFonts w:ascii="Times New Roman" w:eastAsia="Times New Roman"/>
                <w:b/>
                <w:sz w:val="21"/>
              </w:rPr>
              <w:t>/ (mg/L)</w:t>
            </w:r>
          </w:p>
        </w:tc>
        <w:tc>
          <w:tcPr>
            <w:tcW w:w="1765" w:type="dxa"/>
          </w:tcPr>
          <w:p w14:paraId="72BAA0E5">
            <w:pPr>
              <w:pStyle w:val="14"/>
              <w:spacing w:before="36"/>
              <w:ind w:left="690" w:right="192" w:hanging="471"/>
              <w:rPr>
                <w:rFonts w:ascii="Times New Roman" w:eastAsia="Times New Roman"/>
                <w:b/>
                <w:sz w:val="21"/>
              </w:rPr>
            </w:pPr>
            <w:r>
              <w:rPr>
                <w:b/>
                <w:sz w:val="21"/>
              </w:rPr>
              <w:t>全厂日排放量</w:t>
            </w:r>
            <w:r>
              <w:rPr>
                <w:rFonts w:ascii="Times New Roman" w:eastAsia="Times New Roman"/>
                <w:b/>
                <w:sz w:val="21"/>
              </w:rPr>
              <w:t>/ (t/d)</w:t>
            </w:r>
          </w:p>
        </w:tc>
        <w:tc>
          <w:tcPr>
            <w:tcW w:w="1755" w:type="dxa"/>
          </w:tcPr>
          <w:p w14:paraId="3282CABE">
            <w:pPr>
              <w:pStyle w:val="14"/>
              <w:spacing w:before="36"/>
              <w:ind w:left="691" w:hanging="476"/>
              <w:rPr>
                <w:rFonts w:ascii="Times New Roman" w:eastAsia="Times New Roman"/>
                <w:b/>
                <w:sz w:val="21"/>
              </w:rPr>
            </w:pPr>
            <w:r>
              <w:rPr>
                <w:b/>
                <w:w w:val="95"/>
                <w:sz w:val="21"/>
              </w:rPr>
              <w:t>全厂年排放量</w:t>
            </w:r>
            <w:r>
              <w:rPr>
                <w:rFonts w:ascii="Times New Roman" w:eastAsia="Times New Roman"/>
                <w:b/>
                <w:w w:val="95"/>
                <w:sz w:val="21"/>
              </w:rPr>
              <w:t xml:space="preserve">/ </w:t>
            </w:r>
            <w:r>
              <w:rPr>
                <w:rFonts w:ascii="Times New Roman" w:eastAsia="Times New Roman"/>
                <w:b/>
                <w:sz w:val="21"/>
              </w:rPr>
              <w:t>(t/a)</w:t>
            </w:r>
          </w:p>
        </w:tc>
      </w:tr>
      <w:tr w14:paraId="1D44C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8" w:type="dxa"/>
          </w:tcPr>
          <w:p w14:paraId="3D32A176">
            <w:pPr>
              <w:pStyle w:val="14"/>
              <w:spacing w:before="106"/>
              <w:ind w:left="8"/>
              <w:jc w:val="center"/>
              <w:rPr>
                <w:rFonts w:ascii="Times New Roman"/>
                <w:sz w:val="21"/>
              </w:rPr>
            </w:pPr>
            <w:r>
              <w:rPr>
                <w:rFonts w:ascii="Times New Roman"/>
                <w:w w:val="99"/>
                <w:sz w:val="21"/>
              </w:rPr>
              <w:t>1</w:t>
            </w:r>
          </w:p>
        </w:tc>
        <w:tc>
          <w:tcPr>
            <w:tcW w:w="1071" w:type="dxa"/>
            <w:vMerge w:val="restart"/>
          </w:tcPr>
          <w:p w14:paraId="4A1FE0CE">
            <w:pPr>
              <w:pStyle w:val="14"/>
              <w:rPr>
                <w:rFonts w:ascii="Times New Roman"/>
                <w:b/>
                <w:sz w:val="22"/>
              </w:rPr>
            </w:pPr>
          </w:p>
          <w:p w14:paraId="49F70BBC">
            <w:pPr>
              <w:pStyle w:val="14"/>
              <w:rPr>
                <w:rFonts w:ascii="Times New Roman"/>
                <w:b/>
                <w:sz w:val="22"/>
              </w:rPr>
            </w:pPr>
          </w:p>
          <w:p w14:paraId="72B016F9">
            <w:pPr>
              <w:pStyle w:val="14"/>
              <w:rPr>
                <w:rFonts w:ascii="Times New Roman"/>
                <w:b/>
                <w:sz w:val="22"/>
              </w:rPr>
            </w:pPr>
          </w:p>
          <w:p w14:paraId="2ED4201A">
            <w:pPr>
              <w:pStyle w:val="14"/>
              <w:rPr>
                <w:rFonts w:ascii="Times New Roman"/>
                <w:b/>
                <w:sz w:val="22"/>
              </w:rPr>
            </w:pPr>
          </w:p>
          <w:p w14:paraId="04F4E8E7">
            <w:pPr>
              <w:pStyle w:val="14"/>
              <w:rPr>
                <w:rFonts w:ascii="Times New Roman"/>
                <w:b/>
                <w:sz w:val="22"/>
              </w:rPr>
            </w:pPr>
          </w:p>
          <w:p w14:paraId="5213B194">
            <w:pPr>
              <w:pStyle w:val="14"/>
              <w:spacing w:before="3"/>
              <w:rPr>
                <w:rFonts w:ascii="Times New Roman"/>
                <w:b/>
                <w:sz w:val="20"/>
              </w:rPr>
            </w:pPr>
          </w:p>
          <w:p w14:paraId="796BA3DA">
            <w:pPr>
              <w:pStyle w:val="14"/>
              <w:ind w:left="202"/>
              <w:rPr>
                <w:rFonts w:ascii="Times New Roman"/>
                <w:sz w:val="21"/>
              </w:rPr>
            </w:pPr>
            <w:r>
              <w:rPr>
                <w:rFonts w:ascii="Times New Roman"/>
                <w:sz w:val="21"/>
              </w:rPr>
              <w:t>DW001</w:t>
            </w:r>
          </w:p>
        </w:tc>
        <w:tc>
          <w:tcPr>
            <w:tcW w:w="1717" w:type="dxa"/>
          </w:tcPr>
          <w:p w14:paraId="248DEAB2">
            <w:pPr>
              <w:pStyle w:val="14"/>
              <w:spacing w:before="102"/>
              <w:ind w:left="307" w:right="299"/>
              <w:jc w:val="center"/>
              <w:rPr>
                <w:rFonts w:ascii="Times New Roman"/>
                <w:sz w:val="21"/>
              </w:rPr>
            </w:pPr>
            <w:r>
              <w:rPr>
                <w:rFonts w:ascii="Times New Roman"/>
                <w:position w:val="2"/>
                <w:sz w:val="21"/>
              </w:rPr>
              <w:t>COD</w:t>
            </w:r>
            <w:r>
              <w:rPr>
                <w:rFonts w:ascii="Times New Roman"/>
                <w:position w:val="2"/>
                <w:sz w:val="21"/>
                <w:vertAlign w:val="subscript"/>
              </w:rPr>
              <w:t>cr</w:t>
            </w:r>
          </w:p>
        </w:tc>
        <w:tc>
          <w:tcPr>
            <w:tcW w:w="1580" w:type="dxa"/>
          </w:tcPr>
          <w:p w14:paraId="49453934">
            <w:pPr>
              <w:pStyle w:val="14"/>
              <w:spacing w:before="106"/>
              <w:ind w:left="551"/>
              <w:rPr>
                <w:rFonts w:ascii="Times New Roman"/>
                <w:sz w:val="21"/>
              </w:rPr>
            </w:pPr>
            <w:r>
              <w:rPr>
                <w:rFonts w:ascii="Times New Roman"/>
                <w:sz w:val="21"/>
              </w:rPr>
              <w:t>245.6</w:t>
            </w:r>
          </w:p>
        </w:tc>
        <w:tc>
          <w:tcPr>
            <w:tcW w:w="1765" w:type="dxa"/>
          </w:tcPr>
          <w:p w14:paraId="1B7D7215">
            <w:pPr>
              <w:pStyle w:val="14"/>
              <w:spacing w:before="106"/>
              <w:ind w:left="625" w:right="617"/>
              <w:jc w:val="center"/>
              <w:rPr>
                <w:rFonts w:ascii="Times New Roman"/>
                <w:sz w:val="21"/>
              </w:rPr>
            </w:pPr>
            <w:r>
              <w:rPr>
                <w:rFonts w:ascii="Times New Roman"/>
                <w:sz w:val="21"/>
              </w:rPr>
              <w:t>0.161</w:t>
            </w:r>
          </w:p>
        </w:tc>
        <w:tc>
          <w:tcPr>
            <w:tcW w:w="1755" w:type="dxa"/>
          </w:tcPr>
          <w:p w14:paraId="5D6FB81B">
            <w:pPr>
              <w:pStyle w:val="14"/>
              <w:spacing w:before="106"/>
              <w:ind w:left="691"/>
              <w:rPr>
                <w:rFonts w:ascii="Times New Roman"/>
                <w:sz w:val="21"/>
              </w:rPr>
            </w:pPr>
            <w:r>
              <w:rPr>
                <w:rFonts w:ascii="Times New Roman"/>
                <w:sz w:val="21"/>
              </w:rPr>
              <w:t>58.8</w:t>
            </w:r>
          </w:p>
        </w:tc>
      </w:tr>
      <w:tr w14:paraId="0CCDE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38" w:type="dxa"/>
          </w:tcPr>
          <w:p w14:paraId="6355779C">
            <w:pPr>
              <w:pStyle w:val="14"/>
              <w:spacing w:before="105"/>
              <w:ind w:left="8"/>
              <w:jc w:val="center"/>
              <w:rPr>
                <w:rFonts w:ascii="Times New Roman"/>
                <w:sz w:val="21"/>
              </w:rPr>
            </w:pPr>
            <w:r>
              <w:rPr>
                <w:rFonts w:ascii="Times New Roman"/>
                <w:w w:val="99"/>
                <w:sz w:val="21"/>
              </w:rPr>
              <w:t>2</w:t>
            </w:r>
          </w:p>
        </w:tc>
        <w:tc>
          <w:tcPr>
            <w:tcW w:w="1071" w:type="dxa"/>
            <w:vMerge w:val="continue"/>
            <w:tcBorders>
              <w:top w:val="nil"/>
            </w:tcBorders>
          </w:tcPr>
          <w:p w14:paraId="213AEEC6">
            <w:pPr>
              <w:rPr>
                <w:sz w:val="2"/>
                <w:szCs w:val="2"/>
              </w:rPr>
            </w:pPr>
          </w:p>
        </w:tc>
        <w:tc>
          <w:tcPr>
            <w:tcW w:w="1717" w:type="dxa"/>
          </w:tcPr>
          <w:p w14:paraId="511172E4">
            <w:pPr>
              <w:pStyle w:val="14"/>
              <w:spacing w:before="102"/>
              <w:ind w:left="307" w:right="298"/>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1580" w:type="dxa"/>
          </w:tcPr>
          <w:p w14:paraId="22856DB6">
            <w:pPr>
              <w:pStyle w:val="14"/>
              <w:spacing w:before="105"/>
              <w:ind w:left="604"/>
              <w:rPr>
                <w:rFonts w:ascii="Times New Roman"/>
                <w:sz w:val="21"/>
              </w:rPr>
            </w:pPr>
            <w:r>
              <w:rPr>
                <w:rFonts w:ascii="Times New Roman"/>
                <w:sz w:val="21"/>
              </w:rPr>
              <w:t>43.4</w:t>
            </w:r>
          </w:p>
        </w:tc>
        <w:tc>
          <w:tcPr>
            <w:tcW w:w="1765" w:type="dxa"/>
          </w:tcPr>
          <w:p w14:paraId="37EC60F3">
            <w:pPr>
              <w:pStyle w:val="14"/>
              <w:spacing w:before="105"/>
              <w:ind w:left="625" w:right="617"/>
              <w:jc w:val="center"/>
              <w:rPr>
                <w:rFonts w:ascii="Times New Roman"/>
                <w:sz w:val="21"/>
              </w:rPr>
            </w:pPr>
            <w:r>
              <w:rPr>
                <w:rFonts w:ascii="Times New Roman"/>
                <w:sz w:val="21"/>
              </w:rPr>
              <w:t>0.028</w:t>
            </w:r>
          </w:p>
        </w:tc>
        <w:tc>
          <w:tcPr>
            <w:tcW w:w="1755" w:type="dxa"/>
          </w:tcPr>
          <w:p w14:paraId="2A249E11">
            <w:pPr>
              <w:pStyle w:val="14"/>
              <w:spacing w:before="105"/>
              <w:ind w:left="691"/>
              <w:rPr>
                <w:rFonts w:ascii="Times New Roman"/>
                <w:sz w:val="21"/>
              </w:rPr>
            </w:pPr>
            <w:r>
              <w:rPr>
                <w:rFonts w:ascii="Times New Roman"/>
                <w:sz w:val="21"/>
              </w:rPr>
              <w:t>10.4</w:t>
            </w:r>
          </w:p>
        </w:tc>
      </w:tr>
      <w:tr w14:paraId="6CB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8" w:type="dxa"/>
          </w:tcPr>
          <w:p w14:paraId="7EBAD134">
            <w:pPr>
              <w:pStyle w:val="14"/>
              <w:spacing w:before="104"/>
              <w:ind w:left="8"/>
              <w:jc w:val="center"/>
              <w:rPr>
                <w:rFonts w:ascii="Times New Roman"/>
                <w:sz w:val="21"/>
              </w:rPr>
            </w:pPr>
            <w:r>
              <w:rPr>
                <w:rFonts w:ascii="Times New Roman"/>
                <w:w w:val="99"/>
                <w:sz w:val="21"/>
              </w:rPr>
              <w:t>3</w:t>
            </w:r>
          </w:p>
        </w:tc>
        <w:tc>
          <w:tcPr>
            <w:tcW w:w="1071" w:type="dxa"/>
            <w:vMerge w:val="continue"/>
            <w:tcBorders>
              <w:top w:val="nil"/>
            </w:tcBorders>
          </w:tcPr>
          <w:p w14:paraId="3881D485">
            <w:pPr>
              <w:rPr>
                <w:sz w:val="2"/>
                <w:szCs w:val="2"/>
              </w:rPr>
            </w:pPr>
          </w:p>
        </w:tc>
        <w:tc>
          <w:tcPr>
            <w:tcW w:w="1717" w:type="dxa"/>
          </w:tcPr>
          <w:p w14:paraId="173DB349">
            <w:pPr>
              <w:pStyle w:val="14"/>
              <w:spacing w:before="104"/>
              <w:ind w:left="307" w:right="303"/>
              <w:jc w:val="center"/>
              <w:rPr>
                <w:rFonts w:ascii="Times New Roman"/>
                <w:sz w:val="21"/>
              </w:rPr>
            </w:pPr>
            <w:r>
              <w:rPr>
                <w:rFonts w:ascii="Times New Roman"/>
                <w:sz w:val="21"/>
              </w:rPr>
              <w:t>SS</w:t>
            </w:r>
          </w:p>
        </w:tc>
        <w:tc>
          <w:tcPr>
            <w:tcW w:w="1580" w:type="dxa"/>
          </w:tcPr>
          <w:p w14:paraId="2EF963C0">
            <w:pPr>
              <w:pStyle w:val="14"/>
              <w:spacing w:before="104"/>
              <w:ind w:left="551"/>
              <w:rPr>
                <w:rFonts w:ascii="Times New Roman"/>
                <w:sz w:val="21"/>
              </w:rPr>
            </w:pPr>
            <w:r>
              <w:rPr>
                <w:rFonts w:ascii="Times New Roman"/>
                <w:sz w:val="21"/>
              </w:rPr>
              <w:t>161.6</w:t>
            </w:r>
          </w:p>
        </w:tc>
        <w:tc>
          <w:tcPr>
            <w:tcW w:w="1765" w:type="dxa"/>
          </w:tcPr>
          <w:p w14:paraId="5CA9E279">
            <w:pPr>
              <w:pStyle w:val="14"/>
              <w:spacing w:before="104"/>
              <w:ind w:left="625" w:right="617"/>
              <w:jc w:val="center"/>
              <w:rPr>
                <w:rFonts w:ascii="Times New Roman"/>
                <w:sz w:val="21"/>
              </w:rPr>
            </w:pPr>
            <w:r>
              <w:rPr>
                <w:rFonts w:ascii="Times New Roman"/>
                <w:sz w:val="21"/>
              </w:rPr>
              <w:t>0.106</w:t>
            </w:r>
          </w:p>
        </w:tc>
        <w:tc>
          <w:tcPr>
            <w:tcW w:w="1755" w:type="dxa"/>
          </w:tcPr>
          <w:p w14:paraId="2BF61B7D">
            <w:pPr>
              <w:pStyle w:val="14"/>
              <w:spacing w:before="104"/>
              <w:ind w:left="691"/>
              <w:rPr>
                <w:rFonts w:ascii="Times New Roman"/>
                <w:sz w:val="21"/>
              </w:rPr>
            </w:pPr>
            <w:r>
              <w:rPr>
                <w:rFonts w:ascii="Times New Roman"/>
                <w:sz w:val="21"/>
              </w:rPr>
              <w:t>38.7</w:t>
            </w:r>
          </w:p>
        </w:tc>
      </w:tr>
      <w:tr w14:paraId="2D5E8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8" w:type="dxa"/>
          </w:tcPr>
          <w:p w14:paraId="086914CF">
            <w:pPr>
              <w:pStyle w:val="14"/>
              <w:spacing w:before="106"/>
              <w:ind w:left="8"/>
              <w:jc w:val="center"/>
              <w:rPr>
                <w:rFonts w:ascii="Times New Roman"/>
                <w:sz w:val="21"/>
              </w:rPr>
            </w:pPr>
            <w:r>
              <w:rPr>
                <w:rFonts w:ascii="Times New Roman"/>
                <w:w w:val="99"/>
                <w:sz w:val="21"/>
              </w:rPr>
              <w:t>4</w:t>
            </w:r>
          </w:p>
        </w:tc>
        <w:tc>
          <w:tcPr>
            <w:tcW w:w="1071" w:type="dxa"/>
            <w:vMerge w:val="continue"/>
            <w:tcBorders>
              <w:top w:val="nil"/>
            </w:tcBorders>
          </w:tcPr>
          <w:p w14:paraId="0E0F522F">
            <w:pPr>
              <w:rPr>
                <w:sz w:val="2"/>
                <w:szCs w:val="2"/>
              </w:rPr>
            </w:pPr>
          </w:p>
        </w:tc>
        <w:tc>
          <w:tcPr>
            <w:tcW w:w="1717" w:type="dxa"/>
          </w:tcPr>
          <w:p w14:paraId="1679AB6A">
            <w:pPr>
              <w:pStyle w:val="14"/>
              <w:spacing w:before="89"/>
              <w:ind w:left="307" w:right="299"/>
              <w:jc w:val="center"/>
              <w:rPr>
                <w:sz w:val="21"/>
              </w:rPr>
            </w:pPr>
            <w:r>
              <w:rPr>
                <w:sz w:val="21"/>
              </w:rPr>
              <w:t>氨氮</w:t>
            </w:r>
          </w:p>
        </w:tc>
        <w:tc>
          <w:tcPr>
            <w:tcW w:w="1580" w:type="dxa"/>
          </w:tcPr>
          <w:p w14:paraId="170365D5">
            <w:pPr>
              <w:pStyle w:val="14"/>
              <w:spacing w:before="106"/>
              <w:ind w:left="604"/>
              <w:rPr>
                <w:rFonts w:ascii="Times New Roman"/>
                <w:sz w:val="21"/>
              </w:rPr>
            </w:pPr>
            <w:r>
              <w:rPr>
                <w:rFonts w:ascii="Times New Roman"/>
                <w:sz w:val="21"/>
              </w:rPr>
              <w:t>28.4</w:t>
            </w:r>
          </w:p>
        </w:tc>
        <w:tc>
          <w:tcPr>
            <w:tcW w:w="1765" w:type="dxa"/>
          </w:tcPr>
          <w:p w14:paraId="5F0A7BC2">
            <w:pPr>
              <w:pStyle w:val="14"/>
              <w:spacing w:before="106"/>
              <w:ind w:left="625" w:right="617"/>
              <w:jc w:val="center"/>
              <w:rPr>
                <w:rFonts w:ascii="Times New Roman"/>
                <w:sz w:val="21"/>
              </w:rPr>
            </w:pPr>
            <w:r>
              <w:rPr>
                <w:rFonts w:ascii="Times New Roman"/>
                <w:sz w:val="21"/>
              </w:rPr>
              <w:t>0.019</w:t>
            </w:r>
          </w:p>
        </w:tc>
        <w:tc>
          <w:tcPr>
            <w:tcW w:w="1755" w:type="dxa"/>
          </w:tcPr>
          <w:p w14:paraId="7CF09DF1">
            <w:pPr>
              <w:pStyle w:val="14"/>
              <w:spacing w:before="106"/>
              <w:ind w:left="746"/>
              <w:rPr>
                <w:rFonts w:ascii="Times New Roman"/>
                <w:sz w:val="21"/>
              </w:rPr>
            </w:pPr>
            <w:r>
              <w:rPr>
                <w:rFonts w:ascii="Times New Roman"/>
                <w:sz w:val="21"/>
              </w:rPr>
              <w:t>6.8</w:t>
            </w:r>
          </w:p>
        </w:tc>
      </w:tr>
      <w:tr w14:paraId="1A777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38" w:type="dxa"/>
          </w:tcPr>
          <w:p w14:paraId="10350FBD">
            <w:pPr>
              <w:pStyle w:val="14"/>
              <w:spacing w:before="105"/>
              <w:ind w:left="8"/>
              <w:jc w:val="center"/>
              <w:rPr>
                <w:rFonts w:ascii="Times New Roman"/>
                <w:sz w:val="21"/>
              </w:rPr>
            </w:pPr>
            <w:r>
              <w:rPr>
                <w:rFonts w:ascii="Times New Roman"/>
                <w:w w:val="99"/>
                <w:sz w:val="21"/>
              </w:rPr>
              <w:t>5</w:t>
            </w:r>
          </w:p>
        </w:tc>
        <w:tc>
          <w:tcPr>
            <w:tcW w:w="1071" w:type="dxa"/>
            <w:vMerge w:val="continue"/>
            <w:tcBorders>
              <w:top w:val="nil"/>
            </w:tcBorders>
          </w:tcPr>
          <w:p w14:paraId="5653F764">
            <w:pPr>
              <w:rPr>
                <w:sz w:val="2"/>
                <w:szCs w:val="2"/>
              </w:rPr>
            </w:pPr>
          </w:p>
        </w:tc>
        <w:tc>
          <w:tcPr>
            <w:tcW w:w="1717" w:type="dxa"/>
          </w:tcPr>
          <w:p w14:paraId="7E33D213">
            <w:pPr>
              <w:pStyle w:val="14"/>
              <w:spacing w:before="91"/>
              <w:ind w:left="307" w:right="302"/>
              <w:jc w:val="center"/>
              <w:rPr>
                <w:sz w:val="21"/>
              </w:rPr>
            </w:pPr>
            <w:r>
              <w:rPr>
                <w:sz w:val="21"/>
              </w:rPr>
              <w:t>动植物油</w:t>
            </w:r>
          </w:p>
        </w:tc>
        <w:tc>
          <w:tcPr>
            <w:tcW w:w="1580" w:type="dxa"/>
          </w:tcPr>
          <w:p w14:paraId="113FE074">
            <w:pPr>
              <w:pStyle w:val="14"/>
              <w:spacing w:before="105"/>
              <w:ind w:left="604"/>
              <w:rPr>
                <w:rFonts w:ascii="Times New Roman"/>
                <w:sz w:val="21"/>
              </w:rPr>
            </w:pPr>
            <w:r>
              <w:rPr>
                <w:rFonts w:ascii="Times New Roman"/>
                <w:sz w:val="21"/>
              </w:rPr>
              <w:t>40.9</w:t>
            </w:r>
          </w:p>
        </w:tc>
        <w:tc>
          <w:tcPr>
            <w:tcW w:w="1765" w:type="dxa"/>
          </w:tcPr>
          <w:p w14:paraId="0F1D0844">
            <w:pPr>
              <w:pStyle w:val="14"/>
              <w:spacing w:before="105"/>
              <w:ind w:left="625" w:right="617"/>
              <w:jc w:val="center"/>
              <w:rPr>
                <w:rFonts w:ascii="Times New Roman"/>
                <w:sz w:val="21"/>
              </w:rPr>
            </w:pPr>
            <w:r>
              <w:rPr>
                <w:rFonts w:ascii="Times New Roman"/>
                <w:sz w:val="21"/>
              </w:rPr>
              <w:t>0.027</w:t>
            </w:r>
          </w:p>
        </w:tc>
        <w:tc>
          <w:tcPr>
            <w:tcW w:w="1755" w:type="dxa"/>
          </w:tcPr>
          <w:p w14:paraId="0EDF87E9">
            <w:pPr>
              <w:pStyle w:val="14"/>
              <w:spacing w:before="105"/>
              <w:ind w:left="746"/>
              <w:rPr>
                <w:rFonts w:ascii="Times New Roman"/>
                <w:sz w:val="21"/>
              </w:rPr>
            </w:pPr>
            <w:r>
              <w:rPr>
                <w:rFonts w:ascii="Times New Roman"/>
                <w:sz w:val="21"/>
              </w:rPr>
              <w:t>9.8</w:t>
            </w:r>
          </w:p>
        </w:tc>
      </w:tr>
      <w:tr w14:paraId="10E73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8" w:type="dxa"/>
          </w:tcPr>
          <w:p w14:paraId="12CFF4BB">
            <w:pPr>
              <w:pStyle w:val="14"/>
              <w:spacing w:before="104"/>
              <w:ind w:left="8"/>
              <w:jc w:val="center"/>
              <w:rPr>
                <w:rFonts w:ascii="Times New Roman"/>
                <w:sz w:val="21"/>
              </w:rPr>
            </w:pPr>
            <w:r>
              <w:rPr>
                <w:rFonts w:ascii="Times New Roman"/>
                <w:w w:val="99"/>
                <w:sz w:val="21"/>
              </w:rPr>
              <w:t>6</w:t>
            </w:r>
          </w:p>
        </w:tc>
        <w:tc>
          <w:tcPr>
            <w:tcW w:w="1071" w:type="dxa"/>
            <w:vMerge w:val="continue"/>
            <w:tcBorders>
              <w:top w:val="nil"/>
            </w:tcBorders>
          </w:tcPr>
          <w:p w14:paraId="1B650770">
            <w:pPr>
              <w:rPr>
                <w:sz w:val="2"/>
                <w:szCs w:val="2"/>
              </w:rPr>
            </w:pPr>
          </w:p>
        </w:tc>
        <w:tc>
          <w:tcPr>
            <w:tcW w:w="1717" w:type="dxa"/>
          </w:tcPr>
          <w:p w14:paraId="7685EF12">
            <w:pPr>
              <w:pStyle w:val="14"/>
              <w:spacing w:before="90"/>
              <w:ind w:left="307" w:right="299"/>
              <w:jc w:val="center"/>
              <w:rPr>
                <w:sz w:val="21"/>
              </w:rPr>
            </w:pPr>
            <w:r>
              <w:rPr>
                <w:sz w:val="21"/>
              </w:rPr>
              <w:t>总氮</w:t>
            </w:r>
          </w:p>
        </w:tc>
        <w:tc>
          <w:tcPr>
            <w:tcW w:w="1580" w:type="dxa"/>
          </w:tcPr>
          <w:p w14:paraId="20D38939">
            <w:pPr>
              <w:pStyle w:val="14"/>
              <w:spacing w:before="104"/>
              <w:ind w:left="604"/>
              <w:rPr>
                <w:rFonts w:ascii="Times New Roman"/>
                <w:sz w:val="21"/>
              </w:rPr>
            </w:pPr>
            <w:r>
              <w:rPr>
                <w:rFonts w:ascii="Times New Roman"/>
                <w:sz w:val="21"/>
              </w:rPr>
              <w:t>25.5</w:t>
            </w:r>
          </w:p>
        </w:tc>
        <w:tc>
          <w:tcPr>
            <w:tcW w:w="1765" w:type="dxa"/>
          </w:tcPr>
          <w:p w14:paraId="5C19B9D4">
            <w:pPr>
              <w:pStyle w:val="14"/>
              <w:spacing w:before="104"/>
              <w:ind w:left="625" w:right="617"/>
              <w:jc w:val="center"/>
              <w:rPr>
                <w:rFonts w:ascii="Times New Roman"/>
                <w:sz w:val="21"/>
              </w:rPr>
            </w:pPr>
            <w:r>
              <w:rPr>
                <w:rFonts w:ascii="Times New Roman"/>
                <w:sz w:val="21"/>
              </w:rPr>
              <w:t>0.017</w:t>
            </w:r>
          </w:p>
        </w:tc>
        <w:tc>
          <w:tcPr>
            <w:tcW w:w="1755" w:type="dxa"/>
          </w:tcPr>
          <w:p w14:paraId="121485D4">
            <w:pPr>
              <w:pStyle w:val="14"/>
              <w:spacing w:before="104"/>
              <w:ind w:left="746"/>
              <w:rPr>
                <w:rFonts w:ascii="Times New Roman"/>
                <w:sz w:val="21"/>
              </w:rPr>
            </w:pPr>
            <w:r>
              <w:rPr>
                <w:rFonts w:ascii="Times New Roman"/>
                <w:sz w:val="21"/>
              </w:rPr>
              <w:t>6.1</w:t>
            </w:r>
          </w:p>
        </w:tc>
      </w:tr>
      <w:tr w14:paraId="59A76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38" w:type="dxa"/>
          </w:tcPr>
          <w:p w14:paraId="57C067F2">
            <w:pPr>
              <w:pStyle w:val="14"/>
              <w:spacing w:before="106"/>
              <w:ind w:left="8"/>
              <w:jc w:val="center"/>
              <w:rPr>
                <w:rFonts w:ascii="Times New Roman"/>
                <w:sz w:val="21"/>
              </w:rPr>
            </w:pPr>
            <w:r>
              <w:rPr>
                <w:rFonts w:ascii="Times New Roman"/>
                <w:w w:val="99"/>
                <w:sz w:val="21"/>
              </w:rPr>
              <w:t>7</w:t>
            </w:r>
          </w:p>
        </w:tc>
        <w:tc>
          <w:tcPr>
            <w:tcW w:w="1071" w:type="dxa"/>
            <w:vMerge w:val="continue"/>
            <w:tcBorders>
              <w:top w:val="nil"/>
            </w:tcBorders>
          </w:tcPr>
          <w:p w14:paraId="7E034B00">
            <w:pPr>
              <w:rPr>
                <w:sz w:val="2"/>
                <w:szCs w:val="2"/>
              </w:rPr>
            </w:pPr>
          </w:p>
        </w:tc>
        <w:tc>
          <w:tcPr>
            <w:tcW w:w="1717" w:type="dxa"/>
          </w:tcPr>
          <w:p w14:paraId="0F8FD9DB">
            <w:pPr>
              <w:pStyle w:val="14"/>
              <w:spacing w:before="89"/>
              <w:ind w:left="307" w:right="299"/>
              <w:jc w:val="center"/>
              <w:rPr>
                <w:sz w:val="21"/>
              </w:rPr>
            </w:pPr>
            <w:r>
              <w:rPr>
                <w:sz w:val="21"/>
              </w:rPr>
              <w:t>总磷</w:t>
            </w:r>
          </w:p>
        </w:tc>
        <w:tc>
          <w:tcPr>
            <w:tcW w:w="1580" w:type="dxa"/>
          </w:tcPr>
          <w:p w14:paraId="55D97614">
            <w:pPr>
              <w:pStyle w:val="14"/>
              <w:spacing w:before="106"/>
              <w:ind w:left="657"/>
              <w:rPr>
                <w:rFonts w:ascii="Times New Roman"/>
                <w:sz w:val="21"/>
              </w:rPr>
            </w:pPr>
            <w:r>
              <w:rPr>
                <w:rFonts w:ascii="Times New Roman"/>
                <w:sz w:val="21"/>
              </w:rPr>
              <w:t>2.9</w:t>
            </w:r>
          </w:p>
        </w:tc>
        <w:tc>
          <w:tcPr>
            <w:tcW w:w="1765" w:type="dxa"/>
          </w:tcPr>
          <w:p w14:paraId="64F5BD62">
            <w:pPr>
              <w:pStyle w:val="14"/>
              <w:spacing w:before="106"/>
              <w:ind w:left="625" w:right="617"/>
              <w:jc w:val="center"/>
              <w:rPr>
                <w:rFonts w:ascii="Times New Roman"/>
                <w:sz w:val="21"/>
              </w:rPr>
            </w:pPr>
            <w:r>
              <w:rPr>
                <w:rFonts w:ascii="Times New Roman"/>
                <w:sz w:val="21"/>
              </w:rPr>
              <w:t>0.002</w:t>
            </w:r>
          </w:p>
        </w:tc>
        <w:tc>
          <w:tcPr>
            <w:tcW w:w="1755" w:type="dxa"/>
          </w:tcPr>
          <w:p w14:paraId="7E1DAC7D">
            <w:pPr>
              <w:pStyle w:val="14"/>
              <w:spacing w:before="106"/>
              <w:ind w:left="746"/>
              <w:rPr>
                <w:rFonts w:ascii="Times New Roman"/>
                <w:sz w:val="21"/>
              </w:rPr>
            </w:pPr>
            <w:r>
              <w:rPr>
                <w:rFonts w:ascii="Times New Roman"/>
                <w:sz w:val="21"/>
              </w:rPr>
              <w:t>0.7</w:t>
            </w:r>
          </w:p>
        </w:tc>
      </w:tr>
      <w:tr w14:paraId="7FF34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09" w:type="dxa"/>
            <w:gridSpan w:val="2"/>
            <w:vMerge w:val="restart"/>
          </w:tcPr>
          <w:p w14:paraId="1DDB6A1E">
            <w:pPr>
              <w:pStyle w:val="14"/>
              <w:rPr>
                <w:rFonts w:ascii="Times New Roman"/>
                <w:b/>
                <w:sz w:val="20"/>
              </w:rPr>
            </w:pPr>
          </w:p>
          <w:p w14:paraId="35070A31">
            <w:pPr>
              <w:pStyle w:val="14"/>
              <w:spacing w:before="2"/>
              <w:rPr>
                <w:rFonts w:ascii="Times New Roman"/>
                <w:b/>
                <w:sz w:val="28"/>
              </w:rPr>
            </w:pPr>
          </w:p>
          <w:p w14:paraId="305CBF06">
            <w:pPr>
              <w:pStyle w:val="14"/>
              <w:ind w:left="19"/>
              <w:rPr>
                <w:sz w:val="21"/>
              </w:rPr>
            </w:pPr>
            <w:r>
              <w:rPr>
                <w:sz w:val="21"/>
              </w:rPr>
              <w:t>全厂排放口合计</w:t>
            </w:r>
          </w:p>
        </w:tc>
        <w:tc>
          <w:tcPr>
            <w:tcW w:w="5062" w:type="dxa"/>
            <w:gridSpan w:val="3"/>
          </w:tcPr>
          <w:p w14:paraId="044062EC">
            <w:pPr>
              <w:pStyle w:val="14"/>
              <w:spacing w:before="102"/>
              <w:ind w:left="2089" w:right="2081"/>
              <w:jc w:val="center"/>
              <w:rPr>
                <w:rFonts w:ascii="Times New Roman"/>
                <w:sz w:val="21"/>
              </w:rPr>
            </w:pPr>
            <w:r>
              <w:rPr>
                <w:rFonts w:ascii="Times New Roman"/>
                <w:position w:val="2"/>
                <w:sz w:val="21"/>
              </w:rPr>
              <w:t>COD</w:t>
            </w:r>
            <w:r>
              <w:rPr>
                <w:rFonts w:ascii="Times New Roman"/>
                <w:position w:val="2"/>
                <w:sz w:val="21"/>
                <w:vertAlign w:val="subscript"/>
              </w:rPr>
              <w:t>cr</w:t>
            </w:r>
          </w:p>
        </w:tc>
        <w:tc>
          <w:tcPr>
            <w:tcW w:w="1755" w:type="dxa"/>
          </w:tcPr>
          <w:p w14:paraId="783C887B">
            <w:pPr>
              <w:pStyle w:val="14"/>
              <w:spacing w:before="105"/>
              <w:ind w:left="691"/>
              <w:rPr>
                <w:rFonts w:ascii="Times New Roman"/>
                <w:sz w:val="21"/>
              </w:rPr>
            </w:pPr>
            <w:r>
              <w:rPr>
                <w:rFonts w:ascii="Times New Roman"/>
                <w:sz w:val="21"/>
              </w:rPr>
              <w:t>58.8</w:t>
            </w:r>
          </w:p>
        </w:tc>
      </w:tr>
      <w:tr w14:paraId="06489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09" w:type="dxa"/>
            <w:gridSpan w:val="2"/>
            <w:vMerge w:val="continue"/>
            <w:tcBorders>
              <w:top w:val="nil"/>
            </w:tcBorders>
          </w:tcPr>
          <w:p w14:paraId="10E21268">
            <w:pPr>
              <w:rPr>
                <w:sz w:val="2"/>
                <w:szCs w:val="2"/>
              </w:rPr>
            </w:pPr>
          </w:p>
        </w:tc>
        <w:tc>
          <w:tcPr>
            <w:tcW w:w="5062" w:type="dxa"/>
            <w:gridSpan w:val="3"/>
          </w:tcPr>
          <w:p w14:paraId="77CBB53F">
            <w:pPr>
              <w:pStyle w:val="14"/>
              <w:spacing w:before="101"/>
              <w:ind w:left="2089" w:right="2082"/>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1755" w:type="dxa"/>
          </w:tcPr>
          <w:p w14:paraId="2B66CD9B">
            <w:pPr>
              <w:pStyle w:val="14"/>
              <w:spacing w:before="104"/>
              <w:ind w:left="691"/>
              <w:rPr>
                <w:rFonts w:ascii="Times New Roman"/>
                <w:sz w:val="21"/>
              </w:rPr>
            </w:pPr>
            <w:r>
              <w:rPr>
                <w:rFonts w:ascii="Times New Roman"/>
                <w:sz w:val="21"/>
              </w:rPr>
              <w:t>10.4</w:t>
            </w:r>
          </w:p>
        </w:tc>
      </w:tr>
      <w:tr w14:paraId="05616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509" w:type="dxa"/>
            <w:gridSpan w:val="2"/>
            <w:vMerge w:val="continue"/>
            <w:tcBorders>
              <w:top w:val="nil"/>
            </w:tcBorders>
          </w:tcPr>
          <w:p w14:paraId="5C547289">
            <w:pPr>
              <w:rPr>
                <w:sz w:val="2"/>
                <w:szCs w:val="2"/>
              </w:rPr>
            </w:pPr>
          </w:p>
        </w:tc>
        <w:tc>
          <w:tcPr>
            <w:tcW w:w="5062" w:type="dxa"/>
            <w:gridSpan w:val="3"/>
          </w:tcPr>
          <w:p w14:paraId="24FBCA91">
            <w:pPr>
              <w:pStyle w:val="14"/>
              <w:spacing w:before="106"/>
              <w:ind w:left="2088" w:right="2083"/>
              <w:jc w:val="center"/>
              <w:rPr>
                <w:rFonts w:ascii="Times New Roman"/>
                <w:sz w:val="21"/>
              </w:rPr>
            </w:pPr>
            <w:r>
              <w:rPr>
                <w:rFonts w:ascii="Times New Roman"/>
                <w:sz w:val="21"/>
              </w:rPr>
              <w:t>SS</w:t>
            </w:r>
          </w:p>
        </w:tc>
        <w:tc>
          <w:tcPr>
            <w:tcW w:w="1755" w:type="dxa"/>
          </w:tcPr>
          <w:p w14:paraId="2C788923">
            <w:pPr>
              <w:pStyle w:val="14"/>
              <w:spacing w:before="106"/>
              <w:ind w:left="691"/>
              <w:rPr>
                <w:rFonts w:ascii="Times New Roman"/>
                <w:sz w:val="21"/>
              </w:rPr>
            </w:pPr>
            <w:r>
              <w:rPr>
                <w:rFonts w:ascii="Times New Roman"/>
                <w:sz w:val="21"/>
              </w:rPr>
              <w:t>38.7</w:t>
            </w:r>
          </w:p>
        </w:tc>
      </w:tr>
    </w:tbl>
    <w:p w14:paraId="23C4F7FA">
      <w:pPr>
        <w:spacing w:after="0"/>
        <w:rPr>
          <w:rFonts w:ascii="Times New Roman"/>
          <w:sz w:val="21"/>
        </w:rPr>
        <w:sectPr>
          <w:pgSz w:w="11910" w:h="16840"/>
          <w:pgMar w:top="1360" w:right="1320" w:bottom="1400" w:left="1340" w:header="878" w:footer="1204" w:gutter="0"/>
          <w:cols w:space="720" w:num="1"/>
        </w:sectPr>
      </w:pPr>
    </w:p>
    <w:p w14:paraId="7CC7A3F1">
      <w:pPr>
        <w:pStyle w:val="7"/>
        <w:spacing w:before="9"/>
        <w:rPr>
          <w:rFonts w:ascii="Times New Roman"/>
          <w:b/>
          <w:sz w:val="5"/>
        </w:rPr>
      </w:pPr>
    </w:p>
    <w:tbl>
      <w:tblPr>
        <w:tblStyle w:val="10"/>
        <w:tblW w:w="0" w:type="auto"/>
        <w:tblInd w:w="4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9"/>
        <w:gridCol w:w="5062"/>
        <w:gridCol w:w="1755"/>
      </w:tblGrid>
      <w:tr w14:paraId="574A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09" w:type="dxa"/>
            <w:vMerge w:val="restart"/>
          </w:tcPr>
          <w:p w14:paraId="30F415A0">
            <w:pPr>
              <w:pStyle w:val="14"/>
              <w:rPr>
                <w:rFonts w:ascii="Times New Roman"/>
                <w:sz w:val="22"/>
              </w:rPr>
            </w:pPr>
          </w:p>
        </w:tc>
        <w:tc>
          <w:tcPr>
            <w:tcW w:w="5062" w:type="dxa"/>
          </w:tcPr>
          <w:p w14:paraId="3E55CA30">
            <w:pPr>
              <w:pStyle w:val="14"/>
              <w:spacing w:before="91"/>
              <w:ind w:left="2089" w:right="2081"/>
              <w:jc w:val="center"/>
              <w:rPr>
                <w:sz w:val="21"/>
              </w:rPr>
            </w:pPr>
            <w:r>
              <w:rPr>
                <w:sz w:val="21"/>
              </w:rPr>
              <w:t>氨氮</w:t>
            </w:r>
          </w:p>
        </w:tc>
        <w:tc>
          <w:tcPr>
            <w:tcW w:w="1755" w:type="dxa"/>
          </w:tcPr>
          <w:p w14:paraId="3A041AFB">
            <w:pPr>
              <w:pStyle w:val="14"/>
              <w:spacing w:before="107"/>
              <w:ind w:left="726" w:right="715"/>
              <w:jc w:val="center"/>
              <w:rPr>
                <w:rFonts w:ascii="Times New Roman"/>
                <w:sz w:val="21"/>
              </w:rPr>
            </w:pPr>
            <w:r>
              <w:rPr>
                <w:rFonts w:ascii="Times New Roman"/>
                <w:sz w:val="21"/>
              </w:rPr>
              <w:t>6.8</w:t>
            </w:r>
          </w:p>
        </w:tc>
      </w:tr>
      <w:tr w14:paraId="61B13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09" w:type="dxa"/>
            <w:vMerge w:val="continue"/>
            <w:tcBorders>
              <w:top w:val="nil"/>
            </w:tcBorders>
          </w:tcPr>
          <w:p w14:paraId="29D0F1F8">
            <w:pPr>
              <w:rPr>
                <w:sz w:val="2"/>
                <w:szCs w:val="2"/>
              </w:rPr>
            </w:pPr>
          </w:p>
        </w:tc>
        <w:tc>
          <w:tcPr>
            <w:tcW w:w="5062" w:type="dxa"/>
          </w:tcPr>
          <w:p w14:paraId="096BEA23">
            <w:pPr>
              <w:pStyle w:val="14"/>
              <w:spacing w:before="90"/>
              <w:ind w:left="2089" w:right="2083"/>
              <w:jc w:val="center"/>
              <w:rPr>
                <w:sz w:val="21"/>
              </w:rPr>
            </w:pPr>
            <w:r>
              <w:rPr>
                <w:sz w:val="21"/>
              </w:rPr>
              <w:t>动植物油</w:t>
            </w:r>
          </w:p>
        </w:tc>
        <w:tc>
          <w:tcPr>
            <w:tcW w:w="1755" w:type="dxa"/>
          </w:tcPr>
          <w:p w14:paraId="78F0FA62">
            <w:pPr>
              <w:pStyle w:val="14"/>
              <w:spacing w:before="106"/>
              <w:ind w:left="726" w:right="715"/>
              <w:jc w:val="center"/>
              <w:rPr>
                <w:rFonts w:ascii="Times New Roman"/>
                <w:sz w:val="21"/>
              </w:rPr>
            </w:pPr>
            <w:r>
              <w:rPr>
                <w:rFonts w:ascii="Times New Roman"/>
                <w:sz w:val="21"/>
              </w:rPr>
              <w:t>9.8</w:t>
            </w:r>
          </w:p>
        </w:tc>
      </w:tr>
      <w:tr w14:paraId="5BDA3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09" w:type="dxa"/>
            <w:vMerge w:val="continue"/>
            <w:tcBorders>
              <w:top w:val="nil"/>
            </w:tcBorders>
          </w:tcPr>
          <w:p w14:paraId="4A9B65BA">
            <w:pPr>
              <w:rPr>
                <w:sz w:val="2"/>
                <w:szCs w:val="2"/>
              </w:rPr>
            </w:pPr>
          </w:p>
        </w:tc>
        <w:tc>
          <w:tcPr>
            <w:tcW w:w="5062" w:type="dxa"/>
          </w:tcPr>
          <w:p w14:paraId="138702D2">
            <w:pPr>
              <w:pStyle w:val="14"/>
              <w:spacing w:before="91"/>
              <w:ind w:left="2089" w:right="2081"/>
              <w:jc w:val="center"/>
              <w:rPr>
                <w:sz w:val="21"/>
              </w:rPr>
            </w:pPr>
            <w:r>
              <w:rPr>
                <w:sz w:val="21"/>
              </w:rPr>
              <w:t>总氮</w:t>
            </w:r>
          </w:p>
        </w:tc>
        <w:tc>
          <w:tcPr>
            <w:tcW w:w="1755" w:type="dxa"/>
          </w:tcPr>
          <w:p w14:paraId="35C6D71E">
            <w:pPr>
              <w:pStyle w:val="14"/>
              <w:spacing w:before="105"/>
              <w:ind w:left="726" w:right="715"/>
              <w:jc w:val="center"/>
              <w:rPr>
                <w:rFonts w:ascii="Times New Roman"/>
                <w:sz w:val="21"/>
              </w:rPr>
            </w:pPr>
            <w:r>
              <w:rPr>
                <w:rFonts w:ascii="Times New Roman"/>
                <w:sz w:val="21"/>
              </w:rPr>
              <w:t>6.1</w:t>
            </w:r>
          </w:p>
        </w:tc>
      </w:tr>
      <w:tr w14:paraId="06A1F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09" w:type="dxa"/>
            <w:vMerge w:val="continue"/>
            <w:tcBorders>
              <w:top w:val="nil"/>
            </w:tcBorders>
          </w:tcPr>
          <w:p w14:paraId="272CBC76">
            <w:pPr>
              <w:rPr>
                <w:sz w:val="2"/>
                <w:szCs w:val="2"/>
              </w:rPr>
            </w:pPr>
          </w:p>
        </w:tc>
        <w:tc>
          <w:tcPr>
            <w:tcW w:w="5062" w:type="dxa"/>
          </w:tcPr>
          <w:p w14:paraId="25291A6A">
            <w:pPr>
              <w:pStyle w:val="14"/>
              <w:spacing w:before="90"/>
              <w:ind w:left="2089" w:right="2081"/>
              <w:jc w:val="center"/>
              <w:rPr>
                <w:sz w:val="21"/>
              </w:rPr>
            </w:pPr>
            <w:r>
              <w:rPr>
                <w:sz w:val="21"/>
              </w:rPr>
              <w:t>总磷</w:t>
            </w:r>
          </w:p>
        </w:tc>
        <w:tc>
          <w:tcPr>
            <w:tcW w:w="1755" w:type="dxa"/>
          </w:tcPr>
          <w:p w14:paraId="244A11E9">
            <w:pPr>
              <w:pStyle w:val="14"/>
              <w:spacing w:before="107"/>
              <w:ind w:left="726" w:right="715"/>
              <w:jc w:val="center"/>
              <w:rPr>
                <w:rFonts w:ascii="Times New Roman"/>
                <w:sz w:val="21"/>
              </w:rPr>
            </w:pPr>
            <w:r>
              <w:rPr>
                <w:rFonts w:ascii="Times New Roman"/>
                <w:sz w:val="21"/>
              </w:rPr>
              <w:t>0.7</w:t>
            </w:r>
          </w:p>
        </w:tc>
      </w:tr>
    </w:tbl>
    <w:p w14:paraId="001D1A62">
      <w:pPr>
        <w:pStyle w:val="13"/>
        <w:numPr>
          <w:ilvl w:val="2"/>
          <w:numId w:val="22"/>
        </w:numPr>
        <w:tabs>
          <w:tab w:val="left" w:pos="1080"/>
        </w:tabs>
        <w:spacing w:before="4" w:after="0" w:line="240" w:lineRule="auto"/>
        <w:ind w:left="1079" w:right="0" w:hanging="619"/>
        <w:jc w:val="left"/>
        <w:rPr>
          <w:b/>
          <w:sz w:val="28"/>
        </w:rPr>
      </w:pPr>
      <w:bookmarkStart w:id="193" w:name="5.2.4地下水环境影响预测与评价 "/>
      <w:bookmarkEnd w:id="193"/>
      <w:bookmarkStart w:id="194" w:name="5.2.4地下水环境影响预测与评价 "/>
      <w:bookmarkEnd w:id="194"/>
      <w:r>
        <w:rPr>
          <w:b/>
          <w:sz w:val="28"/>
        </w:rPr>
        <w:t>地下水环境影响预测与评价</w:t>
      </w:r>
    </w:p>
    <w:p w14:paraId="5A35B10A">
      <w:pPr>
        <w:pStyle w:val="6"/>
        <w:numPr>
          <w:ilvl w:val="3"/>
          <w:numId w:val="22"/>
        </w:numPr>
        <w:tabs>
          <w:tab w:val="left" w:pos="1171"/>
        </w:tabs>
        <w:spacing w:before="185" w:after="0" w:line="240" w:lineRule="auto"/>
        <w:ind w:left="1170" w:right="0" w:hanging="710"/>
        <w:jc w:val="left"/>
      </w:pPr>
      <w:bookmarkStart w:id="195" w:name="5.2.4.1区域水文地质条件"/>
      <w:bookmarkEnd w:id="195"/>
      <w:bookmarkStart w:id="196" w:name="5.2.4.1区域水文地质条件"/>
      <w:bookmarkEnd w:id="196"/>
      <w:r>
        <w:t>区域水文地质条件</w:t>
      </w:r>
    </w:p>
    <w:p w14:paraId="03B9BA2D">
      <w:pPr>
        <w:pStyle w:val="7"/>
        <w:spacing w:before="158" w:line="364" w:lineRule="auto"/>
        <w:ind w:left="460" w:right="477" w:firstLine="480"/>
      </w:pPr>
      <w:r>
        <w:t>根据含水岩组的赋存条件，水理性质和水力特征，可将区内地下水分为： 基岩裂隙水、红层碎屑岩裂隙孔隙水和松散岩类孔隙水。</w:t>
      </w:r>
    </w:p>
    <w:p w14:paraId="6E5A55EB">
      <w:pPr>
        <w:pStyle w:val="7"/>
        <w:spacing w:line="306" w:lineRule="exact"/>
        <w:ind w:left="940"/>
      </w:pPr>
      <w:r>
        <w:rPr>
          <w:rFonts w:ascii="Times New Roman" w:eastAsia="Times New Roman"/>
        </w:rPr>
        <w:t>1</w:t>
      </w:r>
      <w:r>
        <w:t>）基岩裂隙水富水特征</w:t>
      </w:r>
    </w:p>
    <w:p w14:paraId="3DD01526">
      <w:pPr>
        <w:pStyle w:val="7"/>
        <w:spacing w:before="161" w:line="362" w:lineRule="auto"/>
        <w:ind w:left="460" w:right="477" w:firstLine="480"/>
      </w:pPr>
      <w:r>
        <w:t xml:space="preserve">主要分布在西部的基岩山区，岩性主要为前寒武系的浅变质岩和震旦系的砂岩、板岩。浅部风化裂隙发育， 风化带深一般为 </w:t>
      </w:r>
      <w:r>
        <w:rPr>
          <w:rFonts w:ascii="Times New Roman" w:eastAsia="Times New Roman"/>
        </w:rPr>
        <w:t xml:space="preserve">10-14m </w:t>
      </w:r>
      <w:r>
        <w:t>， 局部可达</w:t>
      </w:r>
    </w:p>
    <w:p w14:paraId="06726095">
      <w:pPr>
        <w:pStyle w:val="7"/>
        <w:spacing w:before="5" w:line="362" w:lineRule="auto"/>
        <w:ind w:left="460" w:right="477"/>
        <w:rPr>
          <w:rFonts w:ascii="Times New Roman" w:eastAsia="Times New Roman"/>
        </w:rPr>
      </w:pPr>
      <w:r>
        <w:rPr>
          <w:rFonts w:ascii="Times New Roman" w:eastAsia="Times New Roman"/>
          <w:spacing w:val="2"/>
        </w:rPr>
        <w:t>172.04m</w:t>
      </w:r>
      <w:r>
        <w:rPr>
          <w:spacing w:val="5"/>
        </w:rPr>
        <w:t xml:space="preserve">；面裂隙率为 </w:t>
      </w:r>
      <w:r>
        <w:rPr>
          <w:rFonts w:ascii="Times New Roman" w:eastAsia="Times New Roman"/>
          <w:spacing w:val="1"/>
        </w:rPr>
        <w:t>0.1-6.167%</w:t>
      </w:r>
      <w:r>
        <w:rPr>
          <w:spacing w:val="5"/>
        </w:rPr>
        <w:t xml:space="preserve">，局部最大达 </w:t>
      </w:r>
      <w:r>
        <w:rPr>
          <w:rFonts w:ascii="Times New Roman" w:eastAsia="Times New Roman"/>
          <w:spacing w:val="1"/>
        </w:rPr>
        <w:t>20.22%</w:t>
      </w:r>
      <w:r>
        <w:rPr>
          <w:spacing w:val="12"/>
        </w:rPr>
        <w:t>。较普遍含风化裂隙</w:t>
      </w:r>
      <w:r>
        <w:rPr>
          <w:spacing w:val="5"/>
        </w:rPr>
        <w:t xml:space="preserve">水，泉水流量一般为 </w:t>
      </w:r>
      <w:r>
        <w:rPr>
          <w:rFonts w:ascii="Times New Roman" w:eastAsia="Times New Roman"/>
        </w:rPr>
        <w:t>0.014-0.967L/s</w:t>
      </w:r>
      <w:r>
        <w:rPr>
          <w:spacing w:val="-11"/>
        </w:rPr>
        <w:t xml:space="preserve">，个别达 </w:t>
      </w:r>
      <w:r>
        <w:rPr>
          <w:rFonts w:ascii="Times New Roman" w:eastAsia="Times New Roman"/>
        </w:rPr>
        <w:t>2.70L/s</w:t>
      </w:r>
      <w:r>
        <w:rPr>
          <w:spacing w:val="-6"/>
        </w:rPr>
        <w:t xml:space="preserve">；地下水径流一般为 </w:t>
      </w:r>
      <w:r>
        <w:rPr>
          <w:rFonts w:ascii="Times New Roman" w:eastAsia="Times New Roman"/>
        </w:rPr>
        <w:t>0.054-</w:t>
      </w:r>
    </w:p>
    <w:p w14:paraId="578DAF64">
      <w:pPr>
        <w:pStyle w:val="7"/>
        <w:spacing w:before="5"/>
        <w:ind w:left="460"/>
      </w:pPr>
      <w:r>
        <w:rPr>
          <w:rFonts w:ascii="Times New Roman" w:hAnsi="Times New Roman" w:eastAsia="Times New Roman"/>
        </w:rPr>
        <w:t>2.89L/s·km</w:t>
      </w:r>
      <w:r>
        <w:rPr>
          <w:rFonts w:ascii="Times New Roman" w:hAnsi="Times New Roman" w:eastAsia="Times New Roman"/>
          <w:position w:val="8"/>
          <w:sz w:val="15"/>
        </w:rPr>
        <w:t>2</w:t>
      </w:r>
      <w:r>
        <w:t xml:space="preserve">，局部达 </w:t>
      </w:r>
      <w:r>
        <w:rPr>
          <w:rFonts w:ascii="Times New Roman" w:hAnsi="Times New Roman" w:eastAsia="Times New Roman"/>
        </w:rPr>
        <w:t>5.43L/s·km</w:t>
      </w:r>
      <w:r>
        <w:rPr>
          <w:rFonts w:ascii="Times New Roman" w:hAnsi="Times New Roman" w:eastAsia="Times New Roman"/>
          <w:position w:val="8"/>
          <w:sz w:val="15"/>
        </w:rPr>
        <w:t>2</w:t>
      </w:r>
      <w:r>
        <w:t>。故其富水程度多为贫乏至中等。</w:t>
      </w:r>
    </w:p>
    <w:p w14:paraId="0041A6EC">
      <w:pPr>
        <w:pStyle w:val="7"/>
        <w:spacing w:before="158"/>
        <w:ind w:left="940"/>
      </w:pPr>
      <w:r>
        <w:rPr>
          <w:rFonts w:ascii="Times New Roman" w:eastAsia="Times New Roman"/>
        </w:rPr>
        <w:t>2</w:t>
      </w:r>
      <w:r>
        <w:t>）红层碎屑岩裂隙孔隙水</w:t>
      </w:r>
    </w:p>
    <w:p w14:paraId="56FEB921">
      <w:pPr>
        <w:pStyle w:val="7"/>
        <w:spacing w:before="160" w:line="364" w:lineRule="auto"/>
        <w:ind w:left="460" w:right="477" w:firstLine="480"/>
      </w:pPr>
      <w:r>
        <w:t>红层指白垩系、古近系地层，在研究区西部的山岗区有露头，同时在湖区松散层下部也广泛分布。岩性为一套典型的陆相碎屑岩，区内总厚最大可达</w:t>
      </w:r>
    </w:p>
    <w:p w14:paraId="62E8D737">
      <w:pPr>
        <w:pStyle w:val="7"/>
        <w:spacing w:line="306" w:lineRule="exact"/>
        <w:ind w:left="460"/>
      </w:pPr>
      <w:r>
        <w:rPr>
          <w:rFonts w:ascii="Times New Roman" w:eastAsia="Times New Roman"/>
        </w:rPr>
        <w:t xml:space="preserve">1900 </w:t>
      </w:r>
      <w:r>
        <w:t>余米。红层中地下水赋存特征基本分为四种状态：</w:t>
      </w:r>
    </w:p>
    <w:p w14:paraId="56AE5C90">
      <w:pPr>
        <w:pStyle w:val="7"/>
        <w:spacing w:before="161" w:line="362" w:lineRule="auto"/>
        <w:ind w:left="460" w:right="477" w:firstLine="480"/>
      </w:pPr>
      <w:r>
        <w:t xml:space="preserve">①风化裂隙孔隙潜水。分布较普遍，风化裂隙含水，水量多贫乏，泉水流量一般为 </w:t>
      </w:r>
      <w:r>
        <w:rPr>
          <w:rFonts w:ascii="Times New Roman" w:hAnsi="Times New Roman" w:eastAsia="Times New Roman"/>
        </w:rPr>
        <w:t>0.01-0.1L/s</w:t>
      </w:r>
      <w:r>
        <w:t xml:space="preserve">，枯季径流模数为 </w:t>
      </w:r>
      <w:r>
        <w:rPr>
          <w:rFonts w:ascii="Times New Roman" w:hAnsi="Times New Roman" w:eastAsia="Times New Roman"/>
        </w:rPr>
        <w:t>0.04-0.657L/s·km</w:t>
      </w:r>
      <w:r>
        <w:rPr>
          <w:rFonts w:ascii="Times New Roman" w:hAnsi="Times New Roman" w:eastAsia="Times New Roman"/>
          <w:position w:val="8"/>
          <w:sz w:val="15"/>
        </w:rPr>
        <w:t>2</w:t>
      </w:r>
      <w:r>
        <w:t>。</w:t>
      </w:r>
    </w:p>
    <w:p w14:paraId="44A5C6C9">
      <w:pPr>
        <w:pStyle w:val="7"/>
        <w:spacing w:before="2" w:line="364" w:lineRule="auto"/>
        <w:ind w:left="460" w:right="477" w:firstLine="480"/>
        <w:jc w:val="both"/>
      </w:pPr>
      <w:r>
        <w:rPr>
          <w:spacing w:val="0"/>
        </w:rPr>
        <w:t>②钙质泥岩、钙质粉砂岩溶孔水。岩层中发育溶蚀孔洞，含溶孔水。见于</w:t>
      </w:r>
      <w:r>
        <w:rPr>
          <w:spacing w:val="-1"/>
        </w:rPr>
        <w:t xml:space="preserve">衡阳盆地和常桃盆地一带，含水层总厚 </w:t>
      </w:r>
      <w:r>
        <w:rPr>
          <w:rFonts w:ascii="Times New Roman" w:hAnsi="Times New Roman" w:eastAsia="Times New Roman"/>
        </w:rPr>
        <w:t>60-100m</w:t>
      </w:r>
      <w:r>
        <w:rPr>
          <w:spacing w:val="-9"/>
        </w:rPr>
        <w:t xml:space="preserve">，埋深 </w:t>
      </w:r>
      <w:r>
        <w:rPr>
          <w:rFonts w:ascii="Times New Roman" w:hAnsi="Times New Roman" w:eastAsia="Times New Roman"/>
        </w:rPr>
        <w:t>10-63.5m</w:t>
      </w:r>
      <w:r>
        <w:rPr>
          <w:spacing w:val="1"/>
        </w:rPr>
        <w:t>。含水贫乏至</w:t>
      </w:r>
      <w:r>
        <w:rPr>
          <w:spacing w:val="12"/>
        </w:rPr>
        <w:t xml:space="preserve">中等， 泉水流量 </w:t>
      </w:r>
      <w:r>
        <w:rPr>
          <w:rFonts w:ascii="Times New Roman" w:hAnsi="Times New Roman" w:eastAsia="Times New Roman"/>
        </w:rPr>
        <w:t xml:space="preserve">0.01-0.48L/s </w:t>
      </w:r>
      <w:r>
        <w:rPr>
          <w:spacing w:val="-8"/>
        </w:rPr>
        <w:t xml:space="preserve">， 单井 涌水量一 般为 </w:t>
      </w:r>
      <w:r>
        <w:rPr>
          <w:rFonts w:ascii="Times New Roman" w:hAnsi="Times New Roman" w:eastAsia="Times New Roman"/>
        </w:rPr>
        <w:t>100-800m</w:t>
      </w:r>
      <w:r>
        <w:rPr>
          <w:rFonts w:ascii="Times New Roman" w:hAnsi="Times New Roman" w:eastAsia="Times New Roman"/>
          <w:position w:val="8"/>
          <w:sz w:val="15"/>
        </w:rPr>
        <w:t>3</w:t>
      </w:r>
      <w:r>
        <w:rPr>
          <w:rFonts w:ascii="Times New Roman" w:hAnsi="Times New Roman" w:eastAsia="Times New Roman"/>
        </w:rPr>
        <w:t xml:space="preserve">/d </w:t>
      </w:r>
      <w:r>
        <w:rPr>
          <w:spacing w:val="-21"/>
        </w:rPr>
        <w:t>， 最大 达</w:t>
      </w:r>
    </w:p>
    <w:p w14:paraId="3C1F2608">
      <w:pPr>
        <w:pStyle w:val="7"/>
        <w:spacing w:line="364" w:lineRule="auto"/>
        <w:ind w:left="460" w:right="477"/>
        <w:jc w:val="both"/>
      </w:pPr>
      <w:r>
        <w:rPr>
          <w:rFonts w:ascii="Times New Roman" w:eastAsia="Times New Roman"/>
        </w:rPr>
        <w:t>3663.4m</w:t>
      </w:r>
      <w:r>
        <w:rPr>
          <w:rFonts w:ascii="Times New Roman" w:eastAsia="Times New Roman"/>
          <w:position w:val="8"/>
          <w:sz w:val="15"/>
        </w:rPr>
        <w:t>3</w:t>
      </w:r>
      <w:r>
        <w:rPr>
          <w:rFonts w:ascii="Times New Roman" w:eastAsia="Times New Roman"/>
        </w:rPr>
        <w:t>/d</w:t>
      </w:r>
      <w:r>
        <w:rPr>
          <w:spacing w:val="5"/>
        </w:rPr>
        <w:t>。水位一般高出溶孔带顶板，故具承压性质。溶蚀溶孔带具多层发</w:t>
      </w:r>
      <w:r>
        <w:rPr>
          <w:spacing w:val="-7"/>
        </w:rPr>
        <w:t xml:space="preserve">育特征，一般 </w:t>
      </w:r>
      <w:r>
        <w:rPr>
          <w:rFonts w:ascii="Times New Roman" w:eastAsia="Times New Roman"/>
        </w:rPr>
        <w:t xml:space="preserve">5-10 </w:t>
      </w:r>
      <w:r>
        <w:rPr>
          <w:spacing w:val="-9"/>
        </w:rPr>
        <w:t xml:space="preserve">层，多者达 </w:t>
      </w:r>
      <w:r>
        <w:rPr>
          <w:rFonts w:ascii="Times New Roman" w:eastAsia="Times New Roman"/>
        </w:rPr>
        <w:t xml:space="preserve">12 </w:t>
      </w:r>
      <w:r>
        <w:rPr>
          <w:spacing w:val="-6"/>
        </w:rPr>
        <w:t xml:space="preserve">层以上，单层厚 </w:t>
      </w:r>
      <w:r>
        <w:rPr>
          <w:rFonts w:ascii="Times New Roman" w:eastAsia="Times New Roman"/>
        </w:rPr>
        <w:t>1-15m</w:t>
      </w:r>
      <w:r>
        <w:rPr>
          <w:spacing w:val="-12"/>
        </w:rPr>
        <w:t xml:space="preserve">，最厚 </w:t>
      </w:r>
      <w:r>
        <w:rPr>
          <w:rFonts w:ascii="Times New Roman" w:eastAsia="Times New Roman"/>
        </w:rPr>
        <w:t xml:space="preserve">30 </w:t>
      </w:r>
      <w:r>
        <w:t>余米。溶蚀溶孔带发育受岩性、地貌、构造等控制，岩石含钙质高是前提。</w:t>
      </w:r>
    </w:p>
    <w:p w14:paraId="0B8DC639">
      <w:pPr>
        <w:pStyle w:val="7"/>
        <w:spacing w:line="362" w:lineRule="auto"/>
        <w:ind w:left="460" w:right="477" w:firstLine="480"/>
        <w:rPr>
          <w:rFonts w:ascii="Times New Roman" w:hAnsi="Times New Roman" w:eastAsia="Times New Roman"/>
        </w:rPr>
      </w:pPr>
      <w:r>
        <w:rPr>
          <w:spacing w:val="0"/>
        </w:rPr>
        <w:t>③砂岩构造裂隙层间承压水，各地不同程度存在，衡阳盆地一带埋深一般</w:t>
      </w:r>
      <w:r>
        <w:rPr>
          <w:spacing w:val="5"/>
        </w:rPr>
        <w:t xml:space="preserve">在 </w:t>
      </w:r>
      <w:r>
        <w:rPr>
          <w:rFonts w:ascii="Times New Roman" w:hAnsi="Times New Roman" w:eastAsia="Times New Roman"/>
        </w:rPr>
        <w:t xml:space="preserve">20-103m </w:t>
      </w:r>
      <w:r>
        <w:rPr>
          <w:spacing w:val="5"/>
        </w:rPr>
        <w:t xml:space="preserve">， 含水段总厚 </w:t>
      </w:r>
      <w:r>
        <w:rPr>
          <w:rFonts w:ascii="Times New Roman" w:hAnsi="Times New Roman" w:eastAsia="Times New Roman"/>
        </w:rPr>
        <w:t xml:space="preserve">3-93.8m </w:t>
      </w:r>
      <w:r>
        <w:rPr>
          <w:spacing w:val="31"/>
        </w:rPr>
        <w:t>。含水贫乏</w:t>
      </w:r>
      <w:r>
        <w:rPr>
          <w:rFonts w:ascii="Times New Roman" w:hAnsi="Times New Roman" w:eastAsia="Times New Roman"/>
          <w:spacing w:val="-12"/>
        </w:rPr>
        <w:t xml:space="preserve">— </w:t>
      </w:r>
      <w:r>
        <w:rPr>
          <w:spacing w:val="10"/>
        </w:rPr>
        <w:t xml:space="preserve">中等， 泉水流量为 </w:t>
      </w:r>
      <w:r>
        <w:rPr>
          <w:rFonts w:ascii="Times New Roman" w:hAnsi="Times New Roman" w:eastAsia="Times New Roman"/>
        </w:rPr>
        <w:t>0.01-</w:t>
      </w:r>
    </w:p>
    <w:p w14:paraId="17039660">
      <w:pPr>
        <w:pStyle w:val="7"/>
        <w:spacing w:before="4"/>
        <w:ind w:left="460"/>
      </w:pPr>
      <w:r>
        <w:rPr>
          <w:rFonts w:ascii="Times New Roman" w:eastAsia="Times New Roman"/>
        </w:rPr>
        <w:t>0.34L/s</w:t>
      </w:r>
      <w:r>
        <w:t xml:space="preserve">，单井涌水量一般在 </w:t>
      </w:r>
      <w:r>
        <w:rPr>
          <w:rFonts w:ascii="Times New Roman" w:eastAsia="Times New Roman"/>
        </w:rPr>
        <w:t>100m</w:t>
      </w:r>
      <w:r>
        <w:rPr>
          <w:rFonts w:ascii="Times New Roman" w:eastAsia="Times New Roman"/>
          <w:position w:val="8"/>
          <w:sz w:val="15"/>
        </w:rPr>
        <w:t>3</w:t>
      </w:r>
      <w:r>
        <w:rPr>
          <w:rFonts w:ascii="Times New Roman" w:eastAsia="Times New Roman"/>
        </w:rPr>
        <w:t xml:space="preserve">/d </w:t>
      </w:r>
      <w:r>
        <w:t xml:space="preserve">以下，个别最大达 </w:t>
      </w:r>
      <w:r>
        <w:rPr>
          <w:rFonts w:ascii="Times New Roman" w:eastAsia="Times New Roman"/>
        </w:rPr>
        <w:t>524.5m</w:t>
      </w:r>
      <w:r>
        <w:rPr>
          <w:rFonts w:ascii="Times New Roman" w:eastAsia="Times New Roman"/>
          <w:position w:val="8"/>
          <w:sz w:val="15"/>
        </w:rPr>
        <w:t>3</w:t>
      </w:r>
      <w:r>
        <w:rPr>
          <w:rFonts w:ascii="Times New Roman" w:eastAsia="Times New Roman"/>
        </w:rPr>
        <w:t>/d</w:t>
      </w:r>
      <w:r>
        <w:t>。</w:t>
      </w:r>
    </w:p>
    <w:p w14:paraId="36C22E15">
      <w:pPr>
        <w:pStyle w:val="7"/>
        <w:spacing w:before="158"/>
        <w:ind w:left="940"/>
      </w:pPr>
      <w:r>
        <w:t>④灰质砾岩裂隙溶洞水。主要见于衡阳、湘潭、茶永、石门等红层盆地边</w:t>
      </w:r>
    </w:p>
    <w:p w14:paraId="2B803CD9">
      <w:pPr>
        <w:spacing w:after="0"/>
        <w:sectPr>
          <w:pgSz w:w="11910" w:h="16840"/>
          <w:pgMar w:top="1360" w:right="1320" w:bottom="1400" w:left="1340" w:header="878" w:footer="1204" w:gutter="0"/>
          <w:cols w:space="720" w:num="1"/>
        </w:sectPr>
      </w:pPr>
    </w:p>
    <w:p w14:paraId="2E6F8D96">
      <w:pPr>
        <w:pStyle w:val="7"/>
        <w:spacing w:before="68" w:line="364" w:lineRule="auto"/>
        <w:ind w:left="460" w:right="477"/>
        <w:jc w:val="both"/>
      </w:pPr>
      <w:r>
        <w:t xml:space="preserve">缘地带。由于多覆于弱透水的泥岩，含砾砂岩层之下，构成层间承压水，局部水头高出地表。已知含水带厚 </w:t>
      </w:r>
      <w:r>
        <w:rPr>
          <w:rFonts w:ascii="Times New Roman" w:eastAsia="Times New Roman"/>
        </w:rPr>
        <w:t>20-70m</w:t>
      </w:r>
      <w:r>
        <w:t xml:space="preserve">，最大埋深 </w:t>
      </w:r>
      <w:r>
        <w:rPr>
          <w:rFonts w:ascii="Times New Roman" w:eastAsia="Times New Roman"/>
        </w:rPr>
        <w:t>280m</w:t>
      </w:r>
      <w:r>
        <w:t>。泉水流量最大可达</w:t>
      </w:r>
    </w:p>
    <w:p w14:paraId="28C218E0">
      <w:pPr>
        <w:pStyle w:val="7"/>
        <w:spacing w:line="306" w:lineRule="exact"/>
        <w:ind w:left="460"/>
      </w:pPr>
      <w:r>
        <w:rPr>
          <w:rFonts w:ascii="Times New Roman" w:eastAsia="Times New Roman"/>
        </w:rPr>
        <w:t>35L/s</w:t>
      </w:r>
      <w:r>
        <w:t xml:space="preserve">，单井最大涌水量可达 </w:t>
      </w:r>
      <w:r>
        <w:rPr>
          <w:rFonts w:ascii="Times New Roman" w:eastAsia="Times New Roman"/>
        </w:rPr>
        <w:t>41934.7m</w:t>
      </w:r>
      <w:r>
        <w:rPr>
          <w:rFonts w:ascii="Times New Roman" w:eastAsia="Times New Roman"/>
          <w:position w:val="8"/>
          <w:sz w:val="15"/>
        </w:rPr>
        <w:t>3</w:t>
      </w:r>
      <w:r>
        <w:rPr>
          <w:rFonts w:ascii="Times New Roman" w:eastAsia="Times New Roman"/>
        </w:rPr>
        <w:t>/d</w:t>
      </w:r>
      <w:r>
        <w:t>。</w:t>
      </w:r>
    </w:p>
    <w:p w14:paraId="6AF3913A">
      <w:pPr>
        <w:pStyle w:val="7"/>
        <w:spacing w:before="160"/>
        <w:ind w:left="940"/>
      </w:pPr>
      <w:r>
        <w:rPr>
          <w:rFonts w:ascii="Times New Roman" w:eastAsia="Times New Roman"/>
        </w:rPr>
        <w:t>3</w:t>
      </w:r>
      <w:r>
        <w:t>）松散岩类孔隙水</w:t>
      </w:r>
    </w:p>
    <w:p w14:paraId="50267331">
      <w:pPr>
        <w:pStyle w:val="7"/>
        <w:spacing w:before="158" w:line="364" w:lineRule="auto"/>
        <w:ind w:left="1300" w:right="865" w:hanging="360"/>
      </w:pPr>
      <w:r>
        <w:pict>
          <v:group id="_x0000_s1390" o:spid="_x0000_s1390" o:spt="203" style="position:absolute;left:0pt;margin-left:113.95pt;margin-top:33.1pt;height:12.05pt;width:12.05pt;mso-position-horizontal-relative:page;z-index:-251649024;mso-width-relative:page;mso-height-relative:page;" coordorigin="2279,662" coordsize="241,241">
            <o:lock v:ext="edit"/>
            <v:shape id="_x0000_s1391" o:spid="_x0000_s1391" o:spt="75" type="#_x0000_t75" style="position:absolute;left:2279;top:662;height:241;width:241;" filled="f" stroked="f" coordsize="21600,21600">
              <v:path/>
              <v:fill on="f" focussize="0,0"/>
              <v:stroke on="f"/>
              <v:imagedata r:id="rId76" o:title=""/>
              <o:lock v:ext="edit" aspectratio="t"/>
            </v:shape>
            <v:shape id="_x0000_s1392" o:spid="_x0000_s1392" o:spt="202" type="#_x0000_t202" style="position:absolute;left:2279;top:662;height:241;width:241;" filled="f" stroked="f" coordsize="21600,21600">
              <v:path/>
              <v:fill on="f" focussize="0,0"/>
              <v:stroke on="f" joinstyle="miter"/>
              <v:imagedata o:title=""/>
              <o:lock v:ext="edit"/>
              <v:textbox inset="0mm,0mm,0mm,0mm">
                <w:txbxContent>
                  <w:p w14:paraId="66BD92F0">
                    <w:pPr>
                      <w:spacing w:before="1" w:line="240" w:lineRule="exact"/>
                      <w:ind w:left="70" w:right="0" w:firstLine="0"/>
                      <w:jc w:val="left"/>
                      <w:rPr>
                        <w:sz w:val="20"/>
                      </w:rPr>
                    </w:pPr>
                    <w:r>
                      <w:rPr>
                        <w:w w:val="99"/>
                        <w:sz w:val="20"/>
                      </w:rPr>
                      <w:t>1</w:t>
                    </w:r>
                  </w:p>
                </w:txbxContent>
              </v:textbox>
            </v:shape>
          </v:group>
        </w:pict>
      </w:r>
      <w:r>
        <w:t>主要分布于湖区及河流沿岸。按水力性质分为潜水和承压水两个亚类： 孔隙潜水</w:t>
      </w:r>
    </w:p>
    <w:p w14:paraId="72EA87C0">
      <w:pPr>
        <w:pStyle w:val="7"/>
        <w:spacing w:line="364" w:lineRule="auto"/>
        <w:ind w:left="460" w:right="477" w:firstLine="480"/>
        <w:jc w:val="both"/>
      </w:pPr>
      <w:r>
        <w:t>主要分布于湖区浅部、河流两岸阶地。含水层为冲积、冲湖积等形成的砂、砂砾石、砂卵石、含粘土砂砾石层及粉砂土等。岩层一般多呈二元结构， 上部为粘土、砂质粘土等。总厚数米至几十米。含贫乏</w:t>
      </w:r>
      <w:r>
        <w:rPr>
          <w:rFonts w:ascii="Times New Roman" w:hAnsi="Times New Roman" w:eastAsia="Times New Roman"/>
        </w:rPr>
        <w:t>—</w:t>
      </w:r>
      <w:r>
        <w:t xml:space="preserve">中等孔隙潜水，泉水流量一般少于 </w:t>
      </w:r>
      <w:r>
        <w:rPr>
          <w:rFonts w:ascii="Times New Roman" w:hAnsi="Times New Roman" w:eastAsia="Times New Roman"/>
        </w:rPr>
        <w:t>1L/s</w:t>
      </w:r>
      <w:r>
        <w:t xml:space="preserve">，水位埋深一般在 </w:t>
      </w:r>
      <w:r>
        <w:rPr>
          <w:rFonts w:ascii="Times New Roman" w:hAnsi="Times New Roman" w:eastAsia="Times New Roman"/>
        </w:rPr>
        <w:t xml:space="preserve">3m </w:t>
      </w:r>
      <w:r>
        <w:t>以上。</w:t>
      </w:r>
    </w:p>
    <w:p w14:paraId="0254A4D1">
      <w:pPr>
        <w:pStyle w:val="7"/>
        <w:spacing w:line="305" w:lineRule="exact"/>
        <w:ind w:left="940"/>
      </w:pPr>
      <w:r>
        <w:t>②孔隙承压水</w:t>
      </w:r>
    </w:p>
    <w:p w14:paraId="2B52E6F1">
      <w:pPr>
        <w:pStyle w:val="7"/>
        <w:spacing w:before="160" w:line="364" w:lineRule="auto"/>
        <w:ind w:left="460" w:right="477" w:firstLine="480"/>
        <w:jc w:val="both"/>
      </w:pPr>
      <w:r>
        <w:t>分布在湖区中央部分。其上部及浅部孔隙潜水层间有较厚的粘土，砂质粘土层相隔，因而形成承压含水层。含水层为多层性冲湖积和湖积砂、砂卵石层。岩层富水性较好， 富水程度为中等</w:t>
      </w:r>
      <w:r>
        <w:rPr>
          <w:rFonts w:ascii="Times New Roman" w:hAnsi="Times New Roman" w:eastAsia="Times New Roman"/>
        </w:rPr>
        <w:t xml:space="preserve">— </w:t>
      </w:r>
      <w:r>
        <w:t>丰富， 单井涌水量最大可达</w:t>
      </w:r>
    </w:p>
    <w:p w14:paraId="41385778">
      <w:pPr>
        <w:pStyle w:val="7"/>
        <w:spacing w:line="364" w:lineRule="auto"/>
        <w:ind w:left="460" w:right="477"/>
        <w:jc w:val="both"/>
      </w:pPr>
      <w:r>
        <w:rPr>
          <w:rFonts w:ascii="Times New Roman" w:eastAsia="Times New Roman"/>
        </w:rPr>
        <w:t>29715m</w:t>
      </w:r>
      <w:r>
        <w:rPr>
          <w:rFonts w:ascii="Times New Roman" w:eastAsia="Times New Roman"/>
          <w:position w:val="8"/>
          <w:sz w:val="15"/>
        </w:rPr>
        <w:t>3</w:t>
      </w:r>
      <w:r>
        <w:rPr>
          <w:rFonts w:ascii="Times New Roman" w:eastAsia="Times New Roman"/>
        </w:rPr>
        <w:t>/d</w:t>
      </w:r>
      <w:r>
        <w:t xml:space="preserve">。据含水层的岩性结构及展布情况可将承压含水岩层划分为两个相对独立的含水岩组。上含水岩组包括中、上更新统地层，下含水岩组为由下更新统地层组成。其间大部地段有数米至 </w:t>
      </w:r>
      <w:r>
        <w:rPr>
          <w:rFonts w:ascii="Times New Roman" w:eastAsia="Times New Roman"/>
        </w:rPr>
        <w:t xml:space="preserve">30 </w:t>
      </w:r>
      <w:r>
        <w:t>余米的弱透水的粘土、砂质粘土层相隔，故两含水岩组间基本无水力联系。但局部地段可能由于弱透水层缺失以及越流而发生水力联系。</w:t>
      </w:r>
    </w:p>
    <w:p w14:paraId="2728ACE6">
      <w:pPr>
        <w:pStyle w:val="7"/>
        <w:spacing w:line="364" w:lineRule="auto"/>
        <w:ind w:left="460" w:right="477" w:firstLine="480"/>
      </w:pPr>
      <w:r>
        <w:t>本项目所在区域地下水类型主要为松散堆积层孔隙水、基岩裂隙水和裂隙岩溶水。松散堆积层孔隙水分布于项目区域西部和北部，水量中等，涌水量</w:t>
      </w:r>
    </w:p>
    <w:p w14:paraId="693B4F64">
      <w:pPr>
        <w:pStyle w:val="7"/>
        <w:spacing w:line="306" w:lineRule="exact"/>
        <w:ind w:left="460"/>
      </w:pPr>
      <w:r>
        <w:rPr>
          <w:rFonts w:ascii="Times New Roman" w:hAnsi="Times New Roman" w:eastAsia="Times New Roman"/>
        </w:rPr>
        <w:t>0.23~2.32L/s·m</w:t>
      </w:r>
      <w:r>
        <w:t>；基岩裂隙水分布于项目区域南部，水量贫乏，泉水流量小于</w:t>
      </w:r>
    </w:p>
    <w:p w14:paraId="51CF2789">
      <w:pPr>
        <w:pStyle w:val="7"/>
        <w:spacing w:before="155" w:line="364" w:lineRule="auto"/>
        <w:ind w:left="460" w:right="477"/>
        <w:jc w:val="both"/>
      </w:pPr>
      <w:r>
        <w:rPr>
          <w:rFonts w:ascii="Times New Roman" w:hAnsi="Times New Roman" w:eastAsia="Times New Roman"/>
        </w:rPr>
        <w:t>0.1L/s</w:t>
      </w:r>
      <w:r>
        <w:rPr>
          <w:spacing w:val="-6"/>
        </w:rPr>
        <w:t xml:space="preserve">，径流模数小于 </w:t>
      </w:r>
      <w:r>
        <w:rPr>
          <w:rFonts w:ascii="Times New Roman" w:hAnsi="Times New Roman" w:eastAsia="Times New Roman"/>
        </w:rPr>
        <w:t>3L/s·km</w:t>
      </w:r>
      <w:r>
        <w:rPr>
          <w:rFonts w:ascii="Times New Roman" w:hAnsi="Times New Roman" w:eastAsia="Times New Roman"/>
          <w:position w:val="8"/>
          <w:sz w:val="15"/>
        </w:rPr>
        <w:t>2</w:t>
      </w:r>
      <w:r>
        <w:t>；裂隙岩溶水分布于项目区域东部和北部，中等</w:t>
      </w:r>
      <w:r>
        <w:rPr>
          <w:spacing w:val="-7"/>
        </w:rPr>
        <w:t xml:space="preserve">发育，地下河流量 </w:t>
      </w:r>
      <w:r>
        <w:rPr>
          <w:rFonts w:ascii="Times New Roman" w:hAnsi="Times New Roman" w:eastAsia="Times New Roman"/>
        </w:rPr>
        <w:t>10~100L/s</w:t>
      </w:r>
      <w:r>
        <w:rPr>
          <w:spacing w:val="-10"/>
        </w:rPr>
        <w:t xml:space="preserve">，径流模数 </w:t>
      </w:r>
      <w:r>
        <w:rPr>
          <w:rFonts w:ascii="Times New Roman" w:hAnsi="Times New Roman" w:eastAsia="Times New Roman"/>
        </w:rPr>
        <w:t>3~5L/s·km</w:t>
      </w:r>
      <w:r>
        <w:rPr>
          <w:rFonts w:ascii="Times New Roman" w:hAnsi="Times New Roman" w:eastAsia="Times New Roman"/>
          <w:position w:val="8"/>
          <w:sz w:val="15"/>
        </w:rPr>
        <w:t>2</w:t>
      </w:r>
      <w:r>
        <w:t>；区域地下水排泄方向为向东排入新墙河。</w:t>
      </w:r>
    </w:p>
    <w:p w14:paraId="5AAAE70D">
      <w:pPr>
        <w:pStyle w:val="7"/>
        <w:spacing w:line="304" w:lineRule="exact"/>
        <w:ind w:left="940"/>
      </w:pPr>
      <w:r>
        <w:rPr>
          <w:rFonts w:ascii="Times New Roman" w:eastAsia="Times New Roman"/>
        </w:rPr>
        <w:t>4</w:t>
      </w:r>
      <w:r>
        <w:t>）地下水开发利用现状</w:t>
      </w:r>
    </w:p>
    <w:p w14:paraId="68903DB1">
      <w:pPr>
        <w:pStyle w:val="7"/>
        <w:spacing w:before="161" w:line="362" w:lineRule="auto"/>
        <w:ind w:left="460" w:right="481" w:firstLine="480"/>
      </w:pPr>
      <w:r>
        <w:t>项目区域内没有集中式的地下水水源地，区域内居民、企业均以新墙河为水源，地下水开发利用程度较低。</w:t>
      </w:r>
    </w:p>
    <w:p w14:paraId="5E3DD542">
      <w:pPr>
        <w:pStyle w:val="7"/>
        <w:spacing w:before="5"/>
        <w:ind w:left="940"/>
      </w:pPr>
      <w:r>
        <w:rPr>
          <w:rFonts w:ascii="Times New Roman" w:eastAsia="Times New Roman"/>
        </w:rPr>
        <w:t>5</w:t>
      </w:r>
      <w:r>
        <w:t>）地下水补</w:t>
      </w:r>
      <w:r>
        <w:rPr>
          <w:rFonts w:ascii="Times New Roman" w:eastAsia="Times New Roman"/>
        </w:rPr>
        <w:t>-</w:t>
      </w:r>
      <w:r>
        <w:t>径</w:t>
      </w:r>
      <w:r>
        <w:rPr>
          <w:rFonts w:ascii="Times New Roman" w:eastAsia="Times New Roman"/>
        </w:rPr>
        <w:t>-</w:t>
      </w:r>
      <w:r>
        <w:t>排条件</w:t>
      </w:r>
    </w:p>
    <w:p w14:paraId="02FDB4CD">
      <w:pPr>
        <w:pStyle w:val="7"/>
        <w:spacing w:before="160"/>
        <w:ind w:left="940"/>
      </w:pPr>
      <w:r>
        <w:t>①地下水补给条件</w:t>
      </w:r>
    </w:p>
    <w:p w14:paraId="2E44A2BA">
      <w:pPr>
        <w:spacing w:after="0"/>
        <w:sectPr>
          <w:footerReference r:id="rId35" w:type="default"/>
          <w:pgSz w:w="11910" w:h="16840"/>
          <w:pgMar w:top="1360" w:right="1320" w:bottom="1400" w:left="1340" w:header="878" w:footer="1204" w:gutter="0"/>
          <w:pgNumType w:start="120"/>
          <w:cols w:space="720" w:num="1"/>
        </w:sectPr>
      </w:pPr>
    </w:p>
    <w:p w14:paraId="23811E5D">
      <w:pPr>
        <w:pStyle w:val="7"/>
        <w:spacing w:before="68" w:line="364" w:lineRule="auto"/>
        <w:ind w:left="460" w:right="477" w:firstLine="480"/>
        <w:jc w:val="both"/>
      </w:pPr>
      <w:r>
        <w:t>丘陵岗地松散堆积层孔隙潜水以大气降水补给为主，由于砾石层已出露地表，可直接接受大气降水的渗入补给。新墙河一级阶地孔隙水除接受大气降水补给外，还受高阶地孔隙水补给。冲湖积平原孔隙潜水，由于砂砾石层上覆厚</w:t>
      </w:r>
      <w:r>
        <w:rPr>
          <w:rFonts w:ascii="Times New Roman" w:eastAsia="Times New Roman"/>
        </w:rPr>
        <w:t xml:space="preserve">10-20 </w:t>
      </w:r>
      <w:r>
        <w:t>余米的砂质粘土和淤泥层，接受大气降水补给较少。</w:t>
      </w:r>
    </w:p>
    <w:p w14:paraId="05EF3657">
      <w:pPr>
        <w:pStyle w:val="7"/>
        <w:spacing w:line="305" w:lineRule="exact"/>
        <w:ind w:left="940"/>
      </w:pPr>
      <w:r>
        <w:t>故区域内地下水重要补给来源为大气降水，少有地表水补给。</w:t>
      </w:r>
    </w:p>
    <w:p w14:paraId="0D071E4A">
      <w:pPr>
        <w:pStyle w:val="7"/>
        <w:spacing w:before="160"/>
        <w:ind w:left="940"/>
      </w:pPr>
      <w:r>
        <w:t>②径流条件</w:t>
      </w:r>
    </w:p>
    <w:p w14:paraId="5147F51A">
      <w:pPr>
        <w:pStyle w:val="7"/>
        <w:spacing w:before="159" w:line="364" w:lineRule="auto"/>
        <w:ind w:left="460" w:right="477" w:firstLine="480"/>
        <w:jc w:val="both"/>
      </w:pPr>
      <w:r>
        <w:t xml:space="preserve">岗丘地带的孔隙潜水径流途径短，无一定流动方向，就地补给就地排泄， 交替循环强烈。平原及滨湖地带，地下水具有一定径流方向，即由边缘向洞庭湖中心汇集，区域地下水流向为自西北向东南，地下水运动相当缓慢，越近湖心越慢。实测地下水流速为 </w:t>
      </w:r>
      <w:r>
        <w:rPr>
          <w:rFonts w:ascii="Times New Roman" w:eastAsia="Times New Roman"/>
        </w:rPr>
        <w:t>0.94-0.97m/s</w:t>
      </w:r>
      <w:r>
        <w:t>。</w:t>
      </w:r>
    </w:p>
    <w:p w14:paraId="1D356B5E">
      <w:pPr>
        <w:pStyle w:val="7"/>
        <w:spacing w:line="305" w:lineRule="exact"/>
        <w:ind w:left="940"/>
      </w:pPr>
      <w:r>
        <w:t>③排泄条件</w:t>
      </w:r>
    </w:p>
    <w:p w14:paraId="14C2FA1A">
      <w:pPr>
        <w:pStyle w:val="7"/>
        <w:spacing w:before="160" w:line="364" w:lineRule="auto"/>
        <w:ind w:left="460" w:right="477" w:firstLine="480"/>
        <w:jc w:val="both"/>
      </w:pPr>
      <w:r>
        <w:t>岗丘地带的孔隙潜水排泄条件好，以附近河流为排泄场所，以下降泉或渗流的形式沿砂砾石与基岩接触面排泄于河流中。评价区域地下主要以大气降水为补给水源，缓慢向东东南流向，最终向洞庭湖区域排泄。</w:t>
      </w:r>
    </w:p>
    <w:p w14:paraId="79F26193">
      <w:pPr>
        <w:pStyle w:val="7"/>
        <w:spacing w:line="307" w:lineRule="exact"/>
        <w:ind w:left="940"/>
      </w:pPr>
      <w:r>
        <w:t>④动态变化</w:t>
      </w:r>
    </w:p>
    <w:p w14:paraId="139B97D8">
      <w:pPr>
        <w:pStyle w:val="7"/>
        <w:spacing w:before="158" w:line="364" w:lineRule="auto"/>
        <w:ind w:left="460" w:right="477" w:firstLine="480"/>
        <w:jc w:val="both"/>
      </w:pPr>
      <w:r>
        <w:t xml:space="preserve">区域孔隙承压水运动极为缓慢，水位变化很小，地下水动态受季节变化的影响相对较小，据洪、枯期井水位实测资料，稳定水位埋深在 </w:t>
      </w:r>
      <w:r>
        <w:rPr>
          <w:rFonts w:ascii="Times New Roman" w:eastAsia="Times New Roman"/>
        </w:rPr>
        <w:t xml:space="preserve">30-42m </w:t>
      </w:r>
      <w:r>
        <w:t xml:space="preserve">不等， 地下水位变幅一般仅 </w:t>
      </w:r>
      <w:r>
        <w:rPr>
          <w:rFonts w:ascii="Times New Roman" w:eastAsia="Times New Roman"/>
        </w:rPr>
        <w:t>5.0m</w:t>
      </w:r>
      <w:r>
        <w:t>，属较稳定类型。</w:t>
      </w:r>
    </w:p>
    <w:p w14:paraId="6C2C391F">
      <w:pPr>
        <w:pStyle w:val="6"/>
        <w:spacing w:line="307" w:lineRule="exact"/>
        <w:ind w:left="460"/>
      </w:pPr>
      <w:bookmarkStart w:id="197" w:name="5.2.4.2地下水环境影响分析"/>
      <w:bookmarkEnd w:id="197"/>
      <w:r>
        <w:rPr>
          <w:rFonts w:ascii="Times New Roman" w:eastAsia="Times New Roman"/>
        </w:rPr>
        <w:t xml:space="preserve">5.2.4.2 </w:t>
      </w:r>
      <w:r>
        <w:t>地下水环境影响分析</w:t>
      </w:r>
    </w:p>
    <w:p w14:paraId="598EB128">
      <w:pPr>
        <w:pStyle w:val="7"/>
        <w:spacing w:before="158" w:line="364" w:lineRule="auto"/>
        <w:ind w:left="460" w:right="477" w:firstLine="480"/>
        <w:jc w:val="both"/>
      </w:pPr>
      <w:r>
        <w:t>污染物对地下水的影响主要是由于降雨及废水排放等通过垂直渗透进入包气带，进入包气带污染物在物理、化学和生物作用下经吸咐、转化、迁移和分解后进入地下水。因此，包气带是联接地面污染物与地下含水层的主要通道和过渡带，既是污染物媒介体，又是污染物的净化场所和防护层。地下水能否被污染以及污染物的种类和性质，一般说来，土壤粗细而紧密，渗透性差，则污染慢，反之颗粒大松散，渗透性能良好则污染重。</w:t>
      </w:r>
    </w:p>
    <w:p w14:paraId="2C83B242">
      <w:pPr>
        <w:pStyle w:val="7"/>
        <w:spacing w:line="364" w:lineRule="auto"/>
        <w:ind w:left="460" w:right="477" w:firstLine="480"/>
        <w:jc w:val="both"/>
      </w:pPr>
      <w:r>
        <w:t>污染物从污染源进入地下水所经过路径称为地下水污染途径，地下水污染途径是多种多样的。根据项目所处区域的地质情况，以及本项目特点，本项目可能对地下水造成污染的途径主要为废水收集管道或废水处理建（构）筑物出现破损等情况下污水下渗对地下水造成的污染。</w:t>
      </w:r>
    </w:p>
    <w:p w14:paraId="59C3EDBF">
      <w:pPr>
        <w:pStyle w:val="7"/>
        <w:ind w:left="940"/>
      </w:pPr>
      <w:r>
        <w:rPr>
          <w:rFonts w:ascii="Times New Roman" w:eastAsia="Times New Roman"/>
        </w:rPr>
        <w:t>1</w:t>
      </w:r>
      <w:r>
        <w:t>）正常工况地下水环境影响分析</w:t>
      </w:r>
    </w:p>
    <w:p w14:paraId="5CAB0389">
      <w:pPr>
        <w:spacing w:after="0"/>
        <w:sectPr>
          <w:pgSz w:w="11910" w:h="16840"/>
          <w:pgMar w:top="1360" w:right="1320" w:bottom="1400" w:left="1340" w:header="878" w:footer="1204" w:gutter="0"/>
          <w:cols w:space="720" w:num="1"/>
        </w:sectPr>
      </w:pPr>
    </w:p>
    <w:p w14:paraId="23C05831">
      <w:pPr>
        <w:pStyle w:val="7"/>
        <w:spacing w:before="68" w:line="364" w:lineRule="auto"/>
        <w:ind w:left="460" w:right="477" w:firstLine="480"/>
        <w:jc w:val="both"/>
      </w:pPr>
      <w:r>
        <w:rPr>
          <w:spacing w:val="0"/>
        </w:rPr>
        <w:t>根据工程分析，项目可能对地下水造成污染的主要为：暂养间及待宰圈、</w:t>
      </w:r>
      <w:r>
        <w:t>屠宰加工间、废水处理站等区域可能产生泄漏从而污水下渗污染地下水。废水处理站各池体底部和四周均采用</w:t>
      </w:r>
      <w:r>
        <w:rPr>
          <w:rFonts w:ascii="Times New Roman" w:hAnsi="Times New Roman" w:eastAsia="Times New Roman"/>
        </w:rPr>
        <w:t>“</w:t>
      </w:r>
      <w:r>
        <w:rPr>
          <w:spacing w:val="-19"/>
        </w:rPr>
        <w:t xml:space="preserve">先铺 </w:t>
      </w:r>
      <w:r>
        <w:rPr>
          <w:rFonts w:ascii="Times New Roman" w:hAnsi="Times New Roman" w:eastAsia="Times New Roman"/>
        </w:rPr>
        <w:t xml:space="preserve">2mmHDPE </w:t>
      </w:r>
      <w:r>
        <w:t>防渗膜，再浇筑防渗混凝土防</w:t>
      </w:r>
      <w:r>
        <w:rPr>
          <w:spacing w:val="5"/>
        </w:rPr>
        <w:t>腐防渗</w:t>
      </w:r>
      <w:r>
        <w:rPr>
          <w:rFonts w:ascii="Times New Roman" w:hAnsi="Times New Roman" w:eastAsia="Times New Roman"/>
          <w:spacing w:val="6"/>
        </w:rPr>
        <w:t>”</w:t>
      </w:r>
      <w:r>
        <w:rPr>
          <w:spacing w:val="5"/>
        </w:rPr>
        <w:t>，可渗漏量极少，在正常工况下，拟建项目废水对地下水环境影响较小。</w:t>
      </w:r>
    </w:p>
    <w:p w14:paraId="530C9595">
      <w:pPr>
        <w:pStyle w:val="7"/>
        <w:spacing w:line="362" w:lineRule="auto"/>
        <w:ind w:left="460" w:right="477" w:firstLine="480"/>
        <w:jc w:val="both"/>
      </w:pPr>
      <w:r>
        <w:t>因此，只要建设单位落实相关防腐、防渗措施，加强运行管理和定期监测监管，则正常工况下废水经处理达标后排放对区域地下水环境的影响较小。</w:t>
      </w:r>
    </w:p>
    <w:p w14:paraId="2B83AC58">
      <w:pPr>
        <w:pStyle w:val="7"/>
        <w:spacing w:before="3"/>
        <w:ind w:left="940"/>
      </w:pPr>
      <w:r>
        <w:rPr>
          <w:rFonts w:ascii="Times New Roman" w:eastAsia="Times New Roman"/>
        </w:rPr>
        <w:t>2</w:t>
      </w:r>
      <w:r>
        <w:t>）非正常工况地下水环境影响分析</w:t>
      </w:r>
    </w:p>
    <w:p w14:paraId="5283198B">
      <w:pPr>
        <w:pStyle w:val="7"/>
        <w:spacing w:before="161" w:line="362" w:lineRule="auto"/>
        <w:ind w:left="460" w:right="477" w:firstLine="480"/>
        <w:jc w:val="both"/>
      </w:pPr>
      <w:r>
        <w:t>拟建项目厂内非正常工况主要是废水收集设施或输送管道等出现问题，造成非正常排放。根据项目运营后可能发生的情况，确定地下水事故情景如下：</w:t>
      </w:r>
    </w:p>
    <w:p w14:paraId="07B5DE3F">
      <w:pPr>
        <w:pStyle w:val="7"/>
        <w:spacing w:before="2" w:line="364" w:lineRule="auto"/>
        <w:ind w:left="460" w:right="480" w:firstLine="480"/>
        <w:jc w:val="both"/>
      </w:pPr>
      <w:r>
        <w:t>①暂养区、生产区和废水处理站各池体破损造成泄漏，或者污水站生产装置中所产生的</w:t>
      </w:r>
      <w:r>
        <w:rPr>
          <w:rFonts w:ascii="Times New Roman" w:hAnsi="Times New Roman" w:eastAsia="Times New Roman"/>
        </w:rPr>
        <w:t>“</w:t>
      </w:r>
      <w:r>
        <w:t>跑、冒、滴、漏</w:t>
      </w:r>
      <w:r>
        <w:rPr>
          <w:rFonts w:ascii="Times New Roman" w:hAnsi="Times New Roman" w:eastAsia="Times New Roman"/>
        </w:rPr>
        <w:t>”</w:t>
      </w:r>
      <w:r>
        <w:t>，污水下渗，成为造成地下水环境污染的主要途径。</w:t>
      </w:r>
    </w:p>
    <w:p w14:paraId="775A4DCC">
      <w:pPr>
        <w:pStyle w:val="7"/>
        <w:spacing w:line="307" w:lineRule="exact"/>
        <w:ind w:left="940"/>
      </w:pPr>
      <w:r>
        <w:t>②废水管线泄漏造成大量废水直接通过地表进入地下水。</w:t>
      </w:r>
    </w:p>
    <w:p w14:paraId="52683246">
      <w:pPr>
        <w:pStyle w:val="7"/>
        <w:spacing w:before="161" w:line="364" w:lineRule="auto"/>
        <w:ind w:left="460" w:right="477" w:firstLine="480"/>
        <w:jc w:val="both"/>
      </w:pPr>
      <w:r>
        <w:t>若有事故废水下渗，污染物对地下水的影响主要是污染物通过垂直渗透进入包气带，进入包气带的污染物在物理、化学和生物作用下经吸附、转化、迁移和分解后输入地下水。事故废水下渗后，在下渗过程中污染物可以通过土壤对污染物的阻隔、吸收和降解作用，污染物浓度会进一步降低。即使有微量废水渗入地下水，对地下水的水质影响也较微弱。在做好源头控制措施、完善分区防渗措施、地下水污染监控措施和地下水污染应急处置的前提下，可避免项目实施后对区域地下水水质产生污染影响。因此，本项目对地下水环境影响可以接受。</w:t>
      </w:r>
    </w:p>
    <w:p w14:paraId="7FF3805B">
      <w:pPr>
        <w:pStyle w:val="7"/>
        <w:spacing w:line="364" w:lineRule="auto"/>
        <w:ind w:left="460" w:right="477" w:firstLine="480"/>
        <w:jc w:val="both"/>
      </w:pPr>
      <w:r>
        <w:t>地下水环境保护以预防为主，减少污染物进入土壤进而进入含水层的几率和途径，并制定和实施地下水长期监测计划，一旦发现地下污染，应及时补救。针对本项目可能产生的地下水污染，本项目将采取</w:t>
      </w:r>
      <w:r>
        <w:rPr>
          <w:rFonts w:ascii="Times New Roman" w:hAnsi="Times New Roman" w:eastAsia="Times New Roman"/>
        </w:rPr>
        <w:t>“</w:t>
      </w:r>
      <w:r>
        <w:t>源头控制、分区防护、污染监控、应急响应</w:t>
      </w:r>
      <w:r>
        <w:rPr>
          <w:rFonts w:ascii="Times New Roman" w:hAnsi="Times New Roman" w:eastAsia="Times New Roman"/>
        </w:rPr>
        <w:t>”</w:t>
      </w:r>
      <w:r>
        <w:t>响应相结合的原则，从污染物的产生、入渗、扩散、应急响应全方位进行控制。</w:t>
      </w:r>
    </w:p>
    <w:p w14:paraId="366AA837">
      <w:pPr>
        <w:pStyle w:val="6"/>
        <w:spacing w:line="303" w:lineRule="exact"/>
        <w:ind w:left="940"/>
      </w:pPr>
      <w:r>
        <w:t>（</w:t>
      </w:r>
      <w:r>
        <w:rPr>
          <w:rFonts w:ascii="Times New Roman" w:eastAsia="Times New Roman"/>
        </w:rPr>
        <w:t>1</w:t>
      </w:r>
      <w:r>
        <w:t>）源头控制</w:t>
      </w:r>
    </w:p>
    <w:p w14:paraId="2C56ED20">
      <w:pPr>
        <w:pStyle w:val="7"/>
        <w:spacing w:before="155" w:line="364" w:lineRule="auto"/>
        <w:ind w:left="460" w:right="477" w:firstLine="480"/>
        <w:jc w:val="both"/>
      </w:pPr>
      <w:r>
        <w:t>针对源头控制，主要包括在管道、设备、污水存储、运输道路等源头控制措施，主要包括在管道、设备、污水储存及处理构筑物采取相应措施，防止和</w:t>
      </w:r>
    </w:p>
    <w:p w14:paraId="25DFBAFE">
      <w:pPr>
        <w:spacing w:after="0" w:line="364" w:lineRule="auto"/>
        <w:jc w:val="both"/>
        <w:sectPr>
          <w:pgSz w:w="11910" w:h="16840"/>
          <w:pgMar w:top="1360" w:right="1320" w:bottom="1400" w:left="1340" w:header="878" w:footer="1204" w:gutter="0"/>
          <w:cols w:space="720" w:num="1"/>
        </w:sectPr>
      </w:pPr>
    </w:p>
    <w:p w14:paraId="238AB0B5">
      <w:pPr>
        <w:pStyle w:val="7"/>
        <w:spacing w:before="68" w:line="364" w:lineRule="auto"/>
        <w:ind w:left="460" w:right="477"/>
      </w:pPr>
      <w:r>
        <w:t>减少污染物的跑、冒、滴、漏，将污染物泄漏的环境风险事故降到最低程度。本项目应采用以下措施：</w:t>
      </w:r>
    </w:p>
    <w:p w14:paraId="4CF20C10">
      <w:pPr>
        <w:pStyle w:val="7"/>
        <w:spacing w:line="364" w:lineRule="auto"/>
        <w:ind w:left="460" w:right="477" w:firstLine="480"/>
        <w:jc w:val="both"/>
      </w:pPr>
      <w:r>
        <w:t>本项目对生产厂房地面及其他区域地面等均进行防渗、防腐、防漏处理， 具体措施如下：</w:t>
      </w:r>
    </w:p>
    <w:p w14:paraId="42CC991C">
      <w:pPr>
        <w:pStyle w:val="7"/>
        <w:spacing w:line="364" w:lineRule="auto"/>
        <w:ind w:left="460" w:right="477" w:firstLine="480"/>
        <w:jc w:val="both"/>
      </w:pPr>
      <w:r>
        <w:rPr>
          <w:rFonts w:ascii="Times New Roman" w:eastAsia="Times New Roman"/>
          <w:spacing w:val="5"/>
        </w:rPr>
        <w:t>A</w:t>
      </w:r>
      <w:r>
        <w:rPr>
          <w:spacing w:val="1"/>
        </w:rPr>
        <w:t>、项目排水系统应实行雨水和污水分类收集输送系统。雨水管网可设置</w:t>
      </w:r>
      <w:r>
        <w:rPr>
          <w:spacing w:val="-5"/>
        </w:rPr>
        <w:t xml:space="preserve">明沟，沟深为 </w:t>
      </w:r>
      <w:r>
        <w:rPr>
          <w:rFonts w:ascii="Times New Roman" w:eastAsia="Times New Roman"/>
        </w:rPr>
        <w:t>20-</w:t>
      </w:r>
      <w:r>
        <w:rPr>
          <w:rFonts w:ascii="Times New Roman" w:eastAsia="Times New Roman"/>
          <w:spacing w:val="7"/>
        </w:rPr>
        <w:t xml:space="preserve"> -</w:t>
      </w:r>
      <w:r>
        <w:rPr>
          <w:rFonts w:ascii="Times New Roman" w:eastAsia="Times New Roman"/>
        </w:rPr>
        <w:t>30cm</w:t>
      </w:r>
      <w:r>
        <w:t>。污水不得采取明沟布设，应采用密闭管道输送至厂区自建污水处理站，管道应严格做好防渗、防腐、防漏处理。</w:t>
      </w:r>
    </w:p>
    <w:p w14:paraId="27B83927">
      <w:pPr>
        <w:pStyle w:val="7"/>
        <w:spacing w:line="364" w:lineRule="auto"/>
        <w:ind w:left="460" w:right="477" w:firstLine="480"/>
        <w:jc w:val="both"/>
      </w:pPr>
      <w:r>
        <w:rPr>
          <w:rFonts w:ascii="Times New Roman" w:hAnsi="Times New Roman" w:eastAsia="Times New Roman"/>
        </w:rPr>
        <w:t>B</w:t>
      </w:r>
      <w:r>
        <w:t>、污水处理站、无害化暂存间、冷库等地面进行水泥硬化防渗处理，及采用高密度聚乙烯土工膜</w:t>
      </w:r>
      <w:r>
        <w:rPr>
          <w:rFonts w:ascii="Times New Roman" w:hAnsi="Times New Roman" w:eastAsia="Times New Roman"/>
        </w:rPr>
        <w:t>(HDPE)</w:t>
      </w:r>
      <w:r>
        <w:t>进行防渗，防渗技术要求达到等效黏土防渗层</w:t>
      </w:r>
      <w:r>
        <w:rPr>
          <w:rFonts w:ascii="Times New Roman" w:hAnsi="Times New Roman" w:eastAsia="Times New Roman"/>
        </w:rPr>
        <w:t>Mb</w:t>
      </w:r>
      <w:r>
        <w:t>≥</w:t>
      </w:r>
      <w:r>
        <w:rPr>
          <w:rFonts w:ascii="Times New Roman" w:hAnsi="Times New Roman" w:eastAsia="Times New Roman"/>
        </w:rPr>
        <w:t>1.5m</w:t>
      </w:r>
      <w:r>
        <w:t>，</w:t>
      </w:r>
      <w:r>
        <w:rPr>
          <w:rFonts w:ascii="Times New Roman" w:hAnsi="Times New Roman" w:eastAsia="Times New Roman"/>
        </w:rPr>
        <w:t>K</w:t>
      </w:r>
      <w:r>
        <w:t>≤</w:t>
      </w:r>
      <w:r>
        <w:rPr>
          <w:rFonts w:ascii="Times New Roman" w:hAnsi="Times New Roman" w:eastAsia="Times New Roman"/>
        </w:rPr>
        <w:t>1×10</w:t>
      </w:r>
      <w:r>
        <w:rPr>
          <w:rFonts w:ascii="Times New Roman" w:hAnsi="Times New Roman" w:eastAsia="Times New Roman"/>
          <w:position w:val="8"/>
          <w:sz w:val="15"/>
        </w:rPr>
        <w:t>-7</w:t>
      </w:r>
      <w:r>
        <w:rPr>
          <w:rFonts w:ascii="Times New Roman" w:hAnsi="Times New Roman" w:eastAsia="Times New Roman"/>
        </w:rPr>
        <w:t>cm/s</w:t>
      </w:r>
      <w:r>
        <w:t>。</w:t>
      </w:r>
    </w:p>
    <w:p w14:paraId="61A56A35">
      <w:pPr>
        <w:pStyle w:val="7"/>
        <w:spacing w:line="364" w:lineRule="auto"/>
        <w:ind w:left="460" w:right="477" w:firstLine="480"/>
        <w:jc w:val="both"/>
      </w:pPr>
      <w:r>
        <w:rPr>
          <w:rFonts w:ascii="Times New Roman" w:eastAsia="Times New Roman"/>
        </w:rPr>
        <w:t>C</w:t>
      </w:r>
      <w:r>
        <w:t>、定期、不定期对生产车间、污水处理站、一般固体废物暂存间进行检测，一旦发现其防渗能力下降，及时采取修补措施，防止污染物进入到地下水中。</w:t>
      </w:r>
    </w:p>
    <w:p w14:paraId="48F142F2">
      <w:pPr>
        <w:pStyle w:val="6"/>
        <w:spacing w:line="307" w:lineRule="exact"/>
        <w:ind w:left="940"/>
      </w:pPr>
      <w:r>
        <w:t>（</w:t>
      </w:r>
      <w:r>
        <w:rPr>
          <w:rFonts w:ascii="Times New Roman" w:eastAsia="Times New Roman"/>
        </w:rPr>
        <w:t>2</w:t>
      </w:r>
      <w:r>
        <w:t>）分区防治措施</w:t>
      </w:r>
    </w:p>
    <w:p w14:paraId="0101A382">
      <w:pPr>
        <w:pStyle w:val="6"/>
        <w:spacing w:before="154" w:line="364" w:lineRule="auto"/>
        <w:ind w:left="460" w:right="477" w:firstLine="480"/>
        <w:jc w:val="both"/>
      </w:pPr>
      <w:r>
        <w:t>根据《环境影响评价导则地下水环境》</w:t>
      </w:r>
      <w:r>
        <w:rPr>
          <w:rFonts w:ascii="Times New Roman" w:hAnsi="Times New Roman" w:eastAsia="Times New Roman"/>
        </w:rPr>
        <w:t>(HJ610-2016)</w:t>
      </w:r>
      <w:r>
        <w:t xml:space="preserve">中“表 </w:t>
      </w:r>
      <w:r>
        <w:rPr>
          <w:rFonts w:ascii="Times New Roman" w:hAnsi="Times New Roman" w:eastAsia="Times New Roman"/>
        </w:rPr>
        <w:t xml:space="preserve">7 </w:t>
      </w:r>
      <w:r>
        <w:t>地下水污染防渗分区参照表”，结合项目总平面布置情况，将项目按一般防渗区、简单防渗区进行污染防控。</w:t>
      </w:r>
    </w:p>
    <w:p w14:paraId="49F439CF">
      <w:pPr>
        <w:pStyle w:val="7"/>
        <w:spacing w:line="364" w:lineRule="auto"/>
        <w:ind w:left="460" w:right="477" w:firstLine="480"/>
        <w:jc w:val="both"/>
      </w:pPr>
      <w:r>
        <w:t>根据《环境影响评价技术导则地下水环境》</w:t>
      </w:r>
      <w:r>
        <w:rPr>
          <w:rFonts w:ascii="Times New Roman" w:hAnsi="Times New Roman" w:eastAsia="Times New Roman"/>
        </w:rPr>
        <w:t>(HJ610-2016)</w:t>
      </w:r>
      <w:r>
        <w:rPr>
          <w:spacing w:val="-19"/>
        </w:rPr>
        <w:t xml:space="preserve">“表 </w:t>
      </w:r>
      <w:r>
        <w:rPr>
          <w:rFonts w:ascii="Times New Roman" w:hAnsi="Times New Roman" w:eastAsia="Times New Roman"/>
        </w:rPr>
        <w:t xml:space="preserve">5 </w:t>
      </w:r>
      <w:r>
        <w:t>中控制难易划分原则”，本项目待宰间、污水处理站、污水管道为难控制区，其它区域为易控制区。</w:t>
      </w:r>
    </w:p>
    <w:p w14:paraId="16FD6FB8">
      <w:pPr>
        <w:pStyle w:val="7"/>
        <w:spacing w:line="364" w:lineRule="auto"/>
        <w:ind w:left="460" w:right="477" w:firstLine="480"/>
        <w:jc w:val="both"/>
      </w:pPr>
      <w:r>
        <w:rPr>
          <w:b/>
        </w:rPr>
        <w:t>一般防渗区（黄色）</w:t>
      </w:r>
      <w:r>
        <w:t>主要包括暂养间、待宰圈、屠宰加工间、冷库、无害化暂存间、污水处理站等，一般防渗区进行水泥硬化防渗处理，及采用高密度聚乙烯土工膜</w:t>
      </w:r>
      <w:r>
        <w:rPr>
          <w:rFonts w:ascii="Times New Roman" w:hAnsi="Times New Roman" w:eastAsia="Times New Roman"/>
        </w:rPr>
        <w:t xml:space="preserve">(HDPE) </w:t>
      </w:r>
      <w:r>
        <w:t xml:space="preserve">进行防渗， 防渗技术要求达到等效黏土防渗层 </w:t>
      </w:r>
      <w:r>
        <w:rPr>
          <w:rFonts w:ascii="Times New Roman" w:hAnsi="Times New Roman" w:eastAsia="Times New Roman"/>
        </w:rPr>
        <w:t xml:space="preserve">Mb </w:t>
      </w:r>
      <w:r>
        <w:t xml:space="preserve">≥ </w:t>
      </w:r>
      <w:r>
        <w:rPr>
          <w:rFonts w:ascii="Times New Roman" w:hAnsi="Times New Roman" w:eastAsia="Times New Roman"/>
        </w:rPr>
        <w:t>1.5m</w:t>
      </w:r>
      <w:r>
        <w:t>，</w:t>
      </w:r>
      <w:r>
        <w:rPr>
          <w:rFonts w:ascii="Times New Roman" w:hAnsi="Times New Roman" w:eastAsia="Times New Roman"/>
        </w:rPr>
        <w:t>K</w:t>
      </w:r>
      <w:r>
        <w:t>≤</w:t>
      </w:r>
      <w:r>
        <w:rPr>
          <w:rFonts w:ascii="Times New Roman" w:hAnsi="Times New Roman" w:eastAsia="Times New Roman"/>
        </w:rPr>
        <w:t>1× 10</w:t>
      </w:r>
      <w:r>
        <w:rPr>
          <w:rFonts w:ascii="Times New Roman" w:hAnsi="Times New Roman" w:eastAsia="Times New Roman"/>
          <w:position w:val="8"/>
          <w:sz w:val="15"/>
        </w:rPr>
        <w:t>-7</w:t>
      </w:r>
      <w:r>
        <w:rPr>
          <w:rFonts w:ascii="Times New Roman" w:hAnsi="Times New Roman" w:eastAsia="Times New Roman"/>
        </w:rPr>
        <w:t xml:space="preserve">cm/s </w:t>
      </w:r>
      <w:r>
        <w:t>进行防渗设计。</w:t>
      </w:r>
    </w:p>
    <w:p w14:paraId="0707FC71">
      <w:pPr>
        <w:pStyle w:val="7"/>
        <w:spacing w:line="362" w:lineRule="auto"/>
        <w:ind w:left="460" w:right="480" w:firstLine="480"/>
        <w:jc w:val="both"/>
      </w:pPr>
      <w:r>
        <w:rPr>
          <w:b/>
        </w:rPr>
        <w:t>简单防渗区</w:t>
      </w:r>
      <w:r>
        <w:t>主要包括办公区、参见廊道、厂区道路等，简单防渗区采取一般地面硬化。</w:t>
      </w:r>
    </w:p>
    <w:p w14:paraId="78EF3276">
      <w:pPr>
        <w:spacing w:after="0" w:line="362" w:lineRule="auto"/>
        <w:jc w:val="both"/>
        <w:sectPr>
          <w:pgSz w:w="11910" w:h="16840"/>
          <w:pgMar w:top="1360" w:right="1320" w:bottom="1400" w:left="1340" w:header="878" w:footer="1204" w:gutter="0"/>
          <w:cols w:space="720" w:num="1"/>
        </w:sectPr>
      </w:pPr>
    </w:p>
    <w:p w14:paraId="4186931E">
      <w:pPr>
        <w:pStyle w:val="7"/>
        <w:spacing w:before="3"/>
        <w:rPr>
          <w:sz w:val="5"/>
        </w:rPr>
      </w:pPr>
    </w:p>
    <w:p w14:paraId="010507F2">
      <w:pPr>
        <w:pStyle w:val="7"/>
        <w:ind w:left="460"/>
        <w:rPr>
          <w:sz w:val="20"/>
        </w:rPr>
      </w:pPr>
      <w:r>
        <w:rPr>
          <w:sz w:val="20"/>
        </w:rPr>
        <w:pict>
          <v:group id="_x0000_s1393" o:spid="_x0000_s1393" o:spt="203" style="height:224.4pt;width:415pt;" coordsize="8300,4488">
            <o:lock v:ext="edit"/>
            <v:shape id="_x0000_s1394" o:spid="_x0000_s1394" o:spt="75" type="#_x0000_t75" style="position:absolute;left:0;top:0;height:4488;width:8300;" filled="f" stroked="f" coordsize="21600,21600">
              <v:path/>
              <v:fill on="f" focussize="0,0"/>
              <v:stroke on="f"/>
              <v:imagedata r:id="rId86" o:title=""/>
              <o:lock v:ext="edit" aspectratio="t"/>
            </v:shape>
            <v:shape id="_x0000_s1395" o:spid="_x0000_s1395" style="position:absolute;left:2716;top:276;height:1568;width:2460;" fillcolor="#FFFF00" filled="t" stroked="f" coordorigin="2717,276" coordsize="2460,1568" path="m2995,1843l2717,1162,4898,276,5177,960,2995,1843xe">
              <v:path arrowok="t"/>
              <v:fill on="t" opacity="42663f" focussize="0,0"/>
              <v:stroke on="f"/>
              <v:imagedata o:title=""/>
              <o:lock v:ext="edit"/>
            </v:shape>
            <v:shape id="_x0000_s1396" o:spid="_x0000_s1396" style="position:absolute;left:3232;top:1144;height:2463;width:3898;" fillcolor="#FFFF00" filled="t" stroked="f" coordorigin="3233,1145" coordsize="3898,2463" path="m3660,3607l3233,2554,6703,1145,7130,2198,3660,3607xe">
              <v:path arrowok="t"/>
              <v:fill on="t" opacity="42663f" focussize="0,0"/>
              <v:stroke on="f"/>
              <v:imagedata o:title=""/>
              <o:lock v:ext="edit"/>
            </v:shape>
            <v:shape id="_x0000_s1397" o:spid="_x0000_s1397" style="position:absolute;left:4524;top:2304;height:1224;width:2532;" fillcolor="#FFFF00" filled="t" stroked="f" coordorigin="4524,2304" coordsize="2532,1224" path="m4618,3528l4524,3293,6960,2304,7056,2539,4618,3528xe">
              <v:path arrowok="t"/>
              <v:fill on="t" opacity="42663f" focussize="0,0"/>
              <v:stroke on="f"/>
              <v:imagedata o:title=""/>
              <o:lock v:ext="edit"/>
            </v:shape>
            <v:shape id="_x0000_s1398" o:spid="_x0000_s1398" style="position:absolute;left:6540;top:2872;height:320;width:380;" fillcolor="#FFFF00" filled="t" stroked="f" coordorigin="6540,2873" coordsize="380,320" path="m6622,3192l6540,2993,6838,2873,6919,3072,6622,3192xe">
              <v:path arrowok="t"/>
              <v:fill on="t" opacity="42663f" focussize="0,0"/>
              <v:stroke on="f"/>
              <v:imagedata o:title=""/>
              <o:lock v:ext="edit"/>
            </v:shape>
            <v:shape id="_x0000_s1399" o:spid="_x0000_s1399" o:spt="202" type="#_x0000_t202" style="position:absolute;left:7164;top:3213;height:293;width:627;" fillcolor="#FFFFFF" filled="t" stroked="f" coordsize="21600,21600">
              <v:path/>
              <v:fill on="t" focussize="0,0"/>
              <v:stroke on="f" joinstyle="miter"/>
              <v:imagedata o:title=""/>
              <o:lock v:ext="edit"/>
              <v:textbox inset="0mm,0mm,0mm,0mm">
                <w:txbxContent>
                  <w:p w14:paraId="145E914B">
                    <w:pPr>
                      <w:spacing w:before="73"/>
                      <w:ind w:left="143" w:right="0" w:firstLine="0"/>
                      <w:jc w:val="left"/>
                      <w:rPr>
                        <w:sz w:val="10"/>
                      </w:rPr>
                    </w:pPr>
                    <w:r>
                      <w:rPr>
                        <w:sz w:val="10"/>
                      </w:rPr>
                      <w:t>应急池</w:t>
                    </w:r>
                  </w:p>
                </w:txbxContent>
              </v:textbox>
            </v:shape>
            <w10:wrap type="none"/>
            <w10:anchorlock/>
          </v:group>
        </w:pict>
      </w:r>
    </w:p>
    <w:p w14:paraId="7AB54AC4">
      <w:pPr>
        <w:pStyle w:val="7"/>
        <w:spacing w:before="5"/>
        <w:rPr>
          <w:sz w:val="5"/>
        </w:rPr>
      </w:pPr>
    </w:p>
    <w:p w14:paraId="4512C8DD">
      <w:pPr>
        <w:spacing w:after="0"/>
        <w:rPr>
          <w:sz w:val="5"/>
        </w:rPr>
        <w:sectPr>
          <w:pgSz w:w="11910" w:h="16840"/>
          <w:pgMar w:top="1360" w:right="1320" w:bottom="1400" w:left="1340" w:header="878" w:footer="1204" w:gutter="0"/>
          <w:cols w:space="720" w:num="1"/>
        </w:sectPr>
      </w:pPr>
    </w:p>
    <w:p w14:paraId="60FABDB7">
      <w:pPr>
        <w:pStyle w:val="7"/>
        <w:spacing w:before="10"/>
        <w:rPr>
          <w:sz w:val="23"/>
        </w:rPr>
      </w:pPr>
    </w:p>
    <w:p w14:paraId="7F09A64C">
      <w:pPr>
        <w:pStyle w:val="6"/>
        <w:spacing w:before="1"/>
        <w:ind w:left="940"/>
      </w:pPr>
      <w:r>
        <w:rPr>
          <w:w w:val="95"/>
        </w:rPr>
        <w:t>（</w:t>
      </w:r>
      <w:r>
        <w:rPr>
          <w:rFonts w:ascii="Times New Roman" w:eastAsia="Times New Roman"/>
          <w:w w:val="95"/>
        </w:rPr>
        <w:t>3</w:t>
      </w:r>
      <w:r>
        <w:rPr>
          <w:w w:val="95"/>
        </w:rPr>
        <w:t>）污染监控</w:t>
      </w:r>
    </w:p>
    <w:p w14:paraId="6FBA2E0A">
      <w:pPr>
        <w:spacing w:before="30"/>
        <w:ind w:left="742" w:right="0" w:firstLine="0"/>
        <w:jc w:val="left"/>
        <w:rPr>
          <w:b/>
          <w:sz w:val="21"/>
        </w:rPr>
      </w:pPr>
      <w:r>
        <w:br w:type="column"/>
      </w:r>
      <w:r>
        <w:rPr>
          <w:b/>
          <w:sz w:val="21"/>
        </w:rPr>
        <w:t xml:space="preserve">图 </w:t>
      </w:r>
      <w:r>
        <w:rPr>
          <w:rFonts w:ascii="Times New Roman" w:eastAsia="Times New Roman"/>
          <w:b/>
          <w:sz w:val="21"/>
        </w:rPr>
        <w:t xml:space="preserve">5.2-4 </w:t>
      </w:r>
      <w:r>
        <w:rPr>
          <w:b/>
          <w:sz w:val="21"/>
        </w:rPr>
        <w:t>项目分区防渗示意图</w:t>
      </w:r>
    </w:p>
    <w:p w14:paraId="414C51A0">
      <w:pPr>
        <w:spacing w:after="0"/>
        <w:jc w:val="left"/>
        <w:rPr>
          <w:sz w:val="21"/>
        </w:rPr>
        <w:sectPr>
          <w:type w:val="continuous"/>
          <w:pgSz w:w="11910" w:h="16840"/>
          <w:pgMar w:top="1580" w:right="1320" w:bottom="280" w:left="1340" w:header="720" w:footer="720" w:gutter="0"/>
          <w:cols w:equalWidth="0" w:num="2">
            <w:col w:w="2505" w:space="40"/>
            <w:col w:w="6705"/>
          </w:cols>
        </w:sectPr>
      </w:pPr>
    </w:p>
    <w:p w14:paraId="5663BDE4">
      <w:pPr>
        <w:pStyle w:val="7"/>
        <w:spacing w:before="158" w:line="364" w:lineRule="auto"/>
        <w:ind w:left="460" w:right="477" w:firstLine="480"/>
        <w:jc w:val="both"/>
      </w:pPr>
      <w:r>
        <w:t xml:space="preserve">本项目地下水环境评价等级为三级，根据《环境影响评价技术导则地下水环境》 </w:t>
      </w:r>
      <w:r>
        <w:rPr>
          <w:rFonts w:ascii="Times New Roman" w:eastAsia="Times New Roman"/>
        </w:rPr>
        <w:t>(HJ610-2016)</w:t>
      </w:r>
      <w:r>
        <w:t xml:space="preserve">中的规定，三级评价的建设项目，地下水跟踪监测点数量一般不少于 </w:t>
      </w:r>
      <w:r>
        <w:rPr>
          <w:rFonts w:ascii="Times New Roman" w:eastAsia="Times New Roman"/>
        </w:rPr>
        <w:t xml:space="preserve">1 </w:t>
      </w:r>
      <w:r>
        <w:t xml:space="preserve">个，应至少在建设项目场地下游布置 </w:t>
      </w:r>
      <w:r>
        <w:rPr>
          <w:rFonts w:ascii="Times New Roman" w:eastAsia="Times New Roman"/>
        </w:rPr>
        <w:t xml:space="preserve">1 </w:t>
      </w:r>
      <w:r>
        <w:t>个。根据项目平面布置及</w:t>
      </w:r>
    </w:p>
    <w:p w14:paraId="4F767280">
      <w:pPr>
        <w:pStyle w:val="7"/>
        <w:spacing w:line="362" w:lineRule="auto"/>
        <w:ind w:left="460" w:right="477"/>
      </w:pPr>
      <w:r>
        <w:t xml:space="preserve">区域地下水监控点分布情况，按要求在项目东北面厂界外设 </w:t>
      </w:r>
      <w:r>
        <w:rPr>
          <w:rFonts w:ascii="Times New Roman" w:eastAsia="Times New Roman"/>
        </w:rPr>
        <w:t xml:space="preserve">1 </w:t>
      </w:r>
      <w:r>
        <w:t>个观测井为地下水监控井，对区域地下水实行环境影响跟踪监测计划，并公开监测结果。</w:t>
      </w:r>
    </w:p>
    <w:p w14:paraId="7C2D4D47">
      <w:pPr>
        <w:pStyle w:val="6"/>
        <w:spacing w:before="4"/>
        <w:ind w:left="940"/>
      </w:pPr>
      <w:r>
        <w:t>（</w:t>
      </w:r>
      <w:r>
        <w:rPr>
          <w:rFonts w:ascii="Times New Roman" w:eastAsia="Times New Roman"/>
        </w:rPr>
        <w:t>4</w:t>
      </w:r>
      <w:r>
        <w:t>）应急响应</w:t>
      </w:r>
    </w:p>
    <w:p w14:paraId="7DF85A5E">
      <w:pPr>
        <w:pStyle w:val="7"/>
        <w:spacing w:before="158" w:line="364" w:lineRule="auto"/>
        <w:ind w:left="460" w:right="477" w:firstLine="480"/>
        <w:jc w:val="both"/>
      </w:pPr>
      <w:r>
        <w:t>建立向生态环境行政主管部门报告制度；制定地下水风险或突发事故的应急响应预报预案，明确风险事故状态下应及时采取封闭、截流、疏散等措施。一旦项目污水收集系统出现故障，污水应能直接进入应急系统，待故障解除后才能恢复正常生产。</w:t>
      </w:r>
    </w:p>
    <w:p w14:paraId="2E84273A">
      <w:pPr>
        <w:pStyle w:val="7"/>
        <w:spacing w:line="364" w:lineRule="auto"/>
        <w:ind w:left="460" w:right="477" w:firstLine="480"/>
        <w:jc w:val="both"/>
      </w:pPr>
      <w:r>
        <w:t>综上分析，厂址所在地含水层渗透性为中等，项目所在区域的地下水环境敏感程度属于不敏感。因此本工程在落实好防渗、防污措施后，污染物能得到有效处理，对地下水水质影响较小，项目的建设不会产生其他环境地质问题， 因此对地下水环境质量影响较小。</w:t>
      </w:r>
    </w:p>
    <w:p w14:paraId="4B2155FD">
      <w:pPr>
        <w:spacing w:before="0"/>
        <w:ind w:left="460" w:right="0" w:firstLine="0"/>
        <w:jc w:val="left"/>
        <w:rPr>
          <w:b/>
          <w:sz w:val="28"/>
        </w:rPr>
      </w:pPr>
      <w:bookmarkStart w:id="198" w:name="5.2.6土壤环境影响分析"/>
      <w:bookmarkEnd w:id="198"/>
      <w:r>
        <w:rPr>
          <w:rFonts w:ascii="Times New Roman" w:eastAsia="Times New Roman"/>
          <w:b/>
          <w:sz w:val="28"/>
        </w:rPr>
        <w:t xml:space="preserve">5.2.6 </w:t>
      </w:r>
      <w:r>
        <w:rPr>
          <w:b/>
          <w:sz w:val="28"/>
        </w:rPr>
        <w:t>土壤环境影响分析</w:t>
      </w:r>
    </w:p>
    <w:p w14:paraId="4392B449">
      <w:pPr>
        <w:pStyle w:val="7"/>
        <w:spacing w:before="184" w:line="364" w:lineRule="auto"/>
        <w:ind w:left="460" w:right="477" w:firstLine="480"/>
        <w:jc w:val="both"/>
      </w:pPr>
      <w:r>
        <w:t>根据《环境影响评价技术导则土壤环境（试行</w:t>
      </w:r>
      <w:r>
        <w:rPr>
          <w:rFonts w:ascii="Times New Roman" w:hAnsi="Times New Roman" w:eastAsia="Times New Roman"/>
        </w:rPr>
        <w:t>&gt;</w:t>
      </w:r>
      <w:r>
        <w:t>》《</w:t>
      </w:r>
      <w:r>
        <w:rPr>
          <w:rFonts w:ascii="Times New Roman" w:hAnsi="Times New Roman" w:eastAsia="Times New Roman"/>
        </w:rPr>
        <w:t>HJ964-2018</w:t>
      </w:r>
      <w:r>
        <w:t>）</w:t>
      </w:r>
      <w:r>
        <w:rPr>
          <w:spacing w:val="-14"/>
        </w:rPr>
        <w:t xml:space="preserve">附录 </w:t>
      </w:r>
      <w:r>
        <w:rPr>
          <w:rFonts w:ascii="Times New Roman" w:hAnsi="Times New Roman" w:eastAsia="Times New Roman"/>
        </w:rPr>
        <w:t>A</w:t>
      </w:r>
      <w:r>
        <w:t>， 项目行业类别为</w:t>
      </w:r>
      <w:r>
        <w:rPr>
          <w:rFonts w:ascii="Times New Roman" w:hAnsi="Times New Roman" w:eastAsia="Times New Roman"/>
        </w:rPr>
        <w:t>“</w:t>
      </w:r>
      <w:r>
        <w:t>其他行业</w:t>
      </w:r>
      <w:r>
        <w:rPr>
          <w:rFonts w:ascii="Times New Roman" w:hAnsi="Times New Roman" w:eastAsia="Times New Roman"/>
        </w:rPr>
        <w:t>”</w:t>
      </w:r>
      <w:r>
        <w:t>，项目类别为</w:t>
      </w:r>
      <w:r>
        <w:rPr>
          <w:rFonts w:ascii="Times New Roman" w:hAnsi="Times New Roman" w:eastAsia="Times New Roman"/>
        </w:rPr>
        <w:t>“</w:t>
      </w:r>
      <w:r>
        <w:rPr>
          <w:spacing w:val="0"/>
        </w:rPr>
        <w:t>其他</w:t>
      </w:r>
      <w:r>
        <w:rPr>
          <w:rFonts w:ascii="Times New Roman" w:hAnsi="Times New Roman" w:eastAsia="Times New Roman"/>
        </w:rPr>
        <w:t>”"</w:t>
      </w:r>
      <w:r>
        <w:t>，属于Ⅳ类建设项目，可不开展土壤环境影响评价，故本次评价不开展土壤环境影响评价。</w:t>
      </w:r>
    </w:p>
    <w:p w14:paraId="03265A87">
      <w:pPr>
        <w:spacing w:after="0" w:line="364" w:lineRule="auto"/>
        <w:jc w:val="both"/>
        <w:sectPr>
          <w:type w:val="continuous"/>
          <w:pgSz w:w="11910" w:h="16840"/>
          <w:pgMar w:top="1580" w:right="1320" w:bottom="280" w:left="1340" w:header="720" w:footer="720" w:gutter="0"/>
          <w:cols w:space="720" w:num="1"/>
        </w:sectPr>
      </w:pPr>
    </w:p>
    <w:p w14:paraId="21F862E0">
      <w:pPr>
        <w:pStyle w:val="13"/>
        <w:numPr>
          <w:ilvl w:val="2"/>
          <w:numId w:val="23"/>
        </w:numPr>
        <w:tabs>
          <w:tab w:val="left" w:pos="1080"/>
        </w:tabs>
        <w:spacing w:before="69" w:after="0" w:line="240" w:lineRule="auto"/>
        <w:ind w:left="1079" w:right="0" w:hanging="619"/>
        <w:jc w:val="left"/>
        <w:rPr>
          <w:b/>
          <w:sz w:val="28"/>
        </w:rPr>
      </w:pPr>
      <w:bookmarkStart w:id="199" w:name="5.2.6固体废物环境影响评价"/>
      <w:bookmarkEnd w:id="199"/>
      <w:bookmarkStart w:id="200" w:name="5.2.6固体废物环境影响评价"/>
      <w:bookmarkEnd w:id="200"/>
      <w:r>
        <w:rPr>
          <w:b/>
          <w:sz w:val="28"/>
        </w:rPr>
        <w:t>固体废物环境影响评价</w:t>
      </w:r>
    </w:p>
    <w:p w14:paraId="080BAC38">
      <w:pPr>
        <w:pStyle w:val="7"/>
        <w:spacing w:before="185" w:line="364" w:lineRule="auto"/>
        <w:ind w:left="460" w:right="477" w:firstLine="480"/>
        <w:jc w:val="both"/>
      </w:pPr>
      <w:r>
        <w:t>根据工程分析可知，本项目运营期产生的固体废物主要包括剩余污泥、肠胃内容物（以栅渣浮油沉渣形式回收）、猪毛、边角料、不合格品和病死猪、废包装物、废包装容器（危废）、检验过程废液、维修车间废机油、含油抹布及劳保用品、生活垃圾。</w:t>
      </w:r>
    </w:p>
    <w:p w14:paraId="6F5199B7">
      <w:pPr>
        <w:pStyle w:val="7"/>
        <w:spacing w:line="305" w:lineRule="exact"/>
        <w:ind w:left="940"/>
      </w:pPr>
      <w:r>
        <w:t>（</w:t>
      </w:r>
      <w:r>
        <w:rPr>
          <w:rFonts w:ascii="Times New Roman" w:eastAsia="Times New Roman"/>
        </w:rPr>
        <w:t>1</w:t>
      </w:r>
      <w:r>
        <w:t>）无害化处理</w:t>
      </w:r>
    </w:p>
    <w:p w14:paraId="739CD764">
      <w:pPr>
        <w:pStyle w:val="7"/>
        <w:spacing w:before="160" w:line="364" w:lineRule="auto"/>
        <w:ind w:left="460" w:right="477" w:firstLine="480"/>
        <w:jc w:val="both"/>
      </w:pPr>
      <w:r>
        <w:t>对于产生的病死动物和不合格内脏（不可食用部分）等固体废物，主要采用送无害化处置中心的处理方式处置。病死动物和不合格内脏（不可食用部分）固废经消毒处理后用塑料袋密封，在无害化暂存间冷藏，当冷藏量达到一定量时，由岳阳县无害化处理中心的转运车集中转运至无害化处理中心进行无害化处理。其处置方式符合《动物防疫法》和《生猪定点屠宰厂</w:t>
      </w:r>
      <w:r>
        <w:rPr>
          <w:rFonts w:ascii="Times New Roman" w:eastAsia="Times New Roman"/>
        </w:rPr>
        <w:t>(</w:t>
      </w:r>
      <w:r>
        <w:t>场）病害猪无害化处理管理办法》相关规定，实现固体废物无害化处理。</w:t>
      </w:r>
    </w:p>
    <w:p w14:paraId="2A3183C5">
      <w:pPr>
        <w:pStyle w:val="7"/>
        <w:spacing w:line="304" w:lineRule="exact"/>
        <w:ind w:left="940"/>
      </w:pPr>
      <w:r>
        <w:t>（</w:t>
      </w:r>
      <w:r>
        <w:rPr>
          <w:rFonts w:ascii="Times New Roman" w:eastAsia="Times New Roman"/>
        </w:rPr>
        <w:t>2</w:t>
      </w:r>
      <w:r>
        <w:t>）一般固体废物环境影响分析</w:t>
      </w:r>
    </w:p>
    <w:p w14:paraId="2DFF976A">
      <w:pPr>
        <w:pStyle w:val="7"/>
        <w:spacing w:before="161" w:line="362" w:lineRule="auto"/>
        <w:ind w:left="460" w:right="477" w:firstLine="480"/>
        <w:jc w:val="both"/>
      </w:pPr>
      <w:r>
        <w:t>猪毛可作为毛刷等产品行业的原材料，因此，猪毛均收集后外售猪毛收购单位，不外排外环境，厂内设一般固废暂存间暂存。</w:t>
      </w:r>
    </w:p>
    <w:p w14:paraId="0D7F4E19">
      <w:pPr>
        <w:pStyle w:val="7"/>
        <w:spacing w:before="3" w:line="364" w:lineRule="auto"/>
        <w:ind w:left="460" w:right="477" w:firstLine="420"/>
        <w:jc w:val="both"/>
      </w:pPr>
      <w:r>
        <w:t>牲畜粪便、肠内容物和污水处理站栅渣、污泥等多以有机物组成为主，无重金属和有毒有害及难降解的污染物，经收集后统一交有机肥料厂作有机肥生产原料。</w:t>
      </w:r>
    </w:p>
    <w:p w14:paraId="06D345F3">
      <w:pPr>
        <w:pStyle w:val="7"/>
        <w:spacing w:line="364" w:lineRule="auto"/>
        <w:ind w:left="460" w:right="477" w:firstLine="480"/>
        <w:jc w:val="both"/>
      </w:pPr>
      <w:r>
        <w:t>项目产生的一般固废在厂内设有周转贮存设施，一般固废的贮存、处置设施严格按照《一般工业固体废物贮存和填埋污染控制标准》（</w:t>
      </w:r>
      <w:r>
        <w:rPr>
          <w:rFonts w:ascii="Times New Roman" w:eastAsia="Times New Roman"/>
        </w:rPr>
        <w:t>GB18599-2020</w:t>
      </w:r>
      <w:r>
        <w:t>） 要求建设，按性质不同分类进行贮存，贮存场所采取防风、防雨、防渗措施。对待宰车间产生的粪便等固废定时清扫、冲刷；对屠宰车间产生的内脏等及时清洗处理，清理出的内容物及时外运。项目固废运输车辆采取密闭措施，厂内临时贮存场地面做好防渗处理，采取封闭存放方式（一般固废暂存间设置在屠宰车间内，位于车间西北角位置），不露天堆置，防止雨水淋溶对周围地表水及地下水造成污染。同时固废在厂内的堆存时间较短，为避免异味产生，采取了负压密闭集气设施，恶臭气体经处理后达标排放，对环境空气质量影响较小。</w:t>
      </w:r>
    </w:p>
    <w:p w14:paraId="508F9F0F">
      <w:pPr>
        <w:pStyle w:val="7"/>
        <w:spacing w:line="304" w:lineRule="exact"/>
        <w:ind w:left="940"/>
      </w:pPr>
      <w:r>
        <w:t>（</w:t>
      </w:r>
      <w:r>
        <w:rPr>
          <w:rFonts w:ascii="Times New Roman" w:eastAsia="Times New Roman"/>
        </w:rPr>
        <w:t>3</w:t>
      </w:r>
      <w:r>
        <w:t>）生活垃圾环境影响分析</w:t>
      </w:r>
    </w:p>
    <w:p w14:paraId="12DA4488">
      <w:pPr>
        <w:pStyle w:val="7"/>
        <w:spacing w:before="157"/>
        <w:ind w:left="940"/>
      </w:pPr>
      <w:r>
        <w:t>项目生活垃圾在厂内集中收集后，清运至当地环卫部门指定的生活垃圾收</w:t>
      </w:r>
    </w:p>
    <w:p w14:paraId="56B8480F">
      <w:pPr>
        <w:spacing w:after="0"/>
        <w:sectPr>
          <w:pgSz w:w="11910" w:h="16840"/>
          <w:pgMar w:top="1360" w:right="1320" w:bottom="1400" w:left="1340" w:header="878" w:footer="1204" w:gutter="0"/>
          <w:cols w:space="720" w:num="1"/>
        </w:sectPr>
      </w:pPr>
    </w:p>
    <w:p w14:paraId="29B3453E">
      <w:pPr>
        <w:pStyle w:val="7"/>
        <w:spacing w:before="68" w:line="364" w:lineRule="auto"/>
        <w:ind w:left="460" w:right="477"/>
        <w:jc w:val="both"/>
      </w:pPr>
      <w:r>
        <w:t>集点堆放，再由环卫部门统一处理。项目生活垃圾日产日清，厂内存放时间短，并得到及时有效处置，对环境影响不大。</w:t>
      </w:r>
    </w:p>
    <w:p w14:paraId="37A60FD2">
      <w:pPr>
        <w:pStyle w:val="7"/>
        <w:spacing w:line="306" w:lineRule="exact"/>
        <w:ind w:left="940"/>
      </w:pPr>
      <w:r>
        <w:t>（</w:t>
      </w:r>
      <w:r>
        <w:rPr>
          <w:rFonts w:ascii="Times New Roman" w:eastAsia="Times New Roman"/>
        </w:rPr>
        <w:t>4</w:t>
      </w:r>
      <w:r>
        <w:t>）危险废物</w:t>
      </w:r>
    </w:p>
    <w:p w14:paraId="27A5F610">
      <w:pPr>
        <w:pStyle w:val="7"/>
        <w:spacing w:before="160" w:line="362" w:lineRule="auto"/>
        <w:ind w:left="460" w:right="477" w:firstLine="480"/>
        <w:jc w:val="both"/>
        <w:rPr>
          <w:rFonts w:ascii="Times New Roman" w:eastAsia="Times New Roman"/>
        </w:rPr>
      </w:pPr>
      <w:r>
        <w:t>危险废物应及时送往委托单位处理，不宜存放过长时间，确需暂存的，应做到如下要求：贮存场所必须符合《危险废物贮存污染控制标准》（</w:t>
      </w:r>
      <w:r>
        <w:rPr>
          <w:rFonts w:ascii="Times New Roman" w:eastAsia="Times New Roman"/>
        </w:rPr>
        <w:t>GB18597-</w:t>
      </w:r>
    </w:p>
    <w:p w14:paraId="6F557720">
      <w:pPr>
        <w:pStyle w:val="7"/>
        <w:spacing w:before="5" w:line="364" w:lineRule="auto"/>
        <w:ind w:left="460" w:right="477"/>
        <w:jc w:val="both"/>
      </w:pPr>
      <w:r>
        <w:rPr>
          <w:rFonts w:ascii="Times New Roman" w:hAnsi="Times New Roman" w:eastAsia="Times New Roman"/>
        </w:rPr>
        <w:t>2001</w:t>
      </w:r>
      <w:r>
        <w:t>）规定的贮存控制标准，必须有符合要求的专用标志；贮存场所内禁止混放不相容危险废物；贮存场所要有集排水和防渗设施；贮存场所符合消防要求；贮存场所应做好防风、防雨、防渗漏的</w:t>
      </w:r>
      <w:r>
        <w:rPr>
          <w:rFonts w:ascii="Times New Roman" w:hAnsi="Times New Roman" w:eastAsia="Times New Roman"/>
        </w:rPr>
        <w:t>“</w:t>
      </w:r>
      <w:r>
        <w:t>三防</w:t>
      </w:r>
      <w:r>
        <w:rPr>
          <w:rFonts w:ascii="Times New Roman" w:hAnsi="Times New Roman" w:eastAsia="Times New Roman"/>
        </w:rPr>
        <w:t>”</w:t>
      </w:r>
      <w:r>
        <w:t>措施；废物的贮存容器必须有明显标志，具有耐腐蚀、耐压、密封和不与所贮存的废物发生反应等特性。危废暂存间设置危废产生及转移台账，危废名称、来源、数量、特性和包装容器的类别、入库日期、存放位置、出库日期等均进行记录。</w:t>
      </w:r>
    </w:p>
    <w:p w14:paraId="6ABD884B">
      <w:pPr>
        <w:pStyle w:val="7"/>
        <w:spacing w:line="364" w:lineRule="auto"/>
        <w:ind w:left="460" w:right="477" w:firstLine="480"/>
        <w:jc w:val="both"/>
      </w:pPr>
      <w:r>
        <w:t>综上所述，拟建项目产生的固体废物有效收集，分类贮存，杜绝厂内散落丢失，避免产生二次污染，按照固体废物污染防治实行“减量化、资源化和无害化”原则，依照相关规范合理收集、暂存和处置，项目产生的固体废物对环境影响较小。</w:t>
      </w:r>
    </w:p>
    <w:p w14:paraId="28AA6B19">
      <w:pPr>
        <w:pStyle w:val="13"/>
        <w:numPr>
          <w:ilvl w:val="2"/>
          <w:numId w:val="23"/>
        </w:numPr>
        <w:tabs>
          <w:tab w:val="left" w:pos="1080"/>
        </w:tabs>
        <w:spacing w:before="0" w:after="0" w:line="357" w:lineRule="exact"/>
        <w:ind w:left="1079" w:right="0" w:hanging="619"/>
        <w:jc w:val="left"/>
        <w:rPr>
          <w:b/>
          <w:sz w:val="28"/>
        </w:rPr>
      </w:pPr>
      <w:bookmarkStart w:id="201" w:name="5.2.7生态环境影响分析"/>
      <w:bookmarkEnd w:id="201"/>
      <w:bookmarkStart w:id="202" w:name="5.2.7生态环境影响分析"/>
      <w:bookmarkEnd w:id="202"/>
      <w:r>
        <w:rPr>
          <w:b/>
          <w:sz w:val="28"/>
        </w:rPr>
        <w:t>生态环境影响分析</w:t>
      </w:r>
    </w:p>
    <w:p w14:paraId="621CA220">
      <w:pPr>
        <w:pStyle w:val="7"/>
        <w:spacing w:before="182" w:line="364" w:lineRule="auto"/>
        <w:ind w:left="460" w:right="477" w:firstLine="540"/>
        <w:jc w:val="both"/>
      </w:pPr>
      <w:r>
        <w:t>本项目选址为荒地和闲置砖棚，对生态环境的影响主要是水土流失。通过对所在地区的现状调查，本项目选址所在区域的水土流失主要以水力侵蚀为主，尤其是植被贫瘠地区在暴雨时容易产生冲沟，造成水土流失。</w:t>
      </w:r>
    </w:p>
    <w:p w14:paraId="39C0EA22">
      <w:pPr>
        <w:pStyle w:val="7"/>
        <w:spacing w:line="364" w:lineRule="auto"/>
        <w:ind w:left="460" w:right="477" w:firstLine="480"/>
        <w:jc w:val="both"/>
      </w:pPr>
      <w:r>
        <w:t>通过厂区防护绿地、道路两边景观绿化等廊道把各种群源、次种群源、节点串通起来，保证了物种生态的持久性，有利于生物物种的流动，生物可达性增强，同时也增加了景观系统的稳定性。因此，本项目运营期对周围生态环境影响主要表现为有利影响。</w:t>
      </w:r>
    </w:p>
    <w:p w14:paraId="404630B4">
      <w:pPr>
        <w:spacing w:after="0" w:line="364" w:lineRule="auto"/>
        <w:jc w:val="both"/>
        <w:sectPr>
          <w:pgSz w:w="11910" w:h="16840"/>
          <w:pgMar w:top="1360" w:right="1320" w:bottom="1400" w:left="1340" w:header="878" w:footer="1204" w:gutter="0"/>
          <w:cols w:space="720" w:num="1"/>
        </w:sectPr>
      </w:pPr>
    </w:p>
    <w:p w14:paraId="644CFF80">
      <w:pPr>
        <w:pStyle w:val="7"/>
        <w:spacing w:before="10"/>
        <w:rPr>
          <w:sz w:val="9"/>
        </w:rPr>
      </w:pPr>
    </w:p>
    <w:p w14:paraId="714D9418">
      <w:pPr>
        <w:pStyle w:val="2"/>
        <w:ind w:left="264" w:right="286" w:firstLine="0"/>
        <w:jc w:val="center"/>
      </w:pPr>
      <w:bookmarkStart w:id="203" w:name="6环境风险评价"/>
      <w:bookmarkEnd w:id="203"/>
      <w:bookmarkStart w:id="204" w:name="_bookmark28"/>
      <w:bookmarkEnd w:id="204"/>
      <w:r>
        <w:rPr>
          <w:rFonts w:ascii="Times New Roman" w:eastAsia="Times New Roman"/>
        </w:rPr>
        <w:t xml:space="preserve">6 </w:t>
      </w:r>
      <w:r>
        <w:t>环境风险评价</w:t>
      </w:r>
    </w:p>
    <w:p w14:paraId="62534A68">
      <w:pPr>
        <w:pStyle w:val="7"/>
        <w:rPr>
          <w:b/>
          <w:sz w:val="26"/>
        </w:rPr>
      </w:pPr>
    </w:p>
    <w:p w14:paraId="2FAF4013">
      <w:pPr>
        <w:pStyle w:val="3"/>
        <w:numPr>
          <w:ilvl w:val="1"/>
          <w:numId w:val="24"/>
        </w:numPr>
        <w:tabs>
          <w:tab w:val="left" w:pos="868"/>
        </w:tabs>
        <w:spacing w:before="0" w:after="0" w:line="240" w:lineRule="auto"/>
        <w:ind w:left="868" w:right="0" w:hanging="408"/>
        <w:jc w:val="left"/>
      </w:pPr>
      <w:bookmarkStart w:id="205" w:name="6.1评价目的与重点"/>
      <w:bookmarkEnd w:id="205"/>
      <w:bookmarkStart w:id="206" w:name="_bookmark29"/>
      <w:bookmarkEnd w:id="206"/>
      <w:bookmarkStart w:id="207" w:name="_bookmark29"/>
      <w:bookmarkEnd w:id="207"/>
      <w:r>
        <w:t>评价目的与重点</w:t>
      </w:r>
    </w:p>
    <w:p w14:paraId="19429B67">
      <w:pPr>
        <w:pStyle w:val="7"/>
        <w:spacing w:before="186" w:line="364" w:lineRule="auto"/>
        <w:ind w:left="460" w:right="477" w:firstLine="480"/>
        <w:jc w:val="both"/>
      </w:pPr>
      <w:r>
        <w:t>环境风险是指突发性事故对环境</w:t>
      </w:r>
      <w:r>
        <w:rPr>
          <w:rFonts w:ascii="Times New Roman" w:eastAsia="Times New Roman"/>
        </w:rPr>
        <w:t>(</w:t>
      </w:r>
      <w:r>
        <w:t>或健康</w:t>
      </w:r>
      <w:r>
        <w:rPr>
          <w:rFonts w:ascii="Times New Roman" w:eastAsia="Times New Roman"/>
        </w:rPr>
        <w:t>)</w:t>
      </w:r>
      <w:r>
        <w:t>的危害程度。环境风险评价的目的是分析和预测建设项目潜在危险、有害因素，建设项目建设和运营期可能发生的突发性事件或事故（一般不包括人为破坏及自然灾害），引起有毒有害和易燃易爆等物质泄漏以及泄漏事故引起的火灾或爆炸事故，所造成的人身安全、环境影响和损害程度，提出合理可行的防范、应急与减缓措施，以使建设项目事故率、损失和环境影响达到可接受水平。</w:t>
      </w:r>
    </w:p>
    <w:p w14:paraId="234D5455">
      <w:pPr>
        <w:pStyle w:val="7"/>
        <w:spacing w:line="364" w:lineRule="auto"/>
        <w:ind w:left="460" w:right="477" w:firstLine="480"/>
        <w:jc w:val="both"/>
      </w:pPr>
      <w:r>
        <w:t>根据生态环境部（原环境保护部）《关于进一步加强环境影响评价管理防范环境风险的通知》</w:t>
      </w:r>
      <w:r>
        <w:rPr>
          <w:rFonts w:ascii="Times New Roman" w:hAnsi="Times New Roman" w:eastAsia="Times New Roman"/>
        </w:rPr>
        <w:t>(</w:t>
      </w:r>
      <w:r>
        <w:t>环发</w:t>
      </w:r>
      <w:r>
        <w:rPr>
          <w:rFonts w:ascii="Times New Roman" w:hAnsi="Times New Roman" w:eastAsia="Times New Roman"/>
        </w:rPr>
        <w:t xml:space="preserve">[2012]77 </w:t>
      </w:r>
      <w:r>
        <w:t>号</w:t>
      </w:r>
      <w:r>
        <w:rPr>
          <w:rFonts w:ascii="Times New Roman" w:hAnsi="Times New Roman" w:eastAsia="Times New Roman"/>
        </w:rPr>
        <w:t>)</w:t>
      </w:r>
      <w:r>
        <w:t>的要求：“新、改、扩建相关建设项目环境影响评价应按照相应技术导则要求，科学预测评价突发性事件或事故可能引发的环境风险，提出环境风险防范和应急措施”。再者，本次评价以《建设项目环境风险评价技术导则》（</w:t>
      </w:r>
      <w:r>
        <w:rPr>
          <w:rFonts w:ascii="Times New Roman" w:hAnsi="Times New Roman" w:eastAsia="Times New Roman"/>
        </w:rPr>
        <w:t>HJ/T169-2018</w:t>
      </w:r>
      <w:r>
        <w:t>）为指导，通过对本建项目进行风险识别和源项分析，进行风险影响分析，提出减缓风险的措施和应急预案，为环境管理提供资料和依据，达到降低危险、减少危害的目的。由于本项目生产厂区内存储有危险化学品，因此必须对项目进行环境风险评价。</w:t>
      </w:r>
    </w:p>
    <w:p w14:paraId="52CD7F1F">
      <w:pPr>
        <w:pStyle w:val="3"/>
        <w:numPr>
          <w:ilvl w:val="1"/>
          <w:numId w:val="24"/>
        </w:numPr>
        <w:tabs>
          <w:tab w:val="left" w:pos="868"/>
        </w:tabs>
        <w:spacing w:before="0" w:after="0" w:line="355" w:lineRule="exact"/>
        <w:ind w:left="868" w:right="0" w:hanging="408"/>
        <w:jc w:val="left"/>
      </w:pPr>
      <w:bookmarkStart w:id="208" w:name="_bookmark30"/>
      <w:bookmarkEnd w:id="208"/>
      <w:bookmarkStart w:id="209" w:name="_bookmark30"/>
      <w:bookmarkEnd w:id="209"/>
      <w:bookmarkStart w:id="210" w:name="6.2评价等级"/>
      <w:bookmarkEnd w:id="210"/>
      <w:r>
        <w:t>评价等级</w:t>
      </w:r>
    </w:p>
    <w:p w14:paraId="1A7BDA17">
      <w:pPr>
        <w:pStyle w:val="6"/>
        <w:spacing w:before="181"/>
        <w:ind w:left="460"/>
      </w:pPr>
      <w:bookmarkStart w:id="211" w:name="6.2.1风险调查"/>
      <w:bookmarkEnd w:id="211"/>
      <w:r>
        <w:rPr>
          <w:rFonts w:ascii="Times New Roman" w:eastAsia="Times New Roman"/>
        </w:rPr>
        <w:t xml:space="preserve">6.2.1 </w:t>
      </w:r>
      <w:r>
        <w:t>风险调查</w:t>
      </w:r>
    </w:p>
    <w:p w14:paraId="313585C4">
      <w:pPr>
        <w:pStyle w:val="6"/>
        <w:spacing w:before="161"/>
        <w:ind w:left="460"/>
      </w:pPr>
      <w:bookmarkStart w:id="212" w:name="6.2.1.1风险源调查"/>
      <w:bookmarkEnd w:id="212"/>
      <w:r>
        <w:rPr>
          <w:rFonts w:ascii="Times New Roman" w:eastAsia="Times New Roman"/>
        </w:rPr>
        <w:t xml:space="preserve">6.2.1.1 </w:t>
      </w:r>
      <w:r>
        <w:t>风险源调查</w:t>
      </w:r>
    </w:p>
    <w:p w14:paraId="4C4783F0">
      <w:pPr>
        <w:pStyle w:val="7"/>
        <w:spacing w:before="158" w:line="364" w:lineRule="auto"/>
        <w:ind w:left="460" w:right="477" w:firstLine="480"/>
        <w:jc w:val="both"/>
      </w:pPr>
      <w:r>
        <w:t xml:space="preserve">根据对建设项目危险物质的调查情况及收集的危险物质安全技术说明书等资料，本项目主要危险物质为废水处理消毒用的次氯酸钠和车间消毒剂过氧乙酸。次氯酸钠储存在污水处理站的药品间内，采用 </w:t>
      </w:r>
      <w:r>
        <w:rPr>
          <w:rFonts w:ascii="Times New Roman" w:eastAsia="Times New Roman"/>
        </w:rPr>
        <w:t>155kg/</w:t>
      </w:r>
      <w:r>
        <w:t>桶装，最大储存量</w:t>
      </w:r>
    </w:p>
    <w:p w14:paraId="722344C0">
      <w:pPr>
        <w:pStyle w:val="7"/>
        <w:spacing w:line="307" w:lineRule="exact"/>
        <w:ind w:left="460"/>
      </w:pPr>
      <w:r>
        <w:rPr>
          <w:rFonts w:ascii="Times New Roman" w:eastAsia="Times New Roman"/>
        </w:rPr>
        <w:t>1.7t</w:t>
      </w:r>
      <w:r>
        <w:t xml:space="preserve">；过氧乙酸存在车间药品间内，采用 </w:t>
      </w:r>
      <w:r>
        <w:rPr>
          <w:rFonts w:ascii="Times New Roman" w:eastAsia="Times New Roman"/>
        </w:rPr>
        <w:t>25kg/</w:t>
      </w:r>
      <w:r>
        <w:t xml:space="preserve">桶装，最大储存量 </w:t>
      </w:r>
      <w:r>
        <w:rPr>
          <w:rFonts w:ascii="Times New Roman" w:eastAsia="Times New Roman"/>
        </w:rPr>
        <w:t>0.1t</w:t>
      </w:r>
      <w:r>
        <w:t>。</w:t>
      </w:r>
    </w:p>
    <w:p w14:paraId="07A853DB">
      <w:pPr>
        <w:pStyle w:val="6"/>
        <w:spacing w:before="158"/>
        <w:ind w:left="460"/>
      </w:pPr>
      <w:bookmarkStart w:id="213" w:name="6.2.1.2环境敏感目标调查"/>
      <w:bookmarkEnd w:id="213"/>
      <w:r>
        <w:rPr>
          <w:rFonts w:ascii="Times New Roman" w:eastAsia="Times New Roman"/>
        </w:rPr>
        <w:t xml:space="preserve">6.2.1.2 </w:t>
      </w:r>
      <w:r>
        <w:t>环境敏感目标调查</w:t>
      </w:r>
    </w:p>
    <w:p w14:paraId="6624AB74">
      <w:pPr>
        <w:pStyle w:val="7"/>
        <w:spacing w:before="160" w:line="364" w:lineRule="auto"/>
        <w:ind w:left="460" w:right="477" w:firstLine="480"/>
        <w:jc w:val="both"/>
      </w:pPr>
      <w:r>
        <w:t xml:space="preserve">根据本项目危险物质为次氯酸钠和过氧乙酸，对环境可能的影响途径主要是大气。其次是废水事故排放，对环境可能的影响途径主要是地表水。环境风险敏感保护目标详见 </w:t>
      </w:r>
      <w:r>
        <w:rPr>
          <w:rFonts w:ascii="Times New Roman" w:eastAsia="Times New Roman"/>
        </w:rPr>
        <w:t xml:space="preserve">2.7 </w:t>
      </w:r>
      <w:r>
        <w:t>章节。</w:t>
      </w:r>
    </w:p>
    <w:p w14:paraId="386665C3">
      <w:pPr>
        <w:pStyle w:val="6"/>
        <w:numPr>
          <w:ilvl w:val="2"/>
          <w:numId w:val="25"/>
        </w:numPr>
        <w:tabs>
          <w:tab w:val="left" w:pos="991"/>
        </w:tabs>
        <w:spacing w:before="0" w:after="0" w:line="304" w:lineRule="exact"/>
        <w:ind w:left="990" w:right="0" w:hanging="530"/>
        <w:jc w:val="left"/>
      </w:pPr>
      <w:bookmarkStart w:id="214" w:name="6.2.2环境风险潜势初判"/>
      <w:bookmarkEnd w:id="214"/>
      <w:bookmarkStart w:id="215" w:name="6.2.2环境风险潜势初判"/>
      <w:bookmarkEnd w:id="215"/>
      <w:r>
        <w:t>环境风险潜势初判</w:t>
      </w:r>
    </w:p>
    <w:p w14:paraId="7A016F3F">
      <w:pPr>
        <w:pStyle w:val="7"/>
        <w:spacing w:before="161"/>
        <w:ind w:left="940"/>
      </w:pPr>
      <w:r>
        <w:t>根据建设项目设计的物质和工艺系统的危险性及其所在地的环境敏感程</w:t>
      </w:r>
    </w:p>
    <w:p w14:paraId="5A7C0390">
      <w:pPr>
        <w:spacing w:after="0"/>
        <w:sectPr>
          <w:pgSz w:w="11910" w:h="16840"/>
          <w:pgMar w:top="1360" w:right="1320" w:bottom="1400" w:left="1340" w:header="878" w:footer="1204" w:gutter="0"/>
          <w:cols w:space="720" w:num="1"/>
        </w:sectPr>
      </w:pPr>
    </w:p>
    <w:p w14:paraId="19E06AC8">
      <w:pPr>
        <w:pStyle w:val="7"/>
        <w:spacing w:before="68" w:line="364" w:lineRule="auto"/>
        <w:ind w:left="460" w:right="477"/>
      </w:pPr>
      <w:r>
        <w:t>度，结合事故情形下环境影响途径，对建设项目潜在环境危害程度进行概化分析，按照下表确定环境风险潜势。</w:t>
      </w:r>
    </w:p>
    <w:p w14:paraId="444835C2">
      <w:pPr>
        <w:spacing w:before="0" w:after="4" w:line="267" w:lineRule="exact"/>
        <w:ind w:left="264" w:right="286" w:firstLine="0"/>
        <w:jc w:val="center"/>
        <w:rPr>
          <w:b/>
          <w:sz w:val="21"/>
        </w:rPr>
      </w:pPr>
      <w:r>
        <w:rPr>
          <w:b/>
          <w:sz w:val="21"/>
        </w:rPr>
        <w:t xml:space="preserve">表 </w:t>
      </w:r>
      <w:r>
        <w:rPr>
          <w:rFonts w:ascii="Times New Roman" w:eastAsia="Times New Roman"/>
          <w:b/>
          <w:sz w:val="21"/>
        </w:rPr>
        <w:t xml:space="preserve">6.2-1 </w:t>
      </w:r>
      <w:r>
        <w:rPr>
          <w:b/>
          <w:sz w:val="21"/>
        </w:rPr>
        <w:t>建设项目环境风险潜势划分</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8"/>
        <w:gridCol w:w="1599"/>
        <w:gridCol w:w="1599"/>
        <w:gridCol w:w="1599"/>
        <w:gridCol w:w="1597"/>
      </w:tblGrid>
      <w:tr w14:paraId="0BE37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28" w:type="dxa"/>
            <w:vMerge w:val="restart"/>
          </w:tcPr>
          <w:p w14:paraId="2FAEA077">
            <w:pPr>
              <w:pStyle w:val="14"/>
              <w:spacing w:before="9"/>
              <w:rPr>
                <w:b/>
                <w:sz w:val="28"/>
              </w:rPr>
            </w:pPr>
          </w:p>
          <w:p w14:paraId="5C720D77">
            <w:pPr>
              <w:pStyle w:val="14"/>
              <w:ind w:left="148"/>
              <w:rPr>
                <w:b/>
                <w:sz w:val="21"/>
              </w:rPr>
            </w:pPr>
            <w:r>
              <w:rPr>
                <w:b/>
                <w:sz w:val="21"/>
              </w:rPr>
              <w:t>环境敏感程度（</w:t>
            </w:r>
            <w:r>
              <w:rPr>
                <w:rFonts w:ascii="Times New Roman" w:eastAsia="Times New Roman"/>
                <w:b/>
                <w:sz w:val="21"/>
              </w:rPr>
              <w:t>E</w:t>
            </w:r>
            <w:r>
              <w:rPr>
                <w:b/>
                <w:sz w:val="21"/>
              </w:rPr>
              <w:t>）</w:t>
            </w:r>
          </w:p>
        </w:tc>
        <w:tc>
          <w:tcPr>
            <w:tcW w:w="6394" w:type="dxa"/>
            <w:gridSpan w:val="4"/>
          </w:tcPr>
          <w:p w14:paraId="30601315">
            <w:pPr>
              <w:pStyle w:val="14"/>
              <w:spacing w:before="92"/>
              <w:ind w:left="1656"/>
              <w:rPr>
                <w:b/>
                <w:sz w:val="21"/>
              </w:rPr>
            </w:pPr>
            <w:r>
              <w:rPr>
                <w:b/>
                <w:sz w:val="21"/>
              </w:rPr>
              <w:t>危险物质及工艺系统危险性（</w:t>
            </w:r>
            <w:r>
              <w:rPr>
                <w:rFonts w:ascii="Times New Roman" w:eastAsia="Times New Roman"/>
                <w:b/>
                <w:sz w:val="21"/>
              </w:rPr>
              <w:t>P</w:t>
            </w:r>
            <w:r>
              <w:rPr>
                <w:b/>
                <w:sz w:val="21"/>
              </w:rPr>
              <w:t>）</w:t>
            </w:r>
          </w:p>
        </w:tc>
      </w:tr>
      <w:tr w14:paraId="6229A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28" w:type="dxa"/>
            <w:vMerge w:val="continue"/>
            <w:tcBorders>
              <w:top w:val="nil"/>
            </w:tcBorders>
          </w:tcPr>
          <w:p w14:paraId="4A400CDD">
            <w:pPr>
              <w:rPr>
                <w:sz w:val="2"/>
                <w:szCs w:val="2"/>
              </w:rPr>
            </w:pPr>
          </w:p>
        </w:tc>
        <w:tc>
          <w:tcPr>
            <w:tcW w:w="1599" w:type="dxa"/>
          </w:tcPr>
          <w:p w14:paraId="5E5C452C">
            <w:pPr>
              <w:pStyle w:val="14"/>
              <w:ind w:left="377"/>
              <w:rPr>
                <w:b/>
                <w:sz w:val="21"/>
              </w:rPr>
            </w:pPr>
            <w:r>
              <w:rPr>
                <w:b/>
                <w:sz w:val="21"/>
              </w:rPr>
              <w:t>极高危害</w:t>
            </w:r>
          </w:p>
          <w:p w14:paraId="5E7CC9B4">
            <w:pPr>
              <w:pStyle w:val="14"/>
              <w:spacing w:before="4" w:line="251" w:lineRule="exact"/>
              <w:ind w:left="470"/>
              <w:rPr>
                <w:b/>
                <w:sz w:val="21"/>
              </w:rPr>
            </w:pPr>
            <w:r>
              <w:rPr>
                <w:b/>
                <w:sz w:val="21"/>
              </w:rPr>
              <w:t>（</w:t>
            </w:r>
            <w:r>
              <w:rPr>
                <w:rFonts w:ascii="Times New Roman" w:eastAsia="Times New Roman"/>
                <w:b/>
                <w:sz w:val="21"/>
              </w:rPr>
              <w:t>P1</w:t>
            </w:r>
            <w:r>
              <w:rPr>
                <w:b/>
                <w:sz w:val="21"/>
              </w:rPr>
              <w:t>）</w:t>
            </w:r>
          </w:p>
        </w:tc>
        <w:tc>
          <w:tcPr>
            <w:tcW w:w="1599" w:type="dxa"/>
          </w:tcPr>
          <w:p w14:paraId="15D4C4A7">
            <w:pPr>
              <w:pStyle w:val="14"/>
              <w:ind w:left="376"/>
              <w:rPr>
                <w:b/>
                <w:sz w:val="21"/>
              </w:rPr>
            </w:pPr>
            <w:r>
              <w:rPr>
                <w:b/>
                <w:sz w:val="21"/>
              </w:rPr>
              <w:t>高度危害</w:t>
            </w:r>
          </w:p>
          <w:p w14:paraId="244A5E20">
            <w:pPr>
              <w:pStyle w:val="14"/>
              <w:spacing w:before="4" w:line="251" w:lineRule="exact"/>
              <w:ind w:left="472"/>
              <w:rPr>
                <w:b/>
                <w:sz w:val="21"/>
              </w:rPr>
            </w:pPr>
            <w:r>
              <w:rPr>
                <w:b/>
                <w:sz w:val="21"/>
              </w:rPr>
              <w:t>（</w:t>
            </w:r>
            <w:r>
              <w:rPr>
                <w:rFonts w:ascii="Times New Roman" w:eastAsia="Times New Roman"/>
                <w:b/>
                <w:sz w:val="21"/>
              </w:rPr>
              <w:t>P2</w:t>
            </w:r>
            <w:r>
              <w:rPr>
                <w:b/>
                <w:sz w:val="21"/>
              </w:rPr>
              <w:t>）</w:t>
            </w:r>
          </w:p>
        </w:tc>
        <w:tc>
          <w:tcPr>
            <w:tcW w:w="1599" w:type="dxa"/>
          </w:tcPr>
          <w:p w14:paraId="1A964851">
            <w:pPr>
              <w:pStyle w:val="14"/>
              <w:ind w:left="378"/>
              <w:rPr>
                <w:b/>
                <w:sz w:val="21"/>
              </w:rPr>
            </w:pPr>
            <w:r>
              <w:rPr>
                <w:b/>
                <w:sz w:val="21"/>
              </w:rPr>
              <w:t>中度危害</w:t>
            </w:r>
          </w:p>
          <w:p w14:paraId="5A93091D">
            <w:pPr>
              <w:pStyle w:val="14"/>
              <w:spacing w:before="4" w:line="251" w:lineRule="exact"/>
              <w:ind w:left="472"/>
              <w:rPr>
                <w:b/>
                <w:sz w:val="21"/>
              </w:rPr>
            </w:pPr>
            <w:r>
              <w:rPr>
                <w:b/>
                <w:sz w:val="21"/>
              </w:rPr>
              <w:t>（</w:t>
            </w:r>
            <w:r>
              <w:rPr>
                <w:rFonts w:ascii="Times New Roman" w:eastAsia="Times New Roman"/>
                <w:b/>
                <w:sz w:val="21"/>
              </w:rPr>
              <w:t>P3</w:t>
            </w:r>
            <w:r>
              <w:rPr>
                <w:b/>
                <w:sz w:val="21"/>
              </w:rPr>
              <w:t>）</w:t>
            </w:r>
          </w:p>
        </w:tc>
        <w:tc>
          <w:tcPr>
            <w:tcW w:w="1597" w:type="dxa"/>
          </w:tcPr>
          <w:p w14:paraId="67C6D231">
            <w:pPr>
              <w:pStyle w:val="14"/>
              <w:ind w:left="375"/>
              <w:rPr>
                <w:b/>
                <w:sz w:val="21"/>
              </w:rPr>
            </w:pPr>
            <w:r>
              <w:rPr>
                <w:b/>
                <w:sz w:val="21"/>
              </w:rPr>
              <w:t>轻度危害</w:t>
            </w:r>
          </w:p>
          <w:p w14:paraId="502D4129">
            <w:pPr>
              <w:pStyle w:val="14"/>
              <w:spacing w:before="4" w:line="251" w:lineRule="exact"/>
              <w:ind w:left="471"/>
              <w:rPr>
                <w:b/>
                <w:sz w:val="21"/>
              </w:rPr>
            </w:pPr>
            <w:r>
              <w:rPr>
                <w:b/>
                <w:sz w:val="21"/>
              </w:rPr>
              <w:t>（</w:t>
            </w:r>
            <w:r>
              <w:rPr>
                <w:rFonts w:ascii="Times New Roman" w:eastAsia="Times New Roman"/>
                <w:b/>
                <w:sz w:val="21"/>
              </w:rPr>
              <w:t>P4</w:t>
            </w:r>
            <w:r>
              <w:rPr>
                <w:b/>
                <w:sz w:val="21"/>
              </w:rPr>
              <w:t>）</w:t>
            </w:r>
          </w:p>
        </w:tc>
      </w:tr>
      <w:tr w14:paraId="108CF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128" w:type="dxa"/>
          </w:tcPr>
          <w:p w14:paraId="592CF5DE">
            <w:pPr>
              <w:pStyle w:val="14"/>
              <w:spacing w:line="268" w:lineRule="exact"/>
              <w:ind w:left="308" w:right="300"/>
              <w:jc w:val="center"/>
              <w:rPr>
                <w:sz w:val="21"/>
              </w:rPr>
            </w:pPr>
            <w:r>
              <w:rPr>
                <w:sz w:val="21"/>
              </w:rPr>
              <w:t>环境高度敏感区</w:t>
            </w:r>
          </w:p>
          <w:p w14:paraId="47D55C9E">
            <w:pPr>
              <w:pStyle w:val="14"/>
              <w:spacing w:before="4" w:line="251" w:lineRule="exact"/>
              <w:ind w:left="308" w:right="300"/>
              <w:jc w:val="center"/>
              <w:rPr>
                <w:sz w:val="21"/>
              </w:rPr>
            </w:pPr>
            <w:r>
              <w:rPr>
                <w:sz w:val="21"/>
              </w:rPr>
              <w:t>（</w:t>
            </w:r>
            <w:r>
              <w:rPr>
                <w:rFonts w:ascii="Times New Roman" w:eastAsia="Times New Roman"/>
                <w:sz w:val="21"/>
              </w:rPr>
              <w:t>E1</w:t>
            </w:r>
            <w:r>
              <w:rPr>
                <w:sz w:val="21"/>
              </w:rPr>
              <w:t>）</w:t>
            </w:r>
          </w:p>
        </w:tc>
        <w:tc>
          <w:tcPr>
            <w:tcW w:w="1599" w:type="dxa"/>
          </w:tcPr>
          <w:p w14:paraId="55177252">
            <w:pPr>
              <w:pStyle w:val="14"/>
              <w:spacing w:before="150"/>
              <w:ind w:left="629"/>
              <w:rPr>
                <w:rFonts w:ascii="Times New Roman"/>
                <w:sz w:val="21"/>
              </w:rPr>
            </w:pPr>
            <w:r>
              <w:rPr>
                <w:rFonts w:ascii="Times New Roman"/>
                <w:sz w:val="21"/>
              </w:rPr>
              <w:t>IV+</w:t>
            </w:r>
          </w:p>
        </w:tc>
        <w:tc>
          <w:tcPr>
            <w:tcW w:w="1599" w:type="dxa"/>
          </w:tcPr>
          <w:p w14:paraId="58ACF926">
            <w:pPr>
              <w:pStyle w:val="14"/>
              <w:spacing w:before="150"/>
              <w:ind w:left="688"/>
              <w:rPr>
                <w:rFonts w:ascii="Times New Roman"/>
                <w:sz w:val="21"/>
              </w:rPr>
            </w:pPr>
            <w:r>
              <w:rPr>
                <w:rFonts w:ascii="Times New Roman"/>
                <w:sz w:val="21"/>
              </w:rPr>
              <w:t>IV</w:t>
            </w:r>
          </w:p>
        </w:tc>
        <w:tc>
          <w:tcPr>
            <w:tcW w:w="1599" w:type="dxa"/>
          </w:tcPr>
          <w:p w14:paraId="4D5C8333">
            <w:pPr>
              <w:pStyle w:val="14"/>
              <w:spacing w:before="150"/>
              <w:ind w:left="692"/>
              <w:rPr>
                <w:rFonts w:ascii="Times New Roman"/>
                <w:sz w:val="21"/>
              </w:rPr>
            </w:pPr>
            <w:r>
              <w:rPr>
                <w:rFonts w:ascii="Times New Roman"/>
                <w:sz w:val="21"/>
              </w:rPr>
              <w:t>III</w:t>
            </w:r>
          </w:p>
        </w:tc>
        <w:tc>
          <w:tcPr>
            <w:tcW w:w="1597" w:type="dxa"/>
          </w:tcPr>
          <w:p w14:paraId="27F577EA">
            <w:pPr>
              <w:pStyle w:val="14"/>
              <w:spacing w:before="150"/>
              <w:ind w:right="683"/>
              <w:jc w:val="right"/>
              <w:rPr>
                <w:rFonts w:ascii="Times New Roman"/>
                <w:sz w:val="21"/>
              </w:rPr>
            </w:pPr>
            <w:r>
              <w:rPr>
                <w:rFonts w:ascii="Times New Roman"/>
                <w:sz w:val="21"/>
              </w:rPr>
              <w:t>III</w:t>
            </w:r>
          </w:p>
        </w:tc>
      </w:tr>
      <w:tr w14:paraId="5E0E9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28" w:type="dxa"/>
          </w:tcPr>
          <w:p w14:paraId="179A8089">
            <w:pPr>
              <w:pStyle w:val="14"/>
              <w:spacing w:before="2"/>
              <w:ind w:left="308" w:right="300"/>
              <w:jc w:val="center"/>
              <w:rPr>
                <w:sz w:val="21"/>
              </w:rPr>
            </w:pPr>
            <w:r>
              <w:rPr>
                <w:sz w:val="21"/>
              </w:rPr>
              <w:t>环境中度敏感区</w:t>
            </w:r>
          </w:p>
          <w:p w14:paraId="1F275A89">
            <w:pPr>
              <w:pStyle w:val="14"/>
              <w:spacing w:before="2" w:line="252" w:lineRule="exact"/>
              <w:ind w:left="308" w:right="300"/>
              <w:jc w:val="center"/>
              <w:rPr>
                <w:sz w:val="21"/>
              </w:rPr>
            </w:pPr>
            <w:r>
              <w:rPr>
                <w:sz w:val="21"/>
              </w:rPr>
              <w:t>（</w:t>
            </w:r>
            <w:r>
              <w:rPr>
                <w:rFonts w:ascii="Times New Roman" w:eastAsia="Times New Roman"/>
                <w:sz w:val="21"/>
              </w:rPr>
              <w:t>E2</w:t>
            </w:r>
            <w:r>
              <w:rPr>
                <w:sz w:val="21"/>
              </w:rPr>
              <w:t>）</w:t>
            </w:r>
          </w:p>
        </w:tc>
        <w:tc>
          <w:tcPr>
            <w:tcW w:w="1599" w:type="dxa"/>
          </w:tcPr>
          <w:p w14:paraId="2965FA9F">
            <w:pPr>
              <w:pStyle w:val="14"/>
              <w:spacing w:before="150"/>
              <w:ind w:left="686"/>
              <w:rPr>
                <w:rFonts w:ascii="Times New Roman"/>
                <w:sz w:val="21"/>
              </w:rPr>
            </w:pPr>
            <w:r>
              <w:rPr>
                <w:rFonts w:ascii="Times New Roman"/>
                <w:sz w:val="21"/>
              </w:rPr>
              <w:t>IV</w:t>
            </w:r>
          </w:p>
        </w:tc>
        <w:tc>
          <w:tcPr>
            <w:tcW w:w="1599" w:type="dxa"/>
          </w:tcPr>
          <w:p w14:paraId="0118577B">
            <w:pPr>
              <w:pStyle w:val="14"/>
              <w:spacing w:before="150"/>
              <w:ind w:left="693"/>
              <w:rPr>
                <w:rFonts w:ascii="Times New Roman"/>
                <w:sz w:val="21"/>
              </w:rPr>
            </w:pPr>
            <w:r>
              <w:rPr>
                <w:rFonts w:ascii="Times New Roman"/>
                <w:sz w:val="21"/>
              </w:rPr>
              <w:t>III</w:t>
            </w:r>
          </w:p>
        </w:tc>
        <w:tc>
          <w:tcPr>
            <w:tcW w:w="1599" w:type="dxa"/>
          </w:tcPr>
          <w:p w14:paraId="33521D3D">
            <w:pPr>
              <w:pStyle w:val="14"/>
              <w:spacing w:before="150"/>
              <w:ind w:left="692"/>
              <w:rPr>
                <w:rFonts w:ascii="Times New Roman"/>
                <w:sz w:val="21"/>
              </w:rPr>
            </w:pPr>
            <w:r>
              <w:rPr>
                <w:rFonts w:ascii="Times New Roman"/>
                <w:sz w:val="21"/>
              </w:rPr>
              <w:t>III</w:t>
            </w:r>
          </w:p>
        </w:tc>
        <w:tc>
          <w:tcPr>
            <w:tcW w:w="1597" w:type="dxa"/>
          </w:tcPr>
          <w:p w14:paraId="24DD7E41">
            <w:pPr>
              <w:pStyle w:val="14"/>
              <w:spacing w:before="150"/>
              <w:ind w:right="719"/>
              <w:jc w:val="right"/>
              <w:rPr>
                <w:rFonts w:ascii="Times New Roman"/>
                <w:sz w:val="21"/>
              </w:rPr>
            </w:pPr>
            <w:r>
              <w:rPr>
                <w:rFonts w:ascii="Times New Roman"/>
                <w:sz w:val="21"/>
              </w:rPr>
              <w:t>II</w:t>
            </w:r>
          </w:p>
        </w:tc>
      </w:tr>
      <w:tr w14:paraId="4B0CE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128" w:type="dxa"/>
          </w:tcPr>
          <w:p w14:paraId="5A0E1300">
            <w:pPr>
              <w:pStyle w:val="14"/>
              <w:spacing w:before="1"/>
              <w:ind w:left="308" w:right="300"/>
              <w:jc w:val="center"/>
              <w:rPr>
                <w:sz w:val="21"/>
              </w:rPr>
            </w:pPr>
            <w:r>
              <w:rPr>
                <w:sz w:val="21"/>
              </w:rPr>
              <w:t>环境低度敏感区</w:t>
            </w:r>
          </w:p>
          <w:p w14:paraId="4538B583">
            <w:pPr>
              <w:pStyle w:val="14"/>
              <w:spacing w:before="2" w:line="252" w:lineRule="exact"/>
              <w:ind w:left="308" w:right="300"/>
              <w:jc w:val="center"/>
              <w:rPr>
                <w:sz w:val="21"/>
              </w:rPr>
            </w:pPr>
            <w:r>
              <w:rPr>
                <w:sz w:val="21"/>
              </w:rPr>
              <w:t>（</w:t>
            </w:r>
            <w:r>
              <w:rPr>
                <w:rFonts w:ascii="Times New Roman" w:eastAsia="Times New Roman"/>
                <w:sz w:val="21"/>
              </w:rPr>
              <w:t>E3</w:t>
            </w:r>
            <w:r>
              <w:rPr>
                <w:sz w:val="21"/>
              </w:rPr>
              <w:t>）</w:t>
            </w:r>
          </w:p>
        </w:tc>
        <w:tc>
          <w:tcPr>
            <w:tcW w:w="1599" w:type="dxa"/>
          </w:tcPr>
          <w:p w14:paraId="7290AF69">
            <w:pPr>
              <w:pStyle w:val="14"/>
              <w:spacing w:before="150"/>
              <w:ind w:left="694"/>
              <w:rPr>
                <w:rFonts w:ascii="Times New Roman"/>
                <w:sz w:val="21"/>
              </w:rPr>
            </w:pPr>
            <w:r>
              <w:rPr>
                <w:rFonts w:ascii="Times New Roman"/>
                <w:sz w:val="21"/>
              </w:rPr>
              <w:t>III</w:t>
            </w:r>
          </w:p>
        </w:tc>
        <w:tc>
          <w:tcPr>
            <w:tcW w:w="1599" w:type="dxa"/>
          </w:tcPr>
          <w:p w14:paraId="79D6A177">
            <w:pPr>
              <w:pStyle w:val="14"/>
              <w:spacing w:before="150"/>
              <w:ind w:left="693"/>
              <w:rPr>
                <w:rFonts w:ascii="Times New Roman"/>
                <w:sz w:val="21"/>
              </w:rPr>
            </w:pPr>
            <w:r>
              <w:rPr>
                <w:rFonts w:ascii="Times New Roman"/>
                <w:sz w:val="21"/>
              </w:rPr>
              <w:t>III</w:t>
            </w:r>
          </w:p>
        </w:tc>
        <w:tc>
          <w:tcPr>
            <w:tcW w:w="1599" w:type="dxa"/>
          </w:tcPr>
          <w:p w14:paraId="780279B7">
            <w:pPr>
              <w:pStyle w:val="14"/>
              <w:spacing w:before="150"/>
              <w:ind w:left="728"/>
              <w:rPr>
                <w:rFonts w:ascii="Times New Roman"/>
                <w:sz w:val="21"/>
              </w:rPr>
            </w:pPr>
            <w:r>
              <w:rPr>
                <w:rFonts w:ascii="Times New Roman"/>
                <w:sz w:val="21"/>
              </w:rPr>
              <w:t>II</w:t>
            </w:r>
          </w:p>
        </w:tc>
        <w:tc>
          <w:tcPr>
            <w:tcW w:w="1597" w:type="dxa"/>
          </w:tcPr>
          <w:p w14:paraId="3489B5FF">
            <w:pPr>
              <w:pStyle w:val="14"/>
              <w:spacing w:before="150"/>
              <w:ind w:right="753"/>
              <w:jc w:val="right"/>
              <w:rPr>
                <w:rFonts w:ascii="Times New Roman"/>
                <w:sz w:val="21"/>
              </w:rPr>
            </w:pPr>
            <w:r>
              <w:rPr>
                <w:rFonts w:ascii="Times New Roman"/>
                <w:w w:val="99"/>
                <w:sz w:val="21"/>
              </w:rPr>
              <w:t>I</w:t>
            </w:r>
          </w:p>
        </w:tc>
      </w:tr>
      <w:tr w14:paraId="18826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5"/>
          </w:tcPr>
          <w:p w14:paraId="014695D5">
            <w:pPr>
              <w:pStyle w:val="14"/>
              <w:spacing w:before="90"/>
              <w:ind w:left="107"/>
              <w:rPr>
                <w:sz w:val="21"/>
              </w:rPr>
            </w:pPr>
            <w:r>
              <w:rPr>
                <w:sz w:val="21"/>
              </w:rPr>
              <w:t>注：</w:t>
            </w:r>
            <w:r>
              <w:rPr>
                <w:rFonts w:ascii="Times New Roman" w:eastAsia="Times New Roman"/>
                <w:sz w:val="21"/>
              </w:rPr>
              <w:t>IV+</w:t>
            </w:r>
            <w:r>
              <w:rPr>
                <w:sz w:val="21"/>
              </w:rPr>
              <w:t>为极高环境风险</w:t>
            </w:r>
          </w:p>
        </w:tc>
      </w:tr>
    </w:tbl>
    <w:p w14:paraId="188656CA">
      <w:pPr>
        <w:pStyle w:val="6"/>
        <w:numPr>
          <w:ilvl w:val="3"/>
          <w:numId w:val="25"/>
        </w:numPr>
        <w:tabs>
          <w:tab w:val="left" w:pos="1181"/>
        </w:tabs>
        <w:spacing w:before="1" w:after="0" w:line="240" w:lineRule="auto"/>
        <w:ind w:left="1181" w:right="0" w:hanging="661"/>
        <w:jc w:val="left"/>
      </w:pPr>
      <w:bookmarkStart w:id="216" w:name=" 6.2.2.1P的分级确定"/>
      <w:bookmarkEnd w:id="216"/>
      <w:bookmarkStart w:id="217" w:name=" 6.2.2.1P的分级确定"/>
      <w:bookmarkEnd w:id="217"/>
      <w:r>
        <w:rPr>
          <w:rFonts w:ascii="Times New Roman" w:eastAsia="Times New Roman"/>
        </w:rPr>
        <w:t>P</w:t>
      </w:r>
      <w:r>
        <w:rPr>
          <w:rFonts w:ascii="Times New Roman" w:eastAsia="Times New Roman"/>
          <w:spacing w:val="-11"/>
        </w:rPr>
        <w:t xml:space="preserve"> </w:t>
      </w:r>
      <w:r>
        <w:t>的分级确定</w:t>
      </w:r>
    </w:p>
    <w:p w14:paraId="62C2E04C">
      <w:pPr>
        <w:pStyle w:val="7"/>
        <w:spacing w:before="158" w:line="364" w:lineRule="auto"/>
        <w:ind w:left="460" w:right="477" w:firstLine="480"/>
        <w:jc w:val="both"/>
      </w:pPr>
      <w:r>
        <w:rPr>
          <w:spacing w:val="-4"/>
        </w:rPr>
        <w:t xml:space="preserve">根据《建设项目环境风险评价技术导则 </w:t>
      </w:r>
      <w:r>
        <w:rPr>
          <w:rFonts w:ascii="Times New Roman" w:eastAsia="Times New Roman"/>
        </w:rPr>
        <w:t>HJ169-2018</w:t>
      </w:r>
      <w:r>
        <w:rPr>
          <w:spacing w:val="-16"/>
        </w:rPr>
        <w:t xml:space="preserve">》附表 </w:t>
      </w:r>
      <w:r>
        <w:rPr>
          <w:rFonts w:ascii="Times New Roman" w:eastAsia="Times New Roman"/>
        </w:rPr>
        <w:t xml:space="preserve">B </w:t>
      </w:r>
      <w:r>
        <w:rPr>
          <w:spacing w:val="-15"/>
        </w:rPr>
        <w:t xml:space="preserve">和附录 </w:t>
      </w:r>
      <w:r>
        <w:rPr>
          <w:rFonts w:ascii="Times New Roman" w:eastAsia="Times New Roman"/>
        </w:rPr>
        <w:t xml:space="preserve">C </w:t>
      </w:r>
      <w:r>
        <w:t>突发环境事件风险物质及临界量表，根据本项目环境风险物质最大存在总量</w:t>
      </w:r>
      <w:r>
        <w:rPr>
          <w:spacing w:val="2"/>
        </w:rPr>
        <w:t>（</w:t>
      </w:r>
      <w:r>
        <w:rPr>
          <w:spacing w:val="0"/>
        </w:rPr>
        <w:t>以折纯计）与</w:t>
      </w:r>
    </w:p>
    <w:p w14:paraId="48406644">
      <w:pPr>
        <w:pStyle w:val="7"/>
        <w:spacing w:line="307" w:lineRule="exact"/>
        <w:ind w:left="940"/>
      </w:pPr>
      <w:r>
        <w:t>其对应的临界量，计算（</w:t>
      </w:r>
      <w:r>
        <w:rPr>
          <w:rFonts w:ascii="Times New Roman" w:eastAsia="Times New Roman"/>
        </w:rPr>
        <w:t>Q</w:t>
      </w:r>
      <w:r>
        <w:t>），计算公式如下：</w:t>
      </w:r>
    </w:p>
    <w:p w14:paraId="7BFEE2B0">
      <w:pPr>
        <w:pStyle w:val="7"/>
        <w:spacing w:before="5"/>
        <w:rPr>
          <w:sz w:val="16"/>
        </w:rPr>
      </w:pPr>
      <w:r>
        <w:drawing>
          <wp:anchor distT="0" distB="0" distL="0" distR="0" simplePos="0" relativeHeight="251660288" behindDoc="0" locked="0" layoutInCell="1" allowOverlap="1">
            <wp:simplePos x="0" y="0"/>
            <wp:positionH relativeFrom="page">
              <wp:posOffset>2988310</wp:posOffset>
            </wp:positionH>
            <wp:positionV relativeFrom="paragraph">
              <wp:posOffset>158115</wp:posOffset>
            </wp:positionV>
            <wp:extent cx="1567815" cy="410845"/>
            <wp:effectExtent l="0" t="0" r="0" b="0"/>
            <wp:wrapTopAndBottom/>
            <wp:docPr id="5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0.jpeg"/>
                    <pic:cNvPicPr>
                      <a:picLocks noChangeAspect="1"/>
                    </pic:cNvPicPr>
                  </pic:nvPicPr>
                  <pic:blipFill>
                    <a:blip r:embed="rId87" cstate="print"/>
                    <a:stretch>
                      <a:fillRect/>
                    </a:stretch>
                  </pic:blipFill>
                  <pic:spPr>
                    <a:xfrm>
                      <a:off x="0" y="0"/>
                      <a:ext cx="1567695" cy="410718"/>
                    </a:xfrm>
                    <a:prstGeom prst="rect">
                      <a:avLst/>
                    </a:prstGeom>
                  </pic:spPr>
                </pic:pic>
              </a:graphicData>
            </a:graphic>
          </wp:anchor>
        </w:drawing>
      </w:r>
    </w:p>
    <w:p w14:paraId="53FD7E04">
      <w:pPr>
        <w:pStyle w:val="7"/>
        <w:spacing w:before="4"/>
        <w:rPr>
          <w:sz w:val="18"/>
        </w:rPr>
      </w:pPr>
    </w:p>
    <w:p w14:paraId="6E8FFAF3">
      <w:pPr>
        <w:pStyle w:val="7"/>
        <w:ind w:left="940"/>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···qn——</w:t>
      </w:r>
      <w:r>
        <w:rPr>
          <w:position w:val="2"/>
          <w:vertAlign w:val="baseline"/>
        </w:rPr>
        <w:t>每种环境风险物质的最大存在总量，</w:t>
      </w:r>
      <w:r>
        <w:rPr>
          <w:rFonts w:ascii="Times New Roman" w:hAnsi="Times New Roman" w:eastAsia="Times New Roman"/>
          <w:position w:val="2"/>
          <w:vertAlign w:val="baseline"/>
        </w:rPr>
        <w:t>t</w:t>
      </w:r>
      <w:r>
        <w:rPr>
          <w:position w:val="2"/>
          <w:vertAlign w:val="baseline"/>
        </w:rPr>
        <w:t>；</w:t>
      </w:r>
    </w:p>
    <w:p w14:paraId="5678174D">
      <w:pPr>
        <w:pStyle w:val="7"/>
        <w:spacing w:before="154"/>
        <w:ind w:left="1660"/>
      </w:pP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vertAlign w:val="baseline"/>
        </w:rPr>
        <w:t>、</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position w:val="2"/>
          <w:vertAlign w:val="baseline"/>
        </w:rPr>
        <w:t>、</w:t>
      </w:r>
      <w:r>
        <w:rPr>
          <w:rFonts w:ascii="Times New Roman" w:hAnsi="Times New Roman" w:eastAsia="Times New Roman"/>
          <w:position w:val="2"/>
          <w:vertAlign w:val="baseline"/>
        </w:rPr>
        <w:t>···Qn——</w:t>
      </w:r>
      <w:r>
        <w:rPr>
          <w:position w:val="2"/>
          <w:vertAlign w:val="baseline"/>
        </w:rPr>
        <w:t>每种环境风险物质相对应的临界量，</w:t>
      </w:r>
      <w:r>
        <w:rPr>
          <w:rFonts w:ascii="Times New Roman" w:hAnsi="Times New Roman" w:eastAsia="Times New Roman"/>
          <w:position w:val="2"/>
          <w:vertAlign w:val="baseline"/>
        </w:rPr>
        <w:t>t</w:t>
      </w:r>
      <w:r>
        <w:rPr>
          <w:position w:val="2"/>
          <w:vertAlign w:val="baseline"/>
        </w:rPr>
        <w:t>。</w:t>
      </w:r>
    </w:p>
    <w:p w14:paraId="016DCA43">
      <w:pPr>
        <w:pStyle w:val="7"/>
        <w:spacing w:before="157" w:line="364" w:lineRule="auto"/>
        <w:ind w:left="460" w:right="477" w:firstLine="480"/>
      </w:pPr>
      <w:r>
        <w:rPr>
          <w:spacing w:val="-12"/>
        </w:rPr>
        <w:t xml:space="preserve">计算出 </w:t>
      </w:r>
      <w:r>
        <w:rPr>
          <w:rFonts w:ascii="Times New Roman" w:hAnsi="Times New Roman" w:eastAsia="Times New Roman"/>
        </w:rPr>
        <w:t xml:space="preserve">Q </w:t>
      </w:r>
      <w:r>
        <w:rPr>
          <w:spacing w:val="-9"/>
        </w:rPr>
        <w:t xml:space="preserve">值后，将 </w:t>
      </w:r>
      <w:r>
        <w:rPr>
          <w:rFonts w:ascii="Times New Roman" w:hAnsi="Times New Roman" w:eastAsia="Times New Roman"/>
        </w:rPr>
        <w:t xml:space="preserve">Q </w:t>
      </w:r>
      <w:r>
        <w:rPr>
          <w:spacing w:val="-9"/>
        </w:rPr>
        <w:t xml:space="preserve">值划分为 </w:t>
      </w:r>
      <w:r>
        <w:rPr>
          <w:rFonts w:ascii="Times New Roman" w:hAnsi="Times New Roman" w:eastAsia="Times New Roman"/>
        </w:rPr>
        <w:t xml:space="preserve">4 </w:t>
      </w:r>
      <w:r>
        <w:rPr>
          <w:spacing w:val="-7"/>
        </w:rPr>
        <w:t xml:space="preserve">级，分别为 </w:t>
      </w:r>
      <w:r>
        <w:rPr>
          <w:rFonts w:ascii="Times New Roman" w:hAnsi="Times New Roman" w:eastAsia="Times New Roman"/>
          <w:spacing w:val="2"/>
        </w:rPr>
        <w:t>Q</w:t>
      </w:r>
      <w:r>
        <w:rPr>
          <w:spacing w:val="2"/>
        </w:rPr>
        <w:t>＜</w:t>
      </w:r>
      <w:r>
        <w:rPr>
          <w:rFonts w:ascii="Times New Roman" w:hAnsi="Times New Roman" w:eastAsia="Times New Roman"/>
          <w:spacing w:val="2"/>
        </w:rPr>
        <w:t>1</w:t>
      </w:r>
      <w:r>
        <w:rPr>
          <w:spacing w:val="1"/>
        </w:rPr>
        <w:t>，该项目环境风险潜势</w:t>
      </w:r>
      <w:r>
        <w:rPr>
          <w:spacing w:val="-11"/>
        </w:rPr>
        <w:t xml:space="preserve">为Ⅰ；当 </w:t>
      </w:r>
      <w:r>
        <w:rPr>
          <w:rFonts w:ascii="Times New Roman" w:hAnsi="Times New Roman" w:eastAsia="Times New Roman"/>
        </w:rPr>
        <w:t xml:space="preserve">Q ≥1 </w:t>
      </w:r>
      <w:r>
        <w:t>有三种情况，</w:t>
      </w:r>
      <w:r>
        <w:rPr>
          <w:rFonts w:ascii="Times New Roman" w:hAnsi="Times New Roman" w:eastAsia="Times New Roman"/>
        </w:rPr>
        <w:t>1≤Q</w:t>
      </w:r>
      <w:r>
        <w:t>＜</w:t>
      </w:r>
      <w:r>
        <w:rPr>
          <w:rFonts w:ascii="Times New Roman" w:hAnsi="Times New Roman" w:eastAsia="Times New Roman"/>
        </w:rPr>
        <w:t>10</w:t>
      </w:r>
      <w:r>
        <w:t>；</w:t>
      </w:r>
      <w:r>
        <w:rPr>
          <w:rFonts w:ascii="Times New Roman" w:hAnsi="Times New Roman" w:eastAsia="Times New Roman"/>
        </w:rPr>
        <w:t>10≤Q</w:t>
      </w:r>
      <w:r>
        <w:t>＜</w:t>
      </w:r>
      <w:r>
        <w:rPr>
          <w:rFonts w:ascii="Times New Roman" w:hAnsi="Times New Roman" w:eastAsia="Times New Roman"/>
        </w:rPr>
        <w:t>100</w:t>
      </w:r>
      <w:r>
        <w:t>；</w:t>
      </w:r>
      <w:r>
        <w:rPr>
          <w:rFonts w:ascii="Times New Roman" w:hAnsi="Times New Roman" w:eastAsia="Times New Roman"/>
        </w:rPr>
        <w:t>Q≥100</w:t>
      </w:r>
      <w:r>
        <w:t>。</w:t>
      </w:r>
    </w:p>
    <w:p w14:paraId="02880D6E">
      <w:pPr>
        <w:pStyle w:val="7"/>
        <w:spacing w:before="1" w:line="362" w:lineRule="auto"/>
        <w:ind w:left="460" w:right="477" w:firstLine="480"/>
      </w:pPr>
      <w:r>
        <w:t>本项目所涉及的危险物质主要为次氯酸钠和过氧乙酸，项目风险物质数量与临界量比值情况如下表所示。</w:t>
      </w:r>
    </w:p>
    <w:p w14:paraId="530A84D8">
      <w:pPr>
        <w:spacing w:before="4" w:after="3"/>
        <w:ind w:left="264" w:right="286" w:firstLine="0"/>
        <w:jc w:val="center"/>
        <w:rPr>
          <w:b/>
          <w:sz w:val="21"/>
        </w:rPr>
      </w:pPr>
      <w:r>
        <w:rPr>
          <w:b/>
          <w:spacing w:val="-28"/>
          <w:sz w:val="21"/>
        </w:rPr>
        <w:t xml:space="preserve">表 </w:t>
      </w:r>
      <w:r>
        <w:rPr>
          <w:rFonts w:ascii="Times New Roman" w:eastAsia="Times New Roman"/>
          <w:b/>
          <w:sz w:val="21"/>
        </w:rPr>
        <w:t>6.2-2</w:t>
      </w:r>
      <w:r>
        <w:rPr>
          <w:rFonts w:ascii="Times New Roman" w:eastAsia="Times New Roman"/>
          <w:b/>
          <w:spacing w:val="50"/>
          <w:sz w:val="21"/>
        </w:rPr>
        <w:t xml:space="preserve"> </w:t>
      </w:r>
      <w:r>
        <w:rPr>
          <w:b/>
          <w:sz w:val="21"/>
        </w:rPr>
        <w:t>本项目环境风险物质数量与临界量比值</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5"/>
        <w:gridCol w:w="1353"/>
        <w:gridCol w:w="3618"/>
        <w:gridCol w:w="1989"/>
        <w:gridCol w:w="747"/>
      </w:tblGrid>
      <w:tr w14:paraId="1FF60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15" w:type="dxa"/>
          </w:tcPr>
          <w:p w14:paraId="78D00346">
            <w:pPr>
              <w:pStyle w:val="14"/>
              <w:spacing w:before="90"/>
              <w:ind w:left="171" w:right="163"/>
              <w:jc w:val="center"/>
              <w:rPr>
                <w:b/>
                <w:sz w:val="21"/>
              </w:rPr>
            </w:pPr>
            <w:r>
              <w:rPr>
                <w:b/>
                <w:sz w:val="21"/>
              </w:rPr>
              <w:t>序号</w:t>
            </w:r>
          </w:p>
        </w:tc>
        <w:tc>
          <w:tcPr>
            <w:tcW w:w="1353" w:type="dxa"/>
          </w:tcPr>
          <w:p w14:paraId="6260D8CE">
            <w:pPr>
              <w:pStyle w:val="14"/>
              <w:spacing w:before="90"/>
              <w:ind w:right="243"/>
              <w:jc w:val="right"/>
              <w:rPr>
                <w:b/>
                <w:sz w:val="21"/>
              </w:rPr>
            </w:pPr>
            <w:r>
              <w:rPr>
                <w:b/>
                <w:w w:val="95"/>
                <w:sz w:val="21"/>
              </w:rPr>
              <w:t>危险物质</w:t>
            </w:r>
          </w:p>
        </w:tc>
        <w:tc>
          <w:tcPr>
            <w:tcW w:w="3618" w:type="dxa"/>
          </w:tcPr>
          <w:p w14:paraId="6E586069">
            <w:pPr>
              <w:pStyle w:val="14"/>
              <w:spacing w:before="90"/>
              <w:ind w:left="452" w:right="445"/>
              <w:jc w:val="center"/>
              <w:rPr>
                <w:b/>
                <w:sz w:val="21"/>
              </w:rPr>
            </w:pPr>
            <w:r>
              <w:rPr>
                <w:b/>
                <w:sz w:val="21"/>
              </w:rPr>
              <w:t>最大储存</w:t>
            </w:r>
            <w:r>
              <w:rPr>
                <w:rFonts w:ascii="Times New Roman" w:eastAsia="Times New Roman"/>
                <w:b/>
                <w:sz w:val="21"/>
              </w:rPr>
              <w:t>/</w:t>
            </w:r>
            <w:r>
              <w:rPr>
                <w:b/>
                <w:sz w:val="21"/>
              </w:rPr>
              <w:t xml:space="preserve">生产现场量 </w:t>
            </w:r>
            <w:r>
              <w:rPr>
                <w:rFonts w:ascii="Times New Roman" w:eastAsia="Times New Roman"/>
                <w:b/>
                <w:sz w:val="21"/>
              </w:rPr>
              <w:t>q</w:t>
            </w:r>
            <w:r>
              <w:rPr>
                <w:b/>
                <w:sz w:val="21"/>
              </w:rPr>
              <w:t>（</w:t>
            </w:r>
            <w:r>
              <w:rPr>
                <w:rFonts w:ascii="Times New Roman" w:eastAsia="Times New Roman"/>
                <w:b/>
                <w:sz w:val="21"/>
              </w:rPr>
              <w:t>t</w:t>
            </w:r>
            <w:r>
              <w:rPr>
                <w:b/>
                <w:sz w:val="21"/>
              </w:rPr>
              <w:t>）</w:t>
            </w:r>
          </w:p>
        </w:tc>
        <w:tc>
          <w:tcPr>
            <w:tcW w:w="1989" w:type="dxa"/>
          </w:tcPr>
          <w:p w14:paraId="607BB2CB">
            <w:pPr>
              <w:pStyle w:val="14"/>
              <w:spacing w:before="90"/>
              <w:ind w:left="275" w:right="269"/>
              <w:jc w:val="center"/>
              <w:rPr>
                <w:b/>
                <w:sz w:val="21"/>
              </w:rPr>
            </w:pPr>
            <w:r>
              <w:rPr>
                <w:b/>
                <w:sz w:val="21"/>
              </w:rPr>
              <w:t xml:space="preserve">临界量 </w:t>
            </w:r>
            <w:r>
              <w:rPr>
                <w:rFonts w:ascii="Times New Roman" w:eastAsia="Times New Roman"/>
                <w:b/>
                <w:sz w:val="21"/>
              </w:rPr>
              <w:t>Q</w:t>
            </w:r>
            <w:r>
              <w:rPr>
                <w:b/>
                <w:sz w:val="21"/>
              </w:rPr>
              <w:t>（</w:t>
            </w:r>
            <w:r>
              <w:rPr>
                <w:rFonts w:ascii="Times New Roman" w:eastAsia="Times New Roman"/>
                <w:b/>
                <w:sz w:val="21"/>
              </w:rPr>
              <w:t>t</w:t>
            </w:r>
            <w:r>
              <w:rPr>
                <w:b/>
                <w:sz w:val="21"/>
              </w:rPr>
              <w:t>）</w:t>
            </w:r>
          </w:p>
        </w:tc>
        <w:tc>
          <w:tcPr>
            <w:tcW w:w="747" w:type="dxa"/>
          </w:tcPr>
          <w:p w14:paraId="2E4837A1">
            <w:pPr>
              <w:pStyle w:val="14"/>
              <w:spacing w:before="104"/>
              <w:ind w:left="168" w:right="161"/>
              <w:jc w:val="center"/>
              <w:rPr>
                <w:rFonts w:ascii="Times New Roman"/>
                <w:b/>
                <w:sz w:val="21"/>
              </w:rPr>
            </w:pPr>
            <w:r>
              <w:rPr>
                <w:rFonts w:ascii="Times New Roman"/>
                <w:b/>
                <w:sz w:val="21"/>
              </w:rPr>
              <w:t>q/Q</w:t>
            </w:r>
          </w:p>
        </w:tc>
      </w:tr>
      <w:tr w14:paraId="17F99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15" w:type="dxa"/>
          </w:tcPr>
          <w:p w14:paraId="36E5FA5B">
            <w:pPr>
              <w:pStyle w:val="14"/>
              <w:spacing w:before="106"/>
              <w:ind w:left="9"/>
              <w:jc w:val="center"/>
              <w:rPr>
                <w:rFonts w:ascii="Times New Roman"/>
                <w:sz w:val="21"/>
              </w:rPr>
            </w:pPr>
            <w:r>
              <w:rPr>
                <w:rFonts w:ascii="Times New Roman"/>
                <w:w w:val="99"/>
                <w:sz w:val="21"/>
              </w:rPr>
              <w:t>1</w:t>
            </w:r>
          </w:p>
        </w:tc>
        <w:tc>
          <w:tcPr>
            <w:tcW w:w="1353" w:type="dxa"/>
          </w:tcPr>
          <w:p w14:paraId="14D4B8DB">
            <w:pPr>
              <w:pStyle w:val="14"/>
              <w:spacing w:before="89"/>
              <w:ind w:right="248"/>
              <w:jc w:val="right"/>
              <w:rPr>
                <w:sz w:val="21"/>
              </w:rPr>
            </w:pPr>
            <w:r>
              <w:rPr>
                <w:w w:val="95"/>
                <w:sz w:val="21"/>
              </w:rPr>
              <w:t>次氯酸钠</w:t>
            </w:r>
          </w:p>
        </w:tc>
        <w:tc>
          <w:tcPr>
            <w:tcW w:w="3618" w:type="dxa"/>
          </w:tcPr>
          <w:p w14:paraId="22645F77">
            <w:pPr>
              <w:pStyle w:val="14"/>
              <w:spacing w:before="106"/>
              <w:ind w:left="452" w:right="444"/>
              <w:jc w:val="center"/>
              <w:rPr>
                <w:rFonts w:ascii="Times New Roman"/>
                <w:sz w:val="21"/>
              </w:rPr>
            </w:pPr>
            <w:r>
              <w:rPr>
                <w:rFonts w:ascii="Times New Roman"/>
                <w:sz w:val="21"/>
              </w:rPr>
              <w:t>1.7</w:t>
            </w:r>
          </w:p>
        </w:tc>
        <w:tc>
          <w:tcPr>
            <w:tcW w:w="1989" w:type="dxa"/>
          </w:tcPr>
          <w:p w14:paraId="055E41BB">
            <w:pPr>
              <w:pStyle w:val="14"/>
              <w:spacing w:before="106"/>
              <w:ind w:left="7"/>
              <w:jc w:val="center"/>
              <w:rPr>
                <w:rFonts w:ascii="Times New Roman"/>
                <w:sz w:val="21"/>
              </w:rPr>
            </w:pPr>
            <w:r>
              <w:rPr>
                <w:rFonts w:ascii="Times New Roman"/>
                <w:w w:val="99"/>
                <w:sz w:val="21"/>
              </w:rPr>
              <w:t>5</w:t>
            </w:r>
          </w:p>
        </w:tc>
        <w:tc>
          <w:tcPr>
            <w:tcW w:w="747" w:type="dxa"/>
          </w:tcPr>
          <w:p w14:paraId="0F52A647">
            <w:pPr>
              <w:pStyle w:val="14"/>
              <w:spacing w:before="106"/>
              <w:ind w:left="168" w:right="161"/>
              <w:jc w:val="center"/>
              <w:rPr>
                <w:rFonts w:ascii="Times New Roman"/>
                <w:sz w:val="21"/>
              </w:rPr>
            </w:pPr>
            <w:r>
              <w:rPr>
                <w:rFonts w:ascii="Times New Roman"/>
                <w:sz w:val="21"/>
              </w:rPr>
              <w:t>0.34</w:t>
            </w:r>
          </w:p>
        </w:tc>
      </w:tr>
      <w:tr w14:paraId="3E25D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15" w:type="dxa"/>
          </w:tcPr>
          <w:p w14:paraId="1A8630F3">
            <w:pPr>
              <w:pStyle w:val="14"/>
              <w:spacing w:before="105"/>
              <w:ind w:left="9"/>
              <w:jc w:val="center"/>
              <w:rPr>
                <w:rFonts w:ascii="Times New Roman"/>
                <w:sz w:val="21"/>
              </w:rPr>
            </w:pPr>
            <w:r>
              <w:rPr>
                <w:rFonts w:ascii="Times New Roman"/>
                <w:w w:val="99"/>
                <w:sz w:val="21"/>
              </w:rPr>
              <w:t>2</w:t>
            </w:r>
          </w:p>
        </w:tc>
        <w:tc>
          <w:tcPr>
            <w:tcW w:w="1353" w:type="dxa"/>
          </w:tcPr>
          <w:p w14:paraId="1BDC6211">
            <w:pPr>
              <w:pStyle w:val="14"/>
              <w:spacing w:before="91"/>
              <w:ind w:right="248"/>
              <w:jc w:val="right"/>
              <w:rPr>
                <w:sz w:val="21"/>
              </w:rPr>
            </w:pPr>
            <w:r>
              <w:rPr>
                <w:w w:val="95"/>
                <w:sz w:val="21"/>
              </w:rPr>
              <w:t>过氧乙酸</w:t>
            </w:r>
          </w:p>
        </w:tc>
        <w:tc>
          <w:tcPr>
            <w:tcW w:w="3618" w:type="dxa"/>
          </w:tcPr>
          <w:p w14:paraId="6CC868DB">
            <w:pPr>
              <w:pStyle w:val="14"/>
              <w:spacing w:before="105"/>
              <w:ind w:left="452" w:right="444"/>
              <w:jc w:val="center"/>
              <w:rPr>
                <w:rFonts w:ascii="Times New Roman"/>
                <w:sz w:val="21"/>
              </w:rPr>
            </w:pPr>
            <w:r>
              <w:rPr>
                <w:rFonts w:ascii="Times New Roman"/>
                <w:sz w:val="21"/>
              </w:rPr>
              <w:t>0.1</w:t>
            </w:r>
          </w:p>
        </w:tc>
        <w:tc>
          <w:tcPr>
            <w:tcW w:w="1989" w:type="dxa"/>
          </w:tcPr>
          <w:p w14:paraId="01F7B286">
            <w:pPr>
              <w:pStyle w:val="14"/>
              <w:spacing w:before="105"/>
              <w:ind w:left="7"/>
              <w:jc w:val="center"/>
              <w:rPr>
                <w:rFonts w:ascii="Times New Roman"/>
                <w:sz w:val="21"/>
              </w:rPr>
            </w:pPr>
            <w:r>
              <w:rPr>
                <w:rFonts w:ascii="Times New Roman"/>
                <w:w w:val="99"/>
                <w:sz w:val="21"/>
              </w:rPr>
              <w:t>5</w:t>
            </w:r>
          </w:p>
        </w:tc>
        <w:tc>
          <w:tcPr>
            <w:tcW w:w="747" w:type="dxa"/>
          </w:tcPr>
          <w:p w14:paraId="0AA9826C">
            <w:pPr>
              <w:pStyle w:val="14"/>
              <w:spacing w:before="105"/>
              <w:ind w:left="168" w:right="161"/>
              <w:jc w:val="center"/>
              <w:rPr>
                <w:rFonts w:ascii="Times New Roman"/>
                <w:sz w:val="21"/>
              </w:rPr>
            </w:pPr>
            <w:r>
              <w:rPr>
                <w:rFonts w:ascii="Times New Roman"/>
                <w:sz w:val="21"/>
              </w:rPr>
              <w:t>0.02</w:t>
            </w:r>
          </w:p>
        </w:tc>
      </w:tr>
      <w:tr w14:paraId="78AF0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775" w:type="dxa"/>
            <w:gridSpan w:val="4"/>
          </w:tcPr>
          <w:p w14:paraId="6E9FF8D2">
            <w:pPr>
              <w:pStyle w:val="14"/>
              <w:spacing w:before="90"/>
              <w:ind w:left="3655" w:right="3650"/>
              <w:jc w:val="center"/>
              <w:rPr>
                <w:sz w:val="21"/>
              </w:rPr>
            </w:pPr>
            <w:r>
              <w:rPr>
                <w:sz w:val="21"/>
              </w:rPr>
              <w:t>合计</w:t>
            </w:r>
          </w:p>
        </w:tc>
        <w:tc>
          <w:tcPr>
            <w:tcW w:w="747" w:type="dxa"/>
          </w:tcPr>
          <w:p w14:paraId="44A02BAD">
            <w:pPr>
              <w:pStyle w:val="14"/>
              <w:spacing w:before="104"/>
              <w:ind w:left="168" w:right="161"/>
              <w:jc w:val="center"/>
              <w:rPr>
                <w:rFonts w:ascii="Times New Roman"/>
                <w:sz w:val="21"/>
              </w:rPr>
            </w:pPr>
            <w:r>
              <w:rPr>
                <w:rFonts w:ascii="Times New Roman"/>
                <w:sz w:val="21"/>
              </w:rPr>
              <w:t>0.36</w:t>
            </w:r>
          </w:p>
        </w:tc>
      </w:tr>
    </w:tbl>
    <w:p w14:paraId="0E132223">
      <w:pPr>
        <w:pStyle w:val="7"/>
        <w:spacing w:before="2"/>
        <w:ind w:left="940"/>
      </w:pPr>
      <w:r>
        <w:t>根据上表的计算结果，本项目环境风险物质最大存在总量与临界量比值为</w:t>
      </w:r>
    </w:p>
    <w:p w14:paraId="6AF866D6">
      <w:pPr>
        <w:pStyle w:val="7"/>
        <w:spacing w:before="158"/>
        <w:ind w:left="460"/>
      </w:pPr>
      <w:r>
        <w:rPr>
          <w:rFonts w:ascii="Times New Roman" w:eastAsia="Times New Roman"/>
        </w:rPr>
        <w:t>0.36</w:t>
      </w:r>
      <w:r>
        <w:t>（</w:t>
      </w:r>
      <w:r>
        <w:rPr>
          <w:rFonts w:ascii="Times New Roman" w:eastAsia="Times New Roman"/>
        </w:rPr>
        <w:t>Q</w:t>
      </w:r>
      <w:r>
        <w:t>＜</w:t>
      </w:r>
      <w:r>
        <w:rPr>
          <w:rFonts w:ascii="Times New Roman" w:eastAsia="Times New Roman"/>
        </w:rPr>
        <w:t>1</w:t>
      </w:r>
      <w:r>
        <w:t>）。</w:t>
      </w:r>
    </w:p>
    <w:p w14:paraId="73617CFC">
      <w:pPr>
        <w:pStyle w:val="6"/>
        <w:numPr>
          <w:ilvl w:val="3"/>
          <w:numId w:val="25"/>
        </w:numPr>
        <w:tabs>
          <w:tab w:val="left" w:pos="1171"/>
        </w:tabs>
        <w:spacing w:before="160" w:after="0" w:line="240" w:lineRule="auto"/>
        <w:ind w:left="1170" w:right="0" w:hanging="710"/>
        <w:jc w:val="left"/>
      </w:pPr>
      <w:bookmarkStart w:id="218" w:name="6.2.2.2建设项目风险潜势判断"/>
      <w:bookmarkEnd w:id="218"/>
      <w:bookmarkStart w:id="219" w:name="6.2.2.2建设项目风险潜势判断"/>
      <w:bookmarkEnd w:id="219"/>
      <w:r>
        <w:t>建设项目风险潜势判断</w:t>
      </w:r>
    </w:p>
    <w:p w14:paraId="43A52147">
      <w:pPr>
        <w:spacing w:after="0" w:line="240" w:lineRule="auto"/>
        <w:jc w:val="left"/>
        <w:sectPr>
          <w:pgSz w:w="11910" w:h="16840"/>
          <w:pgMar w:top="1360" w:right="1320" w:bottom="1400" w:left="1340" w:header="878" w:footer="1204" w:gutter="0"/>
          <w:cols w:space="720" w:num="1"/>
        </w:sectPr>
      </w:pPr>
    </w:p>
    <w:p w14:paraId="0EA376FE">
      <w:pPr>
        <w:pStyle w:val="7"/>
        <w:spacing w:before="68"/>
        <w:ind w:left="940"/>
      </w:pPr>
      <w:r>
        <w:t xml:space="preserve">根据上述 </w:t>
      </w:r>
      <w:r>
        <w:rPr>
          <w:rFonts w:ascii="Times New Roman" w:eastAsia="Times New Roman"/>
        </w:rPr>
        <w:t xml:space="preserve">Q </w:t>
      </w:r>
      <w:r>
        <w:t>值计算结果，</w:t>
      </w:r>
      <w:r>
        <w:rPr>
          <w:rFonts w:ascii="Times New Roman" w:eastAsia="Times New Roman"/>
        </w:rPr>
        <w:t>Q</w:t>
      </w:r>
      <w:r>
        <w:t>＜</w:t>
      </w:r>
      <w:r>
        <w:rPr>
          <w:rFonts w:ascii="Times New Roman" w:eastAsia="Times New Roman"/>
        </w:rPr>
        <w:t>1</w:t>
      </w:r>
      <w:r>
        <w:t xml:space="preserve">，判定本项目风险潜势为 </w:t>
      </w:r>
      <w:r>
        <w:rPr>
          <w:rFonts w:ascii="Times New Roman" w:eastAsia="Times New Roman"/>
        </w:rPr>
        <w:t>I</w:t>
      </w:r>
      <w:r>
        <w:t>。</w:t>
      </w:r>
    </w:p>
    <w:p w14:paraId="6FE30CF0">
      <w:pPr>
        <w:pStyle w:val="6"/>
        <w:numPr>
          <w:ilvl w:val="2"/>
          <w:numId w:val="25"/>
        </w:numPr>
        <w:tabs>
          <w:tab w:val="left" w:pos="991"/>
        </w:tabs>
        <w:spacing w:before="160" w:after="0" w:line="240" w:lineRule="auto"/>
        <w:ind w:left="990" w:right="0" w:hanging="530"/>
        <w:jc w:val="left"/>
      </w:pPr>
      <w:bookmarkStart w:id="220" w:name="6.2.3评价等级确定"/>
      <w:bookmarkEnd w:id="220"/>
      <w:bookmarkStart w:id="221" w:name="6.2.3评价等级确定"/>
      <w:bookmarkEnd w:id="221"/>
      <w:r>
        <w:t>评价等级确定</w:t>
      </w:r>
    </w:p>
    <w:p w14:paraId="785BDAF9">
      <w:pPr>
        <w:pStyle w:val="7"/>
        <w:spacing w:before="159"/>
        <w:ind w:left="940"/>
      </w:pPr>
      <w:r>
        <w:t xml:space="preserve">由于本项目环境风险潜势为 </w:t>
      </w:r>
      <w:r>
        <w:rPr>
          <w:rFonts w:ascii="Times New Roman" w:eastAsia="Times New Roman"/>
        </w:rPr>
        <w:t>I</w:t>
      </w:r>
      <w:r>
        <w:t>，判定风险等级为简单分析。依据如下：</w:t>
      </w:r>
    </w:p>
    <w:p w14:paraId="41779710">
      <w:pPr>
        <w:spacing w:before="159" w:after="3"/>
        <w:ind w:left="267" w:right="286" w:firstLine="0"/>
        <w:jc w:val="center"/>
        <w:rPr>
          <w:b/>
          <w:sz w:val="21"/>
        </w:rPr>
      </w:pPr>
      <w:r>
        <w:rPr>
          <w:b/>
          <w:spacing w:val="-28"/>
          <w:sz w:val="21"/>
        </w:rPr>
        <w:t xml:space="preserve">表 </w:t>
      </w:r>
      <w:r>
        <w:rPr>
          <w:rFonts w:ascii="Times New Roman" w:eastAsia="Times New Roman"/>
          <w:b/>
          <w:sz w:val="21"/>
        </w:rPr>
        <w:t>6.2-3</w:t>
      </w:r>
      <w:r>
        <w:rPr>
          <w:rFonts w:ascii="Times New Roman" w:eastAsia="Times New Roman"/>
          <w:b/>
          <w:spacing w:val="50"/>
          <w:sz w:val="21"/>
        </w:rPr>
        <w:t xml:space="preserve"> </w:t>
      </w:r>
      <w:r>
        <w:rPr>
          <w:b/>
          <w:sz w:val="21"/>
        </w:rPr>
        <w:t>环境风险评价工作级别划分表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2"/>
        <w:gridCol w:w="1920"/>
        <w:gridCol w:w="877"/>
        <w:gridCol w:w="877"/>
        <w:gridCol w:w="2156"/>
      </w:tblGrid>
      <w:tr w14:paraId="5F1D5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92" w:type="dxa"/>
          </w:tcPr>
          <w:p w14:paraId="0EA84409">
            <w:pPr>
              <w:pStyle w:val="14"/>
              <w:spacing w:before="90"/>
              <w:ind w:left="691" w:right="686"/>
              <w:jc w:val="center"/>
              <w:rPr>
                <w:b/>
                <w:sz w:val="21"/>
              </w:rPr>
            </w:pPr>
            <w:r>
              <w:rPr>
                <w:b/>
                <w:sz w:val="21"/>
              </w:rPr>
              <w:t>环境风险潜势</w:t>
            </w:r>
          </w:p>
        </w:tc>
        <w:tc>
          <w:tcPr>
            <w:tcW w:w="1920" w:type="dxa"/>
          </w:tcPr>
          <w:p w14:paraId="51A740F4">
            <w:pPr>
              <w:pStyle w:val="14"/>
              <w:spacing w:before="90"/>
              <w:ind w:left="552" w:right="546"/>
              <w:jc w:val="center"/>
              <w:rPr>
                <w:rFonts w:ascii="Times New Roman" w:eastAsia="Times New Roman"/>
                <w:sz w:val="21"/>
              </w:rPr>
            </w:pPr>
            <w:r>
              <w:rPr>
                <w:rFonts w:ascii="Times New Roman" w:eastAsia="Times New Roman"/>
                <w:sz w:val="21"/>
              </w:rPr>
              <w:t>IV</w:t>
            </w:r>
            <w:r>
              <w:rPr>
                <w:sz w:val="21"/>
              </w:rPr>
              <w:t>、</w:t>
            </w:r>
            <w:r>
              <w:rPr>
                <w:rFonts w:ascii="Times New Roman" w:eastAsia="Times New Roman"/>
                <w:sz w:val="21"/>
              </w:rPr>
              <w:t>IV+</w:t>
            </w:r>
          </w:p>
        </w:tc>
        <w:tc>
          <w:tcPr>
            <w:tcW w:w="877" w:type="dxa"/>
          </w:tcPr>
          <w:p w14:paraId="5C1FBD9D">
            <w:pPr>
              <w:pStyle w:val="14"/>
              <w:spacing w:before="104"/>
              <w:ind w:left="177" w:right="172"/>
              <w:jc w:val="center"/>
              <w:rPr>
                <w:rFonts w:ascii="Times New Roman"/>
                <w:sz w:val="21"/>
              </w:rPr>
            </w:pPr>
            <w:r>
              <w:rPr>
                <w:rFonts w:ascii="Times New Roman"/>
                <w:sz w:val="21"/>
              </w:rPr>
              <w:t>III</w:t>
            </w:r>
          </w:p>
        </w:tc>
        <w:tc>
          <w:tcPr>
            <w:tcW w:w="877" w:type="dxa"/>
          </w:tcPr>
          <w:p w14:paraId="1A2B010F">
            <w:pPr>
              <w:pStyle w:val="14"/>
              <w:spacing w:before="104"/>
              <w:ind w:left="366"/>
              <w:rPr>
                <w:rFonts w:ascii="Times New Roman"/>
                <w:sz w:val="21"/>
              </w:rPr>
            </w:pPr>
            <w:r>
              <w:rPr>
                <w:rFonts w:ascii="Times New Roman"/>
                <w:sz w:val="21"/>
              </w:rPr>
              <w:t>II</w:t>
            </w:r>
          </w:p>
        </w:tc>
        <w:tc>
          <w:tcPr>
            <w:tcW w:w="2156" w:type="dxa"/>
          </w:tcPr>
          <w:p w14:paraId="77CD2F97">
            <w:pPr>
              <w:pStyle w:val="14"/>
              <w:spacing w:before="104"/>
              <w:ind w:left="8"/>
              <w:jc w:val="center"/>
              <w:rPr>
                <w:rFonts w:ascii="Times New Roman"/>
                <w:sz w:val="21"/>
              </w:rPr>
            </w:pPr>
            <w:r>
              <w:rPr>
                <w:rFonts w:ascii="Times New Roman"/>
                <w:w w:val="99"/>
                <w:sz w:val="21"/>
              </w:rPr>
              <w:t>I</w:t>
            </w:r>
          </w:p>
        </w:tc>
      </w:tr>
      <w:tr w14:paraId="0C7CC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692" w:type="dxa"/>
          </w:tcPr>
          <w:p w14:paraId="74E0F582">
            <w:pPr>
              <w:pStyle w:val="14"/>
              <w:spacing w:before="89"/>
              <w:ind w:left="691" w:right="686"/>
              <w:jc w:val="center"/>
              <w:rPr>
                <w:b/>
                <w:sz w:val="21"/>
              </w:rPr>
            </w:pPr>
            <w:r>
              <w:rPr>
                <w:b/>
                <w:sz w:val="21"/>
              </w:rPr>
              <w:t>评价工作等级</w:t>
            </w:r>
          </w:p>
        </w:tc>
        <w:tc>
          <w:tcPr>
            <w:tcW w:w="1920" w:type="dxa"/>
          </w:tcPr>
          <w:p w14:paraId="739D5708">
            <w:pPr>
              <w:pStyle w:val="14"/>
              <w:spacing w:before="89"/>
              <w:ind w:left="8"/>
              <w:jc w:val="center"/>
              <w:rPr>
                <w:sz w:val="21"/>
              </w:rPr>
            </w:pPr>
            <w:r>
              <w:rPr>
                <w:w w:val="99"/>
                <w:sz w:val="21"/>
              </w:rPr>
              <w:t>一</w:t>
            </w:r>
          </w:p>
        </w:tc>
        <w:tc>
          <w:tcPr>
            <w:tcW w:w="877" w:type="dxa"/>
          </w:tcPr>
          <w:p w14:paraId="01DA9C6F">
            <w:pPr>
              <w:pStyle w:val="14"/>
              <w:spacing w:before="89"/>
              <w:ind w:left="5"/>
              <w:jc w:val="center"/>
              <w:rPr>
                <w:sz w:val="21"/>
              </w:rPr>
            </w:pPr>
            <w:r>
              <w:rPr>
                <w:w w:val="99"/>
                <w:sz w:val="21"/>
              </w:rPr>
              <w:t>二</w:t>
            </w:r>
          </w:p>
        </w:tc>
        <w:tc>
          <w:tcPr>
            <w:tcW w:w="877" w:type="dxa"/>
          </w:tcPr>
          <w:p w14:paraId="4A1407A8">
            <w:pPr>
              <w:pStyle w:val="14"/>
              <w:spacing w:before="89"/>
              <w:ind w:left="333"/>
              <w:rPr>
                <w:sz w:val="21"/>
              </w:rPr>
            </w:pPr>
            <w:r>
              <w:rPr>
                <w:w w:val="99"/>
                <w:sz w:val="21"/>
              </w:rPr>
              <w:t>三</w:t>
            </w:r>
          </w:p>
        </w:tc>
        <w:tc>
          <w:tcPr>
            <w:tcW w:w="2156" w:type="dxa"/>
          </w:tcPr>
          <w:p w14:paraId="28BC6903">
            <w:pPr>
              <w:pStyle w:val="14"/>
              <w:spacing w:before="89"/>
              <w:ind w:left="274" w:right="265"/>
              <w:jc w:val="center"/>
              <w:rPr>
                <w:rFonts w:ascii="Times New Roman" w:eastAsia="Times New Roman"/>
                <w:sz w:val="13"/>
              </w:rPr>
            </w:pPr>
            <w:r>
              <w:rPr>
                <w:sz w:val="21"/>
              </w:rPr>
              <w:t xml:space="preserve">简单分析 </w:t>
            </w:r>
            <w:r>
              <w:rPr>
                <w:rFonts w:ascii="Times New Roman" w:eastAsia="Times New Roman"/>
                <w:position w:val="7"/>
                <w:sz w:val="13"/>
              </w:rPr>
              <w:t>a</w:t>
            </w:r>
          </w:p>
        </w:tc>
      </w:tr>
      <w:tr w14:paraId="59975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522" w:type="dxa"/>
            <w:gridSpan w:val="5"/>
          </w:tcPr>
          <w:p w14:paraId="0E38F83B">
            <w:pPr>
              <w:pStyle w:val="14"/>
              <w:ind w:left="107"/>
              <w:rPr>
                <w:sz w:val="21"/>
              </w:rPr>
            </w:pPr>
            <w:r>
              <w:rPr>
                <w:rFonts w:ascii="Times New Roman" w:eastAsia="Times New Roman"/>
                <w:sz w:val="21"/>
              </w:rPr>
              <w:t xml:space="preserve">a </w:t>
            </w:r>
            <w:r>
              <w:rPr>
                <w:sz w:val="21"/>
              </w:rPr>
              <w:t>是相对于详细评价工作内容而言，在描述危险物质、环境影响途径、环境危害后果、风</w:t>
            </w:r>
          </w:p>
          <w:p w14:paraId="36CEB02F">
            <w:pPr>
              <w:pStyle w:val="14"/>
              <w:spacing w:before="2" w:line="254" w:lineRule="exact"/>
              <w:ind w:left="107"/>
              <w:rPr>
                <w:sz w:val="21"/>
              </w:rPr>
            </w:pPr>
            <w:r>
              <w:rPr>
                <w:sz w:val="21"/>
              </w:rPr>
              <w:t>险防范措施等方面给出定性的说明。</w:t>
            </w:r>
          </w:p>
        </w:tc>
      </w:tr>
    </w:tbl>
    <w:p w14:paraId="7CD5595D">
      <w:pPr>
        <w:pStyle w:val="3"/>
        <w:numPr>
          <w:ilvl w:val="1"/>
          <w:numId w:val="26"/>
        </w:numPr>
        <w:tabs>
          <w:tab w:val="left" w:pos="868"/>
        </w:tabs>
        <w:spacing w:before="1" w:after="0" w:line="240" w:lineRule="auto"/>
        <w:ind w:left="868" w:right="0" w:hanging="408"/>
        <w:jc w:val="left"/>
      </w:pPr>
      <w:bookmarkStart w:id="222" w:name="_bookmark31"/>
      <w:bookmarkEnd w:id="222"/>
      <w:bookmarkStart w:id="223" w:name="_bookmark31"/>
      <w:bookmarkEnd w:id="223"/>
      <w:bookmarkStart w:id="224" w:name="6.3环境风险识别"/>
      <w:bookmarkEnd w:id="224"/>
      <w:r>
        <w:t>环境风险识别</w:t>
      </w:r>
    </w:p>
    <w:p w14:paraId="1D97AE78">
      <w:pPr>
        <w:pStyle w:val="7"/>
        <w:spacing w:before="186" w:line="364" w:lineRule="auto"/>
        <w:ind w:left="460" w:right="477" w:firstLine="480"/>
        <w:jc w:val="both"/>
      </w:pPr>
      <w:r>
        <w:t>风险识别范围包括物质危险性识别、生产系统危险性识别和危险物质向环境转移的途径识别。</w:t>
      </w:r>
    </w:p>
    <w:p w14:paraId="00976E26">
      <w:pPr>
        <w:pStyle w:val="7"/>
        <w:spacing w:line="364" w:lineRule="auto"/>
        <w:ind w:left="460" w:right="477" w:firstLine="480"/>
        <w:jc w:val="both"/>
      </w:pPr>
      <w:r>
        <w:t>物质危险性识别范围：主要原辅材料、燃料、中间产品、副产品、最终产品污染物、火灾和爆炸伴生</w:t>
      </w:r>
      <w:r>
        <w:rPr>
          <w:rFonts w:ascii="Times New Roman" w:eastAsia="Times New Roman"/>
        </w:rPr>
        <w:t>/</w:t>
      </w:r>
      <w:r>
        <w:t>次生物等。</w:t>
      </w:r>
    </w:p>
    <w:p w14:paraId="4AFB71A8">
      <w:pPr>
        <w:pStyle w:val="7"/>
        <w:spacing w:line="364" w:lineRule="auto"/>
        <w:ind w:left="460" w:right="477" w:firstLine="480"/>
        <w:jc w:val="both"/>
      </w:pPr>
      <w:r>
        <w:t>生产系统危险性识别范围：主要生产装置、储运设施、公用工程和辅助生产设施以及环保设施等。</w:t>
      </w:r>
    </w:p>
    <w:p w14:paraId="6C8D0D7F">
      <w:pPr>
        <w:pStyle w:val="7"/>
        <w:spacing w:line="364" w:lineRule="auto"/>
        <w:ind w:left="460" w:right="477" w:firstLine="480"/>
        <w:jc w:val="both"/>
      </w:pPr>
      <w:r>
        <w:t>危险物质向环境转移的途径识别范围：分析危险物质特性及可能的环境风险类型、识别危险物质环境影响的途径（如大气环境、水环境、土壤、生态环境等），分析可能影响的环境敏感目标。</w:t>
      </w:r>
    </w:p>
    <w:p w14:paraId="0805147A">
      <w:pPr>
        <w:pStyle w:val="6"/>
        <w:numPr>
          <w:ilvl w:val="2"/>
          <w:numId w:val="26"/>
        </w:numPr>
        <w:tabs>
          <w:tab w:val="left" w:pos="991"/>
        </w:tabs>
        <w:spacing w:before="0" w:after="0" w:line="307" w:lineRule="exact"/>
        <w:ind w:left="990" w:right="0" w:hanging="530"/>
        <w:jc w:val="left"/>
      </w:pPr>
      <w:bookmarkStart w:id="225" w:name="6.3.1物质危险性识别"/>
      <w:bookmarkEnd w:id="225"/>
      <w:bookmarkStart w:id="226" w:name="6.3.1物质危险性识别"/>
      <w:bookmarkEnd w:id="226"/>
      <w:r>
        <w:t>物质危险性识别</w:t>
      </w:r>
    </w:p>
    <w:p w14:paraId="2E36ADA4">
      <w:pPr>
        <w:pStyle w:val="7"/>
        <w:spacing w:before="157" w:line="364" w:lineRule="auto"/>
        <w:ind w:left="460" w:right="477" w:firstLine="480"/>
        <w:jc w:val="both"/>
      </w:pPr>
      <w:r>
        <w:t>本项目车间消毒和污水处理消毒分别使用过氧乙酸和次氯酸钢，分别储存在车间药品间和污水处理站药品间。次氯酸钠具有较强腐蚀性的物质，它们不但对人有很强的化学灼伤和毒害作用，而且对金属设备也有很强的腐蚀作用。腐蚀会降低设备使用寿命，使设备减薄、变脆，若检修不及时，会因承受不了原设计压力而引发泄漏事故。过氧乙酸是一种普遍应用的，杀菌能力较强的高效消毒剂，具有强氧化作用，可以迅速杀灭各种微生物，包括病毒、细菌、真菌及芽孢。但对金属有腐蚀性，不可用于金属器械的消毒。</w:t>
      </w:r>
    </w:p>
    <w:p w14:paraId="39EE4E0E">
      <w:pPr>
        <w:pStyle w:val="7"/>
        <w:spacing w:line="364" w:lineRule="auto"/>
        <w:ind w:left="460" w:right="480" w:firstLine="480"/>
        <w:jc w:val="both"/>
      </w:pPr>
      <w:r>
        <w:t xml:space="preserve">次氯酸钠的物理化学性质及危险特征见表 </w:t>
      </w:r>
      <w:r>
        <w:rPr>
          <w:rFonts w:ascii="Times New Roman" w:eastAsia="Times New Roman"/>
        </w:rPr>
        <w:t>6.3-1</w:t>
      </w:r>
      <w:r>
        <w:t xml:space="preserve">。过氧乙酸的物理化学性质及危险特征见表 </w:t>
      </w:r>
      <w:r>
        <w:rPr>
          <w:rFonts w:ascii="Times New Roman" w:eastAsia="Times New Roman"/>
        </w:rPr>
        <w:t>6.3-1</w:t>
      </w:r>
      <w:r>
        <w:t>。</w:t>
      </w:r>
    </w:p>
    <w:p w14:paraId="7BD363BA">
      <w:pPr>
        <w:spacing w:before="0" w:line="267" w:lineRule="exact"/>
        <w:ind w:left="267" w:right="286" w:firstLine="0"/>
        <w:jc w:val="center"/>
        <w:rPr>
          <w:b/>
          <w:sz w:val="21"/>
        </w:rPr>
      </w:pPr>
      <w:r>
        <w:rPr>
          <w:b/>
          <w:sz w:val="21"/>
        </w:rPr>
        <w:t xml:space="preserve">表 </w:t>
      </w:r>
      <w:r>
        <w:rPr>
          <w:rFonts w:ascii="Times New Roman" w:eastAsia="Times New Roman"/>
          <w:b/>
          <w:sz w:val="21"/>
        </w:rPr>
        <w:t xml:space="preserve">6.3-1 </w:t>
      </w:r>
      <w:r>
        <w:rPr>
          <w:b/>
          <w:sz w:val="21"/>
        </w:rPr>
        <w:t>次氯酸钠理化性质及危害特性一览表</w:t>
      </w: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2287"/>
        <w:gridCol w:w="1256"/>
        <w:gridCol w:w="1037"/>
        <w:gridCol w:w="1334"/>
        <w:gridCol w:w="2014"/>
      </w:tblGrid>
      <w:tr w14:paraId="45213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restart"/>
          </w:tcPr>
          <w:p w14:paraId="17BD4784">
            <w:pPr>
              <w:pStyle w:val="14"/>
              <w:spacing w:before="8"/>
              <w:rPr>
                <w:b/>
                <w:sz w:val="26"/>
              </w:rPr>
            </w:pPr>
          </w:p>
          <w:p w14:paraId="6BE81744">
            <w:pPr>
              <w:pStyle w:val="14"/>
              <w:spacing w:before="1"/>
              <w:ind w:left="134"/>
              <w:rPr>
                <w:sz w:val="21"/>
              </w:rPr>
            </w:pPr>
            <w:r>
              <w:rPr>
                <w:sz w:val="21"/>
              </w:rPr>
              <w:t>标识</w:t>
            </w:r>
          </w:p>
        </w:tc>
        <w:tc>
          <w:tcPr>
            <w:tcW w:w="3543" w:type="dxa"/>
            <w:gridSpan w:val="2"/>
          </w:tcPr>
          <w:p w14:paraId="59FD7D29">
            <w:pPr>
              <w:pStyle w:val="14"/>
              <w:spacing w:before="18"/>
              <w:ind w:left="695"/>
              <w:rPr>
                <w:sz w:val="21"/>
              </w:rPr>
            </w:pPr>
            <w:r>
              <w:rPr>
                <w:sz w:val="21"/>
              </w:rPr>
              <w:t>中文名： 次氯酸钠溶液</w:t>
            </w:r>
          </w:p>
        </w:tc>
        <w:tc>
          <w:tcPr>
            <w:tcW w:w="4385" w:type="dxa"/>
            <w:gridSpan w:val="3"/>
          </w:tcPr>
          <w:p w14:paraId="42160C74">
            <w:pPr>
              <w:pStyle w:val="14"/>
              <w:spacing w:before="18"/>
              <w:ind w:left="541"/>
              <w:rPr>
                <w:rFonts w:ascii="Times New Roman" w:eastAsia="Times New Roman"/>
                <w:sz w:val="21"/>
              </w:rPr>
            </w:pPr>
            <w:r>
              <w:rPr>
                <w:sz w:val="21"/>
              </w:rPr>
              <w:t>英文名：</w:t>
            </w:r>
            <w:r>
              <w:rPr>
                <w:rFonts w:ascii="Times New Roman" w:eastAsia="Times New Roman"/>
                <w:sz w:val="21"/>
              </w:rPr>
              <w:t>sodium hypochlorite solution</w:t>
            </w:r>
          </w:p>
        </w:tc>
      </w:tr>
      <w:tr w14:paraId="78E5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3ACBDCE2">
            <w:pPr>
              <w:rPr>
                <w:sz w:val="2"/>
                <w:szCs w:val="2"/>
              </w:rPr>
            </w:pPr>
          </w:p>
        </w:tc>
        <w:tc>
          <w:tcPr>
            <w:tcW w:w="3543" w:type="dxa"/>
            <w:gridSpan w:val="2"/>
          </w:tcPr>
          <w:p w14:paraId="3CF96A16">
            <w:pPr>
              <w:pStyle w:val="14"/>
              <w:spacing w:before="19"/>
              <w:ind w:left="1000"/>
              <w:rPr>
                <w:rFonts w:ascii="Times New Roman" w:eastAsia="Times New Roman"/>
                <w:sz w:val="21"/>
              </w:rPr>
            </w:pPr>
            <w:r>
              <w:rPr>
                <w:spacing w:val="-22"/>
                <w:w w:val="99"/>
                <w:sz w:val="21"/>
              </w:rPr>
              <w:t>分子式：：</w:t>
            </w:r>
            <w:r>
              <w:rPr>
                <w:rFonts w:ascii="Times New Roman" w:eastAsia="Times New Roman"/>
                <w:w w:val="99"/>
                <w:sz w:val="21"/>
              </w:rPr>
              <w:t>Na</w:t>
            </w:r>
            <w:r>
              <w:rPr>
                <w:rFonts w:ascii="Times New Roman" w:eastAsia="Times New Roman"/>
                <w:spacing w:val="-1"/>
                <w:w w:val="99"/>
                <w:sz w:val="21"/>
              </w:rPr>
              <w:t>Cl</w:t>
            </w:r>
            <w:r>
              <w:rPr>
                <w:rFonts w:ascii="Times New Roman" w:eastAsia="Times New Roman"/>
                <w:w w:val="99"/>
                <w:sz w:val="21"/>
              </w:rPr>
              <w:t>O</w:t>
            </w:r>
          </w:p>
        </w:tc>
        <w:tc>
          <w:tcPr>
            <w:tcW w:w="2371" w:type="dxa"/>
            <w:gridSpan w:val="2"/>
          </w:tcPr>
          <w:p w14:paraId="38456776">
            <w:pPr>
              <w:pStyle w:val="14"/>
              <w:spacing w:before="19"/>
              <w:ind w:left="212"/>
              <w:rPr>
                <w:rFonts w:ascii="Times New Roman" w:eastAsia="Times New Roman"/>
                <w:sz w:val="21"/>
              </w:rPr>
            </w:pPr>
            <w:r>
              <w:rPr>
                <w:sz w:val="21"/>
              </w:rPr>
              <w:t>相对分子质量：</w:t>
            </w:r>
            <w:r>
              <w:rPr>
                <w:rFonts w:ascii="Times New Roman" w:eastAsia="Times New Roman"/>
                <w:sz w:val="21"/>
              </w:rPr>
              <w:t>74.44</w:t>
            </w:r>
          </w:p>
        </w:tc>
        <w:tc>
          <w:tcPr>
            <w:tcW w:w="2014" w:type="dxa"/>
          </w:tcPr>
          <w:p w14:paraId="389BE8CD">
            <w:pPr>
              <w:pStyle w:val="14"/>
              <w:spacing w:before="19"/>
              <w:ind w:left="283" w:right="274"/>
              <w:jc w:val="center"/>
              <w:rPr>
                <w:rFonts w:ascii="Times New Roman" w:eastAsia="Times New Roman"/>
                <w:sz w:val="21"/>
              </w:rPr>
            </w:pPr>
            <w:r>
              <w:rPr>
                <w:rFonts w:ascii="Times New Roman" w:eastAsia="Times New Roman"/>
                <w:sz w:val="21"/>
              </w:rPr>
              <w:t xml:space="preserve">UN </w:t>
            </w:r>
            <w:r>
              <w:rPr>
                <w:sz w:val="21"/>
              </w:rPr>
              <w:t>编号：</w:t>
            </w:r>
            <w:r>
              <w:rPr>
                <w:rFonts w:ascii="Times New Roman" w:eastAsia="Times New Roman"/>
                <w:sz w:val="21"/>
              </w:rPr>
              <w:t>1791</w:t>
            </w:r>
          </w:p>
        </w:tc>
      </w:tr>
      <w:tr w14:paraId="076B2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89" w:type="dxa"/>
            <w:vMerge w:val="continue"/>
            <w:tcBorders>
              <w:top w:val="nil"/>
            </w:tcBorders>
          </w:tcPr>
          <w:p w14:paraId="0AF207C7">
            <w:pPr>
              <w:rPr>
                <w:sz w:val="2"/>
                <w:szCs w:val="2"/>
              </w:rPr>
            </w:pPr>
          </w:p>
        </w:tc>
        <w:tc>
          <w:tcPr>
            <w:tcW w:w="2287" w:type="dxa"/>
          </w:tcPr>
          <w:p w14:paraId="5D8E276D">
            <w:pPr>
              <w:pStyle w:val="14"/>
              <w:spacing w:before="18"/>
              <w:ind w:left="460"/>
              <w:rPr>
                <w:rFonts w:ascii="Times New Roman" w:eastAsia="Times New Roman"/>
                <w:sz w:val="21"/>
              </w:rPr>
            </w:pPr>
            <w:r>
              <w:rPr>
                <w:sz w:val="21"/>
              </w:rPr>
              <w:t>危规号：</w:t>
            </w:r>
            <w:r>
              <w:rPr>
                <w:rFonts w:ascii="Times New Roman" w:eastAsia="Times New Roman"/>
                <w:sz w:val="21"/>
              </w:rPr>
              <w:t>83501</w:t>
            </w:r>
          </w:p>
        </w:tc>
        <w:tc>
          <w:tcPr>
            <w:tcW w:w="2293" w:type="dxa"/>
            <w:gridSpan w:val="2"/>
          </w:tcPr>
          <w:p w14:paraId="15647AEF">
            <w:pPr>
              <w:pStyle w:val="14"/>
              <w:spacing w:before="18"/>
              <w:ind w:left="273"/>
              <w:rPr>
                <w:rFonts w:ascii="Times New Roman" w:eastAsia="Times New Roman"/>
                <w:sz w:val="21"/>
              </w:rPr>
            </w:pPr>
            <w:r>
              <w:rPr>
                <w:rFonts w:ascii="Times New Roman" w:eastAsia="Times New Roman"/>
                <w:sz w:val="21"/>
              </w:rPr>
              <w:t xml:space="preserve">CAS </w:t>
            </w:r>
            <w:r>
              <w:rPr>
                <w:sz w:val="21"/>
              </w:rPr>
              <w:t>号：</w:t>
            </w:r>
            <w:r>
              <w:rPr>
                <w:rFonts w:ascii="Times New Roman" w:eastAsia="Times New Roman"/>
                <w:sz w:val="21"/>
              </w:rPr>
              <w:t>7681-52-9</w:t>
            </w:r>
          </w:p>
        </w:tc>
        <w:tc>
          <w:tcPr>
            <w:tcW w:w="1334" w:type="dxa"/>
          </w:tcPr>
          <w:p w14:paraId="5CAC128F">
            <w:pPr>
              <w:pStyle w:val="14"/>
              <w:spacing w:before="18"/>
              <w:ind w:left="436" w:right="428"/>
              <w:jc w:val="center"/>
              <w:rPr>
                <w:sz w:val="21"/>
              </w:rPr>
            </w:pPr>
            <w:r>
              <w:rPr>
                <w:sz w:val="21"/>
              </w:rPr>
              <w:t>分类</w:t>
            </w:r>
          </w:p>
        </w:tc>
        <w:tc>
          <w:tcPr>
            <w:tcW w:w="2014" w:type="dxa"/>
          </w:tcPr>
          <w:p w14:paraId="389DAEBD">
            <w:pPr>
              <w:pStyle w:val="14"/>
              <w:spacing w:before="18"/>
              <w:ind w:left="282" w:right="274"/>
              <w:jc w:val="center"/>
              <w:rPr>
                <w:sz w:val="21"/>
              </w:rPr>
            </w:pPr>
            <w:r>
              <w:rPr>
                <w:sz w:val="21"/>
              </w:rPr>
              <w:t>腐蚀性物质</w:t>
            </w:r>
          </w:p>
        </w:tc>
      </w:tr>
    </w:tbl>
    <w:p w14:paraId="4A3CE5A5">
      <w:pPr>
        <w:spacing w:after="0"/>
        <w:jc w:val="center"/>
        <w:rPr>
          <w:sz w:val="21"/>
        </w:rPr>
        <w:sectPr>
          <w:pgSz w:w="11910" w:h="16840"/>
          <w:pgMar w:top="1360" w:right="1320" w:bottom="1400" w:left="1340" w:header="878" w:footer="1204" w:gutter="0"/>
          <w:cols w:space="720" w:num="1"/>
        </w:sectPr>
      </w:pPr>
    </w:p>
    <w:p w14:paraId="209FEA46">
      <w:pPr>
        <w:pStyle w:val="7"/>
        <w:spacing w:before="3"/>
        <w:rPr>
          <w:b/>
          <w:sz w:val="5"/>
        </w:rPr>
      </w:pP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3543"/>
        <w:gridCol w:w="4385"/>
      </w:tblGrid>
      <w:tr w14:paraId="1171D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restart"/>
          </w:tcPr>
          <w:p w14:paraId="26EBE216">
            <w:pPr>
              <w:pStyle w:val="14"/>
              <w:rPr>
                <w:b/>
                <w:sz w:val="20"/>
              </w:rPr>
            </w:pPr>
          </w:p>
          <w:p w14:paraId="7B448A56">
            <w:pPr>
              <w:pStyle w:val="14"/>
              <w:spacing w:before="4"/>
              <w:rPr>
                <w:b/>
                <w:sz w:val="21"/>
              </w:rPr>
            </w:pPr>
          </w:p>
          <w:p w14:paraId="5BEC43D7">
            <w:pPr>
              <w:pStyle w:val="14"/>
              <w:spacing w:line="242" w:lineRule="auto"/>
              <w:ind w:left="134" w:right="125"/>
              <w:rPr>
                <w:sz w:val="21"/>
              </w:rPr>
            </w:pPr>
            <w:r>
              <w:rPr>
                <w:w w:val="95"/>
                <w:sz w:val="21"/>
              </w:rPr>
              <w:t>理化性质</w:t>
            </w:r>
          </w:p>
        </w:tc>
        <w:tc>
          <w:tcPr>
            <w:tcW w:w="7928" w:type="dxa"/>
            <w:gridSpan w:val="2"/>
          </w:tcPr>
          <w:p w14:paraId="37023E92">
            <w:pPr>
              <w:pStyle w:val="14"/>
              <w:spacing w:before="21"/>
              <w:ind w:left="107"/>
              <w:rPr>
                <w:sz w:val="21"/>
              </w:rPr>
            </w:pPr>
            <w:r>
              <w:rPr>
                <w:sz w:val="21"/>
              </w:rPr>
              <w:t>性状： 微黄色溶液，有似氯气的气味</w:t>
            </w:r>
          </w:p>
        </w:tc>
      </w:tr>
      <w:tr w14:paraId="38A22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5EE3367D">
            <w:pPr>
              <w:rPr>
                <w:sz w:val="2"/>
                <w:szCs w:val="2"/>
              </w:rPr>
            </w:pPr>
          </w:p>
        </w:tc>
        <w:tc>
          <w:tcPr>
            <w:tcW w:w="3543" w:type="dxa"/>
          </w:tcPr>
          <w:p w14:paraId="34BA5B3C">
            <w:pPr>
              <w:pStyle w:val="14"/>
              <w:spacing w:before="20"/>
              <w:ind w:left="107"/>
              <w:rPr>
                <w:rFonts w:ascii="Times New Roman" w:hAnsi="Times New Roman" w:eastAsia="Times New Roman"/>
                <w:sz w:val="21"/>
              </w:rPr>
            </w:pPr>
            <w:r>
              <w:rPr>
                <w:w w:val="99"/>
                <w:sz w:val="21"/>
              </w:rPr>
              <w:t>熔点</w:t>
            </w:r>
            <w:r>
              <w:rPr>
                <w:spacing w:val="1"/>
                <w:w w:val="99"/>
                <w:sz w:val="21"/>
              </w:rPr>
              <w:t>（</w:t>
            </w:r>
            <w:r>
              <w:rPr>
                <w:spacing w:val="-1"/>
                <w:w w:val="99"/>
                <w:sz w:val="21"/>
              </w:rPr>
              <w:t>℃</w:t>
            </w:r>
            <w:r>
              <w:rPr>
                <w:spacing w:val="-104"/>
                <w:w w:val="99"/>
                <w:sz w:val="21"/>
              </w:rPr>
              <w:t>）</w:t>
            </w:r>
            <w:r>
              <w:rPr>
                <w:spacing w:val="-1"/>
                <w:w w:val="99"/>
                <w:sz w:val="21"/>
              </w:rPr>
              <w:t>：</w:t>
            </w:r>
            <w:r>
              <w:rPr>
                <w:rFonts w:ascii="Times New Roman" w:hAnsi="Times New Roman" w:eastAsia="Times New Roman"/>
                <w:spacing w:val="-1"/>
                <w:w w:val="99"/>
                <w:sz w:val="21"/>
              </w:rPr>
              <w:t>-</w:t>
            </w:r>
            <w:r>
              <w:rPr>
                <w:rFonts w:ascii="Times New Roman" w:hAnsi="Times New Roman" w:eastAsia="Times New Roman"/>
                <w:w w:val="99"/>
                <w:sz w:val="21"/>
              </w:rPr>
              <w:t>6</w:t>
            </w:r>
          </w:p>
        </w:tc>
        <w:tc>
          <w:tcPr>
            <w:tcW w:w="4385" w:type="dxa"/>
          </w:tcPr>
          <w:p w14:paraId="3ACA6D61">
            <w:pPr>
              <w:pStyle w:val="14"/>
              <w:spacing w:before="20"/>
              <w:ind w:left="106"/>
              <w:rPr>
                <w:rFonts w:ascii="Times New Roman" w:eastAsia="Times New Roman"/>
                <w:sz w:val="21"/>
              </w:rPr>
            </w:pPr>
            <w:r>
              <w:rPr>
                <w:spacing w:val="-1"/>
                <w:w w:val="99"/>
                <w:sz w:val="21"/>
              </w:rPr>
              <w:t>相对密度（</w:t>
            </w:r>
            <w:r>
              <w:rPr>
                <w:spacing w:val="1"/>
                <w:w w:val="99"/>
                <w:sz w:val="21"/>
              </w:rPr>
              <w:t>水</w:t>
            </w:r>
            <w:r>
              <w:rPr>
                <w:rFonts w:ascii="Times New Roman" w:eastAsia="Times New Roman"/>
                <w:spacing w:val="-1"/>
                <w:w w:val="99"/>
                <w:sz w:val="21"/>
              </w:rPr>
              <w:t>=</w:t>
            </w:r>
            <w:r>
              <w:rPr>
                <w:rFonts w:ascii="Times New Roman" w:eastAsia="Times New Roman"/>
                <w:spacing w:val="0"/>
                <w:w w:val="99"/>
                <w:sz w:val="21"/>
              </w:rPr>
              <w:t>1</w:t>
            </w:r>
            <w:r>
              <w:rPr>
                <w:spacing w:val="-104"/>
                <w:w w:val="99"/>
                <w:sz w:val="21"/>
              </w:rPr>
              <w:t>）</w:t>
            </w:r>
            <w:r>
              <w:rPr>
                <w:spacing w:val="-1"/>
                <w:w w:val="99"/>
                <w:sz w:val="21"/>
              </w:rPr>
              <w:t>：</w:t>
            </w:r>
            <w:r>
              <w:rPr>
                <w:rFonts w:ascii="Times New Roman" w:eastAsia="Times New Roman"/>
                <w:spacing w:val="0"/>
                <w:w w:val="99"/>
                <w:sz w:val="21"/>
              </w:rPr>
              <w:t>1</w:t>
            </w:r>
            <w:r>
              <w:rPr>
                <w:rFonts w:ascii="Times New Roman" w:eastAsia="Times New Roman"/>
                <w:w w:val="99"/>
                <w:sz w:val="21"/>
              </w:rPr>
              <w:t>.</w:t>
            </w:r>
            <w:r>
              <w:rPr>
                <w:rFonts w:ascii="Times New Roman" w:eastAsia="Times New Roman"/>
                <w:spacing w:val="0"/>
                <w:w w:val="99"/>
                <w:sz w:val="21"/>
              </w:rPr>
              <w:t>1</w:t>
            </w:r>
            <w:r>
              <w:rPr>
                <w:rFonts w:ascii="Times New Roman" w:eastAsia="Times New Roman"/>
                <w:w w:val="99"/>
                <w:sz w:val="21"/>
              </w:rPr>
              <w:t>0</w:t>
            </w:r>
          </w:p>
        </w:tc>
      </w:tr>
      <w:tr w14:paraId="1C6AC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69C383AC">
            <w:pPr>
              <w:rPr>
                <w:sz w:val="2"/>
                <w:szCs w:val="2"/>
              </w:rPr>
            </w:pPr>
          </w:p>
        </w:tc>
        <w:tc>
          <w:tcPr>
            <w:tcW w:w="3543" w:type="dxa"/>
          </w:tcPr>
          <w:p w14:paraId="3057FD89">
            <w:pPr>
              <w:pStyle w:val="14"/>
              <w:spacing w:before="19"/>
              <w:ind w:left="107"/>
              <w:rPr>
                <w:rFonts w:ascii="Times New Roman" w:hAnsi="Times New Roman" w:eastAsia="Times New Roman"/>
                <w:sz w:val="21"/>
              </w:rPr>
            </w:pPr>
            <w:r>
              <w:rPr>
                <w:w w:val="99"/>
                <w:sz w:val="21"/>
              </w:rPr>
              <w:t>沸点</w:t>
            </w:r>
            <w:r>
              <w:rPr>
                <w:spacing w:val="1"/>
                <w:w w:val="99"/>
                <w:sz w:val="21"/>
              </w:rPr>
              <w:t>（</w:t>
            </w:r>
            <w:r>
              <w:rPr>
                <w:spacing w:val="-1"/>
                <w:w w:val="99"/>
                <w:sz w:val="21"/>
              </w:rPr>
              <w:t>℃</w:t>
            </w:r>
            <w:r>
              <w:rPr>
                <w:spacing w:val="-104"/>
                <w:w w:val="99"/>
                <w:sz w:val="21"/>
              </w:rPr>
              <w:t>）</w:t>
            </w:r>
            <w:r>
              <w:rPr>
                <w:spacing w:val="-1"/>
                <w:w w:val="99"/>
                <w:sz w:val="21"/>
              </w:rPr>
              <w:t>：</w:t>
            </w:r>
            <w:r>
              <w:rPr>
                <w:rFonts w:ascii="Times New Roman" w:hAnsi="Times New Roman" w:eastAsia="Times New Roman"/>
                <w:spacing w:val="0"/>
                <w:w w:val="99"/>
                <w:sz w:val="21"/>
              </w:rPr>
              <w:t>102</w:t>
            </w:r>
            <w:r>
              <w:rPr>
                <w:rFonts w:ascii="Times New Roman" w:hAnsi="Times New Roman" w:eastAsia="Times New Roman"/>
                <w:w w:val="99"/>
                <w:sz w:val="21"/>
              </w:rPr>
              <w:t>.2</w:t>
            </w:r>
          </w:p>
        </w:tc>
        <w:tc>
          <w:tcPr>
            <w:tcW w:w="4385" w:type="dxa"/>
          </w:tcPr>
          <w:p w14:paraId="4C0ECAE2">
            <w:pPr>
              <w:pStyle w:val="14"/>
              <w:spacing w:before="19"/>
              <w:ind w:left="106"/>
              <w:rPr>
                <w:sz w:val="21"/>
              </w:rPr>
            </w:pPr>
            <w:r>
              <w:rPr>
                <w:spacing w:val="-1"/>
                <w:w w:val="99"/>
                <w:sz w:val="21"/>
              </w:rPr>
              <w:t>相对密度（</w:t>
            </w:r>
            <w:r>
              <w:rPr>
                <w:w w:val="99"/>
                <w:sz w:val="21"/>
              </w:rPr>
              <w:t>空气</w:t>
            </w:r>
            <w:r>
              <w:rPr>
                <w:rFonts w:ascii="Times New Roman" w:eastAsia="Times New Roman"/>
                <w:spacing w:val="-1"/>
                <w:w w:val="99"/>
                <w:sz w:val="21"/>
              </w:rPr>
              <w:t>=</w:t>
            </w:r>
            <w:r>
              <w:rPr>
                <w:rFonts w:ascii="Times New Roman" w:eastAsia="Times New Roman"/>
                <w:spacing w:val="0"/>
                <w:w w:val="99"/>
                <w:sz w:val="21"/>
              </w:rPr>
              <w:t>1</w:t>
            </w:r>
            <w:r>
              <w:rPr>
                <w:spacing w:val="-106"/>
                <w:w w:val="99"/>
                <w:sz w:val="21"/>
              </w:rPr>
              <w:t>）</w:t>
            </w:r>
            <w:r>
              <w:rPr>
                <w:spacing w:val="-1"/>
                <w:w w:val="99"/>
                <w:sz w:val="21"/>
              </w:rPr>
              <w:t>：无资料</w:t>
            </w:r>
          </w:p>
        </w:tc>
      </w:tr>
      <w:tr w14:paraId="1770C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89" w:type="dxa"/>
            <w:vMerge w:val="continue"/>
            <w:tcBorders>
              <w:top w:val="nil"/>
            </w:tcBorders>
          </w:tcPr>
          <w:p w14:paraId="5AE49ED6">
            <w:pPr>
              <w:rPr>
                <w:sz w:val="2"/>
                <w:szCs w:val="2"/>
              </w:rPr>
            </w:pPr>
          </w:p>
        </w:tc>
        <w:tc>
          <w:tcPr>
            <w:tcW w:w="7928" w:type="dxa"/>
            <w:gridSpan w:val="2"/>
          </w:tcPr>
          <w:p w14:paraId="09AE5379">
            <w:pPr>
              <w:pStyle w:val="14"/>
              <w:spacing w:before="21"/>
              <w:ind w:left="107"/>
              <w:rPr>
                <w:sz w:val="21"/>
              </w:rPr>
            </w:pPr>
            <w:r>
              <w:rPr>
                <w:sz w:val="21"/>
              </w:rPr>
              <w:t>溶解性：溶于水</w:t>
            </w:r>
          </w:p>
        </w:tc>
      </w:tr>
      <w:tr w14:paraId="31395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89" w:type="dxa"/>
            <w:vMerge w:val="continue"/>
            <w:tcBorders>
              <w:top w:val="nil"/>
            </w:tcBorders>
          </w:tcPr>
          <w:p w14:paraId="2CB6F07E">
            <w:pPr>
              <w:rPr>
                <w:sz w:val="2"/>
                <w:szCs w:val="2"/>
              </w:rPr>
            </w:pPr>
          </w:p>
        </w:tc>
        <w:tc>
          <w:tcPr>
            <w:tcW w:w="3543" w:type="dxa"/>
          </w:tcPr>
          <w:p w14:paraId="76E5CF32">
            <w:pPr>
              <w:pStyle w:val="14"/>
              <w:spacing w:before="21"/>
              <w:ind w:left="107"/>
              <w:rPr>
                <w:sz w:val="21"/>
              </w:rPr>
            </w:pPr>
            <w:r>
              <w:rPr>
                <w:spacing w:val="-1"/>
                <w:w w:val="99"/>
                <w:sz w:val="21"/>
              </w:rPr>
              <w:t>引燃温度</w:t>
            </w:r>
            <w:r>
              <w:rPr>
                <w:spacing w:val="1"/>
                <w:w w:val="99"/>
                <w:sz w:val="21"/>
              </w:rPr>
              <w:t>（</w:t>
            </w:r>
            <w:r>
              <w:rPr>
                <w:spacing w:val="-1"/>
                <w:w w:val="99"/>
                <w:sz w:val="21"/>
              </w:rPr>
              <w:t>℃</w:t>
            </w:r>
            <w:r>
              <w:rPr>
                <w:spacing w:val="-104"/>
                <w:w w:val="99"/>
                <w:sz w:val="21"/>
              </w:rPr>
              <w:t>）</w:t>
            </w:r>
            <w:r>
              <w:rPr>
                <w:spacing w:val="-1"/>
                <w:w w:val="99"/>
                <w:sz w:val="21"/>
              </w:rPr>
              <w:t>：无意义</w:t>
            </w:r>
          </w:p>
        </w:tc>
        <w:tc>
          <w:tcPr>
            <w:tcW w:w="4385" w:type="dxa"/>
          </w:tcPr>
          <w:p w14:paraId="134CF97F">
            <w:pPr>
              <w:pStyle w:val="14"/>
              <w:spacing w:before="21"/>
              <w:ind w:left="106"/>
              <w:rPr>
                <w:sz w:val="21"/>
              </w:rPr>
            </w:pPr>
            <w:r>
              <w:rPr>
                <w:sz w:val="21"/>
              </w:rPr>
              <w:t>禁忌物： 碱类</w:t>
            </w:r>
          </w:p>
        </w:tc>
      </w:tr>
      <w:tr w14:paraId="15FB1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89" w:type="dxa"/>
            <w:vMerge w:val="restart"/>
          </w:tcPr>
          <w:p w14:paraId="765F7643">
            <w:pPr>
              <w:pStyle w:val="14"/>
              <w:spacing w:before="19" w:line="242" w:lineRule="auto"/>
              <w:ind w:left="134" w:right="125"/>
              <w:jc w:val="both"/>
              <w:rPr>
                <w:sz w:val="21"/>
              </w:rPr>
            </w:pPr>
            <w:r>
              <w:rPr>
                <w:w w:val="95"/>
                <w:sz w:val="21"/>
              </w:rPr>
              <w:t>燃爆特性及消</w:t>
            </w:r>
            <w:r>
              <w:rPr>
                <w:sz w:val="21"/>
              </w:rPr>
              <w:t>防</w:t>
            </w:r>
          </w:p>
        </w:tc>
        <w:tc>
          <w:tcPr>
            <w:tcW w:w="7928" w:type="dxa"/>
            <w:gridSpan w:val="2"/>
          </w:tcPr>
          <w:p w14:paraId="33D40CF9">
            <w:pPr>
              <w:pStyle w:val="14"/>
              <w:spacing w:before="19"/>
              <w:ind w:left="107"/>
              <w:rPr>
                <w:sz w:val="21"/>
              </w:rPr>
            </w:pPr>
            <w:r>
              <w:rPr>
                <w:sz w:val="21"/>
              </w:rPr>
              <w:t>危险特性：受高热分解产生有毒的腐蚀性烟气。具有腐蚀性</w:t>
            </w:r>
          </w:p>
        </w:tc>
      </w:tr>
      <w:tr w14:paraId="34D33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689" w:type="dxa"/>
            <w:vMerge w:val="continue"/>
            <w:tcBorders>
              <w:top w:val="nil"/>
            </w:tcBorders>
          </w:tcPr>
          <w:p w14:paraId="765DCA44">
            <w:pPr>
              <w:rPr>
                <w:sz w:val="2"/>
                <w:szCs w:val="2"/>
              </w:rPr>
            </w:pPr>
          </w:p>
        </w:tc>
        <w:tc>
          <w:tcPr>
            <w:tcW w:w="7928" w:type="dxa"/>
            <w:gridSpan w:val="2"/>
          </w:tcPr>
          <w:p w14:paraId="4F343A24">
            <w:pPr>
              <w:pStyle w:val="14"/>
              <w:spacing w:before="12"/>
              <w:rPr>
                <w:b/>
                <w:sz w:val="20"/>
              </w:rPr>
            </w:pPr>
          </w:p>
          <w:p w14:paraId="480F2BD1">
            <w:pPr>
              <w:pStyle w:val="14"/>
              <w:ind w:left="107"/>
              <w:rPr>
                <w:sz w:val="21"/>
              </w:rPr>
            </w:pPr>
            <w:r>
              <w:rPr>
                <w:sz w:val="21"/>
              </w:rPr>
              <w:t>灭火方法： 采用雾状水、二氧化碳、砂土灭火</w:t>
            </w:r>
          </w:p>
        </w:tc>
      </w:tr>
      <w:tr w14:paraId="44427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89" w:type="dxa"/>
          </w:tcPr>
          <w:p w14:paraId="16682527">
            <w:pPr>
              <w:pStyle w:val="14"/>
              <w:spacing w:before="19" w:line="270" w:lineRule="atLeast"/>
              <w:ind w:left="134" w:right="125"/>
              <w:rPr>
                <w:sz w:val="21"/>
              </w:rPr>
            </w:pPr>
            <w:r>
              <w:rPr>
                <w:w w:val="95"/>
                <w:sz w:val="21"/>
              </w:rPr>
              <w:t>毒性指标</w:t>
            </w:r>
          </w:p>
        </w:tc>
        <w:tc>
          <w:tcPr>
            <w:tcW w:w="7928" w:type="dxa"/>
            <w:gridSpan w:val="2"/>
          </w:tcPr>
          <w:p w14:paraId="0E5091E0">
            <w:pPr>
              <w:pStyle w:val="14"/>
              <w:spacing w:before="154"/>
              <w:ind w:left="107"/>
              <w:rPr>
                <w:rFonts w:ascii="Times New Roman" w:eastAsia="Times New Roman"/>
                <w:sz w:val="21"/>
              </w:rPr>
            </w:pPr>
            <w:r>
              <w:rPr>
                <w:rFonts w:ascii="Times New Roman" w:eastAsia="Times New Roman"/>
                <w:position w:val="2"/>
                <w:sz w:val="21"/>
              </w:rPr>
              <w:t>LD</w:t>
            </w:r>
            <w:r>
              <w:rPr>
                <w:rFonts w:ascii="Times New Roman" w:eastAsia="Times New Roman"/>
                <w:position w:val="2"/>
                <w:sz w:val="21"/>
                <w:vertAlign w:val="subscript"/>
              </w:rPr>
              <w:t>50</w:t>
            </w:r>
            <w:r>
              <w:rPr>
                <w:position w:val="2"/>
                <w:sz w:val="21"/>
                <w:vertAlign w:val="baseline"/>
              </w:rPr>
              <w:t>：</w:t>
            </w:r>
            <w:r>
              <w:rPr>
                <w:rFonts w:ascii="Times New Roman" w:eastAsia="Times New Roman"/>
                <w:position w:val="2"/>
                <w:sz w:val="21"/>
                <w:vertAlign w:val="baseline"/>
              </w:rPr>
              <w:t>8500 mg/kg(</w:t>
            </w:r>
            <w:r>
              <w:rPr>
                <w:position w:val="2"/>
                <w:sz w:val="21"/>
                <w:vertAlign w:val="baseline"/>
              </w:rPr>
              <w:t>小鼠经口</w:t>
            </w:r>
            <w:r>
              <w:rPr>
                <w:rFonts w:ascii="Times New Roman" w:eastAsia="Times New Roman"/>
                <w:position w:val="2"/>
                <w:sz w:val="21"/>
                <w:vertAlign w:val="baseline"/>
              </w:rPr>
              <w:t>)</w:t>
            </w:r>
          </w:p>
        </w:tc>
      </w:tr>
      <w:tr w14:paraId="27740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89" w:type="dxa"/>
          </w:tcPr>
          <w:p w14:paraId="21A3C55F">
            <w:pPr>
              <w:pStyle w:val="14"/>
              <w:spacing w:before="20" w:line="270" w:lineRule="atLeast"/>
              <w:ind w:left="134" w:right="125"/>
              <w:rPr>
                <w:sz w:val="21"/>
              </w:rPr>
            </w:pPr>
            <w:r>
              <w:rPr>
                <w:w w:val="95"/>
                <w:sz w:val="21"/>
              </w:rPr>
              <w:t>健康危害</w:t>
            </w:r>
          </w:p>
        </w:tc>
        <w:tc>
          <w:tcPr>
            <w:tcW w:w="7928" w:type="dxa"/>
            <w:gridSpan w:val="2"/>
          </w:tcPr>
          <w:p w14:paraId="2C689D0C">
            <w:pPr>
              <w:pStyle w:val="14"/>
              <w:spacing w:before="20" w:line="270" w:lineRule="atLeast"/>
              <w:ind w:left="107" w:right="459"/>
              <w:rPr>
                <w:sz w:val="21"/>
              </w:rPr>
            </w:pPr>
            <w:r>
              <w:rPr>
                <w:w w:val="95"/>
                <w:sz w:val="21"/>
              </w:rPr>
              <w:t xml:space="preserve">经常用手接触本品的工人，手掌大量出汗，指甲变薄，毛发脱落。本品有致敏作  </w:t>
            </w:r>
            <w:r>
              <w:rPr>
                <w:sz w:val="21"/>
              </w:rPr>
              <w:t>用。本品放出的游离氯有可能引起中毒。</w:t>
            </w:r>
          </w:p>
        </w:tc>
      </w:tr>
      <w:tr w14:paraId="309FC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89" w:type="dxa"/>
          </w:tcPr>
          <w:p w14:paraId="39088FA2">
            <w:pPr>
              <w:pStyle w:val="14"/>
              <w:rPr>
                <w:b/>
                <w:sz w:val="20"/>
              </w:rPr>
            </w:pPr>
          </w:p>
          <w:p w14:paraId="0B995B8D">
            <w:pPr>
              <w:pStyle w:val="14"/>
              <w:spacing w:before="173" w:line="242" w:lineRule="auto"/>
              <w:ind w:left="134" w:right="125"/>
              <w:rPr>
                <w:sz w:val="21"/>
              </w:rPr>
            </w:pPr>
            <w:r>
              <w:rPr>
                <w:w w:val="95"/>
                <w:sz w:val="21"/>
              </w:rPr>
              <w:t>急救措施</w:t>
            </w:r>
          </w:p>
        </w:tc>
        <w:tc>
          <w:tcPr>
            <w:tcW w:w="7928" w:type="dxa"/>
            <w:gridSpan w:val="2"/>
          </w:tcPr>
          <w:p w14:paraId="6F8503B1">
            <w:pPr>
              <w:pStyle w:val="14"/>
              <w:spacing w:before="22"/>
              <w:ind w:left="107"/>
              <w:rPr>
                <w:sz w:val="21"/>
              </w:rPr>
            </w:pPr>
            <w:r>
              <w:rPr>
                <w:sz w:val="21"/>
              </w:rPr>
              <w:t>皮肤接触：脱去污染的衣着，用大量流动清水冲洗。</w:t>
            </w:r>
          </w:p>
          <w:p w14:paraId="17077537">
            <w:pPr>
              <w:pStyle w:val="14"/>
              <w:spacing w:before="2"/>
              <w:ind w:left="107"/>
              <w:rPr>
                <w:sz w:val="21"/>
              </w:rPr>
            </w:pPr>
            <w:r>
              <w:rPr>
                <w:sz w:val="21"/>
              </w:rPr>
              <w:t>眼睛接触：提起眼睑，用流动清水或生理盐水冲洗。就医。</w:t>
            </w:r>
          </w:p>
          <w:p w14:paraId="4DBF952B">
            <w:pPr>
              <w:pStyle w:val="14"/>
              <w:spacing w:before="2" w:line="244" w:lineRule="auto"/>
              <w:ind w:left="107" w:right="250"/>
              <w:rPr>
                <w:sz w:val="21"/>
              </w:rPr>
            </w:pPr>
            <w:r>
              <w:rPr>
                <w:w w:val="95"/>
                <w:sz w:val="21"/>
              </w:rPr>
              <w:t xml:space="preserve">吸入：迅速脱离现场至空气新鲜处。保持呼吸道通畅。如呼吸困难，给输氧。呼吸  </w:t>
            </w:r>
            <w:r>
              <w:rPr>
                <w:sz w:val="21"/>
              </w:rPr>
              <w:t>停止，立即进行人工呼吸。就医。</w:t>
            </w:r>
          </w:p>
          <w:p w14:paraId="7A2F70DD">
            <w:pPr>
              <w:pStyle w:val="14"/>
              <w:spacing w:line="265" w:lineRule="exact"/>
              <w:ind w:left="107"/>
              <w:rPr>
                <w:sz w:val="21"/>
              </w:rPr>
            </w:pPr>
            <w:r>
              <w:rPr>
                <w:w w:val="95"/>
                <w:sz w:val="21"/>
              </w:rPr>
              <w:t>食入：饮足量温水，催吐。就医。</w:t>
            </w:r>
          </w:p>
        </w:tc>
      </w:tr>
      <w:tr w14:paraId="1D027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7" w:hRule="atLeast"/>
        </w:trPr>
        <w:tc>
          <w:tcPr>
            <w:tcW w:w="689" w:type="dxa"/>
          </w:tcPr>
          <w:p w14:paraId="0950AD67">
            <w:pPr>
              <w:pStyle w:val="14"/>
              <w:rPr>
                <w:b/>
                <w:sz w:val="20"/>
              </w:rPr>
            </w:pPr>
          </w:p>
          <w:p w14:paraId="4C570796">
            <w:pPr>
              <w:pStyle w:val="14"/>
              <w:rPr>
                <w:b/>
                <w:sz w:val="20"/>
              </w:rPr>
            </w:pPr>
          </w:p>
          <w:p w14:paraId="21AFA68C">
            <w:pPr>
              <w:pStyle w:val="14"/>
              <w:spacing w:before="8"/>
              <w:rPr>
                <w:b/>
                <w:sz w:val="14"/>
              </w:rPr>
            </w:pPr>
          </w:p>
          <w:p w14:paraId="51686FB4">
            <w:pPr>
              <w:pStyle w:val="14"/>
              <w:spacing w:line="244" w:lineRule="auto"/>
              <w:ind w:left="134" w:right="125"/>
              <w:rPr>
                <w:sz w:val="21"/>
              </w:rPr>
            </w:pPr>
            <w:r>
              <w:rPr>
                <w:w w:val="95"/>
                <w:sz w:val="21"/>
              </w:rPr>
              <w:t>防护措施</w:t>
            </w:r>
          </w:p>
        </w:tc>
        <w:tc>
          <w:tcPr>
            <w:tcW w:w="7928" w:type="dxa"/>
            <w:gridSpan w:val="2"/>
          </w:tcPr>
          <w:p w14:paraId="1E11F246">
            <w:pPr>
              <w:pStyle w:val="14"/>
              <w:spacing w:before="21"/>
              <w:ind w:left="107"/>
              <w:rPr>
                <w:sz w:val="21"/>
              </w:rPr>
            </w:pPr>
            <w:r>
              <w:rPr>
                <w:sz w:val="21"/>
              </w:rPr>
              <w:t>工程控制：生产过程密闭，全面通风。提供安全淋浴和洗眼设备。</w:t>
            </w:r>
          </w:p>
          <w:p w14:paraId="55420B70">
            <w:pPr>
              <w:pStyle w:val="14"/>
              <w:spacing w:before="2" w:line="244" w:lineRule="auto"/>
              <w:ind w:left="107" w:right="1405"/>
              <w:rPr>
                <w:sz w:val="21"/>
              </w:rPr>
            </w:pPr>
            <w:r>
              <w:rPr>
                <w:w w:val="95"/>
                <w:sz w:val="21"/>
              </w:rPr>
              <w:t>呼吸系统防护：高浓度环境中，应该佩戴直接式防毒面具（半面罩</w:t>
            </w:r>
            <w:r>
              <w:rPr>
                <w:spacing w:val="-106"/>
                <w:w w:val="95"/>
                <w:sz w:val="21"/>
              </w:rPr>
              <w:t>）</w:t>
            </w:r>
            <w:r>
              <w:rPr>
                <w:w w:val="95"/>
                <w:sz w:val="21"/>
              </w:rPr>
              <w:t xml:space="preserve">。  </w:t>
            </w:r>
            <w:r>
              <w:rPr>
                <w:sz w:val="21"/>
              </w:rPr>
              <w:t>眼睛防护：戴化学安全防护眼镜。</w:t>
            </w:r>
          </w:p>
          <w:p w14:paraId="1E04ECEF">
            <w:pPr>
              <w:pStyle w:val="14"/>
              <w:spacing w:line="244" w:lineRule="auto"/>
              <w:ind w:left="107" w:right="5290"/>
              <w:rPr>
                <w:sz w:val="21"/>
              </w:rPr>
            </w:pPr>
            <w:r>
              <w:rPr>
                <w:w w:val="95"/>
                <w:sz w:val="21"/>
              </w:rPr>
              <w:t>身体防护：穿防腐工作服。</w:t>
            </w:r>
            <w:r>
              <w:rPr>
                <w:sz w:val="21"/>
              </w:rPr>
              <w:t>手防护：戴橡胶手套。</w:t>
            </w:r>
          </w:p>
          <w:p w14:paraId="2CB0935A">
            <w:pPr>
              <w:pStyle w:val="14"/>
              <w:spacing w:line="265" w:lineRule="exact"/>
              <w:ind w:left="107"/>
              <w:rPr>
                <w:sz w:val="21"/>
              </w:rPr>
            </w:pPr>
            <w:r>
              <w:rPr>
                <w:sz w:val="21"/>
              </w:rPr>
              <w:t>其它防护：工作现场禁止吸烟、进食和饮水。工作完毕，淋浴更衣。注意个人清洁</w:t>
            </w:r>
          </w:p>
          <w:p w14:paraId="207EB10C">
            <w:pPr>
              <w:pStyle w:val="14"/>
              <w:ind w:left="107"/>
              <w:rPr>
                <w:sz w:val="21"/>
              </w:rPr>
            </w:pPr>
            <w:r>
              <w:rPr>
                <w:sz w:val="21"/>
              </w:rPr>
              <w:t>卫生。</w:t>
            </w:r>
          </w:p>
        </w:tc>
      </w:tr>
      <w:tr w14:paraId="5D9CE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89" w:type="dxa"/>
          </w:tcPr>
          <w:p w14:paraId="1CD97459">
            <w:pPr>
              <w:pStyle w:val="14"/>
              <w:rPr>
                <w:b/>
                <w:sz w:val="20"/>
              </w:rPr>
            </w:pPr>
          </w:p>
          <w:p w14:paraId="26FF6BA3">
            <w:pPr>
              <w:pStyle w:val="14"/>
              <w:spacing w:before="172" w:line="242" w:lineRule="auto"/>
              <w:ind w:left="134" w:right="125"/>
              <w:rPr>
                <w:sz w:val="21"/>
              </w:rPr>
            </w:pPr>
            <w:r>
              <w:rPr>
                <w:w w:val="95"/>
                <w:sz w:val="21"/>
              </w:rPr>
              <w:t>泄漏处理</w:t>
            </w:r>
          </w:p>
        </w:tc>
        <w:tc>
          <w:tcPr>
            <w:tcW w:w="7928" w:type="dxa"/>
            <w:gridSpan w:val="2"/>
          </w:tcPr>
          <w:p w14:paraId="3DADB7D9">
            <w:pPr>
              <w:pStyle w:val="14"/>
              <w:spacing w:before="20" w:line="242" w:lineRule="auto"/>
              <w:ind w:left="107" w:right="250"/>
              <w:jc w:val="both"/>
              <w:rPr>
                <w:sz w:val="21"/>
              </w:rPr>
            </w:pPr>
            <w:r>
              <w:rPr>
                <w:w w:val="95"/>
                <w:sz w:val="21"/>
              </w:rPr>
              <w:t xml:space="preserve">迅速撤离泄漏污染区人员至安全区，并进行隔离，严格限制出入。建议应急处理人  员戴自给正压式呼吸器，穿防酸碱工作服。不要直接接触泄漏物。尽可能切断泄漏  源。小量泄漏：用砂土、蛭石或其它惰性材料吸收。大量泄漏：构筑围堤或挖坑收  容。用泡沫覆盖，降低蒸气灾害。用泵转移至槽车或专用收集器内，回收或运至废  </w:t>
            </w:r>
            <w:r>
              <w:rPr>
                <w:sz w:val="21"/>
              </w:rPr>
              <w:t>物处理场所处置。</w:t>
            </w:r>
          </w:p>
        </w:tc>
      </w:tr>
      <w:tr w14:paraId="61E4A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689" w:type="dxa"/>
          </w:tcPr>
          <w:p w14:paraId="7BEC3920">
            <w:pPr>
              <w:pStyle w:val="14"/>
              <w:spacing w:before="12"/>
              <w:rPr>
                <w:b/>
                <w:sz w:val="22"/>
              </w:rPr>
            </w:pPr>
          </w:p>
          <w:p w14:paraId="4D5B2B35">
            <w:pPr>
              <w:pStyle w:val="14"/>
              <w:spacing w:line="242" w:lineRule="auto"/>
              <w:ind w:left="134" w:right="125"/>
              <w:rPr>
                <w:sz w:val="21"/>
              </w:rPr>
            </w:pPr>
            <w:r>
              <w:rPr>
                <w:w w:val="95"/>
                <w:sz w:val="21"/>
              </w:rPr>
              <w:t>包装方法</w:t>
            </w:r>
          </w:p>
        </w:tc>
        <w:tc>
          <w:tcPr>
            <w:tcW w:w="7928" w:type="dxa"/>
            <w:gridSpan w:val="2"/>
          </w:tcPr>
          <w:p w14:paraId="46D3F446">
            <w:pPr>
              <w:pStyle w:val="14"/>
              <w:spacing w:before="20" w:line="242" w:lineRule="auto"/>
              <w:ind w:left="107" w:right="250"/>
              <w:jc w:val="both"/>
              <w:rPr>
                <w:sz w:val="21"/>
              </w:rPr>
            </w:pPr>
            <w:r>
              <w:rPr>
                <w:w w:val="95"/>
                <w:sz w:val="21"/>
              </w:rPr>
              <w:t>耐酸坛或陶瓷瓶外普通木箱或半花格木箱；玻璃瓶或塑料桶（罐）外普通木箱或半  花格木箱；磨砂口玻璃瓶或螺纹口玻璃瓶外普通木箱；螺纹口玻璃瓶、铁盖压口玻  璃瓶、塑料瓶或金属桶（罐）外普通木箱；螺纹口玻璃瓶、塑料瓶或镀锡薄钢板桶</w:t>
            </w:r>
          </w:p>
          <w:p w14:paraId="545B24D5">
            <w:pPr>
              <w:pStyle w:val="14"/>
              <w:spacing w:before="3"/>
              <w:ind w:left="107"/>
              <w:jc w:val="both"/>
              <w:rPr>
                <w:sz w:val="21"/>
              </w:rPr>
            </w:pPr>
            <w:r>
              <w:rPr>
                <w:sz w:val="21"/>
              </w:rPr>
              <w:t>（罐）外满底板花格箱、纤维板箱或胶合板箱。</w:t>
            </w:r>
          </w:p>
        </w:tc>
      </w:tr>
      <w:tr w14:paraId="2E35D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689" w:type="dxa"/>
          </w:tcPr>
          <w:p w14:paraId="2D628A0B">
            <w:pPr>
              <w:pStyle w:val="14"/>
              <w:rPr>
                <w:b/>
                <w:sz w:val="20"/>
              </w:rPr>
            </w:pPr>
          </w:p>
          <w:p w14:paraId="04E6EFC9">
            <w:pPr>
              <w:pStyle w:val="14"/>
              <w:spacing w:before="172" w:line="242" w:lineRule="auto"/>
              <w:ind w:left="134" w:right="125"/>
              <w:rPr>
                <w:sz w:val="21"/>
              </w:rPr>
            </w:pPr>
            <w:r>
              <w:rPr>
                <w:w w:val="95"/>
                <w:sz w:val="21"/>
              </w:rPr>
              <w:t>储运条件</w:t>
            </w:r>
          </w:p>
        </w:tc>
        <w:tc>
          <w:tcPr>
            <w:tcW w:w="7928" w:type="dxa"/>
            <w:gridSpan w:val="2"/>
          </w:tcPr>
          <w:p w14:paraId="7542468F">
            <w:pPr>
              <w:pStyle w:val="14"/>
              <w:spacing w:before="20" w:line="242" w:lineRule="auto"/>
              <w:ind w:left="107" w:right="197"/>
              <w:jc w:val="both"/>
              <w:rPr>
                <w:sz w:val="21"/>
              </w:rPr>
            </w:pPr>
            <w:r>
              <w:rPr>
                <w:spacing w:val="-3"/>
                <w:sz w:val="21"/>
              </w:rPr>
              <w:t xml:space="preserve">储存于阴凉、通风的库房。远离火种、热源。库温不宜超过 </w:t>
            </w:r>
            <w:r>
              <w:rPr>
                <w:rFonts w:ascii="Times New Roman" w:hAnsi="Times New Roman" w:eastAsia="Times New Roman"/>
                <w:sz w:val="21"/>
              </w:rPr>
              <w:t>30</w:t>
            </w:r>
            <w:r>
              <w:rPr>
                <w:sz w:val="21"/>
              </w:rPr>
              <w:t>℃。应与碱类分开存放，切忌混储。储区应备有泄漏应急处理设备和合适的收容材料。起运时包装要完整，装载应稳妥。运输过程中要确保容器不泄漏、不倒塌、不坠落、不损坏。严禁与碱类、食用化学品等混装混运。运输时运输车辆应配备泄漏应急处理设备。运输途中应防曝晒、雨淋，防高温。</w:t>
            </w:r>
          </w:p>
        </w:tc>
      </w:tr>
    </w:tbl>
    <w:p w14:paraId="4F7A9C28">
      <w:pPr>
        <w:spacing w:before="1" w:after="3"/>
        <w:ind w:left="2523" w:right="0" w:firstLine="0"/>
        <w:jc w:val="left"/>
        <w:rPr>
          <w:b/>
          <w:sz w:val="21"/>
        </w:rPr>
      </w:pPr>
      <w:r>
        <w:rPr>
          <w:b/>
          <w:sz w:val="21"/>
        </w:rPr>
        <w:t xml:space="preserve">表 </w:t>
      </w:r>
      <w:r>
        <w:rPr>
          <w:rFonts w:ascii="Times New Roman" w:eastAsia="Times New Roman"/>
          <w:b/>
          <w:sz w:val="21"/>
        </w:rPr>
        <w:t xml:space="preserve">6.3-1 </w:t>
      </w:r>
      <w:r>
        <w:rPr>
          <w:b/>
          <w:sz w:val="21"/>
        </w:rPr>
        <w:t>过氧乙酸理化性质及危害特性一览表</w:t>
      </w: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2287"/>
        <w:gridCol w:w="1256"/>
        <w:gridCol w:w="1037"/>
        <w:gridCol w:w="1334"/>
        <w:gridCol w:w="2014"/>
      </w:tblGrid>
      <w:tr w14:paraId="50DC6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89" w:type="dxa"/>
            <w:vMerge w:val="restart"/>
          </w:tcPr>
          <w:p w14:paraId="073D6AFA">
            <w:pPr>
              <w:pStyle w:val="14"/>
              <w:spacing w:before="9"/>
              <w:rPr>
                <w:b/>
                <w:sz w:val="26"/>
              </w:rPr>
            </w:pPr>
          </w:p>
          <w:p w14:paraId="2717EC1D">
            <w:pPr>
              <w:pStyle w:val="14"/>
              <w:ind w:left="134"/>
              <w:rPr>
                <w:sz w:val="21"/>
              </w:rPr>
            </w:pPr>
            <w:r>
              <w:rPr>
                <w:sz w:val="21"/>
              </w:rPr>
              <w:t>标识</w:t>
            </w:r>
          </w:p>
        </w:tc>
        <w:tc>
          <w:tcPr>
            <w:tcW w:w="3543" w:type="dxa"/>
            <w:gridSpan w:val="2"/>
          </w:tcPr>
          <w:p w14:paraId="35A15E51">
            <w:pPr>
              <w:pStyle w:val="14"/>
              <w:spacing w:before="21"/>
              <w:ind w:left="904"/>
              <w:rPr>
                <w:sz w:val="21"/>
              </w:rPr>
            </w:pPr>
            <w:r>
              <w:rPr>
                <w:sz w:val="21"/>
              </w:rPr>
              <w:t>中文名： 过氧乙酸</w:t>
            </w:r>
          </w:p>
        </w:tc>
        <w:tc>
          <w:tcPr>
            <w:tcW w:w="4385" w:type="dxa"/>
            <w:gridSpan w:val="3"/>
          </w:tcPr>
          <w:p w14:paraId="1B6ADE84">
            <w:pPr>
              <w:pStyle w:val="14"/>
              <w:spacing w:before="21"/>
              <w:ind w:left="1138"/>
              <w:rPr>
                <w:rFonts w:ascii="Times New Roman" w:eastAsia="Times New Roman"/>
                <w:sz w:val="18"/>
              </w:rPr>
            </w:pPr>
            <w:r>
              <w:rPr>
                <w:sz w:val="21"/>
              </w:rPr>
              <w:t>英文名：</w:t>
            </w:r>
            <w:r>
              <w:rPr>
                <w:rFonts w:ascii="Times New Roman" w:eastAsia="Times New Roman"/>
                <w:sz w:val="18"/>
              </w:rPr>
              <w:t>peroxyacetic acid</w:t>
            </w:r>
          </w:p>
        </w:tc>
      </w:tr>
      <w:tr w14:paraId="5982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017E8C10">
            <w:pPr>
              <w:rPr>
                <w:sz w:val="2"/>
                <w:szCs w:val="2"/>
              </w:rPr>
            </w:pPr>
          </w:p>
        </w:tc>
        <w:tc>
          <w:tcPr>
            <w:tcW w:w="3543" w:type="dxa"/>
            <w:gridSpan w:val="2"/>
          </w:tcPr>
          <w:p w14:paraId="23F5F358">
            <w:pPr>
              <w:pStyle w:val="14"/>
              <w:spacing w:before="17" w:line="275" w:lineRule="exact"/>
              <w:ind w:left="973"/>
              <w:rPr>
                <w:rFonts w:ascii="Times New Roman" w:eastAsia="Times New Roman"/>
                <w:sz w:val="21"/>
              </w:rPr>
            </w:pPr>
            <w:r>
              <w:rPr>
                <w:spacing w:val="-21"/>
                <w:w w:val="99"/>
                <w:position w:val="2"/>
                <w:sz w:val="21"/>
              </w:rPr>
              <w:t>分子式：：</w:t>
            </w:r>
            <w:r>
              <w:rPr>
                <w:rFonts w:ascii="Times New Roman" w:eastAsia="Times New Roman"/>
                <w:spacing w:val="-1"/>
                <w:w w:val="99"/>
                <w:position w:val="2"/>
                <w:sz w:val="21"/>
              </w:rPr>
              <w:t>C</w:t>
            </w:r>
            <w:r>
              <w:rPr>
                <w:rFonts w:ascii="Times New Roman" w:eastAsia="Times New Roman"/>
                <w:spacing w:val="0"/>
                <w:w w:val="104"/>
                <w:position w:val="2"/>
                <w:sz w:val="21"/>
                <w:vertAlign w:val="subscript"/>
              </w:rPr>
              <w:t>2</w:t>
            </w:r>
            <w:r>
              <w:rPr>
                <w:rFonts w:ascii="Times New Roman" w:eastAsia="Times New Roman"/>
                <w:w w:val="99"/>
                <w:position w:val="2"/>
                <w:sz w:val="21"/>
                <w:vertAlign w:val="baseline"/>
              </w:rPr>
              <w:t>H</w:t>
            </w:r>
            <w:r>
              <w:rPr>
                <w:rFonts w:ascii="Times New Roman" w:eastAsia="Times New Roman"/>
                <w:spacing w:val="-2"/>
                <w:w w:val="104"/>
                <w:position w:val="2"/>
                <w:sz w:val="21"/>
                <w:vertAlign w:val="subscript"/>
              </w:rPr>
              <w:t>4</w:t>
            </w:r>
            <w:r>
              <w:rPr>
                <w:rFonts w:ascii="Times New Roman" w:eastAsia="Times New Roman"/>
                <w:w w:val="99"/>
                <w:position w:val="2"/>
                <w:sz w:val="21"/>
                <w:vertAlign w:val="baseline"/>
              </w:rPr>
              <w:t>O</w:t>
            </w:r>
            <w:r>
              <w:rPr>
                <w:rFonts w:ascii="Times New Roman" w:eastAsia="Times New Roman"/>
                <w:w w:val="104"/>
                <w:position w:val="2"/>
                <w:sz w:val="21"/>
                <w:vertAlign w:val="subscript"/>
              </w:rPr>
              <w:t>3</w:t>
            </w:r>
          </w:p>
        </w:tc>
        <w:tc>
          <w:tcPr>
            <w:tcW w:w="2371" w:type="dxa"/>
            <w:gridSpan w:val="2"/>
          </w:tcPr>
          <w:p w14:paraId="1C26CB14">
            <w:pPr>
              <w:pStyle w:val="14"/>
              <w:spacing w:before="20"/>
              <w:ind w:left="212"/>
              <w:rPr>
                <w:rFonts w:ascii="Times New Roman" w:eastAsia="Times New Roman"/>
                <w:sz w:val="21"/>
              </w:rPr>
            </w:pPr>
            <w:r>
              <w:rPr>
                <w:sz w:val="21"/>
              </w:rPr>
              <w:t>相对分子质量：</w:t>
            </w:r>
            <w:r>
              <w:rPr>
                <w:rFonts w:ascii="Times New Roman" w:eastAsia="Times New Roman"/>
                <w:sz w:val="21"/>
              </w:rPr>
              <w:t>76.05</w:t>
            </w:r>
          </w:p>
        </w:tc>
        <w:tc>
          <w:tcPr>
            <w:tcW w:w="2014" w:type="dxa"/>
          </w:tcPr>
          <w:p w14:paraId="0CDAC6F3">
            <w:pPr>
              <w:pStyle w:val="14"/>
              <w:spacing w:before="20"/>
              <w:ind w:left="283" w:right="274"/>
              <w:jc w:val="center"/>
              <w:rPr>
                <w:rFonts w:ascii="Times New Roman" w:eastAsia="Times New Roman"/>
                <w:sz w:val="21"/>
              </w:rPr>
            </w:pPr>
            <w:r>
              <w:rPr>
                <w:rFonts w:ascii="Times New Roman" w:eastAsia="Times New Roman"/>
                <w:sz w:val="21"/>
              </w:rPr>
              <w:t xml:space="preserve">UN </w:t>
            </w:r>
            <w:r>
              <w:rPr>
                <w:sz w:val="21"/>
              </w:rPr>
              <w:t>编号：</w:t>
            </w:r>
            <w:r>
              <w:rPr>
                <w:rFonts w:ascii="Times New Roman" w:eastAsia="Times New Roman"/>
                <w:sz w:val="21"/>
              </w:rPr>
              <w:t>3109</w:t>
            </w:r>
          </w:p>
        </w:tc>
      </w:tr>
      <w:tr w14:paraId="79EF2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46FE8492">
            <w:pPr>
              <w:rPr>
                <w:sz w:val="2"/>
                <w:szCs w:val="2"/>
              </w:rPr>
            </w:pPr>
          </w:p>
        </w:tc>
        <w:tc>
          <w:tcPr>
            <w:tcW w:w="2287" w:type="dxa"/>
          </w:tcPr>
          <w:p w14:paraId="0ACA0BA5">
            <w:pPr>
              <w:pStyle w:val="14"/>
              <w:spacing w:before="20"/>
              <w:ind w:left="460"/>
              <w:rPr>
                <w:rFonts w:ascii="Times New Roman" w:eastAsia="Times New Roman"/>
                <w:sz w:val="21"/>
              </w:rPr>
            </w:pPr>
            <w:r>
              <w:rPr>
                <w:sz w:val="21"/>
              </w:rPr>
              <w:t>危规号：</w:t>
            </w:r>
            <w:r>
              <w:rPr>
                <w:rFonts w:ascii="Times New Roman" w:eastAsia="Times New Roman"/>
                <w:sz w:val="21"/>
              </w:rPr>
              <w:t>52051</w:t>
            </w:r>
          </w:p>
        </w:tc>
        <w:tc>
          <w:tcPr>
            <w:tcW w:w="2293" w:type="dxa"/>
            <w:gridSpan w:val="2"/>
          </w:tcPr>
          <w:p w14:paraId="67488F56">
            <w:pPr>
              <w:pStyle w:val="14"/>
              <w:spacing w:before="20"/>
              <w:ind w:left="378"/>
              <w:rPr>
                <w:rFonts w:ascii="Times New Roman" w:eastAsia="Times New Roman"/>
                <w:sz w:val="21"/>
              </w:rPr>
            </w:pPr>
            <w:r>
              <w:rPr>
                <w:rFonts w:ascii="Times New Roman" w:eastAsia="Times New Roman"/>
                <w:sz w:val="21"/>
              </w:rPr>
              <w:t xml:space="preserve">CAS </w:t>
            </w:r>
            <w:r>
              <w:rPr>
                <w:sz w:val="21"/>
              </w:rPr>
              <w:t>号：</w:t>
            </w:r>
            <w:r>
              <w:rPr>
                <w:rFonts w:ascii="Times New Roman" w:eastAsia="Times New Roman"/>
                <w:sz w:val="21"/>
              </w:rPr>
              <w:t>79-21-0</w:t>
            </w:r>
          </w:p>
        </w:tc>
        <w:tc>
          <w:tcPr>
            <w:tcW w:w="1334" w:type="dxa"/>
          </w:tcPr>
          <w:p w14:paraId="1E9C243D">
            <w:pPr>
              <w:pStyle w:val="14"/>
              <w:spacing w:before="20"/>
              <w:ind w:left="436" w:right="428"/>
              <w:jc w:val="center"/>
              <w:rPr>
                <w:sz w:val="21"/>
              </w:rPr>
            </w:pPr>
            <w:r>
              <w:rPr>
                <w:sz w:val="21"/>
              </w:rPr>
              <w:t>分类</w:t>
            </w:r>
          </w:p>
        </w:tc>
        <w:tc>
          <w:tcPr>
            <w:tcW w:w="2014" w:type="dxa"/>
          </w:tcPr>
          <w:p w14:paraId="14BA2535">
            <w:pPr>
              <w:pStyle w:val="14"/>
              <w:spacing w:before="20"/>
              <w:ind w:left="279" w:right="274"/>
              <w:jc w:val="center"/>
              <w:rPr>
                <w:sz w:val="21"/>
              </w:rPr>
            </w:pPr>
            <w:r>
              <w:rPr>
                <w:sz w:val="21"/>
              </w:rPr>
              <w:t>强氧化性物质</w:t>
            </w:r>
          </w:p>
        </w:tc>
      </w:tr>
      <w:tr w14:paraId="107B3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restart"/>
          </w:tcPr>
          <w:p w14:paraId="1547CC06">
            <w:pPr>
              <w:pStyle w:val="14"/>
              <w:spacing w:before="7"/>
              <w:rPr>
                <w:b/>
                <w:sz w:val="28"/>
              </w:rPr>
            </w:pPr>
          </w:p>
          <w:p w14:paraId="327AAB6B">
            <w:pPr>
              <w:pStyle w:val="14"/>
              <w:spacing w:before="1" w:line="244" w:lineRule="auto"/>
              <w:ind w:left="134" w:right="125"/>
              <w:rPr>
                <w:sz w:val="21"/>
              </w:rPr>
            </w:pPr>
            <w:r>
              <w:rPr>
                <w:w w:val="95"/>
                <w:sz w:val="21"/>
              </w:rPr>
              <w:t>理化性质</w:t>
            </w:r>
          </w:p>
        </w:tc>
        <w:tc>
          <w:tcPr>
            <w:tcW w:w="7928" w:type="dxa"/>
            <w:gridSpan w:val="5"/>
          </w:tcPr>
          <w:p w14:paraId="48857612">
            <w:pPr>
              <w:pStyle w:val="14"/>
              <w:spacing w:before="21"/>
              <w:ind w:left="107"/>
              <w:rPr>
                <w:sz w:val="21"/>
              </w:rPr>
            </w:pPr>
            <w:r>
              <w:rPr>
                <w:sz w:val="21"/>
              </w:rPr>
              <w:t>性状：无色透明液体，有弱酸性，有强烈的刺激性醋酸气味。易挥发。</w:t>
            </w:r>
          </w:p>
        </w:tc>
      </w:tr>
      <w:tr w14:paraId="32C4F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0F5E7DE7">
            <w:pPr>
              <w:rPr>
                <w:sz w:val="2"/>
                <w:szCs w:val="2"/>
              </w:rPr>
            </w:pPr>
          </w:p>
        </w:tc>
        <w:tc>
          <w:tcPr>
            <w:tcW w:w="3543" w:type="dxa"/>
            <w:gridSpan w:val="2"/>
          </w:tcPr>
          <w:p w14:paraId="58774B43">
            <w:pPr>
              <w:pStyle w:val="14"/>
              <w:spacing w:before="20"/>
              <w:ind w:left="107"/>
              <w:rPr>
                <w:rFonts w:ascii="Times New Roman" w:hAnsi="Times New Roman" w:eastAsia="Times New Roman"/>
                <w:sz w:val="21"/>
              </w:rPr>
            </w:pPr>
            <w:r>
              <w:rPr>
                <w:w w:val="99"/>
                <w:sz w:val="21"/>
              </w:rPr>
              <w:t>熔点</w:t>
            </w:r>
            <w:r>
              <w:rPr>
                <w:spacing w:val="1"/>
                <w:w w:val="99"/>
                <w:sz w:val="21"/>
              </w:rPr>
              <w:t>（</w:t>
            </w:r>
            <w:r>
              <w:rPr>
                <w:spacing w:val="-1"/>
                <w:w w:val="99"/>
                <w:sz w:val="21"/>
              </w:rPr>
              <w:t>℃</w:t>
            </w:r>
            <w:r>
              <w:rPr>
                <w:spacing w:val="-104"/>
                <w:w w:val="99"/>
                <w:sz w:val="21"/>
              </w:rPr>
              <w:t>）</w:t>
            </w:r>
            <w:r>
              <w:rPr>
                <w:spacing w:val="-1"/>
                <w:w w:val="99"/>
                <w:sz w:val="21"/>
              </w:rPr>
              <w:t>：</w:t>
            </w:r>
            <w:r>
              <w:rPr>
                <w:rFonts w:ascii="Times New Roman" w:hAnsi="Times New Roman" w:eastAsia="Times New Roman"/>
                <w:spacing w:val="0"/>
                <w:w w:val="99"/>
                <w:sz w:val="21"/>
              </w:rPr>
              <w:t>0</w:t>
            </w:r>
            <w:r>
              <w:rPr>
                <w:rFonts w:ascii="Times New Roman" w:hAnsi="Times New Roman" w:eastAsia="Times New Roman"/>
                <w:w w:val="99"/>
                <w:sz w:val="21"/>
              </w:rPr>
              <w:t>.1</w:t>
            </w:r>
          </w:p>
        </w:tc>
        <w:tc>
          <w:tcPr>
            <w:tcW w:w="4385" w:type="dxa"/>
            <w:gridSpan w:val="3"/>
          </w:tcPr>
          <w:p w14:paraId="035A35CC">
            <w:pPr>
              <w:pStyle w:val="14"/>
              <w:spacing w:before="20"/>
              <w:ind w:left="106"/>
              <w:rPr>
                <w:rFonts w:ascii="Times New Roman" w:eastAsia="Times New Roman"/>
                <w:sz w:val="21"/>
              </w:rPr>
            </w:pPr>
            <w:r>
              <w:rPr>
                <w:spacing w:val="-1"/>
                <w:w w:val="99"/>
                <w:sz w:val="21"/>
              </w:rPr>
              <w:t>相对密度（</w:t>
            </w:r>
            <w:r>
              <w:rPr>
                <w:spacing w:val="1"/>
                <w:w w:val="99"/>
                <w:sz w:val="21"/>
              </w:rPr>
              <w:t>水</w:t>
            </w:r>
            <w:r>
              <w:rPr>
                <w:rFonts w:ascii="Times New Roman" w:eastAsia="Times New Roman"/>
                <w:spacing w:val="-1"/>
                <w:w w:val="99"/>
                <w:sz w:val="21"/>
              </w:rPr>
              <w:t>=</w:t>
            </w:r>
            <w:r>
              <w:rPr>
                <w:rFonts w:ascii="Times New Roman" w:eastAsia="Times New Roman"/>
                <w:spacing w:val="0"/>
                <w:w w:val="99"/>
                <w:sz w:val="21"/>
              </w:rPr>
              <w:t>1</w:t>
            </w:r>
            <w:r>
              <w:rPr>
                <w:spacing w:val="-104"/>
                <w:w w:val="99"/>
                <w:sz w:val="21"/>
              </w:rPr>
              <w:t>）</w:t>
            </w:r>
            <w:r>
              <w:rPr>
                <w:spacing w:val="-1"/>
                <w:w w:val="99"/>
                <w:sz w:val="21"/>
              </w:rPr>
              <w:t>：</w:t>
            </w:r>
            <w:r>
              <w:rPr>
                <w:rFonts w:ascii="Times New Roman" w:eastAsia="Times New Roman"/>
                <w:spacing w:val="0"/>
                <w:w w:val="99"/>
                <w:sz w:val="21"/>
              </w:rPr>
              <w:t>1</w:t>
            </w:r>
            <w:r>
              <w:rPr>
                <w:rFonts w:ascii="Times New Roman" w:eastAsia="Times New Roman"/>
                <w:w w:val="99"/>
                <w:sz w:val="21"/>
              </w:rPr>
              <w:t>.</w:t>
            </w:r>
            <w:r>
              <w:rPr>
                <w:rFonts w:ascii="Times New Roman" w:eastAsia="Times New Roman"/>
                <w:spacing w:val="0"/>
                <w:w w:val="99"/>
                <w:sz w:val="21"/>
              </w:rPr>
              <w:t>66</w:t>
            </w:r>
            <w:r>
              <w:rPr>
                <w:rFonts w:ascii="Times New Roman" w:eastAsia="Times New Roman"/>
                <w:w w:val="99"/>
                <w:sz w:val="21"/>
              </w:rPr>
              <w:t>5</w:t>
            </w:r>
          </w:p>
        </w:tc>
      </w:tr>
      <w:tr w14:paraId="31313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89" w:type="dxa"/>
            <w:vMerge w:val="continue"/>
            <w:tcBorders>
              <w:top w:val="nil"/>
            </w:tcBorders>
          </w:tcPr>
          <w:p w14:paraId="67D890B3">
            <w:pPr>
              <w:rPr>
                <w:sz w:val="2"/>
                <w:szCs w:val="2"/>
              </w:rPr>
            </w:pPr>
          </w:p>
        </w:tc>
        <w:tc>
          <w:tcPr>
            <w:tcW w:w="3543" w:type="dxa"/>
            <w:gridSpan w:val="2"/>
          </w:tcPr>
          <w:p w14:paraId="62B4097D">
            <w:pPr>
              <w:pStyle w:val="14"/>
              <w:spacing w:before="20"/>
              <w:ind w:left="107"/>
              <w:rPr>
                <w:rFonts w:ascii="Times New Roman" w:hAnsi="Times New Roman" w:eastAsia="Times New Roman"/>
                <w:sz w:val="21"/>
              </w:rPr>
            </w:pPr>
            <w:r>
              <w:rPr>
                <w:w w:val="99"/>
                <w:sz w:val="21"/>
              </w:rPr>
              <w:t>沸点</w:t>
            </w:r>
            <w:r>
              <w:rPr>
                <w:spacing w:val="1"/>
                <w:w w:val="99"/>
                <w:sz w:val="21"/>
              </w:rPr>
              <w:t>（</w:t>
            </w:r>
            <w:r>
              <w:rPr>
                <w:spacing w:val="-1"/>
                <w:w w:val="99"/>
                <w:sz w:val="21"/>
              </w:rPr>
              <w:t>℃</w:t>
            </w:r>
            <w:r>
              <w:rPr>
                <w:spacing w:val="-104"/>
                <w:w w:val="99"/>
                <w:sz w:val="21"/>
              </w:rPr>
              <w:t>）</w:t>
            </w:r>
            <w:r>
              <w:rPr>
                <w:spacing w:val="-1"/>
                <w:w w:val="99"/>
                <w:sz w:val="21"/>
              </w:rPr>
              <w:t>：</w:t>
            </w:r>
            <w:r>
              <w:rPr>
                <w:rFonts w:ascii="Times New Roman" w:hAnsi="Times New Roman" w:eastAsia="Times New Roman"/>
                <w:spacing w:val="0"/>
                <w:w w:val="99"/>
                <w:sz w:val="21"/>
              </w:rPr>
              <w:t>10</w:t>
            </w:r>
            <w:r>
              <w:rPr>
                <w:rFonts w:ascii="Times New Roman" w:hAnsi="Times New Roman" w:eastAsia="Times New Roman"/>
                <w:w w:val="99"/>
                <w:sz w:val="21"/>
              </w:rPr>
              <w:t>5</w:t>
            </w:r>
          </w:p>
        </w:tc>
        <w:tc>
          <w:tcPr>
            <w:tcW w:w="4385" w:type="dxa"/>
            <w:gridSpan w:val="3"/>
          </w:tcPr>
          <w:p w14:paraId="3FF9684D">
            <w:pPr>
              <w:pStyle w:val="14"/>
              <w:spacing w:before="20"/>
              <w:ind w:left="106"/>
              <w:rPr>
                <w:sz w:val="21"/>
              </w:rPr>
            </w:pPr>
            <w:r>
              <w:rPr>
                <w:spacing w:val="-1"/>
                <w:w w:val="99"/>
                <w:sz w:val="21"/>
              </w:rPr>
              <w:t>相对密度（</w:t>
            </w:r>
            <w:r>
              <w:rPr>
                <w:w w:val="99"/>
                <w:sz w:val="21"/>
              </w:rPr>
              <w:t>空气</w:t>
            </w:r>
            <w:r>
              <w:rPr>
                <w:rFonts w:ascii="Times New Roman" w:eastAsia="Times New Roman"/>
                <w:spacing w:val="-1"/>
                <w:w w:val="99"/>
                <w:sz w:val="21"/>
              </w:rPr>
              <w:t>=</w:t>
            </w:r>
            <w:r>
              <w:rPr>
                <w:rFonts w:ascii="Times New Roman" w:eastAsia="Times New Roman"/>
                <w:spacing w:val="0"/>
                <w:w w:val="99"/>
                <w:sz w:val="21"/>
              </w:rPr>
              <w:t>1</w:t>
            </w:r>
            <w:r>
              <w:rPr>
                <w:spacing w:val="-106"/>
                <w:w w:val="99"/>
                <w:sz w:val="21"/>
              </w:rPr>
              <w:t>）</w:t>
            </w:r>
            <w:r>
              <w:rPr>
                <w:spacing w:val="-1"/>
                <w:w w:val="99"/>
                <w:sz w:val="21"/>
              </w:rPr>
              <w:t>：无资料</w:t>
            </w:r>
          </w:p>
        </w:tc>
      </w:tr>
      <w:tr w14:paraId="54FB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89" w:type="dxa"/>
            <w:vMerge w:val="continue"/>
            <w:tcBorders>
              <w:top w:val="nil"/>
            </w:tcBorders>
          </w:tcPr>
          <w:p w14:paraId="496D5D46">
            <w:pPr>
              <w:rPr>
                <w:sz w:val="2"/>
                <w:szCs w:val="2"/>
              </w:rPr>
            </w:pPr>
          </w:p>
        </w:tc>
        <w:tc>
          <w:tcPr>
            <w:tcW w:w="7928" w:type="dxa"/>
            <w:gridSpan w:val="5"/>
          </w:tcPr>
          <w:p w14:paraId="6D7950F3">
            <w:pPr>
              <w:pStyle w:val="14"/>
              <w:spacing w:before="21" w:line="269" w:lineRule="exact"/>
              <w:ind w:left="107"/>
              <w:rPr>
                <w:sz w:val="21"/>
              </w:rPr>
            </w:pPr>
            <w:r>
              <w:rPr>
                <w:sz w:val="21"/>
              </w:rPr>
              <w:t>溶解性：易溶于水和有机溶剂</w:t>
            </w:r>
          </w:p>
        </w:tc>
      </w:tr>
    </w:tbl>
    <w:p w14:paraId="07E3C914">
      <w:pPr>
        <w:spacing w:after="0" w:line="269" w:lineRule="exact"/>
        <w:rPr>
          <w:sz w:val="21"/>
        </w:rPr>
        <w:sectPr>
          <w:footerReference r:id="rId36" w:type="default"/>
          <w:pgSz w:w="11910" w:h="16840"/>
          <w:pgMar w:top="1360" w:right="1320" w:bottom="1360" w:left="1340" w:header="878" w:footer="1175" w:gutter="0"/>
          <w:pgNumType w:start="130"/>
          <w:cols w:space="720" w:num="1"/>
        </w:sectPr>
      </w:pPr>
    </w:p>
    <w:p w14:paraId="01AB8C32">
      <w:pPr>
        <w:pStyle w:val="7"/>
        <w:spacing w:before="3"/>
        <w:rPr>
          <w:b/>
          <w:sz w:val="5"/>
        </w:rPr>
      </w:pPr>
    </w:p>
    <w:tbl>
      <w:tblPr>
        <w:tblStyle w:val="10"/>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3543"/>
        <w:gridCol w:w="4385"/>
      </w:tblGrid>
      <w:tr w14:paraId="41F8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89" w:type="dxa"/>
          </w:tcPr>
          <w:p w14:paraId="189FB960">
            <w:pPr>
              <w:pStyle w:val="14"/>
              <w:rPr>
                <w:rFonts w:ascii="Times New Roman"/>
                <w:sz w:val="20"/>
              </w:rPr>
            </w:pPr>
          </w:p>
        </w:tc>
        <w:tc>
          <w:tcPr>
            <w:tcW w:w="3543" w:type="dxa"/>
          </w:tcPr>
          <w:p w14:paraId="75A7AB59">
            <w:pPr>
              <w:pStyle w:val="14"/>
              <w:spacing w:before="155"/>
              <w:ind w:left="107"/>
              <w:rPr>
                <w:rFonts w:ascii="Times New Roman" w:hAnsi="Times New Roman" w:eastAsia="Times New Roman"/>
                <w:sz w:val="21"/>
              </w:rPr>
            </w:pPr>
            <w:r>
              <w:rPr>
                <w:w w:val="99"/>
                <w:sz w:val="21"/>
              </w:rPr>
              <w:t>闪点</w:t>
            </w:r>
            <w:r>
              <w:rPr>
                <w:spacing w:val="1"/>
                <w:w w:val="99"/>
                <w:sz w:val="21"/>
              </w:rPr>
              <w:t>（</w:t>
            </w:r>
            <w:r>
              <w:rPr>
                <w:spacing w:val="-1"/>
                <w:w w:val="99"/>
                <w:sz w:val="21"/>
              </w:rPr>
              <w:t>℃</w:t>
            </w:r>
            <w:r>
              <w:rPr>
                <w:spacing w:val="-104"/>
                <w:w w:val="99"/>
                <w:sz w:val="21"/>
              </w:rPr>
              <w:t>）</w:t>
            </w:r>
            <w:r>
              <w:rPr>
                <w:spacing w:val="-1"/>
                <w:w w:val="99"/>
                <w:sz w:val="21"/>
              </w:rPr>
              <w:t>：</w:t>
            </w:r>
            <w:r>
              <w:rPr>
                <w:rFonts w:ascii="Times New Roman" w:hAnsi="Times New Roman" w:eastAsia="Times New Roman"/>
                <w:spacing w:val="0"/>
                <w:w w:val="99"/>
                <w:sz w:val="21"/>
              </w:rPr>
              <w:t>40</w:t>
            </w:r>
            <w:r>
              <w:rPr>
                <w:rFonts w:ascii="Times New Roman" w:hAnsi="Times New Roman" w:eastAsia="Times New Roman"/>
                <w:w w:val="99"/>
                <w:sz w:val="21"/>
              </w:rPr>
              <w:t>.5</w:t>
            </w:r>
          </w:p>
        </w:tc>
        <w:tc>
          <w:tcPr>
            <w:tcW w:w="4385" w:type="dxa"/>
          </w:tcPr>
          <w:p w14:paraId="6E630BC3">
            <w:pPr>
              <w:pStyle w:val="14"/>
              <w:spacing w:before="21" w:line="242" w:lineRule="auto"/>
              <w:ind w:left="106" w:right="488"/>
              <w:rPr>
                <w:sz w:val="21"/>
              </w:rPr>
            </w:pPr>
            <w:r>
              <w:rPr>
                <w:w w:val="95"/>
                <w:sz w:val="21"/>
              </w:rPr>
              <w:t>禁忌物：还原剂、有机物、可燃物、还原</w:t>
            </w:r>
            <w:r>
              <w:rPr>
                <w:sz w:val="21"/>
              </w:rPr>
              <w:t>剂、酸碱和无机氧化剂</w:t>
            </w:r>
          </w:p>
        </w:tc>
      </w:tr>
      <w:tr w14:paraId="54D7C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689" w:type="dxa"/>
            <w:vMerge w:val="restart"/>
          </w:tcPr>
          <w:p w14:paraId="631E5C5F">
            <w:pPr>
              <w:pStyle w:val="14"/>
              <w:spacing w:before="180" w:line="242" w:lineRule="auto"/>
              <w:ind w:left="134" w:right="125"/>
              <w:jc w:val="both"/>
              <w:rPr>
                <w:sz w:val="21"/>
              </w:rPr>
            </w:pPr>
            <w:r>
              <w:rPr>
                <w:w w:val="95"/>
                <w:sz w:val="21"/>
              </w:rPr>
              <w:t>燃爆特性及消</w:t>
            </w:r>
            <w:r>
              <w:rPr>
                <w:sz w:val="21"/>
              </w:rPr>
              <w:t>防</w:t>
            </w:r>
          </w:p>
        </w:tc>
        <w:tc>
          <w:tcPr>
            <w:tcW w:w="7928" w:type="dxa"/>
            <w:gridSpan w:val="2"/>
          </w:tcPr>
          <w:p w14:paraId="3D906A38">
            <w:pPr>
              <w:pStyle w:val="14"/>
              <w:spacing w:before="19" w:line="242" w:lineRule="auto"/>
              <w:ind w:left="107" w:right="97"/>
              <w:rPr>
                <w:sz w:val="21"/>
              </w:rPr>
            </w:pPr>
            <w:r>
              <w:rPr>
                <w:sz w:val="21"/>
              </w:rPr>
              <w:t>危险特性：本品易燃，具爆炸性，具强氧化性，强腐蚀性、强刺激性，可致人体灼伤。在</w:t>
            </w:r>
            <w:r>
              <w:rPr>
                <w:rFonts w:ascii="Times New Roman" w:hAnsi="Times New Roman" w:eastAsia="Times New Roman"/>
                <w:sz w:val="21"/>
              </w:rPr>
              <w:t>-20</w:t>
            </w:r>
            <w:r>
              <w:rPr>
                <w:sz w:val="21"/>
              </w:rPr>
              <w:t xml:space="preserve">℃也会爆炸，浓度大于 </w:t>
            </w:r>
            <w:r>
              <w:rPr>
                <w:rFonts w:ascii="Times New Roman" w:hAnsi="Times New Roman" w:eastAsia="Times New Roman"/>
                <w:sz w:val="21"/>
              </w:rPr>
              <w:t>45%</w:t>
            </w:r>
            <w:r>
              <w:rPr>
                <w:sz w:val="21"/>
              </w:rPr>
              <w:t>就有爆炸性，遇高热、还原剂或有金属离子存在就会引起爆炸。</w:t>
            </w:r>
          </w:p>
        </w:tc>
      </w:tr>
      <w:tr w14:paraId="2A8E2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89" w:type="dxa"/>
            <w:vMerge w:val="continue"/>
            <w:tcBorders>
              <w:top w:val="nil"/>
            </w:tcBorders>
          </w:tcPr>
          <w:p w14:paraId="570E930A">
            <w:pPr>
              <w:rPr>
                <w:sz w:val="2"/>
                <w:szCs w:val="2"/>
              </w:rPr>
            </w:pPr>
          </w:p>
        </w:tc>
        <w:tc>
          <w:tcPr>
            <w:tcW w:w="7928" w:type="dxa"/>
            <w:gridSpan w:val="2"/>
          </w:tcPr>
          <w:p w14:paraId="746E5F33">
            <w:pPr>
              <w:pStyle w:val="14"/>
              <w:spacing w:before="20" w:line="270" w:lineRule="atLeast"/>
              <w:ind w:left="107" w:right="111"/>
              <w:rPr>
                <w:sz w:val="21"/>
              </w:rPr>
            </w:pPr>
            <w:r>
              <w:rPr>
                <w:w w:val="95"/>
                <w:sz w:val="21"/>
              </w:rPr>
              <w:t>灭火方法：用水、泡沫和二氧化碳剂</w:t>
            </w:r>
            <w:r>
              <w:rPr>
                <w:rFonts w:ascii="Times New Roman" w:eastAsia="Times New Roman"/>
                <w:w w:val="95"/>
                <w:sz w:val="21"/>
              </w:rPr>
              <w:t>(</w:t>
            </w:r>
            <w:r>
              <w:rPr>
                <w:w w:val="95"/>
                <w:sz w:val="21"/>
              </w:rPr>
              <w:t>灭火器</w:t>
            </w:r>
            <w:r>
              <w:rPr>
                <w:rFonts w:ascii="Times New Roman" w:eastAsia="Times New Roman"/>
                <w:w w:val="95"/>
                <w:sz w:val="21"/>
              </w:rPr>
              <w:t>)</w:t>
            </w:r>
            <w:r>
              <w:rPr>
                <w:w w:val="95"/>
                <w:sz w:val="21"/>
              </w:rPr>
              <w:t xml:space="preserve">进行扑救。不得用干粉扑救过氧乙酸火  </w:t>
            </w:r>
            <w:r>
              <w:rPr>
                <w:sz w:val="21"/>
              </w:rPr>
              <w:t>灾。</w:t>
            </w:r>
          </w:p>
        </w:tc>
      </w:tr>
      <w:tr w14:paraId="365D3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89" w:type="dxa"/>
          </w:tcPr>
          <w:p w14:paraId="57C95B02">
            <w:pPr>
              <w:pStyle w:val="14"/>
              <w:spacing w:before="21" w:line="270" w:lineRule="atLeast"/>
              <w:ind w:left="134" w:right="125"/>
              <w:rPr>
                <w:sz w:val="21"/>
              </w:rPr>
            </w:pPr>
            <w:r>
              <w:rPr>
                <w:w w:val="95"/>
                <w:sz w:val="21"/>
              </w:rPr>
              <w:t>毒性指标</w:t>
            </w:r>
          </w:p>
        </w:tc>
        <w:tc>
          <w:tcPr>
            <w:tcW w:w="7928" w:type="dxa"/>
            <w:gridSpan w:val="2"/>
          </w:tcPr>
          <w:p w14:paraId="0B5FB0FC">
            <w:pPr>
              <w:pStyle w:val="14"/>
              <w:spacing w:before="156"/>
              <w:ind w:left="107"/>
              <w:rPr>
                <w:rFonts w:ascii="Times New Roman" w:eastAsia="Times New Roman"/>
                <w:sz w:val="21"/>
              </w:rPr>
            </w:pPr>
            <w:r>
              <w:rPr>
                <w:spacing w:val="-19"/>
                <w:sz w:val="21"/>
              </w:rPr>
              <w:t xml:space="preserve">经口 </w:t>
            </w:r>
            <w:r>
              <w:rPr>
                <w:rFonts w:ascii="Times New Roman" w:eastAsia="Times New Roman"/>
                <w:sz w:val="21"/>
              </w:rPr>
              <w:t>LD50:1540mg/kg(</w:t>
            </w:r>
            <w:r>
              <w:rPr>
                <w:sz w:val="21"/>
              </w:rPr>
              <w:t>大鼠</w:t>
            </w:r>
            <w:r>
              <w:rPr>
                <w:rFonts w:ascii="Times New Roman" w:eastAsia="Times New Roman"/>
                <w:sz w:val="21"/>
              </w:rPr>
              <w:t>)</w:t>
            </w:r>
            <w:r>
              <w:rPr>
                <w:spacing w:val="-15"/>
                <w:sz w:val="21"/>
              </w:rPr>
              <w:t xml:space="preserve">，经皮 </w:t>
            </w:r>
            <w:r>
              <w:rPr>
                <w:rFonts w:ascii="Times New Roman" w:eastAsia="Times New Roman"/>
                <w:sz w:val="21"/>
              </w:rPr>
              <w:t>LD50:1410mg/kg(</w:t>
            </w:r>
            <w:r>
              <w:rPr>
                <w:sz w:val="21"/>
              </w:rPr>
              <w:t>兔</w:t>
            </w:r>
            <w:r>
              <w:rPr>
                <w:rFonts w:ascii="Times New Roman" w:eastAsia="Times New Roman"/>
                <w:sz w:val="21"/>
              </w:rPr>
              <w:t>)</w:t>
            </w:r>
            <w:r>
              <w:rPr>
                <w:spacing w:val="-15"/>
                <w:sz w:val="21"/>
              </w:rPr>
              <w:t xml:space="preserve">，吸入 </w:t>
            </w:r>
            <w:r>
              <w:rPr>
                <w:rFonts w:ascii="Times New Roman" w:eastAsia="Times New Roman"/>
                <w:sz w:val="21"/>
              </w:rPr>
              <w:t>LC50:450mg/kg(</w:t>
            </w:r>
            <w:r>
              <w:rPr>
                <w:sz w:val="21"/>
              </w:rPr>
              <w:t>大鼠</w:t>
            </w:r>
            <w:r>
              <w:rPr>
                <w:rFonts w:ascii="Times New Roman" w:eastAsia="Times New Roman"/>
                <w:sz w:val="21"/>
              </w:rPr>
              <w:t>)</w:t>
            </w:r>
          </w:p>
        </w:tc>
      </w:tr>
      <w:tr w14:paraId="6DB31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2" w:hRule="atLeast"/>
        </w:trPr>
        <w:tc>
          <w:tcPr>
            <w:tcW w:w="689" w:type="dxa"/>
          </w:tcPr>
          <w:p w14:paraId="3F7DBABC">
            <w:pPr>
              <w:pStyle w:val="14"/>
              <w:rPr>
                <w:b/>
                <w:sz w:val="20"/>
              </w:rPr>
            </w:pPr>
          </w:p>
          <w:p w14:paraId="4EF1E918">
            <w:pPr>
              <w:pStyle w:val="14"/>
              <w:spacing w:before="174" w:line="242" w:lineRule="auto"/>
              <w:ind w:left="134" w:right="125"/>
              <w:rPr>
                <w:sz w:val="21"/>
              </w:rPr>
            </w:pPr>
            <w:r>
              <w:rPr>
                <w:w w:val="95"/>
                <w:sz w:val="21"/>
              </w:rPr>
              <w:t>急救措施</w:t>
            </w:r>
          </w:p>
        </w:tc>
        <w:tc>
          <w:tcPr>
            <w:tcW w:w="7928" w:type="dxa"/>
            <w:gridSpan w:val="2"/>
          </w:tcPr>
          <w:p w14:paraId="047AFF72">
            <w:pPr>
              <w:pStyle w:val="14"/>
              <w:spacing w:before="22"/>
              <w:ind w:left="107"/>
              <w:rPr>
                <w:sz w:val="21"/>
              </w:rPr>
            </w:pPr>
            <w:r>
              <w:rPr>
                <w:sz w:val="21"/>
              </w:rPr>
              <w:t>⒈皮肤接触，脱去污染衣物，用肥皂水及清水彻底冲洗。</w:t>
            </w:r>
          </w:p>
          <w:p w14:paraId="16A28898">
            <w:pPr>
              <w:pStyle w:val="14"/>
              <w:spacing w:before="2"/>
              <w:ind w:left="107"/>
              <w:rPr>
                <w:sz w:val="21"/>
              </w:rPr>
            </w:pPr>
            <w:r>
              <w:rPr>
                <w:sz w:val="21"/>
              </w:rPr>
              <w:t xml:space="preserve">⒉眼睛接触，立即翻开上下眼脸，用流动清水冲洗 </w:t>
            </w:r>
            <w:r>
              <w:rPr>
                <w:rFonts w:ascii="Times New Roman" w:hAnsi="Times New Roman" w:eastAsia="Times New Roman"/>
                <w:sz w:val="21"/>
              </w:rPr>
              <w:t xml:space="preserve">15 </w:t>
            </w:r>
            <w:r>
              <w:rPr>
                <w:sz w:val="21"/>
              </w:rPr>
              <w:t>分钟，就医。</w:t>
            </w:r>
          </w:p>
          <w:p w14:paraId="1550B836">
            <w:pPr>
              <w:pStyle w:val="14"/>
              <w:spacing w:before="2" w:line="244" w:lineRule="auto"/>
              <w:ind w:left="107" w:right="248"/>
              <w:rPr>
                <w:sz w:val="21"/>
              </w:rPr>
            </w:pPr>
            <w:r>
              <w:rPr>
                <w:w w:val="95"/>
                <w:sz w:val="21"/>
              </w:rPr>
              <w:t xml:space="preserve">⒊吸入，迅速脱离现场至空气新鲜处。呼吸困难时，给氧。呼吸停止时，立即进行  </w:t>
            </w:r>
            <w:r>
              <w:rPr>
                <w:sz w:val="21"/>
              </w:rPr>
              <w:t>人工呼吸。就医。</w:t>
            </w:r>
          </w:p>
          <w:p w14:paraId="46B7993A">
            <w:pPr>
              <w:pStyle w:val="14"/>
              <w:spacing w:line="265" w:lineRule="exact"/>
              <w:ind w:left="107"/>
              <w:rPr>
                <w:sz w:val="21"/>
              </w:rPr>
            </w:pPr>
            <w:r>
              <w:rPr>
                <w:sz w:val="21"/>
              </w:rPr>
              <w:t>⒋食入，误服者给饮牛奶或蛋清。立即就医。</w:t>
            </w:r>
          </w:p>
        </w:tc>
      </w:tr>
      <w:tr w14:paraId="396E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9" w:hRule="atLeast"/>
        </w:trPr>
        <w:tc>
          <w:tcPr>
            <w:tcW w:w="689" w:type="dxa"/>
          </w:tcPr>
          <w:p w14:paraId="1FDCD804">
            <w:pPr>
              <w:pStyle w:val="14"/>
              <w:rPr>
                <w:b/>
                <w:sz w:val="20"/>
              </w:rPr>
            </w:pPr>
          </w:p>
          <w:p w14:paraId="50EC107E">
            <w:pPr>
              <w:pStyle w:val="14"/>
              <w:rPr>
                <w:b/>
                <w:sz w:val="20"/>
              </w:rPr>
            </w:pPr>
          </w:p>
          <w:p w14:paraId="76A4F21D">
            <w:pPr>
              <w:pStyle w:val="14"/>
              <w:spacing w:before="2"/>
              <w:rPr>
                <w:b/>
                <w:sz w:val="25"/>
              </w:rPr>
            </w:pPr>
          </w:p>
          <w:p w14:paraId="27D4EAE4">
            <w:pPr>
              <w:pStyle w:val="14"/>
              <w:spacing w:line="244" w:lineRule="auto"/>
              <w:ind w:left="134" w:right="125"/>
              <w:rPr>
                <w:sz w:val="21"/>
              </w:rPr>
            </w:pPr>
            <w:r>
              <w:rPr>
                <w:w w:val="95"/>
                <w:sz w:val="21"/>
              </w:rPr>
              <w:t>防护措施</w:t>
            </w:r>
          </w:p>
        </w:tc>
        <w:tc>
          <w:tcPr>
            <w:tcW w:w="7928" w:type="dxa"/>
            <w:gridSpan w:val="2"/>
          </w:tcPr>
          <w:p w14:paraId="38086A52">
            <w:pPr>
              <w:pStyle w:val="14"/>
              <w:spacing w:before="19" w:line="244" w:lineRule="auto"/>
              <w:ind w:left="107" w:right="197"/>
              <w:rPr>
                <w:sz w:val="21"/>
              </w:rPr>
            </w:pPr>
            <w:r>
              <w:rPr>
                <w:w w:val="95"/>
                <w:sz w:val="21"/>
              </w:rPr>
              <w:t>由于原液为强氧化剂具有较强的腐蚀性</w:t>
            </w:r>
            <w:r>
              <w:rPr>
                <w:rFonts w:ascii="Times New Roman" w:eastAsia="Times New Roman"/>
                <w:w w:val="95"/>
                <w:sz w:val="21"/>
              </w:rPr>
              <w:t>,</w:t>
            </w:r>
            <w:r>
              <w:rPr>
                <w:w w:val="95"/>
                <w:sz w:val="21"/>
              </w:rPr>
              <w:t xml:space="preserve">因此不可直接用手接触配制溶液时应佩戴橡  </w:t>
            </w:r>
            <w:r>
              <w:rPr>
                <w:sz w:val="21"/>
              </w:rPr>
              <w:t>胶手套，防止药液溅到皮肤上。</w:t>
            </w:r>
          </w:p>
          <w:p w14:paraId="38AD585C">
            <w:pPr>
              <w:pStyle w:val="14"/>
              <w:spacing w:line="265" w:lineRule="exact"/>
              <w:ind w:left="107"/>
              <w:rPr>
                <w:sz w:val="21"/>
              </w:rPr>
            </w:pPr>
            <w:r>
              <w:rPr>
                <w:sz w:val="21"/>
              </w:rPr>
              <w:t>对金属有腐蚀性，不可用于金属器械的消毒。</w:t>
            </w:r>
          </w:p>
          <w:p w14:paraId="1B94B6D2">
            <w:pPr>
              <w:pStyle w:val="14"/>
              <w:spacing w:before="4" w:line="242" w:lineRule="auto"/>
              <w:ind w:left="107" w:right="250"/>
              <w:rPr>
                <w:sz w:val="21"/>
              </w:rPr>
            </w:pPr>
            <w:r>
              <w:rPr>
                <w:w w:val="95"/>
                <w:sz w:val="21"/>
              </w:rPr>
              <w:t xml:space="preserve">在做气溶胶喷雾时，操作者应佩戴防护面罩，也可采用口罩、帽子及游泳镜替代，  </w:t>
            </w:r>
            <w:r>
              <w:rPr>
                <w:sz w:val="21"/>
              </w:rPr>
              <w:t>不可直接对人喷洒。</w:t>
            </w:r>
          </w:p>
          <w:p w14:paraId="345AE7F5">
            <w:pPr>
              <w:pStyle w:val="14"/>
              <w:spacing w:before="2"/>
              <w:ind w:left="107"/>
              <w:rPr>
                <w:sz w:val="21"/>
              </w:rPr>
            </w:pPr>
            <w:r>
              <w:rPr>
                <w:sz w:val="21"/>
              </w:rPr>
              <w:t>如药液不慎溅入眼中或皮肤上，应立即用大量清水冲洗。</w:t>
            </w:r>
          </w:p>
          <w:p w14:paraId="398BCC40">
            <w:pPr>
              <w:pStyle w:val="14"/>
              <w:spacing w:before="2"/>
              <w:ind w:left="107"/>
              <w:rPr>
                <w:sz w:val="21"/>
              </w:rPr>
            </w:pPr>
            <w:r>
              <w:rPr>
                <w:sz w:val="21"/>
              </w:rPr>
              <w:t>原液贮存放置可以分解，故应注意有效期。原液应贮存于塑料桶内，在阴暗处保</w:t>
            </w:r>
          </w:p>
          <w:p w14:paraId="28C15D65">
            <w:pPr>
              <w:pStyle w:val="14"/>
              <w:spacing w:before="4"/>
              <w:ind w:left="107"/>
              <w:rPr>
                <w:sz w:val="21"/>
              </w:rPr>
            </w:pPr>
            <w:r>
              <w:rPr>
                <w:sz w:val="21"/>
              </w:rPr>
              <w:t>存，并远离可燃性物质。其稀释液更易分解，宜随配随用。</w:t>
            </w:r>
          </w:p>
        </w:tc>
      </w:tr>
      <w:tr w14:paraId="3F2D3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689" w:type="dxa"/>
          </w:tcPr>
          <w:p w14:paraId="25BE5228">
            <w:pPr>
              <w:pStyle w:val="14"/>
              <w:spacing w:before="11"/>
              <w:rPr>
                <w:b/>
                <w:sz w:val="22"/>
              </w:rPr>
            </w:pPr>
          </w:p>
          <w:p w14:paraId="4CE8EB40">
            <w:pPr>
              <w:pStyle w:val="14"/>
              <w:spacing w:line="242" w:lineRule="auto"/>
              <w:ind w:left="134" w:right="125"/>
              <w:rPr>
                <w:sz w:val="21"/>
              </w:rPr>
            </w:pPr>
            <w:r>
              <w:rPr>
                <w:w w:val="95"/>
                <w:sz w:val="21"/>
              </w:rPr>
              <w:t>泄漏处理</w:t>
            </w:r>
          </w:p>
        </w:tc>
        <w:tc>
          <w:tcPr>
            <w:tcW w:w="7928" w:type="dxa"/>
            <w:gridSpan w:val="2"/>
          </w:tcPr>
          <w:p w14:paraId="461E9166">
            <w:pPr>
              <w:pStyle w:val="14"/>
              <w:spacing w:before="19" w:line="242" w:lineRule="auto"/>
              <w:ind w:left="107" w:right="250"/>
              <w:jc w:val="both"/>
              <w:rPr>
                <w:sz w:val="21"/>
              </w:rPr>
            </w:pPr>
            <w:r>
              <w:rPr>
                <w:w w:val="95"/>
                <w:sz w:val="21"/>
              </w:rPr>
              <w:t xml:space="preserve">发生过氧乙酸火灾事故或大量液体泄漏时，抢险人员必须加强个人防护措施，宜在  上风方向进行抢险作业，或用湿毛巾捂住口鼻可防止其对人体的毒害性，必要时应  配戴空气呼吸器。对泄漏的液体可用水进行洗消，对火灾宜用水、泡沫和二氧化碳  </w:t>
            </w:r>
            <w:r>
              <w:rPr>
                <w:sz w:val="21"/>
              </w:rPr>
              <w:t>剂</w:t>
            </w:r>
            <w:r>
              <w:rPr>
                <w:rFonts w:ascii="Times New Roman" w:eastAsia="Times New Roman"/>
                <w:spacing w:val="-3"/>
                <w:sz w:val="21"/>
              </w:rPr>
              <w:t>(</w:t>
            </w:r>
            <w:r>
              <w:rPr>
                <w:sz w:val="21"/>
              </w:rPr>
              <w:t>灭火器</w:t>
            </w:r>
            <w:r>
              <w:rPr>
                <w:rFonts w:ascii="Times New Roman" w:eastAsia="Times New Roman"/>
                <w:sz w:val="21"/>
              </w:rPr>
              <w:t>)</w:t>
            </w:r>
            <w:r>
              <w:rPr>
                <w:sz w:val="21"/>
              </w:rPr>
              <w:t>进行扑救。不得用干粉扑救过氧乙酸火灾。</w:t>
            </w:r>
          </w:p>
        </w:tc>
      </w:tr>
      <w:tr w14:paraId="5D72C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89" w:type="dxa"/>
          </w:tcPr>
          <w:p w14:paraId="60B01805">
            <w:pPr>
              <w:pStyle w:val="14"/>
              <w:spacing w:before="20" w:line="242" w:lineRule="auto"/>
              <w:ind w:left="134" w:right="125"/>
              <w:rPr>
                <w:sz w:val="21"/>
              </w:rPr>
            </w:pPr>
            <w:r>
              <w:rPr>
                <w:w w:val="95"/>
                <w:sz w:val="21"/>
              </w:rPr>
              <w:t>包装方法</w:t>
            </w:r>
          </w:p>
        </w:tc>
        <w:tc>
          <w:tcPr>
            <w:tcW w:w="7928" w:type="dxa"/>
            <w:gridSpan w:val="2"/>
          </w:tcPr>
          <w:p w14:paraId="455A65AC">
            <w:pPr>
              <w:pStyle w:val="14"/>
              <w:spacing w:before="155"/>
              <w:ind w:left="107"/>
              <w:rPr>
                <w:sz w:val="21"/>
              </w:rPr>
            </w:pPr>
            <w:r>
              <w:rPr>
                <w:sz w:val="21"/>
              </w:rPr>
              <w:t>储存时应该采用塑料容器，而不能用玻璃瓶等膨胀性较差的容器储存过氧乙酸。</w:t>
            </w:r>
          </w:p>
        </w:tc>
      </w:tr>
      <w:tr w14:paraId="52A13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3" w:hRule="atLeast"/>
        </w:trPr>
        <w:tc>
          <w:tcPr>
            <w:tcW w:w="689" w:type="dxa"/>
          </w:tcPr>
          <w:p w14:paraId="623D0CAE">
            <w:pPr>
              <w:pStyle w:val="14"/>
              <w:rPr>
                <w:b/>
                <w:sz w:val="20"/>
              </w:rPr>
            </w:pPr>
          </w:p>
          <w:p w14:paraId="0AABC157">
            <w:pPr>
              <w:pStyle w:val="14"/>
              <w:rPr>
                <w:b/>
                <w:sz w:val="20"/>
              </w:rPr>
            </w:pPr>
          </w:p>
          <w:p w14:paraId="231D7462">
            <w:pPr>
              <w:pStyle w:val="14"/>
              <w:rPr>
                <w:b/>
                <w:sz w:val="20"/>
              </w:rPr>
            </w:pPr>
          </w:p>
          <w:p w14:paraId="569FA6C1">
            <w:pPr>
              <w:pStyle w:val="14"/>
              <w:spacing w:before="6"/>
              <w:rPr>
                <w:b/>
                <w:sz w:val="26"/>
              </w:rPr>
            </w:pPr>
          </w:p>
          <w:p w14:paraId="3B822D65">
            <w:pPr>
              <w:pStyle w:val="14"/>
              <w:spacing w:line="244" w:lineRule="auto"/>
              <w:ind w:left="134" w:right="125"/>
              <w:rPr>
                <w:sz w:val="21"/>
              </w:rPr>
            </w:pPr>
            <w:r>
              <w:rPr>
                <w:w w:val="95"/>
                <w:sz w:val="21"/>
              </w:rPr>
              <w:t>储运条件</w:t>
            </w:r>
          </w:p>
        </w:tc>
        <w:tc>
          <w:tcPr>
            <w:tcW w:w="7928" w:type="dxa"/>
            <w:gridSpan w:val="2"/>
          </w:tcPr>
          <w:p w14:paraId="55A2DC57">
            <w:pPr>
              <w:pStyle w:val="14"/>
              <w:spacing w:before="20" w:line="242" w:lineRule="auto"/>
              <w:ind w:left="107" w:right="128"/>
              <w:rPr>
                <w:sz w:val="21"/>
              </w:rPr>
            </w:pPr>
            <w:r>
              <w:rPr>
                <w:rFonts w:ascii="Times New Roman" w:eastAsia="Times New Roman"/>
                <w:sz w:val="21"/>
              </w:rPr>
              <w:t>1.</w:t>
            </w:r>
            <w:r>
              <w:rPr>
                <w:sz w:val="21"/>
              </w:rPr>
              <w:t>注意储存的量不宜过大，尤其要注意储存时应该采用塑料容器，而不能用玻璃瓶等膨胀性较差的容器储存过氧乙酸。必须储存于低温、避光的阴凉处，并采取通风换气措施，防止挥发出的蒸气大量集聚形成爆炸性混合物。同时，由于其在贮存中</w:t>
            </w:r>
            <w:r>
              <w:rPr>
                <w:spacing w:val="-3"/>
                <w:sz w:val="21"/>
              </w:rPr>
              <w:t xml:space="preserve">易分解，应当注意有效期。储存过氧乙酸的容器应当留有不少于 </w:t>
            </w:r>
            <w:r>
              <w:rPr>
                <w:rFonts w:ascii="Times New Roman" w:eastAsia="Times New Roman"/>
                <w:sz w:val="21"/>
              </w:rPr>
              <w:t>5%</w:t>
            </w:r>
            <w:r>
              <w:rPr>
                <w:sz w:val="21"/>
              </w:rPr>
              <w:t>的空隙，防止液体蒸发膨胀造成容器爆裂。严禁使用铁器或铝器等金属容器盛装存放。</w:t>
            </w:r>
          </w:p>
          <w:p w14:paraId="63A41C24">
            <w:pPr>
              <w:pStyle w:val="14"/>
              <w:spacing w:before="3" w:line="244" w:lineRule="auto"/>
              <w:ind w:left="107" w:right="136"/>
              <w:rPr>
                <w:sz w:val="21"/>
              </w:rPr>
            </w:pPr>
            <w:r>
              <w:rPr>
                <w:rFonts w:ascii="Times New Roman" w:eastAsia="Times New Roman"/>
                <w:sz w:val="21"/>
              </w:rPr>
              <w:t>2.</w:t>
            </w:r>
            <w:r>
              <w:rPr>
                <w:sz w:val="21"/>
              </w:rPr>
              <w:t xml:space="preserve">刚拉运回来的过氧乙酸不宜立即使用，应当静置至少 </w:t>
            </w:r>
            <w:r>
              <w:rPr>
                <w:rFonts w:ascii="Times New Roman" w:eastAsia="Times New Roman"/>
                <w:sz w:val="21"/>
              </w:rPr>
              <w:t xml:space="preserve">30 </w:t>
            </w:r>
            <w:r>
              <w:rPr>
                <w:sz w:val="21"/>
              </w:rPr>
              <w:t>分钟以上，以利运输过程中因震动等产生的静电消除，防止静电引起火灾或爆炸事故。</w:t>
            </w:r>
          </w:p>
          <w:p w14:paraId="70B70741">
            <w:pPr>
              <w:pStyle w:val="14"/>
              <w:spacing w:line="242" w:lineRule="auto"/>
              <w:ind w:left="107" w:right="250"/>
              <w:rPr>
                <w:sz w:val="21"/>
              </w:rPr>
            </w:pPr>
            <w:r>
              <w:rPr>
                <w:rFonts w:ascii="Times New Roman" w:eastAsia="Times New Roman"/>
                <w:sz w:val="21"/>
              </w:rPr>
              <w:t>3.</w:t>
            </w:r>
            <w:r>
              <w:rPr>
                <w:sz w:val="21"/>
              </w:rPr>
              <w:t xml:space="preserve">储存场所应当设置明显的禁止烟火的防火标志，严禁使用非防爆电气照明或明 </w:t>
            </w:r>
            <w:r>
              <w:rPr>
                <w:w w:val="95"/>
                <w:sz w:val="21"/>
              </w:rPr>
              <w:t xml:space="preserve">火，电气线路若非十分必要不得架设，必须设置时必须采用防爆设计或采取防爆措  </w:t>
            </w:r>
            <w:r>
              <w:rPr>
                <w:sz w:val="21"/>
              </w:rPr>
              <w:t>施。同时要注意与热源、明火、易燃可燃物质等分开。</w:t>
            </w:r>
          </w:p>
        </w:tc>
      </w:tr>
    </w:tbl>
    <w:p w14:paraId="1A1763AF">
      <w:pPr>
        <w:pStyle w:val="6"/>
        <w:numPr>
          <w:ilvl w:val="2"/>
          <w:numId w:val="26"/>
        </w:numPr>
        <w:tabs>
          <w:tab w:val="left" w:pos="991"/>
        </w:tabs>
        <w:spacing w:before="2" w:after="0" w:line="240" w:lineRule="auto"/>
        <w:ind w:left="990" w:right="0" w:hanging="530"/>
        <w:jc w:val="left"/>
      </w:pPr>
      <w:bookmarkStart w:id="227" w:name="6.3.2生产系统危险性识别"/>
      <w:bookmarkEnd w:id="227"/>
      <w:bookmarkStart w:id="228" w:name="6.3.2生产系统危险性识别"/>
      <w:bookmarkEnd w:id="228"/>
      <w:r>
        <w:t>生产系统危险性识别</w:t>
      </w:r>
    </w:p>
    <w:p w14:paraId="142E63C8">
      <w:pPr>
        <w:pStyle w:val="7"/>
        <w:spacing w:before="158" w:line="364" w:lineRule="auto"/>
        <w:ind w:left="460" w:right="477" w:firstLine="480"/>
        <w:jc w:val="both"/>
      </w:pPr>
      <w:r>
        <w:t>生产系统危险性识别是通过对生产装置、储运设施、公用工程设施、工程环保设施及辅助生产设施等运行过程中存在的危险因素和可能发生的风险类型进行识别。</w:t>
      </w:r>
    </w:p>
    <w:p w14:paraId="332665A9">
      <w:pPr>
        <w:pStyle w:val="7"/>
        <w:spacing w:line="307" w:lineRule="exact"/>
        <w:ind w:left="940"/>
      </w:pPr>
      <w:r>
        <w:t>（</w:t>
      </w:r>
      <w:r>
        <w:rPr>
          <w:rFonts w:ascii="Times New Roman" w:eastAsia="Times New Roman"/>
        </w:rPr>
        <w:t>1</w:t>
      </w:r>
      <w:r>
        <w:t>）生产装置</w:t>
      </w:r>
    </w:p>
    <w:p w14:paraId="62D800EE">
      <w:pPr>
        <w:pStyle w:val="7"/>
        <w:spacing w:before="160"/>
        <w:ind w:left="940"/>
      </w:pPr>
      <w:r>
        <w:t>项目生产工艺和生产过程均不使用危险化学品。</w:t>
      </w:r>
    </w:p>
    <w:p w14:paraId="1C91D5F8">
      <w:pPr>
        <w:pStyle w:val="7"/>
        <w:spacing w:before="159"/>
        <w:ind w:left="940"/>
      </w:pPr>
      <w:r>
        <w:t>（</w:t>
      </w:r>
      <w:r>
        <w:rPr>
          <w:rFonts w:ascii="Times New Roman" w:eastAsia="Times New Roman"/>
        </w:rPr>
        <w:t>2</w:t>
      </w:r>
      <w:r>
        <w:t>）储运设施</w:t>
      </w:r>
    </w:p>
    <w:p w14:paraId="04B47BD1">
      <w:pPr>
        <w:spacing w:after="0"/>
        <w:sectPr>
          <w:pgSz w:w="11910" w:h="16840"/>
          <w:pgMar w:top="1360" w:right="1320" w:bottom="1400" w:left="1340" w:header="878" w:footer="1175" w:gutter="0"/>
          <w:cols w:space="720" w:num="1"/>
        </w:sectPr>
      </w:pPr>
    </w:p>
    <w:p w14:paraId="7A7360AE">
      <w:pPr>
        <w:pStyle w:val="7"/>
        <w:spacing w:before="68" w:line="364" w:lineRule="auto"/>
        <w:ind w:left="460" w:right="477" w:firstLine="480"/>
        <w:jc w:val="both"/>
      </w:pPr>
      <w:r>
        <w:t>项目车间药品间和污水处理站药品间分别储存消毒剂过氧乙酸和次氯酸钠，主要风险是过氧乙酸或次氯酸钠的泄露可能会导致环境空气、地表水、地下水污染。</w:t>
      </w:r>
    </w:p>
    <w:p w14:paraId="620B629F">
      <w:pPr>
        <w:pStyle w:val="7"/>
        <w:spacing w:line="307" w:lineRule="exact"/>
        <w:ind w:left="940"/>
      </w:pPr>
      <w:r>
        <w:t>（</w:t>
      </w:r>
      <w:r>
        <w:rPr>
          <w:rFonts w:ascii="Times New Roman" w:eastAsia="Times New Roman"/>
        </w:rPr>
        <w:t>3</w:t>
      </w:r>
      <w:r>
        <w:t>）环保设施</w:t>
      </w:r>
    </w:p>
    <w:p w14:paraId="7B198B36">
      <w:pPr>
        <w:pStyle w:val="7"/>
        <w:spacing w:before="158" w:line="364" w:lineRule="auto"/>
        <w:ind w:left="460" w:right="477" w:firstLine="480"/>
        <w:jc w:val="both"/>
      </w:pPr>
      <w:r>
        <w:t>项目环保设施主要是恶臭废气处理和生产废水处理系统，主要风险是设施故障导致废气、废水的事故排放。</w:t>
      </w:r>
    </w:p>
    <w:p w14:paraId="6FBFB539">
      <w:pPr>
        <w:pStyle w:val="6"/>
        <w:numPr>
          <w:ilvl w:val="2"/>
          <w:numId w:val="26"/>
        </w:numPr>
        <w:tabs>
          <w:tab w:val="left" w:pos="991"/>
        </w:tabs>
        <w:spacing w:before="0" w:after="0" w:line="306" w:lineRule="exact"/>
        <w:ind w:left="990" w:right="0" w:hanging="530"/>
        <w:jc w:val="left"/>
      </w:pPr>
      <w:bookmarkStart w:id="229" w:name="6.3.3危险物质向环境转移的途径识别"/>
      <w:bookmarkEnd w:id="229"/>
      <w:bookmarkStart w:id="230" w:name="6.3.3危险物质向环境转移的途径识别"/>
      <w:bookmarkEnd w:id="230"/>
      <w:r>
        <w:t>危险物质向环境转移的途径识别</w:t>
      </w:r>
    </w:p>
    <w:p w14:paraId="4198863D">
      <w:pPr>
        <w:pStyle w:val="7"/>
        <w:spacing w:before="160"/>
        <w:ind w:left="940"/>
      </w:pPr>
      <w:r>
        <w:t>危险物质扩散途径包括大气、地表水、地下水和土壤等途径。</w:t>
      </w:r>
    </w:p>
    <w:p w14:paraId="4FFF1463">
      <w:pPr>
        <w:pStyle w:val="7"/>
        <w:spacing w:before="161" w:line="362" w:lineRule="auto"/>
        <w:ind w:left="460" w:right="477" w:firstLine="480"/>
        <w:jc w:val="both"/>
      </w:pPr>
      <w:r>
        <w:t>当发生过氧乙酸或次氯酸钠泄漏事故，如若处理不当，泄漏的危险化学品可能会扩散至周边地表水、地下水和土壤环境中，影响水质、土壤和生态质量。同时，挥发的化学物质也会造成对环境空气的污染。</w:t>
      </w:r>
    </w:p>
    <w:p w14:paraId="0D69D657">
      <w:pPr>
        <w:pStyle w:val="7"/>
        <w:spacing w:before="6" w:line="364" w:lineRule="auto"/>
        <w:ind w:left="460" w:right="477" w:firstLine="540"/>
        <w:jc w:val="both"/>
      </w:pPr>
      <w:r>
        <w:t>当发生废气或废水处理设施故障，导致废气、废水的事故排放，则会对环境空气、地表水和地下水环境造成污染影响。</w:t>
      </w:r>
    </w:p>
    <w:p w14:paraId="647480E4">
      <w:pPr>
        <w:pStyle w:val="3"/>
        <w:numPr>
          <w:ilvl w:val="1"/>
          <w:numId w:val="26"/>
        </w:numPr>
        <w:tabs>
          <w:tab w:val="left" w:pos="868"/>
        </w:tabs>
        <w:spacing w:before="0" w:after="0" w:line="358" w:lineRule="exact"/>
        <w:ind w:left="868" w:right="0" w:hanging="408"/>
        <w:jc w:val="left"/>
      </w:pPr>
      <w:bookmarkStart w:id="231" w:name="6.4风险事故分析"/>
      <w:bookmarkEnd w:id="231"/>
      <w:bookmarkStart w:id="232" w:name="_bookmark32"/>
      <w:bookmarkEnd w:id="232"/>
      <w:bookmarkStart w:id="233" w:name="_bookmark32"/>
      <w:bookmarkEnd w:id="233"/>
      <w:r>
        <w:t>风险事故分析</w:t>
      </w:r>
    </w:p>
    <w:p w14:paraId="3F0DE79E">
      <w:pPr>
        <w:pStyle w:val="6"/>
        <w:numPr>
          <w:ilvl w:val="2"/>
          <w:numId w:val="26"/>
        </w:numPr>
        <w:tabs>
          <w:tab w:val="left" w:pos="991"/>
        </w:tabs>
        <w:spacing w:before="185" w:after="0" w:line="240" w:lineRule="auto"/>
        <w:ind w:left="990" w:right="0" w:hanging="530"/>
        <w:jc w:val="left"/>
      </w:pPr>
      <w:bookmarkStart w:id="234" w:name="6.4.1危险化学品风险事故"/>
      <w:bookmarkEnd w:id="234"/>
      <w:bookmarkStart w:id="235" w:name="6.4.1危险化学品风险事故"/>
      <w:bookmarkEnd w:id="235"/>
      <w:r>
        <w:t>危险化学品风险事故</w:t>
      </w:r>
    </w:p>
    <w:p w14:paraId="734CBCE2">
      <w:pPr>
        <w:pStyle w:val="7"/>
        <w:spacing w:before="159"/>
        <w:ind w:left="940"/>
      </w:pPr>
      <w:r>
        <w:rPr>
          <w:rFonts w:ascii="Times New Roman" w:eastAsia="Times New Roman"/>
        </w:rPr>
        <w:t>1</w:t>
      </w:r>
      <w:r>
        <w:t>、化学品运输、装卸</w:t>
      </w:r>
    </w:p>
    <w:p w14:paraId="7CDEAE9D">
      <w:pPr>
        <w:pStyle w:val="7"/>
        <w:spacing w:before="160"/>
        <w:ind w:left="940"/>
        <w:rPr>
          <w:rFonts w:ascii="Times New Roman" w:eastAsia="Times New Roman"/>
        </w:rPr>
      </w:pPr>
      <w:r>
        <w:t>采用汽车陆运，在装卸、运输过程可能潜在的风险事故如下</w:t>
      </w:r>
      <w:r>
        <w:rPr>
          <w:rFonts w:ascii="Times New Roman" w:eastAsia="Times New Roman"/>
        </w:rPr>
        <w:t>:</w:t>
      </w:r>
    </w:p>
    <w:p w14:paraId="61E0A199">
      <w:pPr>
        <w:pStyle w:val="7"/>
        <w:spacing w:before="161" w:line="364" w:lineRule="auto"/>
        <w:ind w:left="460" w:right="477" w:firstLine="480"/>
        <w:jc w:val="both"/>
      </w:pPr>
      <w:r>
        <w:t>（</w:t>
      </w:r>
      <w:r>
        <w:rPr>
          <w:rFonts w:ascii="Times New Roman" w:eastAsia="Times New Roman"/>
        </w:rPr>
        <w:t>1</w:t>
      </w:r>
      <w:r>
        <w:t>）运输过程中因意外交通事故，可能贮罐被撞破，而造成过氧乙酸、次氯酸钠等腐蚀性化学品流出或逸出，导致运输人员和周围人员中毒，造成局部环境污染。</w:t>
      </w:r>
    </w:p>
    <w:p w14:paraId="6B668CEF">
      <w:pPr>
        <w:pStyle w:val="7"/>
        <w:spacing w:line="364" w:lineRule="auto"/>
        <w:ind w:left="460" w:right="477" w:firstLine="480"/>
        <w:jc w:val="both"/>
      </w:pPr>
      <w:r>
        <w:t>（</w:t>
      </w:r>
      <w:r>
        <w:rPr>
          <w:rFonts w:ascii="Times New Roman" w:eastAsia="Times New Roman"/>
        </w:rPr>
        <w:t>2</w:t>
      </w:r>
      <w:r>
        <w:t>）运输过程中因长时间震动可造成可化学品逸散、泄漏，导致沿途环境污染和人员中毒。</w:t>
      </w:r>
    </w:p>
    <w:p w14:paraId="0676147B">
      <w:pPr>
        <w:pStyle w:val="7"/>
        <w:spacing w:line="306" w:lineRule="exact"/>
        <w:ind w:left="940"/>
      </w:pPr>
      <w:r>
        <w:rPr>
          <w:rFonts w:ascii="Times New Roman" w:eastAsia="Times New Roman"/>
        </w:rPr>
        <w:t>2</w:t>
      </w:r>
      <w:r>
        <w:t>、化学品贮存、 使用</w:t>
      </w:r>
    </w:p>
    <w:p w14:paraId="12F5EFDC">
      <w:pPr>
        <w:pStyle w:val="7"/>
        <w:spacing w:before="157" w:line="362" w:lineRule="auto"/>
        <w:ind w:left="460" w:right="477" w:firstLine="480"/>
        <w:jc w:val="both"/>
      </w:pPr>
      <w:r>
        <w:t>本项目使用化学品由人工输送至使用点，在贮存、使用过程可能潜在的风险事故如下：</w:t>
      </w:r>
    </w:p>
    <w:p w14:paraId="52C9A3F2">
      <w:pPr>
        <w:pStyle w:val="7"/>
        <w:spacing w:before="5" w:line="362" w:lineRule="auto"/>
        <w:ind w:left="460" w:right="477" w:firstLine="480"/>
        <w:jc w:val="both"/>
      </w:pPr>
      <w:r>
        <w:t>（</w:t>
      </w:r>
      <w:r>
        <w:rPr>
          <w:rFonts w:ascii="Times New Roman" w:eastAsia="Times New Roman"/>
        </w:rPr>
        <w:t>1</w:t>
      </w:r>
      <w:r>
        <w:t>）由于贮存装置破裂、或操作不当，造成泄漏，导致人员中毒和环境污染。</w:t>
      </w:r>
    </w:p>
    <w:p w14:paraId="699171E3">
      <w:pPr>
        <w:pStyle w:val="7"/>
        <w:spacing w:before="5"/>
        <w:ind w:left="940"/>
      </w:pPr>
      <w:r>
        <w:t>（</w:t>
      </w:r>
      <w:r>
        <w:rPr>
          <w:rFonts w:ascii="Times New Roman" w:eastAsia="Times New Roman"/>
        </w:rPr>
        <w:t>2</w:t>
      </w:r>
      <w:r>
        <w:t>）在使用过程中由于操作人员失误造成化学品泄露。</w:t>
      </w:r>
    </w:p>
    <w:p w14:paraId="234E86A7">
      <w:pPr>
        <w:pStyle w:val="6"/>
        <w:numPr>
          <w:ilvl w:val="2"/>
          <w:numId w:val="26"/>
        </w:numPr>
        <w:tabs>
          <w:tab w:val="left" w:pos="991"/>
        </w:tabs>
        <w:spacing w:before="160" w:after="0" w:line="240" w:lineRule="auto"/>
        <w:ind w:left="990" w:right="0" w:hanging="530"/>
        <w:jc w:val="left"/>
      </w:pPr>
      <w:bookmarkStart w:id="236" w:name="6.4.2废水事故排放环境影响分析"/>
      <w:bookmarkEnd w:id="236"/>
      <w:bookmarkStart w:id="237" w:name="6.4.2废水事故排放环境影响分析"/>
      <w:bookmarkEnd w:id="237"/>
      <w:r>
        <w:t>废水事故排放环境影响分析</w:t>
      </w:r>
    </w:p>
    <w:p w14:paraId="20DBD874">
      <w:pPr>
        <w:pStyle w:val="7"/>
        <w:spacing w:before="159"/>
        <w:ind w:left="940"/>
      </w:pPr>
      <w:r>
        <w:t>本项目废水事故状态为厂区污水处理站发生故障时不能及时处理产生的废</w:t>
      </w:r>
    </w:p>
    <w:p w14:paraId="5B7A8707">
      <w:pPr>
        <w:spacing w:after="0"/>
        <w:sectPr>
          <w:pgSz w:w="11910" w:h="16840"/>
          <w:pgMar w:top="1360" w:right="1320" w:bottom="1400" w:left="1340" w:header="878" w:footer="1175" w:gutter="0"/>
          <w:cols w:space="720" w:num="1"/>
        </w:sectPr>
      </w:pPr>
    </w:p>
    <w:p w14:paraId="6D74F413">
      <w:pPr>
        <w:pStyle w:val="7"/>
        <w:spacing w:before="68" w:line="364" w:lineRule="auto"/>
        <w:ind w:left="460" w:right="477"/>
        <w:jc w:val="both"/>
      </w:pPr>
      <w:r>
        <w:t>水，项目产生的废水外排会对岳阳县污水处理厂造成冲击。为了降低对岳阳县污水处理厂的影响，当发现污水处理站故障时，企业需立即停止产生废水的生产活动，将废水全部收集至厂区应急池内。项目进入污水处理站处理的水量为</w:t>
      </w:r>
    </w:p>
    <w:p w14:paraId="7EE5A6F9">
      <w:pPr>
        <w:pStyle w:val="7"/>
        <w:spacing w:line="364" w:lineRule="auto"/>
        <w:ind w:left="460" w:right="477"/>
        <w:jc w:val="both"/>
      </w:pPr>
      <w:r>
        <w:rPr>
          <w:rFonts w:ascii="Times New Roman" w:eastAsia="Times New Roman"/>
        </w:rPr>
        <w:t>1266.5m</w:t>
      </w:r>
      <w:r>
        <w:rPr>
          <w:rFonts w:ascii="Times New Roman" w:eastAsia="Times New Roman"/>
          <w:position w:val="8"/>
          <w:sz w:val="15"/>
        </w:rPr>
        <w:t>3</w:t>
      </w:r>
      <w:r>
        <w:rPr>
          <w:rFonts w:ascii="Times New Roman" w:eastAsia="Times New Roman"/>
        </w:rPr>
        <w:t>/d</w:t>
      </w:r>
      <w:r>
        <w:rPr>
          <w:spacing w:val="-5"/>
        </w:rPr>
        <w:t xml:space="preserve">，项目应急池设计池容为 </w:t>
      </w:r>
      <w:r>
        <w:rPr>
          <w:rFonts w:ascii="Times New Roman" w:eastAsia="Times New Roman"/>
        </w:rPr>
        <w:t>1500m</w:t>
      </w:r>
      <w:r>
        <w:rPr>
          <w:rFonts w:ascii="Times New Roman" w:eastAsia="Times New Roman"/>
          <w:position w:val="8"/>
          <w:sz w:val="15"/>
        </w:rPr>
        <w:t>3</w:t>
      </w:r>
      <w:r>
        <w:rPr>
          <w:spacing w:val="-4"/>
        </w:rPr>
        <w:t xml:space="preserve">，项目应急池可以暂存约 </w:t>
      </w:r>
      <w:r>
        <w:rPr>
          <w:rFonts w:ascii="Times New Roman" w:eastAsia="Times New Roman"/>
        </w:rPr>
        <w:t xml:space="preserve">1d </w:t>
      </w:r>
      <w:r>
        <w:t>的废水量。一旦厂区污水处理站发生故障，将生产过程中的废水全部收集至厂区内应急池内，待污水处理站正常运转后，再将应急池内的废水进行有步骤的处理， 以确保项目产生的废水能够达标排放。</w:t>
      </w:r>
    </w:p>
    <w:p w14:paraId="115163D5">
      <w:pPr>
        <w:pStyle w:val="7"/>
        <w:spacing w:line="364" w:lineRule="auto"/>
        <w:ind w:left="460" w:right="477" w:firstLine="480"/>
        <w:jc w:val="both"/>
      </w:pPr>
      <w:r>
        <w:t>项目应安装污水水量自动计量装置及主要水质指标在线监测装置，一旦发现水质指标异常应立即对污水处理站进行检查。</w:t>
      </w:r>
    </w:p>
    <w:p w14:paraId="3C5AFB75">
      <w:pPr>
        <w:pStyle w:val="7"/>
        <w:spacing w:line="364" w:lineRule="auto"/>
        <w:ind w:left="460" w:right="477" w:firstLine="568"/>
        <w:jc w:val="both"/>
      </w:pPr>
      <w:r>
        <w:t>项目在设计中考虑了非正常工况下厂区污水的处理和暂存，在落实好项目设计的环保措施的情况下，可以做到非正常工况废水不外排，不会对岳阳县污水处理厂和周边水环境造成冲击影响。</w:t>
      </w:r>
    </w:p>
    <w:p w14:paraId="5FEBBAB2">
      <w:pPr>
        <w:pStyle w:val="6"/>
        <w:numPr>
          <w:ilvl w:val="2"/>
          <w:numId w:val="26"/>
        </w:numPr>
        <w:tabs>
          <w:tab w:val="left" w:pos="991"/>
        </w:tabs>
        <w:spacing w:before="0" w:after="0" w:line="307" w:lineRule="exact"/>
        <w:ind w:left="990" w:right="0" w:hanging="530"/>
        <w:jc w:val="left"/>
      </w:pPr>
      <w:bookmarkStart w:id="238" w:name="6.4.3废气事故排放"/>
      <w:bookmarkEnd w:id="238"/>
      <w:bookmarkStart w:id="239" w:name="6.4.3废气事故排放"/>
      <w:bookmarkEnd w:id="239"/>
      <w:r>
        <w:t>废气事故排放</w:t>
      </w:r>
    </w:p>
    <w:p w14:paraId="2A413296">
      <w:pPr>
        <w:pStyle w:val="7"/>
        <w:spacing w:before="154" w:line="364" w:lineRule="auto"/>
        <w:ind w:left="460" w:right="477" w:firstLine="568"/>
        <w:jc w:val="both"/>
      </w:pPr>
      <w:r>
        <w:t>项目待宰间、屠宰车间及污水处理站废气经收集后分别设置一套喷淋吸收塔</w:t>
      </w:r>
      <w:r>
        <w:rPr>
          <w:rFonts w:ascii="Times New Roman" w:eastAsia="Times New Roman"/>
        </w:rPr>
        <w:t>+</w:t>
      </w:r>
      <w:r>
        <w:t>生物除臭处理设备进行处理后有组织排放。若厂区内废气处理装置发生故障，会导致废气事故排放，项目排放的废气主要是恶臭气体，事故排放情况下污染物排放量增加，将对厂区内及厂区周围大气环境产生一定的污染影响；</w:t>
      </w:r>
    </w:p>
    <w:p w14:paraId="02D169E2">
      <w:pPr>
        <w:pStyle w:val="7"/>
        <w:spacing w:line="364" w:lineRule="auto"/>
        <w:ind w:left="460" w:right="477" w:firstLine="568"/>
        <w:jc w:val="both"/>
      </w:pPr>
      <w:r>
        <w:t>但由于项目恶臭气体污染物产生量不大，在事故排放情况下，综合废气处理设施中喷淋除臭不会失效，且具备一套备用活性炭吸附装置启用，因此也不会造成严重的环境空气污染影响，但污染物排放量相对正常排放情况明显增加，因此，应加强废气处理装置检查，避免非正常排放和事故排放的发生。</w:t>
      </w:r>
    </w:p>
    <w:p w14:paraId="60F2D082">
      <w:pPr>
        <w:pStyle w:val="6"/>
        <w:numPr>
          <w:ilvl w:val="2"/>
          <w:numId w:val="26"/>
        </w:numPr>
        <w:tabs>
          <w:tab w:val="left" w:pos="991"/>
        </w:tabs>
        <w:spacing w:before="0" w:after="0" w:line="305" w:lineRule="exact"/>
        <w:ind w:left="990" w:right="0" w:hanging="530"/>
        <w:jc w:val="left"/>
      </w:pPr>
      <w:bookmarkStart w:id="240" w:name="6.4.4消防废水事故排放影响分析"/>
      <w:bookmarkEnd w:id="240"/>
      <w:bookmarkStart w:id="241" w:name="6.4.4消防废水事故排放影响分析"/>
      <w:bookmarkEnd w:id="241"/>
      <w:r>
        <w:t>消防废水事故排放影响分析</w:t>
      </w:r>
    </w:p>
    <w:p w14:paraId="24E03399">
      <w:pPr>
        <w:pStyle w:val="7"/>
        <w:spacing w:before="158" w:line="364" w:lineRule="auto"/>
        <w:ind w:left="460" w:right="477" w:firstLine="480"/>
        <w:jc w:val="both"/>
      </w:pPr>
      <w:r>
        <w:t>在发生火灾、爆炸、泄漏事故时，除了对周围环境空气产生影响外，事故污水也会对周围的环境水体造成风险影响，可引发一系列的次生水环境风险事故。一旦出现火情，在灭火同时，由此产生的消防废水会携带一定量的有害物质，若不能及时得到有效收集和处置，将随排水系统进入外界水体。因此，要将事故发生后产生的消防废水作为事故处理过程中的伴生</w:t>
      </w:r>
      <w:r>
        <w:rPr>
          <w:rFonts w:ascii="Times New Roman" w:eastAsia="Times New Roman"/>
        </w:rPr>
        <w:t>/</w:t>
      </w:r>
      <w:r>
        <w:t>次生污染予以考虑， 并对其提出防范措施。</w:t>
      </w:r>
    </w:p>
    <w:p w14:paraId="35AD46B2">
      <w:pPr>
        <w:pStyle w:val="7"/>
        <w:spacing w:line="364" w:lineRule="auto"/>
        <w:ind w:left="460" w:right="477" w:firstLine="480"/>
        <w:jc w:val="both"/>
      </w:pPr>
      <w:r>
        <w:t>为杜绝生产装置发生环境风险事故时消防水携带物料进入排水系统排至厂外，本项目应建立环境风险事故防范措施。</w:t>
      </w:r>
    </w:p>
    <w:p w14:paraId="35CEB47F">
      <w:pPr>
        <w:spacing w:after="0" w:line="364" w:lineRule="auto"/>
        <w:jc w:val="both"/>
        <w:sectPr>
          <w:pgSz w:w="11910" w:h="16840"/>
          <w:pgMar w:top="1360" w:right="1320" w:bottom="1400" w:left="1340" w:header="878" w:footer="1175" w:gutter="0"/>
          <w:cols w:space="720" w:num="1"/>
        </w:sectPr>
      </w:pPr>
    </w:p>
    <w:p w14:paraId="72C4580D">
      <w:pPr>
        <w:pStyle w:val="7"/>
        <w:spacing w:before="68" w:line="364" w:lineRule="auto"/>
        <w:ind w:left="460" w:right="480" w:firstLine="480"/>
        <w:jc w:val="both"/>
      </w:pPr>
      <w:r>
        <w:t>在事故状态下，消防废水直接随雨水排放系统排入外环境，将对地表水体产生污染影响。因此，应将消防废水引入事故应急池，事故过后，将事故污水限流送入污水处理站处理。</w:t>
      </w:r>
    </w:p>
    <w:p w14:paraId="5B201BAB">
      <w:pPr>
        <w:pStyle w:val="3"/>
        <w:numPr>
          <w:ilvl w:val="1"/>
          <w:numId w:val="26"/>
        </w:numPr>
        <w:tabs>
          <w:tab w:val="left" w:pos="868"/>
        </w:tabs>
        <w:spacing w:before="0" w:after="0" w:line="240" w:lineRule="auto"/>
        <w:ind w:left="868" w:right="0" w:hanging="408"/>
        <w:jc w:val="left"/>
      </w:pPr>
      <w:bookmarkStart w:id="242" w:name="6.5环境风险管理"/>
      <w:bookmarkEnd w:id="242"/>
      <w:bookmarkStart w:id="243" w:name="_bookmark33"/>
      <w:bookmarkEnd w:id="243"/>
      <w:bookmarkStart w:id="244" w:name="_bookmark33"/>
      <w:bookmarkEnd w:id="244"/>
      <w:r>
        <w:t>环境风险管理</w:t>
      </w:r>
    </w:p>
    <w:p w14:paraId="2B5A51D2">
      <w:pPr>
        <w:pStyle w:val="6"/>
        <w:numPr>
          <w:ilvl w:val="2"/>
          <w:numId w:val="26"/>
        </w:numPr>
        <w:tabs>
          <w:tab w:val="left" w:pos="991"/>
        </w:tabs>
        <w:spacing w:before="185" w:after="0" w:line="240" w:lineRule="auto"/>
        <w:ind w:left="990" w:right="0" w:hanging="530"/>
        <w:jc w:val="left"/>
      </w:pPr>
      <w:bookmarkStart w:id="245" w:name="6.5.1环境风险防范措施"/>
      <w:bookmarkEnd w:id="245"/>
      <w:bookmarkStart w:id="246" w:name="6.5.1环境风险防范措施"/>
      <w:bookmarkEnd w:id="246"/>
      <w:r>
        <w:t>环境风险防范措施</w:t>
      </w:r>
    </w:p>
    <w:p w14:paraId="094DD537">
      <w:pPr>
        <w:pStyle w:val="6"/>
        <w:numPr>
          <w:ilvl w:val="3"/>
          <w:numId w:val="26"/>
        </w:numPr>
        <w:tabs>
          <w:tab w:val="left" w:pos="1171"/>
        </w:tabs>
        <w:spacing w:before="158" w:after="0" w:line="240" w:lineRule="auto"/>
        <w:ind w:left="1170" w:right="0" w:hanging="710"/>
        <w:jc w:val="left"/>
      </w:pPr>
      <w:bookmarkStart w:id="247" w:name="6.5.1.1危险化学品泄漏事故的防范措施 "/>
      <w:bookmarkEnd w:id="247"/>
      <w:bookmarkStart w:id="248" w:name="6.5.1.1危险化学品泄漏事故的防范措施 "/>
      <w:bookmarkEnd w:id="248"/>
      <w:r>
        <w:t>危险化学品泄漏事故的防范措施</w:t>
      </w:r>
    </w:p>
    <w:p w14:paraId="2E6DAD6C">
      <w:pPr>
        <w:pStyle w:val="7"/>
        <w:spacing w:before="161"/>
        <w:ind w:left="940"/>
      </w:pPr>
      <w:r>
        <w:t>（</w:t>
      </w:r>
      <w:r>
        <w:rPr>
          <w:rFonts w:ascii="Times New Roman" w:eastAsia="Times New Roman"/>
        </w:rPr>
        <w:t>1</w:t>
      </w:r>
      <w:r>
        <w:t>）运输、储存及生产过程中风险防范对策</w:t>
      </w:r>
    </w:p>
    <w:p w14:paraId="436632FF">
      <w:pPr>
        <w:pStyle w:val="7"/>
        <w:spacing w:before="158" w:line="364" w:lineRule="auto"/>
        <w:ind w:left="460" w:right="477" w:firstLine="480"/>
        <w:jc w:val="both"/>
      </w:pPr>
      <w:r>
        <w:t>根据有毒有害物料的理化性质、毒理学特征、环境风险因素分析，以及物料的运输、储存方式和生产工艺，充分考虑工程所处的地理位置、区域自然环境和社会概况，对在运输、储存及生产过程中的环境风险提出以下防范对策与措施：</w:t>
      </w:r>
    </w:p>
    <w:p w14:paraId="5FB14B60">
      <w:pPr>
        <w:pStyle w:val="7"/>
        <w:spacing w:line="364" w:lineRule="auto"/>
        <w:ind w:left="460" w:right="477" w:firstLine="480"/>
        <w:jc w:val="both"/>
      </w:pPr>
      <w:r>
        <w:t>①对于危险化学品的购买、储存、保管、使用等需按照《危险化学品安全管理条例》之规定管理。在过氧乙酸和次氯酸钠的运输、储存过程中，必须严格执行《危险化学品安全管理条例》等有关规定。</w:t>
      </w:r>
    </w:p>
    <w:p w14:paraId="65F26D07">
      <w:pPr>
        <w:pStyle w:val="7"/>
        <w:spacing w:line="364" w:lineRule="auto"/>
        <w:ind w:left="668" w:right="477" w:firstLine="240"/>
        <w:jc w:val="both"/>
      </w:pPr>
      <w:r>
        <w:t>②选择合理的运输路线，尽量避开人口稠密区及居民生活区；同时对危险化学品运输车辆的驾驶员进行严格的有关安全知识培训和资格认证。装卸作业必须在装卸管理人员的现场指挥下进行。</w:t>
      </w:r>
    </w:p>
    <w:p w14:paraId="67DC4701">
      <w:pPr>
        <w:pStyle w:val="7"/>
        <w:spacing w:line="364" w:lineRule="auto"/>
        <w:ind w:left="460" w:right="477" w:firstLine="480"/>
        <w:jc w:val="both"/>
      </w:pPr>
      <w:r>
        <w:t>③起运时包装要完整，装载应稳妥。运输过程中要确保容器不泄漏、不倒塌、不坠落、不损坏。严禁与碱类、食用化学品等混装混运。运输时运输车辆应配备泄漏应急处理设备。运输途中应防曝晒、雨淋，防高温。</w:t>
      </w:r>
    </w:p>
    <w:p w14:paraId="2C8FEAAF">
      <w:pPr>
        <w:pStyle w:val="7"/>
        <w:spacing w:line="364" w:lineRule="auto"/>
        <w:ind w:left="460" w:right="477" w:firstLine="480"/>
        <w:jc w:val="both"/>
      </w:pPr>
      <w:r>
        <w:t>④危险化学品必须储存在专用仓库、专用场地或者专用储存室内，其储存方式、方法与储存数量必须符合国家有关规定，并由专人管理，危险化学品出入库，必须进行核查登记，并定期检查库存。危险化学品专用仓库，应当符合国家相关规定</w:t>
      </w:r>
      <w:r>
        <w:rPr>
          <w:rFonts w:ascii="Times New Roman" w:hAnsi="Times New Roman" w:eastAsia="Times New Roman"/>
        </w:rPr>
        <w:t>(</w:t>
      </w:r>
      <w:r>
        <w:t>安全、消防</w:t>
      </w:r>
      <w:r>
        <w:rPr>
          <w:rFonts w:ascii="Times New Roman" w:hAnsi="Times New Roman" w:eastAsia="Times New Roman"/>
        </w:rPr>
        <w:t>)</w:t>
      </w:r>
      <w:r>
        <w:t>要求，设置明显标志。</w:t>
      </w:r>
    </w:p>
    <w:p w14:paraId="119CD976">
      <w:pPr>
        <w:pStyle w:val="7"/>
        <w:spacing w:line="364" w:lineRule="auto"/>
        <w:ind w:left="460" w:right="477" w:firstLine="480"/>
        <w:jc w:val="both"/>
      </w:pPr>
      <w:r>
        <w:t>⑤储存场所应当设置明显的禁止烟火的防火标志，严禁使用非防爆电气照明或明火，电气线路若非十分必要不得架设，必须设置时必须采用防爆设计或采取防爆措施。同时要注意与热源、明火、易燃可燃物质等分开。应与碱类分开存放，切忌混储。储区应备有泄漏应急处理设备和合适的收容材料。</w:t>
      </w:r>
    </w:p>
    <w:p w14:paraId="4CC52049">
      <w:pPr>
        <w:pStyle w:val="7"/>
        <w:ind w:left="1000"/>
      </w:pPr>
      <w:r>
        <w:t>（</w:t>
      </w:r>
      <w:r>
        <w:rPr>
          <w:rFonts w:ascii="Times New Roman" w:eastAsia="Times New Roman"/>
        </w:rPr>
        <w:t>2</w:t>
      </w:r>
      <w:r>
        <w:t>）强化管理及安全生产措施</w:t>
      </w:r>
    </w:p>
    <w:p w14:paraId="019D824F">
      <w:pPr>
        <w:pStyle w:val="7"/>
        <w:spacing w:before="149"/>
        <w:ind w:left="940"/>
      </w:pPr>
      <w:r>
        <w:t>①强化安全生产管理，必须制定岗位责任制，将责任落实到部门和个人；</w:t>
      </w:r>
    </w:p>
    <w:p w14:paraId="19745009">
      <w:pPr>
        <w:spacing w:after="0"/>
        <w:sectPr>
          <w:pgSz w:w="11910" w:h="16840"/>
          <w:pgMar w:top="1360" w:right="1320" w:bottom="1400" w:left="1340" w:header="878" w:footer="1175" w:gutter="0"/>
          <w:cols w:space="720" w:num="1"/>
        </w:sectPr>
      </w:pPr>
    </w:p>
    <w:p w14:paraId="27B890FB">
      <w:pPr>
        <w:pStyle w:val="7"/>
        <w:spacing w:before="68" w:line="364" w:lineRule="auto"/>
        <w:ind w:left="460" w:right="477"/>
        <w:jc w:val="both"/>
      </w:pPr>
      <w:r>
        <w:t>严格遵守操作规程，《危险化学品安全管理条例》及国家、地方关于危险化学品的储运安全规定。加强设备的维修、保养，加强容器、管道的安全监控，按规定进行定期检验；加强危险目标的保卫工作，防止破坏事故发生。</w:t>
      </w:r>
    </w:p>
    <w:p w14:paraId="2547641F">
      <w:pPr>
        <w:pStyle w:val="7"/>
        <w:spacing w:line="364" w:lineRule="auto"/>
        <w:ind w:left="460" w:right="477" w:firstLine="480"/>
        <w:jc w:val="both"/>
      </w:pPr>
      <w:r>
        <w:t>②强化安全生产及环境保护意识的教育，提高职工的素质，加强操作人员的上岗前培训，进行安全生产、消防、环保、工业卫生等方面的技术培训教育。</w:t>
      </w:r>
    </w:p>
    <w:p w14:paraId="0EC247F4">
      <w:pPr>
        <w:pStyle w:val="7"/>
        <w:spacing w:line="364" w:lineRule="auto"/>
        <w:ind w:left="460" w:right="477" w:firstLine="480"/>
        <w:jc w:val="both"/>
      </w:pPr>
      <w:r>
        <w:t>③建立健全环保及安全管理部门，该部门应加强监督检查，必须经常检查安全消防设施的完好性，使其处于即用状态，以备在事故发生时，能及时、高效流程的发挥作用。</w:t>
      </w:r>
    </w:p>
    <w:p w14:paraId="2F938D71">
      <w:pPr>
        <w:pStyle w:val="7"/>
        <w:spacing w:line="364" w:lineRule="auto"/>
        <w:ind w:left="460" w:right="477" w:firstLine="480"/>
        <w:jc w:val="both"/>
      </w:pPr>
      <w:r>
        <w:t>④进行全员应急管理培训，培训内容包括：事故预防、危险辨识、事故报告、应急响应、各类事故处置方案、基本救护常识、避灾避险、逃生自救等。每年至少分别安排一次桌面演练和综合演练，强化职工应急意识，提高应急队伍的反应速度和实战能力。</w:t>
      </w:r>
    </w:p>
    <w:p w14:paraId="5A2BDD9A">
      <w:pPr>
        <w:pStyle w:val="7"/>
        <w:spacing w:line="364" w:lineRule="auto"/>
        <w:ind w:left="460" w:right="477" w:firstLine="480"/>
        <w:jc w:val="both"/>
      </w:pPr>
      <w:r>
        <w:t>⑤企业应组建应急事故处理抢险队，并经过严格的培训和演练。配备足够的应急物资和使用工具。确保经费、物资供应，切实加强应急保障能力，并对应急救援设备、设施定期进行检测、维护、更新，确保性能完好；要对电话、对讲机、手机等通讯器材进行经常性维护或更新，确保通讯畅通。</w:t>
      </w:r>
    </w:p>
    <w:p w14:paraId="17D82261">
      <w:pPr>
        <w:pStyle w:val="6"/>
        <w:numPr>
          <w:ilvl w:val="3"/>
          <w:numId w:val="26"/>
        </w:numPr>
        <w:tabs>
          <w:tab w:val="left" w:pos="1171"/>
        </w:tabs>
        <w:spacing w:before="0" w:after="0" w:line="305" w:lineRule="exact"/>
        <w:ind w:left="1170" w:right="0" w:hanging="710"/>
        <w:jc w:val="left"/>
      </w:pPr>
      <w:bookmarkStart w:id="249" w:name="6.5.1.2应急事故池设计和消防废水事故排放风险防范措施"/>
      <w:bookmarkEnd w:id="249"/>
      <w:bookmarkStart w:id="250" w:name="6.5.1.2应急事故池设计和消防废水事故排放风险防范措施"/>
      <w:bookmarkEnd w:id="250"/>
      <w:r>
        <w:t>应急事故池设计和消防废水事故排放风险防范措施</w:t>
      </w:r>
    </w:p>
    <w:p w14:paraId="6E4ED5FA">
      <w:pPr>
        <w:pStyle w:val="7"/>
        <w:spacing w:before="154" w:line="364" w:lineRule="auto"/>
        <w:ind w:left="460" w:right="477" w:firstLine="480"/>
        <w:jc w:val="both"/>
      </w:pPr>
      <w:r>
        <w:t>本项目风险事故排水主要考虑火灾状态下的消防废水事故排放。因此，为确保环境风险事故废水不排入外环境，应急事故水池容积的确定必须基于事故废水最大产生量和事故排水系统储存设施最大有效容积来确定。本项目应急事故水池容量主要考虑发生火灾事故的消防水量，根据《消防给水及消火栓系统</w:t>
      </w:r>
      <w:r>
        <w:rPr>
          <w:spacing w:val="-18"/>
        </w:rPr>
        <w:t>技术规范》</w:t>
      </w:r>
      <w:r>
        <w:rPr>
          <w:spacing w:val="6"/>
        </w:rPr>
        <w:t>（</w:t>
      </w:r>
      <w:r>
        <w:rPr>
          <w:rFonts w:ascii="Times New Roman" w:eastAsia="Times New Roman"/>
          <w:spacing w:val="-1"/>
        </w:rPr>
        <w:t>G</w:t>
      </w:r>
      <w:r>
        <w:rPr>
          <w:rFonts w:ascii="Times New Roman" w:eastAsia="Times New Roman"/>
          <w:spacing w:val="-2"/>
        </w:rPr>
        <w:t>B</w:t>
      </w:r>
      <w:r>
        <w:rPr>
          <w:rFonts w:ascii="Times New Roman" w:eastAsia="Times New Roman"/>
        </w:rPr>
        <w:t>50974</w:t>
      </w:r>
      <w:r>
        <w:rPr>
          <w:rFonts w:ascii="Times New Roman" w:eastAsia="Times New Roman"/>
          <w:spacing w:val="0"/>
        </w:rPr>
        <w:t>-</w:t>
      </w:r>
      <w:r>
        <w:rPr>
          <w:rFonts w:ascii="Times New Roman" w:eastAsia="Times New Roman"/>
        </w:rPr>
        <w:t>201</w:t>
      </w:r>
      <w:r>
        <w:rPr>
          <w:rFonts w:ascii="Times New Roman" w:eastAsia="Times New Roman"/>
          <w:spacing w:val="6"/>
        </w:rPr>
        <w:t>4</w:t>
      </w:r>
      <w:r>
        <w:rPr>
          <w:spacing w:val="-111"/>
        </w:rPr>
        <w:t>）</w:t>
      </w:r>
      <w:r>
        <w:t xml:space="preserve">，本项目室外消火栓用水量设定 </w:t>
      </w:r>
      <w:r>
        <w:rPr>
          <w:rFonts w:ascii="Times New Roman" w:eastAsia="Times New Roman"/>
        </w:rPr>
        <w:t>25</w:t>
      </w:r>
      <w:r>
        <w:rPr>
          <w:rFonts w:ascii="Times New Roman" w:eastAsia="Times New Roman"/>
          <w:spacing w:val="-3"/>
        </w:rPr>
        <w:t>L</w:t>
      </w:r>
      <w:r>
        <w:rPr>
          <w:rFonts w:ascii="Times New Roman" w:eastAsia="Times New Roman"/>
        </w:rPr>
        <w:t>/</w:t>
      </w:r>
      <w:r>
        <w:rPr>
          <w:rFonts w:ascii="Times New Roman" w:eastAsia="Times New Roman"/>
          <w:spacing w:val="8"/>
        </w:rPr>
        <w:t>s</w:t>
      </w:r>
      <w:r>
        <w:rPr>
          <w:spacing w:val="5"/>
        </w:rPr>
        <w:t>，室内消火</w:t>
      </w:r>
      <w:r>
        <w:rPr>
          <w:spacing w:val="-3"/>
        </w:rPr>
        <w:t xml:space="preserve">栓水量设定 </w:t>
      </w:r>
      <w:r>
        <w:rPr>
          <w:rFonts w:ascii="Times New Roman" w:eastAsia="Times New Roman"/>
        </w:rPr>
        <w:t>10L/s</w:t>
      </w:r>
      <w:r>
        <w:rPr>
          <w:spacing w:val="-1"/>
        </w:rPr>
        <w:t xml:space="preserve">，消火栓给水时间设为 </w:t>
      </w:r>
      <w:r>
        <w:rPr>
          <w:rFonts w:ascii="Times New Roman" w:eastAsia="Times New Roman"/>
          <w:spacing w:val="2"/>
        </w:rPr>
        <w:t>3h</w:t>
      </w:r>
      <w:r>
        <w:rPr>
          <w:spacing w:val="-1"/>
        </w:rPr>
        <w:t xml:space="preserve">，刚消防废水量为 </w:t>
      </w:r>
      <w:r>
        <w:rPr>
          <w:rFonts w:ascii="Times New Roman" w:eastAsia="Times New Roman"/>
        </w:rPr>
        <w:t>378m</w:t>
      </w:r>
      <w:r>
        <w:rPr>
          <w:rFonts w:ascii="Times New Roman" w:eastAsia="Times New Roman"/>
          <w:position w:val="8"/>
          <w:sz w:val="15"/>
        </w:rPr>
        <w:t>3</w:t>
      </w:r>
      <w:r>
        <w:rPr>
          <w:spacing w:val="3"/>
        </w:rPr>
        <w:t xml:space="preserve">。因此， </w:t>
      </w:r>
      <w:r>
        <w:t xml:space="preserve">本项目需设置事故池的容积不小于 </w:t>
      </w:r>
      <w:r>
        <w:rPr>
          <w:rFonts w:ascii="Times New Roman" w:eastAsia="Times New Roman"/>
        </w:rPr>
        <w:t>378m</w:t>
      </w:r>
      <w:r>
        <w:rPr>
          <w:rFonts w:ascii="Times New Roman" w:eastAsia="Times New Roman"/>
          <w:position w:val="8"/>
          <w:sz w:val="15"/>
        </w:rPr>
        <w:t>3</w:t>
      </w:r>
      <w:r>
        <w:rPr>
          <w:spacing w:val="1"/>
        </w:rPr>
        <w:t>。由于本项目污水处理站已考虑设计</w:t>
      </w:r>
      <w:r>
        <w:rPr>
          <w:spacing w:val="-3"/>
        </w:rPr>
        <w:t xml:space="preserve">有应急池 </w:t>
      </w:r>
      <w:r>
        <w:rPr>
          <w:rFonts w:ascii="Times New Roman" w:eastAsia="Times New Roman"/>
        </w:rPr>
        <w:t>1500m</w:t>
      </w:r>
      <w:r>
        <w:rPr>
          <w:rFonts w:ascii="Times New Roman" w:eastAsia="Times New Roman"/>
          <w:position w:val="8"/>
          <w:sz w:val="15"/>
        </w:rPr>
        <w:t>3</w:t>
      </w:r>
      <w:r>
        <w:t>，该应急池可兼作消防废水事故池，在发生火灾，产生消防废水时，可通过切换雨水排放口应急阀门，将消防废水引入污水站应急池中。</w:t>
      </w:r>
    </w:p>
    <w:p w14:paraId="16C64C4B">
      <w:pPr>
        <w:pStyle w:val="7"/>
        <w:spacing w:line="364" w:lineRule="auto"/>
        <w:ind w:left="460" w:right="477" w:firstLine="480"/>
        <w:jc w:val="both"/>
      </w:pPr>
      <w:r>
        <w:t>为防止发生火灾事故后造成消防废水二次污染，本项目设置的消防废水收集和处理系统还应包括：</w:t>
      </w:r>
    </w:p>
    <w:p w14:paraId="5627FE9E">
      <w:pPr>
        <w:pStyle w:val="7"/>
        <w:ind w:left="940"/>
      </w:pPr>
      <w:r>
        <w:t>①雨水、污水排放口设置应急阀门；</w:t>
      </w:r>
    </w:p>
    <w:p w14:paraId="3C988805">
      <w:pPr>
        <w:spacing w:after="0"/>
        <w:sectPr>
          <w:pgSz w:w="11910" w:h="16840"/>
          <w:pgMar w:top="1360" w:right="1320" w:bottom="1400" w:left="1340" w:header="878" w:footer="1175" w:gutter="0"/>
          <w:cols w:space="720" w:num="1"/>
        </w:sectPr>
      </w:pPr>
    </w:p>
    <w:p w14:paraId="77DD3FB4">
      <w:pPr>
        <w:pStyle w:val="7"/>
        <w:spacing w:before="68" w:line="364" w:lineRule="auto"/>
        <w:ind w:left="460" w:right="477" w:firstLine="480"/>
        <w:jc w:val="both"/>
      </w:pPr>
      <w:r>
        <w:t>②厂区消防废水通过沟渠收集进入雨水管网，在厂区雨水管网集中汇入市政雨水管网的节点上安装可靠的隔断措施，例如阀门等，可在灭火时将此隔断措施关闭，将消防废水引入事故池（由污水站应急池兼作事故池），防止消防废水直接进入市政雨水管网。</w:t>
      </w:r>
    </w:p>
    <w:p w14:paraId="1B165225">
      <w:pPr>
        <w:pStyle w:val="7"/>
        <w:spacing w:line="364" w:lineRule="auto"/>
        <w:ind w:left="460" w:right="477" w:firstLine="480"/>
        <w:jc w:val="both"/>
      </w:pPr>
      <w:r>
        <w:t>③在厂区边界预先准备适量的沙包，在厂区灭火时堵住厂界围墙有泄漏的地方，防止消防废水向场外泄漏；</w:t>
      </w:r>
    </w:p>
    <w:p w14:paraId="021EBCCD">
      <w:pPr>
        <w:pStyle w:val="7"/>
        <w:spacing w:line="364" w:lineRule="auto"/>
        <w:ind w:left="460" w:right="477" w:firstLine="480"/>
        <w:jc w:val="both"/>
      </w:pPr>
      <w:r>
        <w:t>采取以上措施，事故池的设置是合理有效的。事故废水经过泵由事故池送入污水处理站进行处理，达标排放。项目拟在雨水排放口设置截止阀，平时保持关闭状态。一旦发生风险事故废水，可将事故废水截流在厂内。</w:t>
      </w:r>
    </w:p>
    <w:p w14:paraId="0BCC50AE">
      <w:pPr>
        <w:pStyle w:val="7"/>
        <w:spacing w:line="364" w:lineRule="auto"/>
        <w:ind w:left="460" w:right="477" w:firstLine="480"/>
        <w:jc w:val="both"/>
      </w:pPr>
      <w:r>
        <w:t>本项目一般情况下事故废水不会进入外环境，只有当发生火灾爆炸产生事故废水，且雨污切换阀失效，事故废水才可能通过雨水管网进入外环境，最终通过雨水管网排入新墙河，对新墙河产生不良影响。针对这种情形，建设单位应采取封堵措施对事故水采用沙袋进行截留，并迅速将截留的事故废水转移至事故池，防止事故废水通过雨水管网最终进入新墙河，封堵点位主要为厂区雨水排放口。</w:t>
      </w:r>
    </w:p>
    <w:p w14:paraId="3C984C27">
      <w:pPr>
        <w:pStyle w:val="6"/>
        <w:numPr>
          <w:ilvl w:val="3"/>
          <w:numId w:val="26"/>
        </w:numPr>
        <w:tabs>
          <w:tab w:val="left" w:pos="1171"/>
        </w:tabs>
        <w:spacing w:before="0" w:after="0" w:line="304" w:lineRule="exact"/>
        <w:ind w:left="1170" w:right="0" w:hanging="710"/>
        <w:jc w:val="left"/>
      </w:pPr>
      <w:bookmarkStart w:id="251" w:name="6.5.1.3污水站废水事故排放风险防范措施"/>
      <w:bookmarkEnd w:id="251"/>
      <w:bookmarkStart w:id="252" w:name="6.5.1.3污水站废水事故排放风险防范措施"/>
      <w:bookmarkEnd w:id="252"/>
      <w:r>
        <w:t>污水站废水事故排放风险防范措施</w:t>
      </w:r>
    </w:p>
    <w:p w14:paraId="7F2C0FD5">
      <w:pPr>
        <w:pStyle w:val="7"/>
        <w:spacing w:before="156" w:line="362" w:lineRule="auto"/>
        <w:ind w:left="460" w:right="477" w:firstLine="480"/>
        <w:jc w:val="both"/>
      </w:pPr>
      <w:r>
        <w:t>污水处理设施的事故来源于设备故障、检修或工艺参数改变而使处理效果变差，其防治措施为：</w:t>
      </w:r>
    </w:p>
    <w:p w14:paraId="7A9EEE10">
      <w:pPr>
        <w:pStyle w:val="7"/>
        <w:spacing w:before="5" w:line="364" w:lineRule="auto"/>
        <w:ind w:left="460" w:right="477" w:firstLine="480"/>
        <w:jc w:val="both"/>
      </w:pPr>
      <w:r>
        <w:t>①配备足够的备用设备和应急零部件。加强对污水处理设施设备维修与保养，要求设施管理人员规范化操作，对泵、阀门等定期检修维护，防治突发事件发生；</w:t>
      </w:r>
    </w:p>
    <w:p w14:paraId="4C266D82">
      <w:pPr>
        <w:pStyle w:val="7"/>
        <w:spacing w:line="364" w:lineRule="auto"/>
        <w:ind w:left="460" w:right="477" w:firstLine="480"/>
        <w:jc w:val="both"/>
      </w:pPr>
      <w:r>
        <w:t>②制定污水处理设施事故应急预案，实施事故应急处理分级责任制，落实责任人，并建立应对事故的机制和措施。</w:t>
      </w:r>
    </w:p>
    <w:p w14:paraId="767EE559">
      <w:pPr>
        <w:pStyle w:val="7"/>
        <w:spacing w:line="362" w:lineRule="auto"/>
        <w:ind w:left="460" w:right="477" w:firstLine="480"/>
        <w:jc w:val="both"/>
      </w:pPr>
      <w:r>
        <w:t>③运行期项目配设污水排放在线监测设备，通过监测设备发现项目污水故障排放时，立即关闭污水总排放处闸门防止污水超标排放，将污水引入污水处理站事故池内暂存，待污水处理设施检修完毕后再行处理。</w:t>
      </w:r>
    </w:p>
    <w:p w14:paraId="2D3C65B3">
      <w:pPr>
        <w:pStyle w:val="7"/>
        <w:spacing w:before="5"/>
        <w:ind w:left="940"/>
      </w:pPr>
      <w:r>
        <w:t>④加强运行管理和进出水的监测工作，未经处理达标的废水严禁外排。</w:t>
      </w:r>
    </w:p>
    <w:p w14:paraId="3D27894C">
      <w:pPr>
        <w:pStyle w:val="6"/>
        <w:numPr>
          <w:ilvl w:val="3"/>
          <w:numId w:val="26"/>
        </w:numPr>
        <w:tabs>
          <w:tab w:val="left" w:pos="1171"/>
        </w:tabs>
        <w:spacing w:before="158" w:after="0" w:line="240" w:lineRule="auto"/>
        <w:ind w:left="1170" w:right="0" w:hanging="710"/>
        <w:jc w:val="left"/>
      </w:pPr>
      <w:bookmarkStart w:id="253" w:name="6.5.1.4废气事故排放风险防范措施"/>
      <w:bookmarkEnd w:id="253"/>
      <w:bookmarkStart w:id="254" w:name="6.5.1.4废气事故排放风险防范措施"/>
      <w:bookmarkEnd w:id="254"/>
      <w:r>
        <w:t>废气事故排放风险防范措施</w:t>
      </w:r>
    </w:p>
    <w:p w14:paraId="04590453">
      <w:pPr>
        <w:pStyle w:val="7"/>
        <w:spacing w:before="160" w:line="364" w:lineRule="auto"/>
        <w:ind w:left="460" w:right="477" w:firstLine="480"/>
        <w:jc w:val="both"/>
      </w:pPr>
      <w:r>
        <w:t>废气事故排放来源于废所处理装备故障、检修或设备内废气处理辅料不及时更换导致废气处理装置处理效率降低或失效，其防治措施为：</w:t>
      </w:r>
    </w:p>
    <w:p w14:paraId="5669D986">
      <w:pPr>
        <w:spacing w:after="0" w:line="364" w:lineRule="auto"/>
        <w:jc w:val="both"/>
        <w:sectPr>
          <w:pgSz w:w="11910" w:h="16840"/>
          <w:pgMar w:top="1360" w:right="1320" w:bottom="1400" w:left="1340" w:header="878" w:footer="1175" w:gutter="0"/>
          <w:cols w:space="720" w:num="1"/>
        </w:sectPr>
      </w:pPr>
    </w:p>
    <w:p w14:paraId="63A54FAD">
      <w:pPr>
        <w:pStyle w:val="7"/>
        <w:spacing w:before="68"/>
        <w:ind w:left="940"/>
      </w:pPr>
      <w:r>
        <w:t>①建立严格的操作规程，实行目标责任制，保证环保设施的正常运行。</w:t>
      </w:r>
    </w:p>
    <w:p w14:paraId="7909C73D">
      <w:pPr>
        <w:pStyle w:val="7"/>
        <w:spacing w:before="160"/>
        <w:ind w:left="940"/>
      </w:pPr>
      <w:r>
        <w:t>②对废气处理设施定期监测、维护，以确保废气处理设施正常运行。</w:t>
      </w:r>
    </w:p>
    <w:p w14:paraId="1050158D">
      <w:pPr>
        <w:pStyle w:val="7"/>
        <w:spacing w:before="159" w:line="364" w:lineRule="auto"/>
        <w:ind w:left="460" w:right="477" w:firstLine="480"/>
        <w:jc w:val="both"/>
      </w:pPr>
      <w:r>
        <w:t>③废气处理设施设置标准，并注明注意事项，防治错误操作引起的事故排放。</w:t>
      </w:r>
    </w:p>
    <w:p w14:paraId="381DA737">
      <w:pPr>
        <w:pStyle w:val="7"/>
        <w:spacing w:line="364" w:lineRule="auto"/>
        <w:ind w:left="460" w:right="477" w:firstLine="480"/>
        <w:jc w:val="both"/>
      </w:pPr>
      <w:r>
        <w:t>④加强对职工的安全教育，制定严格的工作制度，所有操作人员必须了解接触的化学品的有害作用及对患者的急救措施，保证生产的正常运行和员工的身体健康。</w:t>
      </w:r>
    </w:p>
    <w:p w14:paraId="790BD535">
      <w:pPr>
        <w:pStyle w:val="6"/>
        <w:spacing w:line="307" w:lineRule="exact"/>
        <w:ind w:left="460"/>
      </w:pPr>
      <w:bookmarkStart w:id="255" w:name="6.5.2环境风险应急措施"/>
      <w:bookmarkEnd w:id="255"/>
      <w:r>
        <w:rPr>
          <w:rFonts w:ascii="Times New Roman" w:eastAsia="Times New Roman"/>
        </w:rPr>
        <w:t xml:space="preserve">6.5.2 </w:t>
      </w:r>
      <w:r>
        <w:t>环境风险应急措施</w:t>
      </w:r>
    </w:p>
    <w:p w14:paraId="114FEBE5">
      <w:pPr>
        <w:pStyle w:val="7"/>
        <w:spacing w:before="159" w:line="362" w:lineRule="auto"/>
        <w:ind w:left="460" w:right="477" w:firstLine="480"/>
        <w:jc w:val="both"/>
      </w:pPr>
      <w:r>
        <w:t>本项目一旦出现环境风险事故，须立即启动应急预案，根据事故类型、事故等级报告相应部门，并与政府、环保部门实行应急联动，采取风险应急措施。</w:t>
      </w:r>
    </w:p>
    <w:p w14:paraId="5276B366">
      <w:pPr>
        <w:pStyle w:val="7"/>
        <w:spacing w:before="6" w:line="364" w:lineRule="auto"/>
        <w:ind w:left="460" w:right="477" w:firstLine="480"/>
        <w:jc w:val="both"/>
      </w:pPr>
      <w:r>
        <w:t>若过氧乙酸、次氯酸钠发生泄漏，立即隔离泄漏现场，应急处理人员穿戴专用防护服于高处或上风处进行处理工作，在安全情况下尽量堵漏，组织人员抢修。次氯酸钠或过氧乙酸少量泄漏，可用大量水进行冲洗，或用沙土等不燃性物质进行覆盖吸收，冲洗水导入事故水池内，沙土作为危险废物妥善处理。</w:t>
      </w:r>
    </w:p>
    <w:p w14:paraId="4056DBB3">
      <w:pPr>
        <w:pStyle w:val="7"/>
        <w:spacing w:line="364" w:lineRule="auto"/>
        <w:ind w:left="460" w:right="477" w:firstLine="480"/>
        <w:jc w:val="both"/>
      </w:pPr>
      <w:r>
        <w:t>若废水输送管线和废水处理站池体发生破裂造成泄漏，应立即关闭阀门、停止生产，抽出管道内或池体内残存废水，及时更换管线、维护池体。</w:t>
      </w:r>
    </w:p>
    <w:p w14:paraId="38DA1046">
      <w:pPr>
        <w:pStyle w:val="3"/>
        <w:numPr>
          <w:ilvl w:val="1"/>
          <w:numId w:val="27"/>
        </w:numPr>
        <w:tabs>
          <w:tab w:val="left" w:pos="868"/>
        </w:tabs>
        <w:spacing w:before="0" w:after="0" w:line="358" w:lineRule="exact"/>
        <w:ind w:left="868" w:right="0" w:hanging="408"/>
        <w:jc w:val="left"/>
      </w:pPr>
      <w:bookmarkStart w:id="256" w:name="_bookmark34"/>
      <w:bookmarkEnd w:id="256"/>
      <w:bookmarkStart w:id="257" w:name="_bookmark34"/>
      <w:bookmarkEnd w:id="257"/>
      <w:bookmarkStart w:id="258" w:name="6.6突发环境事件应急预案"/>
      <w:bookmarkEnd w:id="258"/>
      <w:r>
        <w:t>突发环境事件应急预案</w:t>
      </w:r>
    </w:p>
    <w:p w14:paraId="7014FFD1">
      <w:pPr>
        <w:pStyle w:val="7"/>
        <w:spacing w:before="183" w:line="364" w:lineRule="auto"/>
        <w:ind w:left="460" w:right="477" w:firstLine="480"/>
        <w:jc w:val="both"/>
      </w:pPr>
      <w:r>
        <w:t>根据湖南省环保厅湘环函【</w:t>
      </w:r>
      <w:r>
        <w:rPr>
          <w:rFonts w:ascii="Times New Roman" w:eastAsia="Times New Roman"/>
        </w:rPr>
        <w:t>2017</w:t>
      </w:r>
      <w:r>
        <w:t>】</w:t>
      </w:r>
      <w:r>
        <w:rPr>
          <w:rFonts w:ascii="Times New Roman" w:eastAsia="Times New Roman"/>
        </w:rPr>
        <w:t xml:space="preserve">107 </w:t>
      </w:r>
      <w:r>
        <w:t>号文《关于进一步加强突发环境事件应急预案管理工作的通知》中规定，企业应委托专业咨询机构或自行组织预案编制小组开展突发环境事件应急预案编制工作，企业需编制环境风险应急预案报生态环境主管部门备案。</w:t>
      </w:r>
    </w:p>
    <w:p w14:paraId="6443B622">
      <w:pPr>
        <w:pStyle w:val="7"/>
        <w:spacing w:line="305" w:lineRule="exact"/>
        <w:ind w:left="940"/>
      </w:pPr>
      <w:r>
        <w:t xml:space="preserve">应急预案主要内容见表 </w:t>
      </w:r>
      <w:r>
        <w:rPr>
          <w:rFonts w:ascii="Times New Roman" w:eastAsia="Times New Roman"/>
        </w:rPr>
        <w:t>6.6- 1</w:t>
      </w:r>
      <w:r>
        <w:t>。</w:t>
      </w:r>
    </w:p>
    <w:p w14:paraId="65CDA5C0">
      <w:pPr>
        <w:spacing w:before="159" w:after="3"/>
        <w:ind w:left="267" w:right="286" w:firstLine="0"/>
        <w:jc w:val="center"/>
        <w:rPr>
          <w:b/>
          <w:sz w:val="21"/>
        </w:rPr>
      </w:pPr>
      <w:r>
        <w:rPr>
          <w:b/>
          <w:sz w:val="21"/>
        </w:rPr>
        <w:t xml:space="preserve">表 </w:t>
      </w:r>
      <w:r>
        <w:rPr>
          <w:rFonts w:ascii="Times New Roman" w:eastAsia="Times New Roman"/>
          <w:b/>
          <w:sz w:val="21"/>
        </w:rPr>
        <w:t xml:space="preserve">6.6- 1  </w:t>
      </w:r>
      <w:r>
        <w:rPr>
          <w:b/>
          <w:sz w:val="21"/>
        </w:rPr>
        <w:t>应急预案编制内容</w:t>
      </w:r>
    </w:p>
    <w:tbl>
      <w:tblPr>
        <w:tblStyle w:val="10"/>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5"/>
        <w:gridCol w:w="882"/>
        <w:gridCol w:w="7170"/>
      </w:tblGrid>
      <w:tr w14:paraId="63856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75" w:type="dxa"/>
          </w:tcPr>
          <w:p w14:paraId="347F2971">
            <w:pPr>
              <w:pStyle w:val="14"/>
              <w:spacing w:before="56" w:line="270" w:lineRule="atLeast"/>
              <w:ind w:left="130" w:right="123"/>
              <w:rPr>
                <w:b/>
                <w:sz w:val="21"/>
              </w:rPr>
            </w:pPr>
            <w:r>
              <w:rPr>
                <w:b/>
                <w:sz w:val="21"/>
              </w:rPr>
              <w:t>序号</w:t>
            </w:r>
          </w:p>
        </w:tc>
        <w:tc>
          <w:tcPr>
            <w:tcW w:w="882" w:type="dxa"/>
          </w:tcPr>
          <w:p w14:paraId="6FDB05DB">
            <w:pPr>
              <w:pStyle w:val="14"/>
              <w:spacing w:before="12"/>
              <w:rPr>
                <w:b/>
                <w:sz w:val="14"/>
              </w:rPr>
            </w:pPr>
          </w:p>
          <w:p w14:paraId="0BEFB932">
            <w:pPr>
              <w:pStyle w:val="14"/>
              <w:ind w:left="63" w:right="62"/>
              <w:jc w:val="center"/>
              <w:rPr>
                <w:b/>
                <w:sz w:val="21"/>
              </w:rPr>
            </w:pPr>
            <w:r>
              <w:rPr>
                <w:b/>
                <w:sz w:val="21"/>
              </w:rPr>
              <w:t>项目</w:t>
            </w:r>
          </w:p>
        </w:tc>
        <w:tc>
          <w:tcPr>
            <w:tcW w:w="7170" w:type="dxa"/>
          </w:tcPr>
          <w:p w14:paraId="44C8767F">
            <w:pPr>
              <w:pStyle w:val="14"/>
              <w:spacing w:before="12"/>
              <w:rPr>
                <w:b/>
                <w:sz w:val="14"/>
              </w:rPr>
            </w:pPr>
          </w:p>
          <w:p w14:paraId="3CB60585">
            <w:pPr>
              <w:pStyle w:val="14"/>
              <w:ind w:left="3033" w:right="3032"/>
              <w:jc w:val="center"/>
              <w:rPr>
                <w:b/>
                <w:sz w:val="21"/>
              </w:rPr>
            </w:pPr>
            <w:r>
              <w:rPr>
                <w:b/>
                <w:sz w:val="21"/>
              </w:rPr>
              <w:t>内容及要求</w:t>
            </w:r>
          </w:p>
        </w:tc>
      </w:tr>
      <w:tr w14:paraId="2E301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75" w:type="dxa"/>
          </w:tcPr>
          <w:p w14:paraId="22144CB6">
            <w:pPr>
              <w:pStyle w:val="14"/>
              <w:spacing w:before="139"/>
              <w:ind w:left="5"/>
              <w:jc w:val="center"/>
              <w:rPr>
                <w:rFonts w:ascii="Times New Roman"/>
                <w:sz w:val="21"/>
              </w:rPr>
            </w:pPr>
            <w:r>
              <w:rPr>
                <w:rFonts w:ascii="Times New Roman"/>
                <w:w w:val="99"/>
                <w:sz w:val="21"/>
              </w:rPr>
              <w:t>1</w:t>
            </w:r>
          </w:p>
        </w:tc>
        <w:tc>
          <w:tcPr>
            <w:tcW w:w="882" w:type="dxa"/>
          </w:tcPr>
          <w:p w14:paraId="1227EFAC">
            <w:pPr>
              <w:pStyle w:val="14"/>
              <w:spacing w:before="125"/>
              <w:ind w:left="65" w:right="62"/>
              <w:jc w:val="center"/>
              <w:rPr>
                <w:sz w:val="21"/>
              </w:rPr>
            </w:pPr>
            <w:r>
              <w:rPr>
                <w:sz w:val="21"/>
              </w:rPr>
              <w:t>总则</w:t>
            </w:r>
          </w:p>
        </w:tc>
        <w:tc>
          <w:tcPr>
            <w:tcW w:w="7170" w:type="dxa"/>
          </w:tcPr>
          <w:p w14:paraId="4B576092">
            <w:pPr>
              <w:pStyle w:val="14"/>
              <w:spacing w:before="125"/>
              <w:ind w:left="107"/>
              <w:rPr>
                <w:sz w:val="21"/>
              </w:rPr>
            </w:pPr>
            <w:r>
              <w:rPr>
                <w:sz w:val="21"/>
              </w:rPr>
              <w:t>包括编制目的、编制依据、工作原则、事件分级、应急预案体系。</w:t>
            </w:r>
          </w:p>
        </w:tc>
      </w:tr>
      <w:tr w14:paraId="311DB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75" w:type="dxa"/>
          </w:tcPr>
          <w:p w14:paraId="5133EFD9">
            <w:pPr>
              <w:pStyle w:val="14"/>
              <w:spacing w:before="12"/>
              <w:rPr>
                <w:b/>
                <w:sz w:val="15"/>
              </w:rPr>
            </w:pPr>
          </w:p>
          <w:p w14:paraId="4BE87972">
            <w:pPr>
              <w:pStyle w:val="14"/>
              <w:ind w:left="5"/>
              <w:jc w:val="center"/>
              <w:rPr>
                <w:rFonts w:ascii="Times New Roman"/>
                <w:sz w:val="21"/>
              </w:rPr>
            </w:pPr>
            <w:r>
              <w:rPr>
                <w:rFonts w:ascii="Times New Roman"/>
                <w:w w:val="99"/>
                <w:sz w:val="21"/>
              </w:rPr>
              <w:t>2</w:t>
            </w:r>
          </w:p>
        </w:tc>
        <w:tc>
          <w:tcPr>
            <w:tcW w:w="882" w:type="dxa"/>
          </w:tcPr>
          <w:p w14:paraId="3531484B">
            <w:pPr>
              <w:pStyle w:val="14"/>
              <w:spacing w:before="56" w:line="242" w:lineRule="auto"/>
              <w:ind w:left="334" w:right="117" w:hanging="212"/>
              <w:rPr>
                <w:sz w:val="21"/>
              </w:rPr>
            </w:pPr>
            <w:r>
              <w:rPr>
                <w:sz w:val="21"/>
              </w:rPr>
              <w:t>基本情况</w:t>
            </w:r>
          </w:p>
        </w:tc>
        <w:tc>
          <w:tcPr>
            <w:tcW w:w="7170" w:type="dxa"/>
          </w:tcPr>
          <w:p w14:paraId="260531A5">
            <w:pPr>
              <w:pStyle w:val="14"/>
              <w:spacing w:before="11"/>
              <w:rPr>
                <w:b/>
                <w:sz w:val="14"/>
              </w:rPr>
            </w:pPr>
          </w:p>
          <w:p w14:paraId="2761E146">
            <w:pPr>
              <w:pStyle w:val="14"/>
              <w:ind w:left="107"/>
              <w:rPr>
                <w:sz w:val="21"/>
              </w:rPr>
            </w:pPr>
            <w:r>
              <w:rPr>
                <w:sz w:val="21"/>
              </w:rPr>
              <w:t>综合基本情况调查内容，简要描述企业基本情况调查结论。</w:t>
            </w:r>
          </w:p>
        </w:tc>
      </w:tr>
      <w:tr w14:paraId="77A23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475" w:type="dxa"/>
          </w:tcPr>
          <w:p w14:paraId="518A721B">
            <w:pPr>
              <w:pStyle w:val="14"/>
              <w:spacing w:before="7"/>
              <w:rPr>
                <w:b/>
                <w:sz w:val="26"/>
              </w:rPr>
            </w:pPr>
          </w:p>
          <w:p w14:paraId="7859AFE7">
            <w:pPr>
              <w:pStyle w:val="14"/>
              <w:ind w:left="5"/>
              <w:jc w:val="center"/>
              <w:rPr>
                <w:rFonts w:ascii="Times New Roman"/>
                <w:sz w:val="21"/>
              </w:rPr>
            </w:pPr>
            <w:r>
              <w:rPr>
                <w:rFonts w:ascii="Times New Roman"/>
                <w:w w:val="99"/>
                <w:sz w:val="21"/>
              </w:rPr>
              <w:t>3</w:t>
            </w:r>
          </w:p>
        </w:tc>
        <w:tc>
          <w:tcPr>
            <w:tcW w:w="882" w:type="dxa"/>
          </w:tcPr>
          <w:p w14:paraId="26DB2CAB">
            <w:pPr>
              <w:pStyle w:val="14"/>
              <w:spacing w:before="55" w:line="242" w:lineRule="auto"/>
              <w:ind w:left="123" w:right="117"/>
              <w:jc w:val="center"/>
              <w:rPr>
                <w:sz w:val="21"/>
              </w:rPr>
            </w:pPr>
            <w:r>
              <w:rPr>
                <w:w w:val="95"/>
                <w:sz w:val="21"/>
              </w:rPr>
              <w:t>环境风</w:t>
            </w:r>
            <w:r>
              <w:rPr>
                <w:sz w:val="21"/>
              </w:rPr>
              <w:t>险</w:t>
            </w:r>
          </w:p>
          <w:p w14:paraId="2F4828A5">
            <w:pPr>
              <w:pStyle w:val="14"/>
              <w:spacing w:before="1"/>
              <w:ind w:left="65" w:right="62"/>
              <w:jc w:val="center"/>
              <w:rPr>
                <w:sz w:val="21"/>
              </w:rPr>
            </w:pPr>
            <w:r>
              <w:rPr>
                <w:sz w:val="21"/>
              </w:rPr>
              <w:t>辨别</w:t>
            </w:r>
          </w:p>
        </w:tc>
        <w:tc>
          <w:tcPr>
            <w:tcW w:w="7170" w:type="dxa"/>
          </w:tcPr>
          <w:p w14:paraId="243CFC8C">
            <w:pPr>
              <w:pStyle w:val="14"/>
              <w:spacing w:before="12"/>
              <w:rPr>
                <w:b/>
                <w:sz w:val="14"/>
              </w:rPr>
            </w:pPr>
          </w:p>
          <w:p w14:paraId="077F139A">
            <w:pPr>
              <w:pStyle w:val="14"/>
              <w:spacing w:line="242" w:lineRule="auto"/>
              <w:ind w:left="107" w:right="121"/>
              <w:rPr>
                <w:sz w:val="21"/>
              </w:rPr>
            </w:pPr>
            <w:r>
              <w:rPr>
                <w:w w:val="95"/>
                <w:sz w:val="21"/>
              </w:rPr>
              <w:t xml:space="preserve">包括环境风险物质识别、生产工艺与环境风险控制水平、环境风险等级、环  </w:t>
            </w:r>
            <w:r>
              <w:rPr>
                <w:sz w:val="21"/>
              </w:rPr>
              <w:t>境风险单元、环境风险辨识等。</w:t>
            </w:r>
          </w:p>
        </w:tc>
      </w:tr>
    </w:tbl>
    <w:p w14:paraId="5914ACA9">
      <w:pPr>
        <w:spacing w:after="0" w:line="242" w:lineRule="auto"/>
        <w:rPr>
          <w:sz w:val="21"/>
        </w:rPr>
        <w:sectPr>
          <w:pgSz w:w="11910" w:h="16840"/>
          <w:pgMar w:top="1360" w:right="1320" w:bottom="1400" w:left="1340" w:header="878" w:footer="1175" w:gutter="0"/>
          <w:cols w:space="720" w:num="1"/>
        </w:sectPr>
      </w:pPr>
    </w:p>
    <w:p w14:paraId="6B5832A8">
      <w:pPr>
        <w:pStyle w:val="7"/>
        <w:spacing w:before="9"/>
        <w:rPr>
          <w:rFonts w:ascii="Times New Roman"/>
          <w:sz w:val="5"/>
        </w:rPr>
      </w:pPr>
    </w:p>
    <w:tbl>
      <w:tblPr>
        <w:tblStyle w:val="10"/>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5"/>
        <w:gridCol w:w="882"/>
        <w:gridCol w:w="7170"/>
      </w:tblGrid>
      <w:tr w14:paraId="6169E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475" w:type="dxa"/>
          </w:tcPr>
          <w:p w14:paraId="21017023">
            <w:pPr>
              <w:pStyle w:val="14"/>
              <w:spacing w:before="8"/>
              <w:rPr>
                <w:rFonts w:ascii="Times New Roman"/>
                <w:sz w:val="29"/>
              </w:rPr>
            </w:pPr>
          </w:p>
          <w:p w14:paraId="5270A2B1">
            <w:pPr>
              <w:pStyle w:val="14"/>
              <w:spacing w:before="1"/>
              <w:ind w:left="183"/>
              <w:rPr>
                <w:rFonts w:ascii="Times New Roman"/>
                <w:sz w:val="21"/>
              </w:rPr>
            </w:pPr>
            <w:r>
              <w:rPr>
                <w:rFonts w:ascii="Times New Roman"/>
                <w:w w:val="99"/>
                <w:sz w:val="21"/>
              </w:rPr>
              <w:t>4</w:t>
            </w:r>
          </w:p>
        </w:tc>
        <w:tc>
          <w:tcPr>
            <w:tcW w:w="882" w:type="dxa"/>
          </w:tcPr>
          <w:p w14:paraId="1ED2FE57">
            <w:pPr>
              <w:pStyle w:val="14"/>
              <w:spacing w:before="57" w:line="242" w:lineRule="auto"/>
              <w:ind w:left="123" w:right="117"/>
              <w:jc w:val="center"/>
              <w:rPr>
                <w:sz w:val="21"/>
              </w:rPr>
            </w:pPr>
            <w:r>
              <w:rPr>
                <w:w w:val="95"/>
                <w:sz w:val="21"/>
              </w:rPr>
              <w:t>应急能</w:t>
            </w:r>
            <w:r>
              <w:rPr>
                <w:sz w:val="21"/>
              </w:rPr>
              <w:t>力</w:t>
            </w:r>
          </w:p>
          <w:p w14:paraId="69358FD6">
            <w:pPr>
              <w:pStyle w:val="14"/>
              <w:spacing w:line="268" w:lineRule="exact"/>
              <w:ind w:left="65" w:right="62"/>
              <w:jc w:val="center"/>
              <w:rPr>
                <w:sz w:val="21"/>
              </w:rPr>
            </w:pPr>
            <w:r>
              <w:rPr>
                <w:sz w:val="21"/>
              </w:rPr>
              <w:t>建设</w:t>
            </w:r>
          </w:p>
        </w:tc>
        <w:tc>
          <w:tcPr>
            <w:tcW w:w="7170" w:type="dxa"/>
          </w:tcPr>
          <w:p w14:paraId="7378C423">
            <w:pPr>
              <w:pStyle w:val="14"/>
              <w:spacing w:before="7"/>
              <w:rPr>
                <w:rFonts w:ascii="Times New Roman"/>
                <w:sz w:val="16"/>
              </w:rPr>
            </w:pPr>
          </w:p>
          <w:p w14:paraId="5F45E255">
            <w:pPr>
              <w:pStyle w:val="14"/>
              <w:spacing w:line="244" w:lineRule="auto"/>
              <w:ind w:left="107" w:right="121"/>
              <w:rPr>
                <w:sz w:val="21"/>
              </w:rPr>
            </w:pPr>
            <w:r>
              <w:rPr>
                <w:w w:val="95"/>
                <w:sz w:val="21"/>
              </w:rPr>
              <w:t xml:space="preserve">依据应急能力评估，结合企业环境风险辨识内容，归纳企业环境应急能力，  </w:t>
            </w:r>
            <w:r>
              <w:rPr>
                <w:sz w:val="21"/>
              </w:rPr>
              <w:t>提出环境应急能力建设计划与目标。</w:t>
            </w:r>
          </w:p>
        </w:tc>
      </w:tr>
      <w:tr w14:paraId="7B630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475" w:type="dxa"/>
          </w:tcPr>
          <w:p w14:paraId="6705718E">
            <w:pPr>
              <w:pStyle w:val="14"/>
              <w:rPr>
                <w:rFonts w:ascii="Times New Roman"/>
                <w:sz w:val="22"/>
              </w:rPr>
            </w:pPr>
          </w:p>
          <w:p w14:paraId="2A9D8BE6">
            <w:pPr>
              <w:pStyle w:val="14"/>
              <w:spacing w:before="5"/>
              <w:rPr>
                <w:rFonts w:ascii="Times New Roman"/>
                <w:sz w:val="19"/>
              </w:rPr>
            </w:pPr>
          </w:p>
          <w:p w14:paraId="0DC1CC8B">
            <w:pPr>
              <w:pStyle w:val="14"/>
              <w:ind w:left="183"/>
              <w:rPr>
                <w:rFonts w:ascii="Times New Roman"/>
                <w:sz w:val="21"/>
              </w:rPr>
            </w:pPr>
            <w:r>
              <w:rPr>
                <w:rFonts w:ascii="Times New Roman"/>
                <w:w w:val="99"/>
                <w:sz w:val="21"/>
              </w:rPr>
              <w:t>5</w:t>
            </w:r>
          </w:p>
        </w:tc>
        <w:tc>
          <w:tcPr>
            <w:tcW w:w="882" w:type="dxa"/>
          </w:tcPr>
          <w:p w14:paraId="404028E3">
            <w:pPr>
              <w:pStyle w:val="14"/>
              <w:spacing w:before="8"/>
              <w:rPr>
                <w:rFonts w:ascii="Times New Roman"/>
                <w:sz w:val="16"/>
              </w:rPr>
            </w:pPr>
          </w:p>
          <w:p w14:paraId="2D373364">
            <w:pPr>
              <w:pStyle w:val="14"/>
              <w:spacing w:line="242" w:lineRule="auto"/>
              <w:ind w:left="123" w:right="117"/>
              <w:jc w:val="center"/>
              <w:rPr>
                <w:sz w:val="21"/>
              </w:rPr>
            </w:pPr>
            <w:r>
              <w:rPr>
                <w:w w:val="95"/>
                <w:sz w:val="21"/>
              </w:rPr>
              <w:t>组织机构和职</w:t>
            </w:r>
            <w:r>
              <w:rPr>
                <w:sz w:val="21"/>
              </w:rPr>
              <w:t>责</w:t>
            </w:r>
          </w:p>
        </w:tc>
        <w:tc>
          <w:tcPr>
            <w:tcW w:w="7170" w:type="dxa"/>
          </w:tcPr>
          <w:p w14:paraId="291434EB">
            <w:pPr>
              <w:pStyle w:val="14"/>
              <w:spacing w:before="55" w:line="244" w:lineRule="auto"/>
              <w:ind w:left="107" w:right="227"/>
              <w:rPr>
                <w:sz w:val="21"/>
              </w:rPr>
            </w:pPr>
            <w:r>
              <w:rPr>
                <w:rFonts w:ascii="Times New Roman" w:eastAsia="Times New Roman"/>
                <w:w w:val="95"/>
                <w:sz w:val="21"/>
              </w:rPr>
              <w:t>1</w:t>
            </w:r>
            <w:r>
              <w:rPr>
                <w:w w:val="95"/>
                <w:sz w:val="21"/>
              </w:rPr>
              <w:t xml:space="preserve">）明确应急组织机构的构成、一般由应急指挥部、应急功能小组等构成，  </w:t>
            </w:r>
            <w:r>
              <w:rPr>
                <w:sz w:val="21"/>
              </w:rPr>
              <w:t>并尽可能以结构图的形式表述。</w:t>
            </w:r>
          </w:p>
          <w:p w14:paraId="1EE124CA">
            <w:pPr>
              <w:pStyle w:val="14"/>
              <w:spacing w:line="265" w:lineRule="exact"/>
              <w:ind w:left="107"/>
              <w:rPr>
                <w:sz w:val="21"/>
              </w:rPr>
            </w:pPr>
            <w:r>
              <w:rPr>
                <w:rFonts w:ascii="Times New Roman" w:eastAsia="Times New Roman"/>
                <w:sz w:val="21"/>
              </w:rPr>
              <w:t>2</w:t>
            </w:r>
            <w:r>
              <w:rPr>
                <w:sz w:val="21"/>
              </w:rPr>
              <w:t>）规定应急组织体系中各部门的应急工作职责、协调管理范畴、负责解决</w:t>
            </w:r>
          </w:p>
          <w:p w14:paraId="1F65D7FE">
            <w:pPr>
              <w:pStyle w:val="14"/>
              <w:spacing w:before="4"/>
              <w:ind w:left="107"/>
              <w:rPr>
                <w:sz w:val="21"/>
              </w:rPr>
            </w:pPr>
            <w:r>
              <w:rPr>
                <w:sz w:val="21"/>
              </w:rPr>
              <w:t>的主要问题和具体操作步骤等。</w:t>
            </w:r>
          </w:p>
        </w:tc>
      </w:tr>
      <w:tr w14:paraId="0E535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5" w:hRule="atLeast"/>
        </w:trPr>
        <w:tc>
          <w:tcPr>
            <w:tcW w:w="475" w:type="dxa"/>
          </w:tcPr>
          <w:p w14:paraId="40D47E7A">
            <w:pPr>
              <w:pStyle w:val="14"/>
              <w:rPr>
                <w:rFonts w:ascii="Times New Roman"/>
                <w:sz w:val="22"/>
              </w:rPr>
            </w:pPr>
          </w:p>
          <w:p w14:paraId="516703F2">
            <w:pPr>
              <w:pStyle w:val="14"/>
              <w:rPr>
                <w:rFonts w:ascii="Times New Roman"/>
                <w:sz w:val="22"/>
              </w:rPr>
            </w:pPr>
          </w:p>
          <w:p w14:paraId="6EB592E9">
            <w:pPr>
              <w:pStyle w:val="14"/>
              <w:rPr>
                <w:rFonts w:ascii="Times New Roman"/>
                <w:sz w:val="22"/>
              </w:rPr>
            </w:pPr>
          </w:p>
          <w:p w14:paraId="7E97F105">
            <w:pPr>
              <w:pStyle w:val="14"/>
              <w:rPr>
                <w:rFonts w:ascii="Times New Roman"/>
                <w:sz w:val="22"/>
              </w:rPr>
            </w:pPr>
          </w:p>
          <w:p w14:paraId="5D6238FC">
            <w:pPr>
              <w:pStyle w:val="14"/>
              <w:rPr>
                <w:rFonts w:ascii="Times New Roman"/>
                <w:sz w:val="22"/>
              </w:rPr>
            </w:pPr>
          </w:p>
          <w:p w14:paraId="357FF7FA">
            <w:pPr>
              <w:pStyle w:val="14"/>
              <w:rPr>
                <w:rFonts w:ascii="Times New Roman"/>
                <w:sz w:val="22"/>
              </w:rPr>
            </w:pPr>
          </w:p>
          <w:p w14:paraId="67BA31D8">
            <w:pPr>
              <w:pStyle w:val="14"/>
              <w:rPr>
                <w:rFonts w:ascii="Times New Roman"/>
                <w:sz w:val="22"/>
              </w:rPr>
            </w:pPr>
          </w:p>
          <w:p w14:paraId="74918068">
            <w:pPr>
              <w:pStyle w:val="14"/>
              <w:rPr>
                <w:rFonts w:ascii="Times New Roman"/>
                <w:sz w:val="22"/>
              </w:rPr>
            </w:pPr>
          </w:p>
          <w:p w14:paraId="14B29FEF">
            <w:pPr>
              <w:pStyle w:val="14"/>
              <w:spacing w:before="5"/>
              <w:rPr>
                <w:rFonts w:ascii="Times New Roman"/>
                <w:sz w:val="19"/>
              </w:rPr>
            </w:pPr>
          </w:p>
          <w:p w14:paraId="0505F491">
            <w:pPr>
              <w:pStyle w:val="14"/>
              <w:ind w:left="235"/>
              <w:rPr>
                <w:rFonts w:ascii="Times New Roman"/>
                <w:sz w:val="21"/>
              </w:rPr>
            </w:pPr>
            <w:r>
              <w:rPr>
                <w:rFonts w:ascii="Times New Roman"/>
                <w:w w:val="99"/>
                <w:sz w:val="21"/>
              </w:rPr>
              <w:t>6</w:t>
            </w:r>
          </w:p>
        </w:tc>
        <w:tc>
          <w:tcPr>
            <w:tcW w:w="882" w:type="dxa"/>
          </w:tcPr>
          <w:p w14:paraId="4214EE6E">
            <w:pPr>
              <w:pStyle w:val="14"/>
              <w:rPr>
                <w:rFonts w:ascii="Times New Roman"/>
                <w:sz w:val="20"/>
              </w:rPr>
            </w:pPr>
          </w:p>
          <w:p w14:paraId="363E816D">
            <w:pPr>
              <w:pStyle w:val="14"/>
              <w:rPr>
                <w:rFonts w:ascii="Times New Roman"/>
                <w:sz w:val="20"/>
              </w:rPr>
            </w:pPr>
          </w:p>
          <w:p w14:paraId="31A3FFB1">
            <w:pPr>
              <w:pStyle w:val="14"/>
              <w:rPr>
                <w:rFonts w:ascii="Times New Roman"/>
                <w:sz w:val="20"/>
              </w:rPr>
            </w:pPr>
          </w:p>
          <w:p w14:paraId="1392FC57">
            <w:pPr>
              <w:pStyle w:val="14"/>
              <w:rPr>
                <w:rFonts w:ascii="Times New Roman"/>
                <w:sz w:val="20"/>
              </w:rPr>
            </w:pPr>
          </w:p>
          <w:p w14:paraId="0DC318E1">
            <w:pPr>
              <w:pStyle w:val="14"/>
              <w:rPr>
                <w:rFonts w:ascii="Times New Roman"/>
                <w:sz w:val="20"/>
              </w:rPr>
            </w:pPr>
          </w:p>
          <w:p w14:paraId="3419900C">
            <w:pPr>
              <w:pStyle w:val="14"/>
              <w:rPr>
                <w:rFonts w:ascii="Times New Roman"/>
                <w:sz w:val="20"/>
              </w:rPr>
            </w:pPr>
          </w:p>
          <w:p w14:paraId="024DBD72">
            <w:pPr>
              <w:pStyle w:val="14"/>
              <w:rPr>
                <w:rFonts w:ascii="Times New Roman"/>
                <w:sz w:val="20"/>
              </w:rPr>
            </w:pPr>
          </w:p>
          <w:p w14:paraId="0F39F592">
            <w:pPr>
              <w:pStyle w:val="14"/>
              <w:spacing w:before="9"/>
              <w:rPr>
                <w:rFonts w:ascii="Times New Roman"/>
                <w:sz w:val="18"/>
              </w:rPr>
            </w:pPr>
          </w:p>
          <w:p w14:paraId="57B33FB2">
            <w:pPr>
              <w:pStyle w:val="14"/>
              <w:spacing w:line="242" w:lineRule="auto"/>
              <w:ind w:left="178" w:right="62"/>
              <w:jc w:val="center"/>
              <w:rPr>
                <w:sz w:val="21"/>
              </w:rPr>
            </w:pPr>
            <w:r>
              <w:rPr>
                <w:w w:val="95"/>
                <w:sz w:val="21"/>
              </w:rPr>
              <w:t>预防、预警及信息报</w:t>
            </w:r>
            <w:r>
              <w:rPr>
                <w:sz w:val="21"/>
              </w:rPr>
              <w:t>告</w:t>
            </w:r>
          </w:p>
        </w:tc>
        <w:tc>
          <w:tcPr>
            <w:tcW w:w="7170" w:type="dxa"/>
          </w:tcPr>
          <w:p w14:paraId="271C0B54">
            <w:pPr>
              <w:pStyle w:val="14"/>
              <w:spacing w:before="57"/>
              <w:ind w:left="107"/>
              <w:rPr>
                <w:sz w:val="21"/>
              </w:rPr>
            </w:pPr>
            <w:r>
              <w:rPr>
                <w:rFonts w:ascii="Times New Roman" w:eastAsia="Times New Roman"/>
                <w:sz w:val="21"/>
              </w:rPr>
              <w:t>1</w:t>
            </w:r>
            <w:r>
              <w:rPr>
                <w:sz w:val="21"/>
              </w:rPr>
              <w:t>）建立健全预案体系</w:t>
            </w:r>
          </w:p>
          <w:p w14:paraId="03069387">
            <w:pPr>
              <w:pStyle w:val="14"/>
              <w:spacing w:before="2" w:line="242" w:lineRule="auto"/>
              <w:ind w:left="107" w:right="121"/>
              <w:rPr>
                <w:sz w:val="21"/>
              </w:rPr>
            </w:pPr>
            <w:r>
              <w:rPr>
                <w:w w:val="95"/>
                <w:sz w:val="21"/>
              </w:rPr>
              <w:t xml:space="preserve">企业应该根据生产实际，及时修订综合环境应急预案，根据环境风险单元及  </w:t>
            </w:r>
            <w:r>
              <w:rPr>
                <w:sz w:val="21"/>
              </w:rPr>
              <w:t>生产工艺的变化情况，必要时制定新增风险的重点岗位现场处置预案。</w:t>
            </w:r>
          </w:p>
          <w:p w14:paraId="0FCC6B81">
            <w:pPr>
              <w:pStyle w:val="14"/>
              <w:spacing w:before="1"/>
              <w:ind w:left="107"/>
              <w:rPr>
                <w:sz w:val="21"/>
              </w:rPr>
            </w:pPr>
            <w:r>
              <w:rPr>
                <w:rFonts w:ascii="Times New Roman" w:eastAsia="Times New Roman"/>
                <w:sz w:val="21"/>
              </w:rPr>
              <w:t>2</w:t>
            </w:r>
            <w:r>
              <w:rPr>
                <w:sz w:val="21"/>
              </w:rPr>
              <w:t>）环境风险监控</w:t>
            </w:r>
          </w:p>
          <w:p w14:paraId="4F950665">
            <w:pPr>
              <w:pStyle w:val="14"/>
              <w:spacing w:before="2" w:line="244" w:lineRule="auto"/>
              <w:ind w:left="107" w:right="121"/>
              <w:rPr>
                <w:sz w:val="21"/>
              </w:rPr>
            </w:pPr>
            <w:r>
              <w:rPr>
                <w:w w:val="95"/>
                <w:sz w:val="21"/>
              </w:rPr>
              <w:t xml:space="preserve">企业定期对自身环境安全状况进行排查，对存在的环境安全隐患及时进行整  </w:t>
            </w:r>
            <w:r>
              <w:rPr>
                <w:sz w:val="21"/>
              </w:rPr>
              <w:t>改。汇总分析自查情况，形成环境安全风险源管理台账。</w:t>
            </w:r>
          </w:p>
          <w:p w14:paraId="63E1F10B">
            <w:pPr>
              <w:pStyle w:val="14"/>
              <w:spacing w:line="265" w:lineRule="exact"/>
              <w:ind w:left="107"/>
              <w:rPr>
                <w:sz w:val="21"/>
              </w:rPr>
            </w:pPr>
            <w:r>
              <w:rPr>
                <w:sz w:val="21"/>
              </w:rPr>
              <w:t>对重点废气、废水排放点位进行例行监测，分析汇总数据。</w:t>
            </w:r>
          </w:p>
          <w:p w14:paraId="6778BA2B">
            <w:pPr>
              <w:pStyle w:val="14"/>
              <w:spacing w:before="5"/>
              <w:ind w:left="107"/>
              <w:rPr>
                <w:sz w:val="21"/>
              </w:rPr>
            </w:pPr>
            <w:r>
              <w:rPr>
                <w:rFonts w:ascii="Times New Roman" w:eastAsia="Times New Roman"/>
                <w:sz w:val="21"/>
              </w:rPr>
              <w:t>3</w:t>
            </w:r>
            <w:r>
              <w:rPr>
                <w:sz w:val="21"/>
              </w:rPr>
              <w:t>）预警</w:t>
            </w:r>
          </w:p>
          <w:p w14:paraId="1FB1CD19">
            <w:pPr>
              <w:pStyle w:val="14"/>
              <w:spacing w:before="2" w:line="244" w:lineRule="auto"/>
              <w:ind w:left="107" w:right="121"/>
              <w:rPr>
                <w:sz w:val="21"/>
              </w:rPr>
            </w:pPr>
            <w:r>
              <w:rPr>
                <w:w w:val="95"/>
                <w:sz w:val="21"/>
              </w:rPr>
              <w:t xml:space="preserve">根据环境风险监控状况、或有关部门提供的预警信息进行预警，明确预警的  </w:t>
            </w:r>
            <w:r>
              <w:rPr>
                <w:sz w:val="21"/>
              </w:rPr>
              <w:t>条件、方式、方法和信息发布的程序。</w:t>
            </w:r>
          </w:p>
          <w:p w14:paraId="054C29BE">
            <w:pPr>
              <w:pStyle w:val="14"/>
              <w:spacing w:line="265" w:lineRule="exact"/>
              <w:ind w:left="107"/>
              <w:rPr>
                <w:sz w:val="21"/>
              </w:rPr>
            </w:pPr>
            <w:r>
              <w:rPr>
                <w:rFonts w:ascii="Times New Roman" w:eastAsia="Times New Roman"/>
                <w:sz w:val="21"/>
              </w:rPr>
              <w:t>4</w:t>
            </w:r>
            <w:r>
              <w:rPr>
                <w:sz w:val="21"/>
              </w:rPr>
              <w:t>）信息报告</w:t>
            </w:r>
          </w:p>
          <w:p w14:paraId="1CC1FA70">
            <w:pPr>
              <w:pStyle w:val="14"/>
              <w:spacing w:before="2" w:line="244" w:lineRule="auto"/>
              <w:ind w:left="107" w:right="25"/>
              <w:rPr>
                <w:sz w:val="21"/>
              </w:rPr>
            </w:pPr>
            <w:r>
              <w:rPr>
                <w:spacing w:val="-5"/>
                <w:sz w:val="21"/>
              </w:rPr>
              <w:t xml:space="preserve">①信息接收与通报：明确 </w:t>
            </w:r>
            <w:r>
              <w:rPr>
                <w:rFonts w:ascii="Times New Roman" w:hAnsi="Times New Roman" w:eastAsia="Times New Roman"/>
                <w:sz w:val="21"/>
              </w:rPr>
              <w:t xml:space="preserve">24 </w:t>
            </w:r>
            <w:r>
              <w:rPr>
                <w:sz w:val="21"/>
              </w:rPr>
              <w:t>小时应急值守电话、事件信息接收、通报程序和责任人。</w:t>
            </w:r>
          </w:p>
          <w:p w14:paraId="309A20C6">
            <w:pPr>
              <w:pStyle w:val="14"/>
              <w:spacing w:line="242" w:lineRule="auto"/>
              <w:ind w:left="107" w:right="121"/>
              <w:rPr>
                <w:sz w:val="21"/>
              </w:rPr>
            </w:pPr>
            <w:r>
              <w:rPr>
                <w:w w:val="95"/>
                <w:sz w:val="21"/>
              </w:rPr>
              <w:t xml:space="preserve">②信息上报：明确事件发生后向上级主管部门、上级单位报告事件信息的流  </w:t>
            </w:r>
            <w:r>
              <w:rPr>
                <w:sz w:val="21"/>
              </w:rPr>
              <w:t>程、内容、时限和责任人。</w:t>
            </w:r>
          </w:p>
          <w:p w14:paraId="7CC090BF">
            <w:pPr>
              <w:pStyle w:val="14"/>
              <w:ind w:left="107"/>
              <w:rPr>
                <w:sz w:val="21"/>
              </w:rPr>
            </w:pPr>
            <w:r>
              <w:rPr>
                <w:sz w:val="21"/>
              </w:rPr>
              <w:t>③信息传递：明确事件发生后向可能受影响的居民和单位，以及请求援助单</w:t>
            </w:r>
          </w:p>
          <w:p w14:paraId="73074E41">
            <w:pPr>
              <w:pStyle w:val="14"/>
              <w:spacing w:before="2"/>
              <w:ind w:left="107"/>
              <w:rPr>
                <w:sz w:val="21"/>
              </w:rPr>
            </w:pPr>
            <w:r>
              <w:rPr>
                <w:sz w:val="21"/>
              </w:rPr>
              <w:t>位通报事件信息的方法、程序和责任人。</w:t>
            </w:r>
          </w:p>
        </w:tc>
      </w:tr>
      <w:tr w14:paraId="5D268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6" w:hRule="atLeast"/>
        </w:trPr>
        <w:tc>
          <w:tcPr>
            <w:tcW w:w="475" w:type="dxa"/>
          </w:tcPr>
          <w:p w14:paraId="57343940">
            <w:pPr>
              <w:pStyle w:val="14"/>
              <w:rPr>
                <w:rFonts w:ascii="Times New Roman"/>
                <w:sz w:val="22"/>
              </w:rPr>
            </w:pPr>
          </w:p>
          <w:p w14:paraId="621F6A2D">
            <w:pPr>
              <w:pStyle w:val="14"/>
              <w:rPr>
                <w:rFonts w:ascii="Times New Roman"/>
                <w:sz w:val="22"/>
              </w:rPr>
            </w:pPr>
          </w:p>
          <w:p w14:paraId="03A657AF">
            <w:pPr>
              <w:pStyle w:val="14"/>
              <w:rPr>
                <w:rFonts w:ascii="Times New Roman"/>
                <w:sz w:val="22"/>
              </w:rPr>
            </w:pPr>
          </w:p>
          <w:p w14:paraId="09CB6701">
            <w:pPr>
              <w:pStyle w:val="14"/>
              <w:rPr>
                <w:rFonts w:ascii="Times New Roman"/>
                <w:sz w:val="22"/>
              </w:rPr>
            </w:pPr>
          </w:p>
          <w:p w14:paraId="2042C518">
            <w:pPr>
              <w:pStyle w:val="14"/>
              <w:spacing w:before="147"/>
              <w:ind w:left="235"/>
              <w:rPr>
                <w:rFonts w:ascii="Times New Roman"/>
                <w:sz w:val="21"/>
              </w:rPr>
            </w:pPr>
            <w:r>
              <w:rPr>
                <w:rFonts w:ascii="Times New Roman"/>
                <w:w w:val="99"/>
                <w:sz w:val="21"/>
              </w:rPr>
              <w:t>7</w:t>
            </w:r>
          </w:p>
        </w:tc>
        <w:tc>
          <w:tcPr>
            <w:tcW w:w="882" w:type="dxa"/>
          </w:tcPr>
          <w:p w14:paraId="0796F23E">
            <w:pPr>
              <w:pStyle w:val="14"/>
              <w:rPr>
                <w:rFonts w:ascii="Times New Roman"/>
                <w:sz w:val="20"/>
              </w:rPr>
            </w:pPr>
          </w:p>
          <w:p w14:paraId="0D025970">
            <w:pPr>
              <w:pStyle w:val="14"/>
              <w:rPr>
                <w:rFonts w:ascii="Times New Roman"/>
                <w:sz w:val="20"/>
              </w:rPr>
            </w:pPr>
          </w:p>
          <w:p w14:paraId="6D837C0F">
            <w:pPr>
              <w:pStyle w:val="14"/>
              <w:rPr>
                <w:rFonts w:ascii="Times New Roman"/>
                <w:sz w:val="20"/>
              </w:rPr>
            </w:pPr>
          </w:p>
          <w:p w14:paraId="6E4EA45A">
            <w:pPr>
              <w:pStyle w:val="14"/>
              <w:spacing w:before="8"/>
              <w:rPr>
                <w:rFonts w:ascii="Times New Roman"/>
                <w:sz w:val="27"/>
              </w:rPr>
            </w:pPr>
          </w:p>
          <w:p w14:paraId="3AAEB479">
            <w:pPr>
              <w:pStyle w:val="14"/>
              <w:spacing w:line="244" w:lineRule="auto"/>
              <w:ind w:left="387" w:right="62" w:hanging="209"/>
              <w:rPr>
                <w:sz w:val="21"/>
              </w:rPr>
            </w:pPr>
            <w:r>
              <w:rPr>
                <w:sz w:val="21"/>
              </w:rPr>
              <w:t>应急响应</w:t>
            </w:r>
          </w:p>
        </w:tc>
        <w:tc>
          <w:tcPr>
            <w:tcW w:w="7170" w:type="dxa"/>
          </w:tcPr>
          <w:p w14:paraId="545ACBB3">
            <w:pPr>
              <w:pStyle w:val="14"/>
              <w:spacing w:before="55" w:line="242" w:lineRule="auto"/>
              <w:ind w:left="107" w:right="15"/>
              <w:rPr>
                <w:sz w:val="21"/>
              </w:rPr>
            </w:pPr>
            <w:r>
              <w:rPr>
                <w:rFonts w:ascii="Times New Roman" w:eastAsia="Times New Roman"/>
                <w:w w:val="95"/>
                <w:sz w:val="21"/>
              </w:rPr>
              <w:t>1</w:t>
            </w:r>
            <w:r>
              <w:rPr>
                <w:w w:val="95"/>
                <w:sz w:val="21"/>
              </w:rPr>
              <w:t xml:space="preserve">）响应分级：根据事件紧急、危害程度和企业控制事态的能力，对应急响应  </w:t>
            </w:r>
            <w:r>
              <w:rPr>
                <w:sz w:val="21"/>
              </w:rPr>
              <w:t>进行分级，根据事件分级明确分级响应的启动标准。</w:t>
            </w:r>
          </w:p>
          <w:p w14:paraId="056B0BED">
            <w:pPr>
              <w:pStyle w:val="14"/>
              <w:spacing w:before="2" w:line="244" w:lineRule="auto"/>
              <w:ind w:left="107" w:right="15"/>
              <w:rPr>
                <w:sz w:val="21"/>
              </w:rPr>
            </w:pPr>
            <w:r>
              <w:rPr>
                <w:rFonts w:ascii="Times New Roman" w:eastAsia="Times New Roman"/>
                <w:w w:val="95"/>
                <w:sz w:val="21"/>
              </w:rPr>
              <w:t>2</w:t>
            </w:r>
            <w:r>
              <w:rPr>
                <w:w w:val="95"/>
                <w:sz w:val="21"/>
              </w:rPr>
              <w:t xml:space="preserve">）响应程序：根据事件级别的发展态势，明确应急指挥机构应急启动、应急  </w:t>
            </w:r>
            <w:r>
              <w:rPr>
                <w:sz w:val="21"/>
              </w:rPr>
              <w:t>资源调配、应急救援、扩大应急等响应程序和步骤，并以流程图表示。</w:t>
            </w:r>
          </w:p>
          <w:p w14:paraId="50B8736E">
            <w:pPr>
              <w:pStyle w:val="14"/>
              <w:spacing w:line="242" w:lineRule="auto"/>
              <w:ind w:left="107" w:right="15"/>
              <w:rPr>
                <w:sz w:val="21"/>
              </w:rPr>
            </w:pPr>
            <w:r>
              <w:rPr>
                <w:rFonts w:ascii="Times New Roman" w:eastAsia="Times New Roman"/>
                <w:w w:val="95"/>
                <w:sz w:val="21"/>
              </w:rPr>
              <w:t>3</w:t>
            </w:r>
            <w:r>
              <w:rPr>
                <w:w w:val="95"/>
                <w:sz w:val="21"/>
              </w:rPr>
              <w:t xml:space="preserve">）应急处置：企业应针对不同类型、不同级别的突发环境事件，参照相关规  </w:t>
            </w:r>
            <w:r>
              <w:rPr>
                <w:sz w:val="21"/>
              </w:rPr>
              <w:t>范、指南中有关应急处置、专项应急预案和现场处置方案相关内容，编写应急处置流程。每项应急处置流程应根据需要按顺序列出污染源切断、污染源控制、人员紧急撤离和疏散、人员防护监护措施、应急监测、现场洗消、次生灾害防范等应急处置步骤，并明确每个步骤的责任人及联系方式。</w:t>
            </w:r>
          </w:p>
        </w:tc>
      </w:tr>
      <w:tr w14:paraId="43A81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475" w:type="dxa"/>
          </w:tcPr>
          <w:p w14:paraId="4E09F69E">
            <w:pPr>
              <w:pStyle w:val="14"/>
              <w:spacing w:before="9"/>
              <w:rPr>
                <w:rFonts w:ascii="Times New Roman"/>
                <w:sz w:val="17"/>
              </w:rPr>
            </w:pPr>
          </w:p>
          <w:p w14:paraId="66C5928E">
            <w:pPr>
              <w:pStyle w:val="14"/>
              <w:ind w:left="235"/>
              <w:rPr>
                <w:rFonts w:ascii="Times New Roman"/>
                <w:sz w:val="21"/>
              </w:rPr>
            </w:pPr>
            <w:r>
              <w:rPr>
                <w:rFonts w:ascii="Times New Roman"/>
                <w:w w:val="99"/>
                <w:sz w:val="21"/>
              </w:rPr>
              <w:t>8</w:t>
            </w:r>
          </w:p>
        </w:tc>
        <w:tc>
          <w:tcPr>
            <w:tcW w:w="882" w:type="dxa"/>
          </w:tcPr>
          <w:p w14:paraId="64F51DD9">
            <w:pPr>
              <w:pStyle w:val="14"/>
              <w:spacing w:before="55" w:line="270" w:lineRule="atLeast"/>
              <w:ind w:left="387" w:right="62" w:hanging="209"/>
              <w:rPr>
                <w:sz w:val="21"/>
              </w:rPr>
            </w:pPr>
            <w:r>
              <w:rPr>
                <w:sz w:val="21"/>
              </w:rPr>
              <w:t>信息公开</w:t>
            </w:r>
          </w:p>
        </w:tc>
        <w:tc>
          <w:tcPr>
            <w:tcW w:w="7170" w:type="dxa"/>
          </w:tcPr>
          <w:p w14:paraId="2F316B02">
            <w:pPr>
              <w:pStyle w:val="14"/>
              <w:spacing w:before="55" w:line="270" w:lineRule="atLeast"/>
              <w:ind w:left="107" w:right="121"/>
              <w:rPr>
                <w:sz w:val="21"/>
              </w:rPr>
            </w:pPr>
            <w:r>
              <w:rPr>
                <w:w w:val="95"/>
                <w:sz w:val="21"/>
              </w:rPr>
              <w:t xml:space="preserve">明确向有关新闻媒体、社会公众通报事件信息的部门、负责人和程序以及通  </w:t>
            </w:r>
            <w:r>
              <w:rPr>
                <w:sz w:val="21"/>
              </w:rPr>
              <w:t>报原则。</w:t>
            </w:r>
          </w:p>
        </w:tc>
      </w:tr>
      <w:tr w14:paraId="166F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475" w:type="dxa"/>
          </w:tcPr>
          <w:p w14:paraId="63BCC6DD">
            <w:pPr>
              <w:pStyle w:val="14"/>
              <w:spacing w:before="9"/>
              <w:rPr>
                <w:rFonts w:ascii="Times New Roman"/>
                <w:sz w:val="29"/>
              </w:rPr>
            </w:pPr>
          </w:p>
          <w:p w14:paraId="42867A01">
            <w:pPr>
              <w:pStyle w:val="14"/>
              <w:ind w:left="235"/>
              <w:rPr>
                <w:rFonts w:ascii="Times New Roman"/>
                <w:sz w:val="21"/>
              </w:rPr>
            </w:pPr>
            <w:r>
              <w:rPr>
                <w:rFonts w:ascii="Times New Roman"/>
                <w:w w:val="99"/>
                <w:sz w:val="21"/>
              </w:rPr>
              <w:t>9</w:t>
            </w:r>
          </w:p>
        </w:tc>
        <w:tc>
          <w:tcPr>
            <w:tcW w:w="882" w:type="dxa"/>
          </w:tcPr>
          <w:p w14:paraId="0A83F9E3">
            <w:pPr>
              <w:pStyle w:val="14"/>
              <w:spacing w:before="8"/>
              <w:rPr>
                <w:rFonts w:ascii="Times New Roman"/>
                <w:sz w:val="16"/>
              </w:rPr>
            </w:pPr>
          </w:p>
          <w:p w14:paraId="7BB80FA9">
            <w:pPr>
              <w:pStyle w:val="14"/>
              <w:spacing w:line="242" w:lineRule="auto"/>
              <w:ind w:left="387" w:right="62" w:hanging="209"/>
              <w:rPr>
                <w:sz w:val="21"/>
              </w:rPr>
            </w:pPr>
            <w:r>
              <w:rPr>
                <w:sz w:val="21"/>
              </w:rPr>
              <w:t>后期处置</w:t>
            </w:r>
          </w:p>
        </w:tc>
        <w:tc>
          <w:tcPr>
            <w:tcW w:w="7170" w:type="dxa"/>
          </w:tcPr>
          <w:p w14:paraId="692B8A40">
            <w:pPr>
              <w:pStyle w:val="14"/>
              <w:spacing w:before="55"/>
              <w:ind w:left="107"/>
              <w:rPr>
                <w:sz w:val="21"/>
              </w:rPr>
            </w:pPr>
            <w:r>
              <w:rPr>
                <w:sz w:val="21"/>
              </w:rPr>
              <w:t>明确事件污染物处理及环境损害赔偿方案。</w:t>
            </w:r>
          </w:p>
          <w:p w14:paraId="5B021FA9">
            <w:pPr>
              <w:pStyle w:val="14"/>
              <w:spacing w:before="5"/>
              <w:ind w:left="107"/>
              <w:rPr>
                <w:sz w:val="21"/>
              </w:rPr>
            </w:pPr>
            <w:r>
              <w:rPr>
                <w:sz w:val="21"/>
              </w:rPr>
              <w:t>配合有关部门对突发环境事件中的长期环境影响进行评估。</w:t>
            </w:r>
          </w:p>
          <w:p w14:paraId="2B42A471">
            <w:pPr>
              <w:pStyle w:val="14"/>
              <w:spacing w:before="2"/>
              <w:ind w:left="107"/>
              <w:rPr>
                <w:sz w:val="21"/>
              </w:rPr>
            </w:pPr>
            <w:r>
              <w:rPr>
                <w:sz w:val="21"/>
              </w:rPr>
              <w:t>根据当地环保部门要求，明确开展环境恢复与重建工作的内容和程序。</w:t>
            </w:r>
          </w:p>
        </w:tc>
      </w:tr>
      <w:tr w14:paraId="7520E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8" w:hRule="atLeast"/>
        </w:trPr>
        <w:tc>
          <w:tcPr>
            <w:tcW w:w="475" w:type="dxa"/>
          </w:tcPr>
          <w:p w14:paraId="4E1253CD">
            <w:pPr>
              <w:pStyle w:val="14"/>
              <w:rPr>
                <w:rFonts w:ascii="Times New Roman"/>
                <w:sz w:val="22"/>
              </w:rPr>
            </w:pPr>
          </w:p>
          <w:p w14:paraId="068613F0">
            <w:pPr>
              <w:pStyle w:val="14"/>
              <w:rPr>
                <w:rFonts w:ascii="Times New Roman"/>
                <w:sz w:val="22"/>
              </w:rPr>
            </w:pPr>
          </w:p>
          <w:p w14:paraId="77E2D9EF">
            <w:pPr>
              <w:pStyle w:val="14"/>
              <w:rPr>
                <w:rFonts w:ascii="Times New Roman"/>
                <w:sz w:val="22"/>
              </w:rPr>
            </w:pPr>
          </w:p>
          <w:p w14:paraId="486B1347">
            <w:pPr>
              <w:pStyle w:val="14"/>
              <w:rPr>
                <w:rFonts w:ascii="Times New Roman"/>
                <w:sz w:val="22"/>
              </w:rPr>
            </w:pPr>
          </w:p>
          <w:p w14:paraId="0B22F24E">
            <w:pPr>
              <w:pStyle w:val="14"/>
              <w:rPr>
                <w:rFonts w:ascii="Times New Roman"/>
                <w:sz w:val="22"/>
              </w:rPr>
            </w:pPr>
          </w:p>
          <w:p w14:paraId="350FE0B1">
            <w:pPr>
              <w:pStyle w:val="14"/>
              <w:spacing w:before="165"/>
              <w:ind w:left="185"/>
              <w:rPr>
                <w:rFonts w:ascii="Times New Roman"/>
                <w:sz w:val="21"/>
              </w:rPr>
            </w:pPr>
            <w:r>
              <w:rPr>
                <w:rFonts w:ascii="Times New Roman"/>
                <w:sz w:val="21"/>
              </w:rPr>
              <w:t>10</w:t>
            </w:r>
          </w:p>
        </w:tc>
        <w:tc>
          <w:tcPr>
            <w:tcW w:w="882" w:type="dxa"/>
          </w:tcPr>
          <w:p w14:paraId="124F9627">
            <w:pPr>
              <w:pStyle w:val="14"/>
              <w:rPr>
                <w:rFonts w:ascii="Times New Roman"/>
                <w:sz w:val="20"/>
              </w:rPr>
            </w:pPr>
          </w:p>
          <w:p w14:paraId="0C701C6C">
            <w:pPr>
              <w:pStyle w:val="14"/>
              <w:rPr>
                <w:rFonts w:ascii="Times New Roman"/>
                <w:sz w:val="20"/>
              </w:rPr>
            </w:pPr>
          </w:p>
          <w:p w14:paraId="594C7EBE">
            <w:pPr>
              <w:pStyle w:val="14"/>
              <w:rPr>
                <w:rFonts w:ascii="Times New Roman"/>
                <w:sz w:val="20"/>
              </w:rPr>
            </w:pPr>
          </w:p>
          <w:p w14:paraId="72585DC6">
            <w:pPr>
              <w:pStyle w:val="14"/>
              <w:rPr>
                <w:rFonts w:ascii="Times New Roman"/>
                <w:sz w:val="20"/>
              </w:rPr>
            </w:pPr>
          </w:p>
          <w:p w14:paraId="43F6217F">
            <w:pPr>
              <w:pStyle w:val="14"/>
              <w:rPr>
                <w:rFonts w:ascii="Times New Roman"/>
                <w:sz w:val="20"/>
              </w:rPr>
            </w:pPr>
          </w:p>
          <w:p w14:paraId="6A9932CB">
            <w:pPr>
              <w:pStyle w:val="14"/>
              <w:spacing w:before="132" w:line="242" w:lineRule="auto"/>
              <w:ind w:left="387" w:right="62" w:hanging="209"/>
              <w:rPr>
                <w:sz w:val="21"/>
              </w:rPr>
            </w:pPr>
            <w:r>
              <w:rPr>
                <w:sz w:val="21"/>
              </w:rPr>
              <w:t>保障措施</w:t>
            </w:r>
          </w:p>
        </w:tc>
        <w:tc>
          <w:tcPr>
            <w:tcW w:w="7170" w:type="dxa"/>
          </w:tcPr>
          <w:p w14:paraId="4D9B8A06">
            <w:pPr>
              <w:pStyle w:val="14"/>
              <w:spacing w:before="56"/>
              <w:ind w:left="107"/>
              <w:rPr>
                <w:sz w:val="21"/>
              </w:rPr>
            </w:pPr>
            <w:r>
              <w:rPr>
                <w:rFonts w:ascii="Times New Roman" w:eastAsia="Times New Roman"/>
                <w:sz w:val="21"/>
              </w:rPr>
              <w:t>1</w:t>
            </w:r>
            <w:r>
              <w:rPr>
                <w:sz w:val="21"/>
              </w:rPr>
              <w:t>）应急通信与信息保障</w:t>
            </w:r>
          </w:p>
          <w:p w14:paraId="533610BB">
            <w:pPr>
              <w:pStyle w:val="14"/>
              <w:spacing w:before="2" w:line="244" w:lineRule="auto"/>
              <w:ind w:left="107" w:right="121"/>
              <w:rPr>
                <w:sz w:val="21"/>
              </w:rPr>
            </w:pPr>
            <w:r>
              <w:rPr>
                <w:w w:val="95"/>
                <w:sz w:val="21"/>
              </w:rPr>
              <w:t xml:space="preserve">依据突发环境事件分类、分级，明确与环境应急工作相关的单位和人员联系  </w:t>
            </w:r>
            <w:r>
              <w:rPr>
                <w:sz w:val="21"/>
              </w:rPr>
              <w:t>方式及方法。</w:t>
            </w:r>
          </w:p>
          <w:p w14:paraId="2006498C">
            <w:pPr>
              <w:pStyle w:val="14"/>
              <w:spacing w:line="267" w:lineRule="exact"/>
              <w:ind w:left="107"/>
              <w:rPr>
                <w:sz w:val="21"/>
              </w:rPr>
            </w:pPr>
            <w:r>
              <w:rPr>
                <w:rFonts w:ascii="Times New Roman" w:eastAsia="Times New Roman"/>
                <w:sz w:val="21"/>
              </w:rPr>
              <w:t>2</w:t>
            </w:r>
            <w:r>
              <w:rPr>
                <w:sz w:val="21"/>
              </w:rPr>
              <w:t>）应急队伍保障</w:t>
            </w:r>
          </w:p>
          <w:p w14:paraId="09E2E8C1">
            <w:pPr>
              <w:pStyle w:val="14"/>
              <w:spacing w:before="2" w:line="242" w:lineRule="auto"/>
              <w:ind w:left="107" w:right="121"/>
              <w:rPr>
                <w:sz w:val="21"/>
              </w:rPr>
            </w:pPr>
            <w:r>
              <w:rPr>
                <w:w w:val="95"/>
                <w:sz w:val="21"/>
              </w:rPr>
              <w:t xml:space="preserve">明确环境应急响应的人力资源，包括专业环境应急队伍、兼职环境应急队伍  </w:t>
            </w:r>
            <w:r>
              <w:rPr>
                <w:sz w:val="21"/>
              </w:rPr>
              <w:t>等。</w:t>
            </w:r>
          </w:p>
          <w:p w14:paraId="12E669CF">
            <w:pPr>
              <w:pStyle w:val="14"/>
              <w:spacing w:before="1"/>
              <w:ind w:left="107"/>
              <w:rPr>
                <w:sz w:val="21"/>
              </w:rPr>
            </w:pPr>
            <w:r>
              <w:rPr>
                <w:rFonts w:ascii="Times New Roman" w:eastAsia="Times New Roman"/>
                <w:sz w:val="21"/>
              </w:rPr>
              <w:t>3</w:t>
            </w:r>
            <w:r>
              <w:rPr>
                <w:sz w:val="21"/>
              </w:rPr>
              <w:t>）应急装备保障</w:t>
            </w:r>
          </w:p>
          <w:p w14:paraId="33B98AF7">
            <w:pPr>
              <w:pStyle w:val="14"/>
              <w:spacing w:before="2" w:line="244" w:lineRule="auto"/>
              <w:ind w:left="107" w:right="121"/>
              <w:rPr>
                <w:sz w:val="21"/>
              </w:rPr>
            </w:pPr>
            <w:r>
              <w:rPr>
                <w:w w:val="95"/>
                <w:sz w:val="21"/>
              </w:rPr>
              <w:t xml:space="preserve">明确企业的环境应急装备类型、数量、性能、存放位置、运输及使用条件、  </w:t>
            </w:r>
            <w:r>
              <w:rPr>
                <w:sz w:val="21"/>
              </w:rPr>
              <w:t>管理责任人及其联系方式等内容。</w:t>
            </w:r>
          </w:p>
          <w:p w14:paraId="62695BAA">
            <w:pPr>
              <w:pStyle w:val="14"/>
              <w:spacing w:line="265" w:lineRule="exact"/>
              <w:ind w:left="107"/>
              <w:rPr>
                <w:sz w:val="21"/>
              </w:rPr>
            </w:pPr>
            <w:r>
              <w:rPr>
                <w:sz w:val="21"/>
              </w:rPr>
              <w:t>主要包括应急堵漏设备、应急监测仪器、应急标识标牌和事故污水消纳、处</w:t>
            </w:r>
          </w:p>
          <w:p w14:paraId="513966EC">
            <w:pPr>
              <w:pStyle w:val="14"/>
              <w:spacing w:before="5"/>
              <w:ind w:left="107"/>
              <w:rPr>
                <w:sz w:val="21"/>
              </w:rPr>
            </w:pPr>
            <w:r>
              <w:rPr>
                <w:sz w:val="21"/>
              </w:rPr>
              <w:t>理设施等。</w:t>
            </w:r>
          </w:p>
        </w:tc>
      </w:tr>
    </w:tbl>
    <w:p w14:paraId="016B8CE8">
      <w:pPr>
        <w:spacing w:after="0"/>
        <w:rPr>
          <w:sz w:val="21"/>
        </w:rPr>
        <w:sectPr>
          <w:pgSz w:w="11910" w:h="16840"/>
          <w:pgMar w:top="1360" w:right="1320" w:bottom="1360" w:left="1340" w:header="878" w:footer="1175" w:gutter="0"/>
          <w:cols w:space="720" w:num="1"/>
        </w:sectPr>
      </w:pPr>
    </w:p>
    <w:p w14:paraId="40B944FD">
      <w:pPr>
        <w:pStyle w:val="7"/>
        <w:spacing w:before="9"/>
        <w:rPr>
          <w:rFonts w:ascii="Times New Roman"/>
          <w:sz w:val="5"/>
        </w:rPr>
      </w:pPr>
    </w:p>
    <w:tbl>
      <w:tblPr>
        <w:tblStyle w:val="10"/>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5"/>
        <w:gridCol w:w="882"/>
        <w:gridCol w:w="7170"/>
      </w:tblGrid>
      <w:tr w14:paraId="2CD90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475" w:type="dxa"/>
          </w:tcPr>
          <w:p w14:paraId="6B3CA153">
            <w:pPr>
              <w:pStyle w:val="14"/>
              <w:rPr>
                <w:rFonts w:ascii="Times New Roman"/>
                <w:sz w:val="20"/>
              </w:rPr>
            </w:pPr>
          </w:p>
        </w:tc>
        <w:tc>
          <w:tcPr>
            <w:tcW w:w="882" w:type="dxa"/>
          </w:tcPr>
          <w:p w14:paraId="05AA4E38">
            <w:pPr>
              <w:pStyle w:val="14"/>
              <w:rPr>
                <w:rFonts w:ascii="Times New Roman"/>
                <w:sz w:val="20"/>
              </w:rPr>
            </w:pPr>
          </w:p>
        </w:tc>
        <w:tc>
          <w:tcPr>
            <w:tcW w:w="7170" w:type="dxa"/>
          </w:tcPr>
          <w:p w14:paraId="3AC7BEA4">
            <w:pPr>
              <w:pStyle w:val="14"/>
              <w:spacing w:before="57"/>
              <w:ind w:left="107"/>
              <w:rPr>
                <w:sz w:val="21"/>
              </w:rPr>
            </w:pPr>
            <w:r>
              <w:rPr>
                <w:rFonts w:ascii="Times New Roman" w:eastAsia="Times New Roman"/>
                <w:sz w:val="21"/>
              </w:rPr>
              <w:t>4</w:t>
            </w:r>
            <w:r>
              <w:rPr>
                <w:sz w:val="21"/>
              </w:rPr>
              <w:t>）其他保障</w:t>
            </w:r>
          </w:p>
          <w:p w14:paraId="1CB6FC02">
            <w:pPr>
              <w:pStyle w:val="14"/>
              <w:spacing w:before="2" w:line="242" w:lineRule="auto"/>
              <w:ind w:left="107" w:right="121"/>
              <w:rPr>
                <w:sz w:val="21"/>
              </w:rPr>
            </w:pPr>
            <w:r>
              <w:rPr>
                <w:w w:val="95"/>
                <w:sz w:val="21"/>
              </w:rPr>
              <w:t xml:space="preserve">根据环境应急工作需求，确定其他相关保障措施（如：经费保障、交通运输  </w:t>
            </w:r>
            <w:r>
              <w:rPr>
                <w:sz w:val="21"/>
              </w:rPr>
              <w:t>保障、治安保障、技术保障、医疗保障、后勤保障等</w:t>
            </w:r>
            <w:r>
              <w:rPr>
                <w:spacing w:val="-104"/>
                <w:sz w:val="21"/>
              </w:rPr>
              <w:t>）</w:t>
            </w:r>
            <w:r>
              <w:rPr>
                <w:sz w:val="21"/>
              </w:rPr>
              <w:t>。</w:t>
            </w:r>
          </w:p>
        </w:tc>
      </w:tr>
      <w:tr w14:paraId="62B4E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5" w:hRule="atLeast"/>
        </w:trPr>
        <w:tc>
          <w:tcPr>
            <w:tcW w:w="475" w:type="dxa"/>
          </w:tcPr>
          <w:p w14:paraId="10AA6B57">
            <w:pPr>
              <w:pStyle w:val="14"/>
              <w:rPr>
                <w:rFonts w:ascii="Times New Roman"/>
                <w:sz w:val="22"/>
              </w:rPr>
            </w:pPr>
          </w:p>
          <w:p w14:paraId="13198C87">
            <w:pPr>
              <w:pStyle w:val="14"/>
              <w:rPr>
                <w:rFonts w:ascii="Times New Roman"/>
                <w:sz w:val="22"/>
              </w:rPr>
            </w:pPr>
          </w:p>
          <w:p w14:paraId="5DB8F82A">
            <w:pPr>
              <w:pStyle w:val="14"/>
              <w:rPr>
                <w:rFonts w:ascii="Times New Roman"/>
                <w:sz w:val="22"/>
              </w:rPr>
            </w:pPr>
          </w:p>
          <w:p w14:paraId="24AB859B">
            <w:pPr>
              <w:pStyle w:val="14"/>
              <w:rPr>
                <w:rFonts w:ascii="Times New Roman"/>
                <w:sz w:val="22"/>
              </w:rPr>
            </w:pPr>
          </w:p>
          <w:p w14:paraId="04FD8283">
            <w:pPr>
              <w:pStyle w:val="14"/>
              <w:spacing w:before="147"/>
              <w:ind w:right="69"/>
              <w:jc w:val="right"/>
              <w:rPr>
                <w:rFonts w:ascii="Times New Roman"/>
                <w:sz w:val="21"/>
              </w:rPr>
            </w:pPr>
            <w:r>
              <w:rPr>
                <w:rFonts w:ascii="Times New Roman"/>
                <w:w w:val="95"/>
                <w:sz w:val="21"/>
              </w:rPr>
              <w:t>11</w:t>
            </w:r>
          </w:p>
        </w:tc>
        <w:tc>
          <w:tcPr>
            <w:tcW w:w="882" w:type="dxa"/>
          </w:tcPr>
          <w:p w14:paraId="185C9F1D">
            <w:pPr>
              <w:pStyle w:val="14"/>
              <w:rPr>
                <w:rFonts w:ascii="Times New Roman"/>
                <w:sz w:val="20"/>
              </w:rPr>
            </w:pPr>
          </w:p>
          <w:p w14:paraId="04DBA849">
            <w:pPr>
              <w:pStyle w:val="14"/>
              <w:rPr>
                <w:rFonts w:ascii="Times New Roman"/>
                <w:sz w:val="20"/>
              </w:rPr>
            </w:pPr>
          </w:p>
          <w:p w14:paraId="7B75AB19">
            <w:pPr>
              <w:pStyle w:val="14"/>
              <w:rPr>
                <w:rFonts w:ascii="Times New Roman"/>
                <w:sz w:val="20"/>
              </w:rPr>
            </w:pPr>
          </w:p>
          <w:p w14:paraId="1602E15A">
            <w:pPr>
              <w:pStyle w:val="14"/>
              <w:spacing w:before="7"/>
              <w:rPr>
                <w:rFonts w:ascii="Times New Roman"/>
                <w:sz w:val="27"/>
              </w:rPr>
            </w:pPr>
          </w:p>
          <w:p w14:paraId="2E53CAE7">
            <w:pPr>
              <w:pStyle w:val="14"/>
              <w:spacing w:line="244" w:lineRule="auto"/>
              <w:ind w:left="387" w:right="62" w:hanging="209"/>
              <w:rPr>
                <w:sz w:val="21"/>
              </w:rPr>
            </w:pPr>
            <w:r>
              <w:rPr>
                <w:sz w:val="21"/>
              </w:rPr>
              <w:t>预案管理</w:t>
            </w:r>
          </w:p>
        </w:tc>
        <w:tc>
          <w:tcPr>
            <w:tcW w:w="7170" w:type="dxa"/>
          </w:tcPr>
          <w:p w14:paraId="3EA8CB62">
            <w:pPr>
              <w:pStyle w:val="14"/>
              <w:spacing w:before="55" w:line="244" w:lineRule="auto"/>
              <w:ind w:left="107" w:right="15"/>
              <w:rPr>
                <w:sz w:val="21"/>
              </w:rPr>
            </w:pPr>
            <w:r>
              <w:rPr>
                <w:rFonts w:ascii="Times New Roman" w:eastAsia="Times New Roman"/>
                <w:w w:val="95"/>
                <w:sz w:val="21"/>
              </w:rPr>
              <w:t>1</w:t>
            </w:r>
            <w:r>
              <w:rPr>
                <w:w w:val="95"/>
                <w:sz w:val="21"/>
              </w:rPr>
              <w:t xml:space="preserve">）培训：明确对员工开展的应急培训计划、方式和要求。明确对可能受影响  </w:t>
            </w:r>
            <w:r>
              <w:rPr>
                <w:sz w:val="21"/>
              </w:rPr>
              <w:t>居民和单位的宣传、教育和告知等工作。</w:t>
            </w:r>
          </w:p>
          <w:p w14:paraId="30000168">
            <w:pPr>
              <w:pStyle w:val="14"/>
              <w:spacing w:line="244" w:lineRule="auto"/>
              <w:ind w:left="107" w:right="15"/>
              <w:rPr>
                <w:sz w:val="21"/>
              </w:rPr>
            </w:pPr>
            <w:r>
              <w:rPr>
                <w:rFonts w:ascii="Times New Roman" w:eastAsia="Times New Roman"/>
                <w:w w:val="95"/>
                <w:sz w:val="21"/>
              </w:rPr>
              <w:t>2</w:t>
            </w:r>
            <w:r>
              <w:rPr>
                <w:w w:val="95"/>
                <w:sz w:val="21"/>
              </w:rPr>
              <w:t xml:space="preserve">）演练：明确不同类型环境应急预案演练的形式、范围、频次、内容及演练  </w:t>
            </w:r>
            <w:r>
              <w:rPr>
                <w:sz w:val="21"/>
              </w:rPr>
              <w:t>评估、总结等要求，适时组织有关单位对演练进行观摩和交流。</w:t>
            </w:r>
          </w:p>
          <w:p w14:paraId="5DF658AD">
            <w:pPr>
              <w:pStyle w:val="14"/>
              <w:spacing w:line="242" w:lineRule="auto"/>
              <w:ind w:left="107" w:right="15"/>
              <w:rPr>
                <w:sz w:val="21"/>
              </w:rPr>
            </w:pPr>
            <w:r>
              <w:rPr>
                <w:rFonts w:ascii="Times New Roman" w:eastAsia="Times New Roman"/>
                <w:w w:val="95"/>
                <w:sz w:val="21"/>
              </w:rPr>
              <w:t>3</w:t>
            </w:r>
            <w:r>
              <w:rPr>
                <w:w w:val="95"/>
                <w:sz w:val="21"/>
              </w:rPr>
              <w:t xml:space="preserve">）评估及修订：明确预案评估、修订、变更、改进的基本要求、时限及采取  </w:t>
            </w:r>
            <w:r>
              <w:rPr>
                <w:sz w:val="21"/>
              </w:rPr>
              <w:t>的方式等，以实现企业环境应急体系的可持续改进。</w:t>
            </w:r>
          </w:p>
          <w:p w14:paraId="27328923">
            <w:pPr>
              <w:pStyle w:val="14"/>
              <w:ind w:left="107"/>
              <w:rPr>
                <w:sz w:val="21"/>
              </w:rPr>
            </w:pPr>
            <w:r>
              <w:rPr>
                <w:rFonts w:ascii="Times New Roman" w:eastAsia="Times New Roman"/>
                <w:sz w:val="21"/>
              </w:rPr>
              <w:t>4</w:t>
            </w:r>
            <w:r>
              <w:rPr>
                <w:sz w:val="21"/>
              </w:rPr>
              <w:t>）备案：明确预案备案的方式、时限、报备部门以及报备文件目录等。</w:t>
            </w:r>
          </w:p>
          <w:p w14:paraId="02C7056F">
            <w:pPr>
              <w:pStyle w:val="14"/>
              <w:spacing w:line="270" w:lineRule="atLeast"/>
              <w:ind w:left="107" w:right="121"/>
              <w:rPr>
                <w:sz w:val="21"/>
              </w:rPr>
            </w:pPr>
            <w:r>
              <w:rPr>
                <w:w w:val="95"/>
                <w:sz w:val="21"/>
              </w:rPr>
              <w:t xml:space="preserve">签署发布：企业针对预案真实性及有效性进行审议，通过后由主要负责人签  </w:t>
            </w:r>
            <w:r>
              <w:rPr>
                <w:sz w:val="21"/>
              </w:rPr>
              <w:t>署负责，并发布实施。</w:t>
            </w:r>
          </w:p>
        </w:tc>
      </w:tr>
      <w:tr w14:paraId="26C05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6" w:hRule="atLeast"/>
        </w:trPr>
        <w:tc>
          <w:tcPr>
            <w:tcW w:w="475" w:type="dxa"/>
          </w:tcPr>
          <w:p w14:paraId="4685E4C6">
            <w:pPr>
              <w:pStyle w:val="14"/>
              <w:rPr>
                <w:rFonts w:ascii="Times New Roman"/>
                <w:sz w:val="22"/>
              </w:rPr>
            </w:pPr>
          </w:p>
          <w:p w14:paraId="4DC4D08B">
            <w:pPr>
              <w:pStyle w:val="14"/>
              <w:rPr>
                <w:rFonts w:ascii="Times New Roman"/>
                <w:sz w:val="22"/>
              </w:rPr>
            </w:pPr>
          </w:p>
          <w:p w14:paraId="02BC9294">
            <w:pPr>
              <w:pStyle w:val="14"/>
              <w:rPr>
                <w:rFonts w:ascii="Times New Roman"/>
                <w:sz w:val="22"/>
              </w:rPr>
            </w:pPr>
          </w:p>
          <w:p w14:paraId="2EEFF5A9">
            <w:pPr>
              <w:pStyle w:val="14"/>
              <w:rPr>
                <w:rFonts w:ascii="Times New Roman"/>
                <w:sz w:val="22"/>
              </w:rPr>
            </w:pPr>
          </w:p>
          <w:p w14:paraId="174AB6B4">
            <w:pPr>
              <w:pStyle w:val="14"/>
              <w:rPr>
                <w:rFonts w:ascii="Times New Roman"/>
                <w:sz w:val="22"/>
              </w:rPr>
            </w:pPr>
          </w:p>
          <w:p w14:paraId="22098A02">
            <w:pPr>
              <w:pStyle w:val="14"/>
              <w:rPr>
                <w:rFonts w:ascii="Times New Roman"/>
                <w:sz w:val="22"/>
              </w:rPr>
            </w:pPr>
          </w:p>
          <w:p w14:paraId="7D147DA9">
            <w:pPr>
              <w:pStyle w:val="14"/>
              <w:spacing w:before="186"/>
              <w:ind w:right="67"/>
              <w:jc w:val="right"/>
              <w:rPr>
                <w:rFonts w:ascii="Times New Roman"/>
                <w:sz w:val="21"/>
              </w:rPr>
            </w:pPr>
            <w:r>
              <w:rPr>
                <w:rFonts w:ascii="Times New Roman"/>
                <w:sz w:val="21"/>
              </w:rPr>
              <w:t>12</w:t>
            </w:r>
          </w:p>
        </w:tc>
        <w:tc>
          <w:tcPr>
            <w:tcW w:w="882" w:type="dxa"/>
          </w:tcPr>
          <w:p w14:paraId="09FEAC32">
            <w:pPr>
              <w:pStyle w:val="14"/>
              <w:rPr>
                <w:rFonts w:ascii="Times New Roman"/>
                <w:sz w:val="20"/>
              </w:rPr>
            </w:pPr>
          </w:p>
          <w:p w14:paraId="46172AEF">
            <w:pPr>
              <w:pStyle w:val="14"/>
              <w:rPr>
                <w:rFonts w:ascii="Times New Roman"/>
                <w:sz w:val="20"/>
              </w:rPr>
            </w:pPr>
          </w:p>
          <w:p w14:paraId="731F2AA5">
            <w:pPr>
              <w:pStyle w:val="14"/>
              <w:rPr>
                <w:rFonts w:ascii="Times New Roman"/>
                <w:sz w:val="20"/>
              </w:rPr>
            </w:pPr>
          </w:p>
          <w:p w14:paraId="3E8C6059">
            <w:pPr>
              <w:pStyle w:val="14"/>
              <w:rPr>
                <w:rFonts w:ascii="Times New Roman"/>
                <w:sz w:val="20"/>
              </w:rPr>
            </w:pPr>
          </w:p>
          <w:p w14:paraId="3DBEE3AA">
            <w:pPr>
              <w:pStyle w:val="14"/>
              <w:rPr>
                <w:rFonts w:ascii="Times New Roman"/>
                <w:sz w:val="20"/>
              </w:rPr>
            </w:pPr>
          </w:p>
          <w:p w14:paraId="3A2D5D9E">
            <w:pPr>
              <w:pStyle w:val="14"/>
              <w:spacing w:before="2"/>
              <w:rPr>
                <w:rFonts w:ascii="Times New Roman"/>
                <w:sz w:val="23"/>
              </w:rPr>
            </w:pPr>
          </w:p>
          <w:p w14:paraId="5C265711">
            <w:pPr>
              <w:pStyle w:val="14"/>
              <w:spacing w:line="242" w:lineRule="auto"/>
              <w:ind w:left="178" w:right="62"/>
              <w:jc w:val="center"/>
              <w:rPr>
                <w:sz w:val="21"/>
              </w:rPr>
            </w:pPr>
            <w:r>
              <w:rPr>
                <w:w w:val="95"/>
                <w:sz w:val="21"/>
              </w:rPr>
              <w:t>现场处</w:t>
            </w:r>
            <w:r>
              <w:rPr>
                <w:sz w:val="21"/>
              </w:rPr>
              <w:t>置</w:t>
            </w:r>
          </w:p>
          <w:p w14:paraId="4F2963F8">
            <w:pPr>
              <w:pStyle w:val="14"/>
              <w:spacing w:before="1"/>
              <w:ind w:left="123" w:right="14"/>
              <w:jc w:val="center"/>
              <w:rPr>
                <w:sz w:val="21"/>
              </w:rPr>
            </w:pPr>
            <w:r>
              <w:rPr>
                <w:sz w:val="21"/>
              </w:rPr>
              <w:t>预案</w:t>
            </w:r>
          </w:p>
        </w:tc>
        <w:tc>
          <w:tcPr>
            <w:tcW w:w="7170" w:type="dxa"/>
          </w:tcPr>
          <w:p w14:paraId="3C456E2A">
            <w:pPr>
              <w:pStyle w:val="14"/>
              <w:spacing w:before="56" w:line="242" w:lineRule="auto"/>
              <w:ind w:left="107" w:right="121"/>
              <w:jc w:val="both"/>
              <w:rPr>
                <w:sz w:val="21"/>
              </w:rPr>
            </w:pPr>
            <w:r>
              <w:rPr>
                <w:w w:val="95"/>
                <w:sz w:val="21"/>
              </w:rPr>
              <w:t xml:space="preserve">根据环境危险较大的重点岗位（包括重点生产岗位、环境风险防控岗位、污  染物处置岗位）和可能发生的突发环境事件类型分析，确定污染源切断、污  染物控制、污染物应急处置的具体操作内容，要与专项应急预案相衔接，制  </w:t>
            </w:r>
            <w:r>
              <w:rPr>
                <w:sz w:val="21"/>
              </w:rPr>
              <w:t>定现场处置程序，以卡片形式置于岗位现场明显位置。</w:t>
            </w:r>
          </w:p>
          <w:p w14:paraId="14BF225B">
            <w:pPr>
              <w:pStyle w:val="14"/>
              <w:spacing w:before="2" w:line="242" w:lineRule="auto"/>
              <w:ind w:left="107" w:right="121"/>
              <w:jc w:val="both"/>
              <w:rPr>
                <w:sz w:val="21"/>
              </w:rPr>
            </w:pPr>
            <w:r>
              <w:rPr>
                <w:w w:val="95"/>
                <w:sz w:val="21"/>
              </w:rPr>
              <w:t xml:space="preserve">重点生产岗位现场处置程序应明确污染物切断应急响应流程（包括应急信息  报告流程，污染源切断措施，现场工作人员应急防护、自救互救程序等）以  </w:t>
            </w:r>
            <w:r>
              <w:rPr>
                <w:sz w:val="21"/>
              </w:rPr>
              <w:t>及各步骤责任人员及联系方式。</w:t>
            </w:r>
          </w:p>
          <w:p w14:paraId="3A625D89">
            <w:pPr>
              <w:pStyle w:val="14"/>
              <w:spacing w:before="1" w:line="242" w:lineRule="auto"/>
              <w:ind w:left="107" w:right="121"/>
              <w:jc w:val="both"/>
              <w:rPr>
                <w:sz w:val="21"/>
              </w:rPr>
            </w:pPr>
            <w:r>
              <w:rPr>
                <w:w w:val="95"/>
                <w:sz w:val="21"/>
              </w:rPr>
              <w:t xml:space="preserve">环境风险防控岗位现场处置程序应明确污染物控制应急响应流程（包括应急  信息报告流程，应急阀门切换流程，污染物扩散监控流程，现场工作人员应  </w:t>
            </w:r>
            <w:r>
              <w:rPr>
                <w:sz w:val="21"/>
              </w:rPr>
              <w:t>急防护、自救互救程序等）以及各步骤责任人员及联系方式。</w:t>
            </w:r>
          </w:p>
          <w:p w14:paraId="4BEC8C50">
            <w:pPr>
              <w:pStyle w:val="14"/>
              <w:spacing w:before="3" w:line="242" w:lineRule="auto"/>
              <w:ind w:left="107" w:right="145"/>
              <w:jc w:val="both"/>
              <w:rPr>
                <w:sz w:val="21"/>
              </w:rPr>
            </w:pPr>
            <w:r>
              <w:rPr>
                <w:rFonts w:ascii="Times New Roman" w:hAnsi="Times New Roman" w:eastAsia="Times New Roman"/>
                <w:w w:val="95"/>
                <w:sz w:val="21"/>
              </w:rPr>
              <w:t>“</w:t>
            </w:r>
            <w:r>
              <w:rPr>
                <w:w w:val="95"/>
                <w:sz w:val="21"/>
              </w:rPr>
              <w:t>三废</w:t>
            </w:r>
            <w:r>
              <w:rPr>
                <w:rFonts w:ascii="Times New Roman" w:hAnsi="Times New Roman" w:eastAsia="Times New Roman"/>
                <w:w w:val="95"/>
                <w:sz w:val="21"/>
              </w:rPr>
              <w:t>”</w:t>
            </w:r>
            <w:r>
              <w:rPr>
                <w:w w:val="95"/>
                <w:sz w:val="21"/>
              </w:rPr>
              <w:t>处置岗位现场处置程序应明确污染物处置应急响应流程（包括应急信  息报告流程，</w:t>
            </w:r>
            <w:r>
              <w:rPr>
                <w:rFonts w:ascii="Times New Roman" w:hAnsi="Times New Roman" w:eastAsia="Times New Roman"/>
                <w:w w:val="95"/>
                <w:sz w:val="21"/>
              </w:rPr>
              <w:t>“</w:t>
            </w:r>
            <w:r>
              <w:rPr>
                <w:w w:val="95"/>
                <w:sz w:val="21"/>
              </w:rPr>
              <w:t>三废</w:t>
            </w:r>
            <w:r>
              <w:rPr>
                <w:rFonts w:ascii="Times New Roman" w:hAnsi="Times New Roman" w:eastAsia="Times New Roman"/>
                <w:w w:val="95"/>
                <w:sz w:val="21"/>
              </w:rPr>
              <w:t>”</w:t>
            </w:r>
            <w:r>
              <w:rPr>
                <w:w w:val="95"/>
                <w:sz w:val="21"/>
              </w:rPr>
              <w:t xml:space="preserve">应急处置流程，现场工作人员应急防护、自救互救程序  </w:t>
            </w:r>
            <w:r>
              <w:rPr>
                <w:sz w:val="21"/>
              </w:rPr>
              <w:t>等）以及各步骤责任人员及联系方式。</w:t>
            </w:r>
          </w:p>
        </w:tc>
      </w:tr>
      <w:tr w14:paraId="1E14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4" w:hRule="atLeast"/>
        </w:trPr>
        <w:tc>
          <w:tcPr>
            <w:tcW w:w="475" w:type="dxa"/>
          </w:tcPr>
          <w:p w14:paraId="2A698560">
            <w:pPr>
              <w:pStyle w:val="14"/>
              <w:rPr>
                <w:rFonts w:ascii="Times New Roman"/>
                <w:sz w:val="22"/>
              </w:rPr>
            </w:pPr>
          </w:p>
          <w:p w14:paraId="34FF31B8">
            <w:pPr>
              <w:pStyle w:val="14"/>
              <w:rPr>
                <w:rFonts w:ascii="Times New Roman"/>
                <w:sz w:val="22"/>
              </w:rPr>
            </w:pPr>
          </w:p>
          <w:p w14:paraId="314C7FA1">
            <w:pPr>
              <w:pStyle w:val="14"/>
              <w:rPr>
                <w:rFonts w:ascii="Times New Roman"/>
                <w:sz w:val="22"/>
              </w:rPr>
            </w:pPr>
          </w:p>
          <w:p w14:paraId="0F91E20B">
            <w:pPr>
              <w:pStyle w:val="14"/>
              <w:rPr>
                <w:rFonts w:ascii="Times New Roman"/>
                <w:sz w:val="22"/>
              </w:rPr>
            </w:pPr>
          </w:p>
          <w:p w14:paraId="1333102A">
            <w:pPr>
              <w:pStyle w:val="14"/>
              <w:rPr>
                <w:rFonts w:ascii="Times New Roman"/>
                <w:sz w:val="22"/>
              </w:rPr>
            </w:pPr>
          </w:p>
          <w:p w14:paraId="672F6777">
            <w:pPr>
              <w:pStyle w:val="14"/>
              <w:rPr>
                <w:rFonts w:ascii="Times New Roman"/>
                <w:sz w:val="22"/>
              </w:rPr>
            </w:pPr>
          </w:p>
          <w:p w14:paraId="7F91F790">
            <w:pPr>
              <w:pStyle w:val="14"/>
              <w:rPr>
                <w:rFonts w:ascii="Times New Roman"/>
                <w:sz w:val="22"/>
              </w:rPr>
            </w:pPr>
          </w:p>
          <w:p w14:paraId="46C14D9D">
            <w:pPr>
              <w:pStyle w:val="14"/>
              <w:rPr>
                <w:rFonts w:ascii="Times New Roman"/>
                <w:sz w:val="22"/>
              </w:rPr>
            </w:pPr>
          </w:p>
          <w:p w14:paraId="756D450C">
            <w:pPr>
              <w:pStyle w:val="14"/>
              <w:spacing w:before="4"/>
              <w:rPr>
                <w:rFonts w:ascii="Times New Roman"/>
                <w:sz w:val="19"/>
              </w:rPr>
            </w:pPr>
          </w:p>
          <w:p w14:paraId="10390763">
            <w:pPr>
              <w:pStyle w:val="14"/>
              <w:spacing w:before="1"/>
              <w:ind w:right="67"/>
              <w:jc w:val="right"/>
              <w:rPr>
                <w:rFonts w:ascii="Times New Roman"/>
                <w:sz w:val="21"/>
              </w:rPr>
            </w:pPr>
            <w:r>
              <w:rPr>
                <w:rFonts w:ascii="Times New Roman"/>
                <w:sz w:val="21"/>
              </w:rPr>
              <w:t>13</w:t>
            </w:r>
          </w:p>
        </w:tc>
        <w:tc>
          <w:tcPr>
            <w:tcW w:w="882" w:type="dxa"/>
          </w:tcPr>
          <w:p w14:paraId="5B9833C7">
            <w:pPr>
              <w:pStyle w:val="14"/>
              <w:rPr>
                <w:rFonts w:ascii="Times New Roman"/>
                <w:sz w:val="20"/>
              </w:rPr>
            </w:pPr>
          </w:p>
          <w:p w14:paraId="7CD53C72">
            <w:pPr>
              <w:pStyle w:val="14"/>
              <w:rPr>
                <w:rFonts w:ascii="Times New Roman"/>
                <w:sz w:val="20"/>
              </w:rPr>
            </w:pPr>
          </w:p>
          <w:p w14:paraId="3C05AB2B">
            <w:pPr>
              <w:pStyle w:val="14"/>
              <w:rPr>
                <w:rFonts w:ascii="Times New Roman"/>
                <w:sz w:val="20"/>
              </w:rPr>
            </w:pPr>
          </w:p>
          <w:p w14:paraId="43D21BE5">
            <w:pPr>
              <w:pStyle w:val="14"/>
              <w:rPr>
                <w:rFonts w:ascii="Times New Roman"/>
                <w:sz w:val="20"/>
              </w:rPr>
            </w:pPr>
          </w:p>
          <w:p w14:paraId="0408E94A">
            <w:pPr>
              <w:pStyle w:val="14"/>
              <w:rPr>
                <w:rFonts w:ascii="Times New Roman"/>
                <w:sz w:val="20"/>
              </w:rPr>
            </w:pPr>
          </w:p>
          <w:p w14:paraId="39F26B28">
            <w:pPr>
              <w:pStyle w:val="14"/>
              <w:rPr>
                <w:rFonts w:ascii="Times New Roman"/>
                <w:sz w:val="20"/>
              </w:rPr>
            </w:pPr>
          </w:p>
          <w:p w14:paraId="19BBFD53">
            <w:pPr>
              <w:pStyle w:val="14"/>
              <w:rPr>
                <w:rFonts w:ascii="Times New Roman"/>
                <w:sz w:val="20"/>
              </w:rPr>
            </w:pPr>
          </w:p>
          <w:p w14:paraId="5420C76F">
            <w:pPr>
              <w:pStyle w:val="14"/>
              <w:rPr>
                <w:rFonts w:ascii="Times New Roman"/>
                <w:sz w:val="20"/>
              </w:rPr>
            </w:pPr>
          </w:p>
          <w:p w14:paraId="5A289FFD">
            <w:pPr>
              <w:pStyle w:val="14"/>
              <w:rPr>
                <w:rFonts w:ascii="Times New Roman"/>
                <w:sz w:val="20"/>
              </w:rPr>
            </w:pPr>
          </w:p>
          <w:p w14:paraId="4CC12EB6">
            <w:pPr>
              <w:pStyle w:val="14"/>
              <w:spacing w:before="163"/>
              <w:ind w:left="281"/>
              <w:rPr>
                <w:sz w:val="21"/>
              </w:rPr>
            </w:pPr>
            <w:r>
              <w:rPr>
                <w:sz w:val="21"/>
              </w:rPr>
              <w:t>附件</w:t>
            </w:r>
          </w:p>
        </w:tc>
        <w:tc>
          <w:tcPr>
            <w:tcW w:w="7170" w:type="dxa"/>
          </w:tcPr>
          <w:p w14:paraId="347E84AD">
            <w:pPr>
              <w:pStyle w:val="14"/>
              <w:spacing w:before="54"/>
              <w:ind w:left="107"/>
              <w:rPr>
                <w:sz w:val="21"/>
              </w:rPr>
            </w:pPr>
            <w:r>
              <w:rPr>
                <w:rFonts w:ascii="Times New Roman" w:eastAsia="Times New Roman"/>
                <w:sz w:val="21"/>
              </w:rPr>
              <w:t>1</w:t>
            </w:r>
            <w:r>
              <w:rPr>
                <w:sz w:val="21"/>
              </w:rPr>
              <w:t>）规范化格式文本</w:t>
            </w:r>
          </w:p>
          <w:p w14:paraId="404D69DB">
            <w:pPr>
              <w:pStyle w:val="14"/>
              <w:spacing w:before="4"/>
              <w:ind w:left="107"/>
              <w:rPr>
                <w:sz w:val="21"/>
              </w:rPr>
            </w:pPr>
            <w:r>
              <w:rPr>
                <w:rFonts w:ascii="Times New Roman" w:eastAsia="Times New Roman"/>
                <w:sz w:val="21"/>
              </w:rPr>
              <w:t>2</w:t>
            </w:r>
            <w:r>
              <w:rPr>
                <w:sz w:val="21"/>
              </w:rPr>
              <w:t>）关键的路线、标识和图纸，主要包括：</w:t>
            </w:r>
          </w:p>
          <w:p w14:paraId="34BD7A02">
            <w:pPr>
              <w:pStyle w:val="14"/>
              <w:spacing w:before="2" w:line="244" w:lineRule="auto"/>
              <w:ind w:left="107" w:right="15"/>
              <w:rPr>
                <w:sz w:val="21"/>
              </w:rPr>
            </w:pPr>
            <w:r>
              <w:rPr>
                <w:w w:val="95"/>
                <w:sz w:val="21"/>
              </w:rPr>
              <w:t>（</w:t>
            </w:r>
            <w:r>
              <w:rPr>
                <w:rFonts w:ascii="Times New Roman" w:eastAsia="Times New Roman"/>
                <w:w w:val="95"/>
                <w:sz w:val="21"/>
              </w:rPr>
              <w:t>1</w:t>
            </w:r>
            <w:r>
              <w:rPr>
                <w:w w:val="95"/>
                <w:sz w:val="21"/>
              </w:rPr>
              <w:t>）企业所处位置图、区域位置及周围环境敏感点分布、位置关系图、本单</w:t>
            </w:r>
            <w:r>
              <w:rPr>
                <w:w w:val="99"/>
                <w:sz w:val="21"/>
              </w:rPr>
              <w:t>位及周边区域人员撤离路线图；（</w:t>
            </w:r>
            <w:r>
              <w:rPr>
                <w:rFonts w:ascii="Times New Roman" w:eastAsia="Times New Roman"/>
                <w:w w:val="99"/>
                <w:sz w:val="21"/>
              </w:rPr>
              <w:t>2</w:t>
            </w:r>
            <w:r>
              <w:rPr>
                <w:w w:val="99"/>
                <w:sz w:val="21"/>
              </w:rPr>
              <w:t>）企业环境风险单元分布图、应急设施</w:t>
            </w:r>
          </w:p>
          <w:p w14:paraId="1F7247D5">
            <w:pPr>
              <w:pStyle w:val="14"/>
              <w:spacing w:line="242" w:lineRule="auto"/>
              <w:ind w:left="107" w:right="15"/>
              <w:rPr>
                <w:sz w:val="21"/>
              </w:rPr>
            </w:pPr>
            <w:r>
              <w:rPr>
                <w:spacing w:val="-1"/>
                <w:w w:val="99"/>
                <w:sz w:val="21"/>
              </w:rPr>
              <w:t>（</w:t>
            </w:r>
            <w:r>
              <w:rPr>
                <w:spacing w:val="1"/>
                <w:w w:val="99"/>
                <w:sz w:val="21"/>
              </w:rPr>
              <w:t>备</w:t>
            </w:r>
            <w:r>
              <w:rPr>
                <w:spacing w:val="-1"/>
                <w:w w:val="99"/>
                <w:sz w:val="21"/>
              </w:rPr>
              <w:t>）</w:t>
            </w:r>
            <w:r>
              <w:rPr>
                <w:spacing w:val="-9"/>
                <w:w w:val="99"/>
                <w:sz w:val="21"/>
              </w:rPr>
              <w:t>分布图、应急监测建议点位图；</w:t>
            </w:r>
            <w:r>
              <w:rPr>
                <w:spacing w:val="1"/>
                <w:w w:val="99"/>
                <w:sz w:val="21"/>
              </w:rPr>
              <w:t>（</w:t>
            </w:r>
            <w:r>
              <w:rPr>
                <w:rFonts w:ascii="Times New Roman" w:eastAsia="Times New Roman"/>
                <w:spacing w:val="-2"/>
                <w:w w:val="99"/>
                <w:sz w:val="21"/>
              </w:rPr>
              <w:t>3</w:t>
            </w:r>
            <w:r>
              <w:rPr>
                <w:spacing w:val="-1"/>
                <w:w w:val="99"/>
                <w:sz w:val="21"/>
              </w:rPr>
              <w:t>）企业厂区雨水、清净下水、各类</w:t>
            </w:r>
            <w:r>
              <w:rPr>
                <w:spacing w:val="-1"/>
                <w:sz w:val="21"/>
              </w:rPr>
              <w:t>污水收集、排放管网图、危险物质运输（输送）</w:t>
            </w:r>
            <w:r>
              <w:rPr>
                <w:spacing w:val="-10"/>
                <w:sz w:val="21"/>
              </w:rPr>
              <w:t xml:space="preserve">路线图；下游 </w:t>
            </w:r>
            <w:r>
              <w:rPr>
                <w:rFonts w:ascii="Times New Roman" w:eastAsia="Times New Roman"/>
                <w:sz w:val="21"/>
              </w:rPr>
              <w:t xml:space="preserve">10 </w:t>
            </w:r>
            <w:r>
              <w:rPr>
                <w:sz w:val="21"/>
              </w:rPr>
              <w:t>公里以内包含城镇（县级）及以上集中式饮用水水源地的企业，还应绘制企业周边饮用水水源地情况示意图。</w:t>
            </w:r>
          </w:p>
          <w:p w14:paraId="2529CCFB">
            <w:pPr>
              <w:pStyle w:val="14"/>
              <w:ind w:left="107"/>
              <w:rPr>
                <w:sz w:val="21"/>
              </w:rPr>
            </w:pPr>
            <w:r>
              <w:rPr>
                <w:rFonts w:ascii="Times New Roman" w:eastAsia="Times New Roman"/>
                <w:sz w:val="21"/>
              </w:rPr>
              <w:t>3</w:t>
            </w:r>
            <w:r>
              <w:rPr>
                <w:sz w:val="21"/>
              </w:rPr>
              <w:t>）环境应急联络表</w:t>
            </w:r>
          </w:p>
          <w:p w14:paraId="4E3BD51F">
            <w:pPr>
              <w:pStyle w:val="14"/>
              <w:spacing w:before="3" w:line="242" w:lineRule="auto"/>
              <w:ind w:left="107" w:right="121"/>
              <w:rPr>
                <w:sz w:val="21"/>
              </w:rPr>
            </w:pPr>
            <w:r>
              <w:rPr>
                <w:w w:val="95"/>
                <w:sz w:val="21"/>
              </w:rPr>
              <w:t xml:space="preserve">列出企业环境应急指挥部、环境应急功能小组、外部协议援助部门、外部可  </w:t>
            </w:r>
            <w:r>
              <w:rPr>
                <w:sz w:val="21"/>
              </w:rPr>
              <w:t>请求援助部门等环境应急联系人、联系方式。</w:t>
            </w:r>
          </w:p>
          <w:p w14:paraId="4D080991">
            <w:pPr>
              <w:pStyle w:val="14"/>
              <w:spacing w:line="268" w:lineRule="exact"/>
              <w:ind w:left="107"/>
              <w:rPr>
                <w:sz w:val="21"/>
              </w:rPr>
            </w:pPr>
            <w:r>
              <w:rPr>
                <w:rFonts w:ascii="Times New Roman" w:eastAsia="Times New Roman"/>
                <w:sz w:val="21"/>
              </w:rPr>
              <w:t>4</w:t>
            </w:r>
            <w:r>
              <w:rPr>
                <w:sz w:val="21"/>
              </w:rPr>
              <w:t>）有关协议或备忘录</w:t>
            </w:r>
          </w:p>
          <w:p w14:paraId="0CBE5B66">
            <w:pPr>
              <w:pStyle w:val="14"/>
              <w:spacing w:before="5"/>
              <w:ind w:left="107"/>
              <w:rPr>
                <w:sz w:val="21"/>
              </w:rPr>
            </w:pPr>
            <w:r>
              <w:rPr>
                <w:sz w:val="21"/>
              </w:rPr>
              <w:t>列出与相关应急救援部门签订的应急救援协议或备忘录。</w:t>
            </w:r>
          </w:p>
          <w:p w14:paraId="6CA33AE6">
            <w:pPr>
              <w:pStyle w:val="14"/>
              <w:spacing w:before="2"/>
              <w:ind w:left="107"/>
              <w:rPr>
                <w:sz w:val="21"/>
              </w:rPr>
            </w:pPr>
            <w:r>
              <w:rPr>
                <w:rFonts w:ascii="Times New Roman" w:eastAsia="Times New Roman"/>
                <w:sz w:val="21"/>
              </w:rPr>
              <w:t>5</w:t>
            </w:r>
            <w:r>
              <w:rPr>
                <w:sz w:val="21"/>
              </w:rPr>
              <w:t>）环境风险评估报告</w:t>
            </w:r>
          </w:p>
          <w:p w14:paraId="4BA97E10">
            <w:pPr>
              <w:pStyle w:val="14"/>
              <w:spacing w:before="5"/>
              <w:ind w:left="107"/>
              <w:rPr>
                <w:sz w:val="21"/>
              </w:rPr>
            </w:pPr>
            <w:r>
              <w:rPr>
                <w:sz w:val="21"/>
              </w:rPr>
              <w:t>依据环境风险评估技术指南编制的企业环境风险评估报告。</w:t>
            </w:r>
          </w:p>
          <w:p w14:paraId="26D9F7E8">
            <w:pPr>
              <w:pStyle w:val="14"/>
              <w:spacing w:before="4"/>
              <w:ind w:left="107"/>
              <w:rPr>
                <w:sz w:val="21"/>
              </w:rPr>
            </w:pPr>
            <w:r>
              <w:rPr>
                <w:rFonts w:ascii="Times New Roman" w:eastAsia="Times New Roman"/>
                <w:sz w:val="21"/>
              </w:rPr>
              <w:t>6</w:t>
            </w:r>
            <w:r>
              <w:rPr>
                <w:sz w:val="21"/>
              </w:rPr>
              <w:t>）应急资源调查报告</w:t>
            </w:r>
          </w:p>
          <w:p w14:paraId="7F27EF52">
            <w:pPr>
              <w:pStyle w:val="14"/>
              <w:spacing w:before="2"/>
              <w:ind w:left="107"/>
              <w:rPr>
                <w:sz w:val="21"/>
              </w:rPr>
            </w:pPr>
            <w:r>
              <w:rPr>
                <w:sz w:val="21"/>
              </w:rPr>
              <w:t>依据技术规范编制的企业环境应急资源调查报告。</w:t>
            </w:r>
          </w:p>
        </w:tc>
      </w:tr>
    </w:tbl>
    <w:p w14:paraId="66EC58DE">
      <w:pPr>
        <w:pStyle w:val="3"/>
        <w:numPr>
          <w:ilvl w:val="1"/>
          <w:numId w:val="27"/>
        </w:numPr>
        <w:tabs>
          <w:tab w:val="left" w:pos="868"/>
        </w:tabs>
        <w:spacing w:before="3" w:after="0" w:line="240" w:lineRule="auto"/>
        <w:ind w:left="868" w:right="0" w:hanging="408"/>
        <w:jc w:val="left"/>
      </w:pPr>
      <w:bookmarkStart w:id="259" w:name="6.7环境风险评价结论"/>
      <w:bookmarkEnd w:id="259"/>
      <w:bookmarkStart w:id="260" w:name="_bookmark35"/>
      <w:bookmarkEnd w:id="260"/>
      <w:bookmarkStart w:id="261" w:name="_bookmark35"/>
      <w:bookmarkEnd w:id="261"/>
      <w:r>
        <w:t>环境风险评价结论</w:t>
      </w:r>
    </w:p>
    <w:p w14:paraId="5EC0914E">
      <w:pPr>
        <w:pStyle w:val="7"/>
        <w:spacing w:before="186" w:line="364" w:lineRule="auto"/>
        <w:ind w:left="460" w:right="477" w:firstLine="480"/>
      </w:pPr>
      <w:r>
        <w:t>项目运行过程中存在泄露、火灾风险，必须严格执行国家的技术规范和操作规程要求，落实各项安全规章制度，避免泄露事故的发生。</w:t>
      </w:r>
    </w:p>
    <w:p w14:paraId="7F071D89">
      <w:pPr>
        <w:pStyle w:val="7"/>
        <w:spacing w:line="306" w:lineRule="exact"/>
        <w:ind w:left="940"/>
      </w:pPr>
      <w:r>
        <w:t>本项目采用成熟可靠的生产工艺和设备，各部门在设计中严格执行行业有</w:t>
      </w:r>
    </w:p>
    <w:p w14:paraId="73F0C40D">
      <w:pPr>
        <w:spacing w:after="0" w:line="306" w:lineRule="exact"/>
        <w:sectPr>
          <w:pgSz w:w="11910" w:h="16840"/>
          <w:pgMar w:top="1360" w:right="1320" w:bottom="1400" w:left="1340" w:header="878" w:footer="1175" w:gutter="0"/>
          <w:cols w:space="720" w:num="1"/>
        </w:sectPr>
      </w:pPr>
    </w:p>
    <w:p w14:paraId="26E61C52">
      <w:pPr>
        <w:pStyle w:val="7"/>
        <w:spacing w:before="68" w:line="364" w:lineRule="auto"/>
        <w:ind w:left="460" w:right="477"/>
        <w:jc w:val="both"/>
      </w:pPr>
      <w:r>
        <w:t>关规范中的安全卫生条款，对影响环境安全的因素采取了有效的防范措施，正常情况下能够保证安全生产和达到工业企业设计卫生标准的要求，通过采取安全防范措施，该项目在建成后能够有效防止化学品泄漏事故的发生，而且一旦发生事故，依靠拟定的安全防护设施和事故应急措施也能及时控制事故，防止事故的蔓延。通过认真落各项风险防范措施，编制和实行突发环境事件应急预案，该项目环境风险属于可接受水平。</w:t>
      </w:r>
    </w:p>
    <w:p w14:paraId="5F60DA55">
      <w:pPr>
        <w:spacing w:before="0" w:after="2" w:line="267" w:lineRule="exact"/>
        <w:ind w:left="2629" w:right="0" w:firstLine="0"/>
        <w:jc w:val="left"/>
        <w:rPr>
          <w:b/>
          <w:sz w:val="21"/>
        </w:rPr>
      </w:pPr>
      <w:r>
        <w:rPr>
          <w:b/>
          <w:spacing w:val="-28"/>
          <w:sz w:val="21"/>
        </w:rPr>
        <w:t xml:space="preserve">表 </w:t>
      </w:r>
      <w:r>
        <w:rPr>
          <w:rFonts w:ascii="Times New Roman" w:eastAsia="Times New Roman"/>
          <w:b/>
          <w:sz w:val="21"/>
        </w:rPr>
        <w:t>6.7-1</w:t>
      </w:r>
      <w:r>
        <w:rPr>
          <w:rFonts w:ascii="Times New Roman" w:eastAsia="Times New Roman"/>
          <w:b/>
          <w:spacing w:val="50"/>
          <w:sz w:val="21"/>
        </w:rPr>
        <w:t xml:space="preserve"> </w:t>
      </w:r>
      <w:r>
        <w:rPr>
          <w:b/>
          <w:sz w:val="21"/>
        </w:rPr>
        <w:t>建设项目环境风险简单分析内容表</w:t>
      </w:r>
    </w:p>
    <w:tbl>
      <w:tblPr>
        <w:tblStyle w:val="10"/>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1605"/>
        <w:gridCol w:w="1551"/>
        <w:gridCol w:w="1376"/>
        <w:gridCol w:w="887"/>
        <w:gridCol w:w="1767"/>
      </w:tblGrid>
      <w:tr w14:paraId="61F61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29" w:type="dxa"/>
          </w:tcPr>
          <w:p w14:paraId="25325B2E">
            <w:pPr>
              <w:pStyle w:val="14"/>
              <w:spacing w:before="19"/>
              <w:ind w:left="174" w:right="165"/>
              <w:jc w:val="center"/>
              <w:rPr>
                <w:b/>
                <w:sz w:val="21"/>
              </w:rPr>
            </w:pPr>
            <w:r>
              <w:rPr>
                <w:b/>
                <w:sz w:val="21"/>
              </w:rPr>
              <w:t>建设项目名称</w:t>
            </w:r>
          </w:p>
        </w:tc>
        <w:tc>
          <w:tcPr>
            <w:tcW w:w="7186" w:type="dxa"/>
            <w:gridSpan w:val="5"/>
          </w:tcPr>
          <w:p w14:paraId="2D707072">
            <w:pPr>
              <w:pStyle w:val="14"/>
              <w:spacing w:before="19"/>
              <w:ind w:left="1806"/>
              <w:rPr>
                <w:sz w:val="21"/>
              </w:rPr>
            </w:pPr>
            <w:r>
              <w:rPr>
                <w:sz w:val="21"/>
              </w:rPr>
              <w:t>岳阳县畜禽屠宰场及冷链物流建设项目</w:t>
            </w:r>
          </w:p>
        </w:tc>
      </w:tr>
      <w:tr w14:paraId="5996D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29" w:type="dxa"/>
          </w:tcPr>
          <w:p w14:paraId="3B590527">
            <w:pPr>
              <w:pStyle w:val="14"/>
              <w:spacing w:before="21"/>
              <w:ind w:left="174" w:right="168"/>
              <w:jc w:val="center"/>
              <w:rPr>
                <w:b/>
                <w:sz w:val="21"/>
              </w:rPr>
            </w:pPr>
            <w:r>
              <w:rPr>
                <w:b/>
                <w:sz w:val="21"/>
              </w:rPr>
              <w:t>建设地点</w:t>
            </w:r>
          </w:p>
        </w:tc>
        <w:tc>
          <w:tcPr>
            <w:tcW w:w="1605" w:type="dxa"/>
          </w:tcPr>
          <w:p w14:paraId="6DB7B2A5">
            <w:pPr>
              <w:pStyle w:val="14"/>
              <w:spacing w:before="21"/>
              <w:ind w:left="257" w:right="248"/>
              <w:jc w:val="center"/>
              <w:rPr>
                <w:sz w:val="21"/>
              </w:rPr>
            </w:pPr>
            <w:r>
              <w:rPr>
                <w:sz w:val="21"/>
              </w:rPr>
              <w:t>（湖南）省</w:t>
            </w:r>
          </w:p>
        </w:tc>
        <w:tc>
          <w:tcPr>
            <w:tcW w:w="1551" w:type="dxa"/>
          </w:tcPr>
          <w:p w14:paraId="3CBFDFFD">
            <w:pPr>
              <w:pStyle w:val="14"/>
              <w:spacing w:before="21"/>
              <w:ind w:left="149" w:right="142"/>
              <w:jc w:val="center"/>
              <w:rPr>
                <w:sz w:val="21"/>
              </w:rPr>
            </w:pPr>
            <w:r>
              <w:rPr>
                <w:sz w:val="21"/>
              </w:rPr>
              <w:t>（岳阳）市</w:t>
            </w:r>
          </w:p>
        </w:tc>
        <w:tc>
          <w:tcPr>
            <w:tcW w:w="2263" w:type="dxa"/>
            <w:gridSpan w:val="2"/>
          </w:tcPr>
          <w:p w14:paraId="5C330E33">
            <w:pPr>
              <w:pStyle w:val="14"/>
              <w:spacing w:before="21"/>
              <w:ind w:left="500"/>
              <w:rPr>
                <w:sz w:val="21"/>
              </w:rPr>
            </w:pPr>
            <w:r>
              <w:rPr>
                <w:sz w:val="21"/>
              </w:rPr>
              <w:t>（岳阳县）市</w:t>
            </w:r>
          </w:p>
        </w:tc>
        <w:tc>
          <w:tcPr>
            <w:tcW w:w="1767" w:type="dxa"/>
          </w:tcPr>
          <w:p w14:paraId="0FD057C7">
            <w:pPr>
              <w:pStyle w:val="14"/>
              <w:spacing w:before="21"/>
              <w:ind w:left="433"/>
              <w:rPr>
                <w:sz w:val="21"/>
              </w:rPr>
            </w:pPr>
            <w:r>
              <w:rPr>
                <w:sz w:val="21"/>
              </w:rPr>
              <w:t>（</w:t>
            </w:r>
            <w:r>
              <w:rPr>
                <w:rFonts w:ascii="Times New Roman" w:eastAsia="Times New Roman"/>
                <w:sz w:val="21"/>
              </w:rPr>
              <w:t>/</w:t>
            </w:r>
            <w:r>
              <w:rPr>
                <w:sz w:val="21"/>
              </w:rPr>
              <w:t>）园区</w:t>
            </w:r>
          </w:p>
        </w:tc>
      </w:tr>
      <w:tr w14:paraId="2027A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29" w:type="dxa"/>
          </w:tcPr>
          <w:p w14:paraId="2DCFC1D9">
            <w:pPr>
              <w:pStyle w:val="14"/>
              <w:spacing w:before="21"/>
              <w:ind w:left="174" w:right="168"/>
              <w:jc w:val="center"/>
              <w:rPr>
                <w:b/>
                <w:sz w:val="21"/>
              </w:rPr>
            </w:pPr>
            <w:r>
              <w:rPr>
                <w:b/>
                <w:sz w:val="21"/>
              </w:rPr>
              <w:t>地理坐标</w:t>
            </w:r>
          </w:p>
        </w:tc>
        <w:tc>
          <w:tcPr>
            <w:tcW w:w="1605" w:type="dxa"/>
          </w:tcPr>
          <w:p w14:paraId="3AD4A859">
            <w:pPr>
              <w:pStyle w:val="14"/>
              <w:spacing w:before="21"/>
              <w:ind w:left="255" w:right="248"/>
              <w:jc w:val="center"/>
              <w:rPr>
                <w:sz w:val="21"/>
              </w:rPr>
            </w:pPr>
            <w:r>
              <w:rPr>
                <w:sz w:val="21"/>
              </w:rPr>
              <w:t>经度</w:t>
            </w:r>
          </w:p>
        </w:tc>
        <w:tc>
          <w:tcPr>
            <w:tcW w:w="1551" w:type="dxa"/>
          </w:tcPr>
          <w:p w14:paraId="7ABA6DF8">
            <w:pPr>
              <w:pStyle w:val="14"/>
              <w:spacing w:before="34"/>
              <w:ind w:left="152" w:right="142"/>
              <w:jc w:val="center"/>
              <w:rPr>
                <w:rFonts w:ascii="Times New Roman" w:hAnsi="Times New Roman"/>
                <w:sz w:val="21"/>
              </w:rPr>
            </w:pPr>
            <w:r>
              <w:rPr>
                <w:rFonts w:ascii="Times New Roman" w:hAnsi="Times New Roman"/>
                <w:sz w:val="21"/>
              </w:rPr>
              <w:t>113°6'41.485"</w:t>
            </w:r>
          </w:p>
        </w:tc>
        <w:tc>
          <w:tcPr>
            <w:tcW w:w="1376" w:type="dxa"/>
          </w:tcPr>
          <w:p w14:paraId="67D476F3">
            <w:pPr>
              <w:pStyle w:val="14"/>
              <w:spacing w:before="21"/>
              <w:ind w:left="455" w:right="450"/>
              <w:jc w:val="center"/>
              <w:rPr>
                <w:sz w:val="21"/>
              </w:rPr>
            </w:pPr>
            <w:r>
              <w:rPr>
                <w:sz w:val="21"/>
              </w:rPr>
              <w:t>纬度</w:t>
            </w:r>
          </w:p>
        </w:tc>
        <w:tc>
          <w:tcPr>
            <w:tcW w:w="2654" w:type="dxa"/>
            <w:gridSpan w:val="2"/>
          </w:tcPr>
          <w:p w14:paraId="4115D35A">
            <w:pPr>
              <w:pStyle w:val="14"/>
              <w:spacing w:before="34"/>
              <w:ind w:left="776"/>
              <w:rPr>
                <w:rFonts w:ascii="Times New Roman" w:hAnsi="Times New Roman"/>
                <w:sz w:val="21"/>
              </w:rPr>
            </w:pPr>
            <w:r>
              <w:rPr>
                <w:rFonts w:ascii="Times New Roman" w:hAnsi="Times New Roman"/>
                <w:sz w:val="21"/>
              </w:rPr>
              <w:t>29°7'24.059"</w:t>
            </w:r>
          </w:p>
        </w:tc>
      </w:tr>
      <w:tr w14:paraId="4BFD7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829" w:type="dxa"/>
          </w:tcPr>
          <w:p w14:paraId="484EAA54">
            <w:pPr>
              <w:pStyle w:val="14"/>
              <w:spacing w:before="18" w:line="270" w:lineRule="atLeast"/>
              <w:ind w:left="702" w:right="168" w:hanging="528"/>
              <w:rPr>
                <w:b/>
                <w:sz w:val="21"/>
              </w:rPr>
            </w:pPr>
            <w:r>
              <w:rPr>
                <w:b/>
                <w:w w:val="95"/>
                <w:sz w:val="21"/>
              </w:rPr>
              <w:t>主要危险物质及</w:t>
            </w:r>
            <w:r>
              <w:rPr>
                <w:b/>
                <w:sz w:val="21"/>
              </w:rPr>
              <w:t>分布</w:t>
            </w:r>
          </w:p>
        </w:tc>
        <w:tc>
          <w:tcPr>
            <w:tcW w:w="7186" w:type="dxa"/>
            <w:gridSpan w:val="5"/>
          </w:tcPr>
          <w:p w14:paraId="0FC960A8">
            <w:pPr>
              <w:pStyle w:val="14"/>
              <w:spacing w:before="156"/>
              <w:ind w:left="232"/>
              <w:rPr>
                <w:sz w:val="21"/>
              </w:rPr>
            </w:pPr>
            <w:r>
              <w:rPr>
                <w:sz w:val="21"/>
              </w:rPr>
              <w:t>本项目危险物质为过氧乙酸和次氯酸钠，均储存于无害化车间旁药品间。</w:t>
            </w:r>
          </w:p>
        </w:tc>
      </w:tr>
      <w:tr w14:paraId="36939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1829" w:type="dxa"/>
          </w:tcPr>
          <w:p w14:paraId="65F9D9E8">
            <w:pPr>
              <w:pStyle w:val="14"/>
              <w:spacing w:before="20" w:line="242" w:lineRule="auto"/>
              <w:ind w:left="174" w:right="168"/>
              <w:jc w:val="center"/>
              <w:rPr>
                <w:b/>
                <w:sz w:val="21"/>
              </w:rPr>
            </w:pPr>
            <w:r>
              <w:rPr>
                <w:b/>
                <w:w w:val="95"/>
                <w:sz w:val="21"/>
              </w:rPr>
              <w:t>环境影响途径及</w:t>
            </w:r>
            <w:r>
              <w:rPr>
                <w:b/>
                <w:sz w:val="21"/>
              </w:rPr>
              <w:t xml:space="preserve">危害后果（大 </w:t>
            </w:r>
            <w:r>
              <w:rPr>
                <w:b/>
                <w:w w:val="95"/>
                <w:sz w:val="21"/>
              </w:rPr>
              <w:t>气、地表水、地</w:t>
            </w:r>
            <w:r>
              <w:rPr>
                <w:b/>
                <w:sz w:val="21"/>
              </w:rPr>
              <w:t>下水等）</w:t>
            </w:r>
          </w:p>
        </w:tc>
        <w:tc>
          <w:tcPr>
            <w:tcW w:w="7186" w:type="dxa"/>
            <w:gridSpan w:val="5"/>
          </w:tcPr>
          <w:p w14:paraId="7A3610DB">
            <w:pPr>
              <w:pStyle w:val="14"/>
              <w:spacing w:before="155" w:line="242" w:lineRule="auto"/>
              <w:ind w:left="126" w:right="118" w:firstLine="2"/>
              <w:jc w:val="center"/>
              <w:rPr>
                <w:sz w:val="21"/>
              </w:rPr>
            </w:pPr>
            <w:r>
              <w:rPr>
                <w:sz w:val="21"/>
              </w:rPr>
              <w:t xml:space="preserve">对环境产生的影响主要是过氧乙酸、次氯酸钠泄露可能引起的大气、地表 </w:t>
            </w:r>
            <w:r>
              <w:rPr>
                <w:w w:val="95"/>
                <w:sz w:val="21"/>
              </w:rPr>
              <w:t xml:space="preserve">水、地下水污染，废水事故排放、废气事故排放引起对地表水、环境空气的  </w:t>
            </w:r>
            <w:r>
              <w:rPr>
                <w:sz w:val="21"/>
              </w:rPr>
              <w:t>污染影响</w:t>
            </w:r>
          </w:p>
        </w:tc>
      </w:tr>
      <w:tr w14:paraId="0CB97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5" w:hRule="atLeast"/>
        </w:trPr>
        <w:tc>
          <w:tcPr>
            <w:tcW w:w="1829" w:type="dxa"/>
          </w:tcPr>
          <w:p w14:paraId="07E7DEE1">
            <w:pPr>
              <w:pStyle w:val="14"/>
              <w:rPr>
                <w:b/>
                <w:sz w:val="20"/>
              </w:rPr>
            </w:pPr>
          </w:p>
          <w:p w14:paraId="7A28616F">
            <w:pPr>
              <w:pStyle w:val="14"/>
              <w:rPr>
                <w:b/>
                <w:sz w:val="20"/>
              </w:rPr>
            </w:pPr>
          </w:p>
          <w:p w14:paraId="59FAA213">
            <w:pPr>
              <w:pStyle w:val="14"/>
              <w:rPr>
                <w:b/>
                <w:sz w:val="20"/>
              </w:rPr>
            </w:pPr>
          </w:p>
          <w:p w14:paraId="39375EAE">
            <w:pPr>
              <w:pStyle w:val="14"/>
              <w:rPr>
                <w:b/>
                <w:sz w:val="20"/>
              </w:rPr>
            </w:pPr>
          </w:p>
          <w:p w14:paraId="47FABA2F">
            <w:pPr>
              <w:pStyle w:val="14"/>
              <w:rPr>
                <w:b/>
                <w:sz w:val="20"/>
              </w:rPr>
            </w:pPr>
          </w:p>
          <w:p w14:paraId="51E99E51">
            <w:pPr>
              <w:pStyle w:val="14"/>
              <w:rPr>
                <w:b/>
                <w:sz w:val="20"/>
              </w:rPr>
            </w:pPr>
          </w:p>
          <w:p w14:paraId="620956B4">
            <w:pPr>
              <w:pStyle w:val="14"/>
              <w:rPr>
                <w:b/>
                <w:sz w:val="20"/>
              </w:rPr>
            </w:pPr>
          </w:p>
          <w:p w14:paraId="3613051A">
            <w:pPr>
              <w:pStyle w:val="14"/>
              <w:rPr>
                <w:b/>
                <w:sz w:val="20"/>
              </w:rPr>
            </w:pPr>
          </w:p>
          <w:p w14:paraId="1FEA2DA8">
            <w:pPr>
              <w:pStyle w:val="14"/>
              <w:rPr>
                <w:b/>
                <w:sz w:val="20"/>
              </w:rPr>
            </w:pPr>
          </w:p>
          <w:p w14:paraId="326E1BB6">
            <w:pPr>
              <w:pStyle w:val="14"/>
              <w:rPr>
                <w:b/>
                <w:sz w:val="20"/>
              </w:rPr>
            </w:pPr>
          </w:p>
          <w:p w14:paraId="663EEA2F">
            <w:pPr>
              <w:pStyle w:val="14"/>
              <w:rPr>
                <w:b/>
                <w:sz w:val="20"/>
              </w:rPr>
            </w:pPr>
          </w:p>
          <w:p w14:paraId="2E423148">
            <w:pPr>
              <w:pStyle w:val="14"/>
              <w:rPr>
                <w:b/>
                <w:sz w:val="20"/>
              </w:rPr>
            </w:pPr>
          </w:p>
          <w:p w14:paraId="5D8FA985">
            <w:pPr>
              <w:pStyle w:val="14"/>
              <w:rPr>
                <w:b/>
                <w:sz w:val="20"/>
              </w:rPr>
            </w:pPr>
          </w:p>
          <w:p w14:paraId="51D79D75">
            <w:pPr>
              <w:pStyle w:val="14"/>
              <w:spacing w:before="8"/>
              <w:rPr>
                <w:b/>
                <w:sz w:val="27"/>
              </w:rPr>
            </w:pPr>
          </w:p>
          <w:p w14:paraId="36D74FCE">
            <w:pPr>
              <w:pStyle w:val="14"/>
              <w:spacing w:line="244" w:lineRule="auto"/>
              <w:ind w:left="808" w:right="168" w:hanging="634"/>
              <w:rPr>
                <w:b/>
                <w:sz w:val="21"/>
              </w:rPr>
            </w:pPr>
            <w:r>
              <w:rPr>
                <w:b/>
                <w:w w:val="95"/>
                <w:sz w:val="21"/>
              </w:rPr>
              <w:t>风险防范措施要</w:t>
            </w:r>
            <w:r>
              <w:rPr>
                <w:b/>
                <w:sz w:val="21"/>
              </w:rPr>
              <w:t>求</w:t>
            </w:r>
          </w:p>
        </w:tc>
        <w:tc>
          <w:tcPr>
            <w:tcW w:w="7186" w:type="dxa"/>
            <w:gridSpan w:val="5"/>
          </w:tcPr>
          <w:p w14:paraId="2B7BB1D0">
            <w:pPr>
              <w:pStyle w:val="14"/>
              <w:spacing w:before="20"/>
              <w:ind w:left="107"/>
              <w:rPr>
                <w:sz w:val="21"/>
              </w:rPr>
            </w:pPr>
            <w:r>
              <w:rPr>
                <w:sz w:val="21"/>
              </w:rPr>
              <w:t>（</w:t>
            </w:r>
            <w:r>
              <w:rPr>
                <w:rFonts w:ascii="Times New Roman" w:eastAsia="Times New Roman"/>
                <w:sz w:val="21"/>
              </w:rPr>
              <w:t>1</w:t>
            </w:r>
            <w:r>
              <w:rPr>
                <w:sz w:val="21"/>
              </w:rPr>
              <w:t>）过氧乙酸、次氯酸钠泄露风险防范措施：</w:t>
            </w:r>
          </w:p>
          <w:p w14:paraId="44B363D2">
            <w:pPr>
              <w:pStyle w:val="14"/>
              <w:spacing w:before="2" w:line="242" w:lineRule="auto"/>
              <w:ind w:left="107" w:right="137"/>
              <w:jc w:val="both"/>
              <w:rPr>
                <w:sz w:val="21"/>
              </w:rPr>
            </w:pPr>
            <w:r>
              <w:rPr>
                <w:w w:val="95"/>
                <w:sz w:val="21"/>
              </w:rPr>
              <w:t xml:space="preserve">①对于危险化学品的购买、储存、保管、使用等需按照《危险化学品安全管  理条例》之规定管理。在过氧乙酸和次氯酸钠的运输、储存过程中，必须严  </w:t>
            </w:r>
            <w:r>
              <w:rPr>
                <w:sz w:val="21"/>
              </w:rPr>
              <w:t>格执行《危险化学品安全管理条例》等有关规定。</w:t>
            </w:r>
          </w:p>
          <w:p w14:paraId="23BE269C">
            <w:pPr>
              <w:pStyle w:val="14"/>
              <w:spacing w:before="4" w:line="242" w:lineRule="auto"/>
              <w:ind w:left="107" w:right="137"/>
              <w:jc w:val="both"/>
              <w:rPr>
                <w:sz w:val="21"/>
              </w:rPr>
            </w:pPr>
            <w:r>
              <w:rPr>
                <w:w w:val="95"/>
                <w:sz w:val="21"/>
              </w:rPr>
              <w:t xml:space="preserve">②选择合理的运输路线，尽量避开人口稠密区及居民生活区；同时对危险化  学品运输车辆的驾驶员进行严格的有关安全知识培训和资格认证。装卸作业  </w:t>
            </w:r>
            <w:r>
              <w:rPr>
                <w:sz w:val="21"/>
              </w:rPr>
              <w:t>必须在装卸管理人员的现场指挥下进行。</w:t>
            </w:r>
          </w:p>
          <w:p w14:paraId="6E4CF04B">
            <w:pPr>
              <w:pStyle w:val="14"/>
              <w:spacing w:line="242" w:lineRule="auto"/>
              <w:ind w:left="107" w:right="137"/>
              <w:rPr>
                <w:sz w:val="21"/>
              </w:rPr>
            </w:pPr>
            <w:r>
              <w:rPr>
                <w:sz w:val="21"/>
              </w:rPr>
              <w:t xml:space="preserve">③起运时包装要完整，装载应稳妥。运输过程中要确保容器不泄漏、不倒 </w:t>
            </w:r>
            <w:r>
              <w:rPr>
                <w:w w:val="95"/>
                <w:sz w:val="21"/>
              </w:rPr>
              <w:t xml:space="preserve">塌、不坠落、不损坏。严禁与碱类、食用化学品等混装混运。运输时运输车  </w:t>
            </w:r>
            <w:r>
              <w:rPr>
                <w:sz w:val="21"/>
              </w:rPr>
              <w:t>辆应配备泄漏应急处理设备。运输途中应防曝晒、雨淋，防高温。</w:t>
            </w:r>
          </w:p>
          <w:p w14:paraId="4B42C6DA">
            <w:pPr>
              <w:pStyle w:val="14"/>
              <w:spacing w:before="1" w:line="242" w:lineRule="auto"/>
              <w:ind w:left="107" w:right="137"/>
              <w:jc w:val="both"/>
              <w:rPr>
                <w:sz w:val="21"/>
              </w:rPr>
            </w:pPr>
            <w:r>
              <w:rPr>
                <w:w w:val="95"/>
                <w:sz w:val="21"/>
              </w:rPr>
              <w:t xml:space="preserve">④危险化学品必须储存在专用仓库、专用场地或者专用储存室内，其储存方  式、方法与储存数量必须符合国家有关规定，并由专人管理，危险化学品出  入库，必须进行核查登记，并定期检查库存。危险化学品专用仓库，应当符  </w:t>
            </w:r>
            <w:r>
              <w:rPr>
                <w:sz w:val="21"/>
              </w:rPr>
              <w:t>合国家相关规定</w:t>
            </w:r>
            <w:r>
              <w:rPr>
                <w:rFonts w:ascii="Times New Roman" w:hAnsi="Times New Roman" w:eastAsia="Times New Roman"/>
                <w:spacing w:val="-3"/>
                <w:sz w:val="21"/>
              </w:rPr>
              <w:t>(</w:t>
            </w:r>
            <w:r>
              <w:rPr>
                <w:sz w:val="21"/>
              </w:rPr>
              <w:t>安全、消防</w:t>
            </w:r>
            <w:r>
              <w:rPr>
                <w:rFonts w:ascii="Times New Roman" w:hAnsi="Times New Roman" w:eastAsia="Times New Roman"/>
                <w:sz w:val="21"/>
              </w:rPr>
              <w:t>)</w:t>
            </w:r>
            <w:r>
              <w:rPr>
                <w:sz w:val="21"/>
              </w:rPr>
              <w:t>要求，设置明显标志。</w:t>
            </w:r>
          </w:p>
          <w:p w14:paraId="1D66EFFE">
            <w:pPr>
              <w:pStyle w:val="14"/>
              <w:spacing w:before="3" w:line="242" w:lineRule="auto"/>
              <w:ind w:left="107" w:right="137"/>
              <w:jc w:val="both"/>
              <w:rPr>
                <w:sz w:val="21"/>
              </w:rPr>
            </w:pPr>
            <w:r>
              <w:rPr>
                <w:w w:val="95"/>
                <w:sz w:val="21"/>
              </w:rPr>
              <w:t xml:space="preserve">⑤储存场所应当设置明显的禁止烟火的防火标志，严禁使用非防爆电气照明  或明火，电气线路若非十分必要不得架设，必须设置时必须采用防爆设计或  采取防爆措施。同时要注意与热源、明火、易燃可燃物质等分开。应与碱类  </w:t>
            </w:r>
            <w:r>
              <w:rPr>
                <w:sz w:val="21"/>
              </w:rPr>
              <w:t>分开存放，切忌混储。储区应备有泄漏应急处理设备和合适的收容材料。</w:t>
            </w:r>
          </w:p>
          <w:p w14:paraId="710955BA">
            <w:pPr>
              <w:pStyle w:val="14"/>
              <w:spacing w:before="2"/>
              <w:ind w:left="107"/>
              <w:rPr>
                <w:sz w:val="21"/>
              </w:rPr>
            </w:pPr>
            <w:r>
              <w:rPr>
                <w:sz w:val="21"/>
              </w:rPr>
              <w:t>（</w:t>
            </w:r>
            <w:r>
              <w:rPr>
                <w:rFonts w:ascii="Times New Roman" w:eastAsia="Times New Roman"/>
                <w:sz w:val="21"/>
              </w:rPr>
              <w:t>2</w:t>
            </w:r>
            <w:r>
              <w:rPr>
                <w:sz w:val="21"/>
              </w:rPr>
              <w:t>）消防废水事故排放风险防范措施</w:t>
            </w:r>
          </w:p>
          <w:p w14:paraId="7A010CD5">
            <w:pPr>
              <w:pStyle w:val="14"/>
              <w:spacing w:before="5"/>
              <w:ind w:left="107"/>
              <w:rPr>
                <w:sz w:val="21"/>
              </w:rPr>
            </w:pPr>
            <w:r>
              <w:rPr>
                <w:sz w:val="21"/>
              </w:rPr>
              <w:t>①雨水、污水排放口设置应急阀门；</w:t>
            </w:r>
          </w:p>
          <w:p w14:paraId="2D33AC98">
            <w:pPr>
              <w:pStyle w:val="14"/>
              <w:spacing w:before="2" w:line="242" w:lineRule="auto"/>
              <w:ind w:left="107" w:right="137"/>
              <w:rPr>
                <w:sz w:val="21"/>
              </w:rPr>
            </w:pPr>
            <w:r>
              <w:rPr>
                <w:w w:val="95"/>
                <w:sz w:val="21"/>
              </w:rPr>
              <w:t>②厂区消防废水通过沟渠收集进入雨水管网，在厂区雨水管网集中汇入市政  雨水管网的节点上安装可靠的隔断措施，例如阀门等，可在灭火时将此隔断</w:t>
            </w:r>
            <w:r>
              <w:rPr>
                <w:spacing w:val="-1"/>
                <w:w w:val="99"/>
                <w:sz w:val="21"/>
              </w:rPr>
              <w:t>措施关闭，将消防废水引入事故池</w:t>
            </w:r>
            <w:r>
              <w:rPr>
                <w:spacing w:val="1"/>
                <w:w w:val="99"/>
                <w:sz w:val="21"/>
              </w:rPr>
              <w:t>（</w:t>
            </w:r>
            <w:r>
              <w:rPr>
                <w:spacing w:val="-1"/>
                <w:w w:val="99"/>
                <w:sz w:val="21"/>
              </w:rPr>
              <w:t>由污水站应急池兼作事故池</w:t>
            </w:r>
            <w:r>
              <w:rPr>
                <w:spacing w:val="-104"/>
                <w:w w:val="99"/>
                <w:sz w:val="21"/>
              </w:rPr>
              <w:t>）</w:t>
            </w:r>
            <w:r>
              <w:rPr>
                <w:spacing w:val="-1"/>
                <w:w w:val="99"/>
                <w:sz w:val="21"/>
              </w:rPr>
              <w:t>，防止消</w:t>
            </w:r>
            <w:r>
              <w:rPr>
                <w:sz w:val="21"/>
              </w:rPr>
              <w:t>防废水直接进入市政雨水管网。</w:t>
            </w:r>
          </w:p>
          <w:p w14:paraId="423C8C5B">
            <w:pPr>
              <w:pStyle w:val="14"/>
              <w:spacing w:before="2" w:line="242" w:lineRule="auto"/>
              <w:ind w:left="107" w:right="137"/>
              <w:rPr>
                <w:sz w:val="21"/>
              </w:rPr>
            </w:pPr>
            <w:r>
              <w:rPr>
                <w:w w:val="95"/>
                <w:sz w:val="21"/>
              </w:rPr>
              <w:t xml:space="preserve">③在厂区边界预先准备适量的沙包，在厂区灭火时堵住厂界围墙有泄漏的地  </w:t>
            </w:r>
            <w:r>
              <w:rPr>
                <w:sz w:val="21"/>
              </w:rPr>
              <w:t>方，防止消防废水向场外泄漏；</w:t>
            </w:r>
          </w:p>
          <w:p w14:paraId="1A776004">
            <w:pPr>
              <w:pStyle w:val="14"/>
              <w:spacing w:before="2"/>
              <w:ind w:left="107"/>
              <w:rPr>
                <w:sz w:val="21"/>
              </w:rPr>
            </w:pPr>
            <w:r>
              <w:rPr>
                <w:sz w:val="21"/>
              </w:rPr>
              <w:t>（</w:t>
            </w:r>
            <w:r>
              <w:rPr>
                <w:rFonts w:ascii="Times New Roman" w:eastAsia="Times New Roman"/>
                <w:sz w:val="21"/>
              </w:rPr>
              <w:t>3</w:t>
            </w:r>
            <w:r>
              <w:rPr>
                <w:sz w:val="21"/>
              </w:rPr>
              <w:t>）废水事故排放风险防范措施</w:t>
            </w:r>
          </w:p>
          <w:p w14:paraId="6EE6B677">
            <w:pPr>
              <w:pStyle w:val="14"/>
              <w:spacing w:before="3" w:line="270" w:lineRule="atLeast"/>
              <w:ind w:left="107" w:right="137"/>
              <w:rPr>
                <w:sz w:val="21"/>
              </w:rPr>
            </w:pPr>
            <w:r>
              <w:rPr>
                <w:sz w:val="21"/>
              </w:rPr>
              <w:t xml:space="preserve">①配备足够的备用设备和应急零部件。加强对污水处理设施设备维修与保 </w:t>
            </w:r>
            <w:r>
              <w:rPr>
                <w:w w:val="95"/>
                <w:sz w:val="21"/>
              </w:rPr>
              <w:t>养，要求设施管理人员规范化操作，对泵、阀门等定期检修维护，防治突发</w:t>
            </w:r>
          </w:p>
        </w:tc>
      </w:tr>
    </w:tbl>
    <w:p w14:paraId="1B47A34A">
      <w:pPr>
        <w:spacing w:after="0" w:line="270" w:lineRule="atLeast"/>
        <w:rPr>
          <w:sz w:val="21"/>
        </w:rPr>
        <w:sectPr>
          <w:footerReference r:id="rId37" w:type="default"/>
          <w:pgSz w:w="11910" w:h="16840"/>
          <w:pgMar w:top="1360" w:right="1320" w:bottom="1400" w:left="1340" w:header="878" w:footer="1204" w:gutter="0"/>
          <w:pgNumType w:start="140"/>
          <w:cols w:space="720" w:num="1"/>
        </w:sectPr>
      </w:pPr>
    </w:p>
    <w:p w14:paraId="35D1F6F0">
      <w:pPr>
        <w:pStyle w:val="7"/>
        <w:spacing w:before="9"/>
        <w:rPr>
          <w:rFonts w:ascii="Times New Roman"/>
          <w:sz w:val="5"/>
        </w:rPr>
      </w:pPr>
    </w:p>
    <w:tbl>
      <w:tblPr>
        <w:tblStyle w:val="10"/>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7186"/>
      </w:tblGrid>
      <w:tr w14:paraId="598BE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2" w:hRule="atLeast"/>
        </w:trPr>
        <w:tc>
          <w:tcPr>
            <w:tcW w:w="1829" w:type="dxa"/>
          </w:tcPr>
          <w:p w14:paraId="2A6CBC07">
            <w:pPr>
              <w:pStyle w:val="14"/>
              <w:rPr>
                <w:rFonts w:ascii="Times New Roman"/>
                <w:sz w:val="20"/>
              </w:rPr>
            </w:pPr>
          </w:p>
        </w:tc>
        <w:tc>
          <w:tcPr>
            <w:tcW w:w="7186" w:type="dxa"/>
          </w:tcPr>
          <w:p w14:paraId="6843983B">
            <w:pPr>
              <w:pStyle w:val="14"/>
              <w:spacing w:before="2"/>
              <w:ind w:left="107"/>
              <w:rPr>
                <w:sz w:val="21"/>
              </w:rPr>
            </w:pPr>
            <w:r>
              <w:rPr>
                <w:sz w:val="21"/>
              </w:rPr>
              <w:t>事件发生；</w:t>
            </w:r>
          </w:p>
          <w:p w14:paraId="3F0289DB">
            <w:pPr>
              <w:pStyle w:val="14"/>
              <w:spacing w:before="2" w:line="242" w:lineRule="auto"/>
              <w:ind w:left="107" w:right="137"/>
              <w:jc w:val="both"/>
              <w:rPr>
                <w:sz w:val="21"/>
              </w:rPr>
            </w:pPr>
            <w:r>
              <w:rPr>
                <w:w w:val="95"/>
                <w:sz w:val="21"/>
              </w:rPr>
              <w:t xml:space="preserve">②制定污水处理设施事故应急预案，实施事故应急处理分级责任制，落实责  </w:t>
            </w:r>
            <w:r>
              <w:rPr>
                <w:spacing w:val="-8"/>
                <w:sz w:val="21"/>
              </w:rPr>
              <w:t>任人， 并建立应对事故的机制和措施。</w:t>
            </w:r>
          </w:p>
          <w:p w14:paraId="459792A8">
            <w:pPr>
              <w:pStyle w:val="14"/>
              <w:spacing w:before="1" w:line="242" w:lineRule="auto"/>
              <w:ind w:left="107" w:right="137"/>
              <w:jc w:val="both"/>
              <w:rPr>
                <w:sz w:val="21"/>
              </w:rPr>
            </w:pPr>
            <w:r>
              <w:rPr>
                <w:w w:val="95"/>
                <w:sz w:val="21"/>
              </w:rPr>
              <w:t xml:space="preserve">③运行期项目配设污水排放在线监测设备，通过监测设备发现项目污水故障  排放时，立即关闭污水总排放处闸门防止污水超标排放，将污水引入污水处  </w:t>
            </w:r>
            <w:r>
              <w:rPr>
                <w:sz w:val="21"/>
              </w:rPr>
              <w:t>理站调节池内暂存，待污水处理设施检修完毕后再行处理。</w:t>
            </w:r>
          </w:p>
          <w:p w14:paraId="2CC5C6AD">
            <w:pPr>
              <w:pStyle w:val="14"/>
              <w:spacing w:before="1"/>
              <w:ind w:left="107"/>
              <w:jc w:val="both"/>
              <w:rPr>
                <w:sz w:val="21"/>
              </w:rPr>
            </w:pPr>
            <w:r>
              <w:rPr>
                <w:sz w:val="21"/>
              </w:rPr>
              <w:t>④加强运行管理和进出水的监测工作，未经处理达标的废水严禁外排。</w:t>
            </w:r>
          </w:p>
          <w:p w14:paraId="6CC133D9">
            <w:pPr>
              <w:pStyle w:val="14"/>
              <w:spacing w:before="4"/>
              <w:ind w:left="107"/>
              <w:jc w:val="both"/>
              <w:rPr>
                <w:sz w:val="21"/>
              </w:rPr>
            </w:pPr>
            <w:r>
              <w:rPr>
                <w:sz w:val="21"/>
              </w:rPr>
              <w:t>（</w:t>
            </w:r>
            <w:r>
              <w:rPr>
                <w:rFonts w:ascii="Times New Roman" w:eastAsia="Times New Roman"/>
                <w:sz w:val="21"/>
              </w:rPr>
              <w:t>4</w:t>
            </w:r>
            <w:r>
              <w:rPr>
                <w:sz w:val="21"/>
              </w:rPr>
              <w:t>）废气事故排放风险防范措施</w:t>
            </w:r>
          </w:p>
          <w:p w14:paraId="5D334055">
            <w:pPr>
              <w:pStyle w:val="14"/>
              <w:spacing w:before="3"/>
              <w:ind w:left="107"/>
              <w:jc w:val="both"/>
              <w:rPr>
                <w:sz w:val="21"/>
              </w:rPr>
            </w:pPr>
            <w:r>
              <w:rPr>
                <w:sz w:val="21"/>
              </w:rPr>
              <w:t>①建立严格的操作规程，实行目标责任制，保证环保设施的正常运行。</w:t>
            </w:r>
          </w:p>
          <w:p w14:paraId="3926C0FE">
            <w:pPr>
              <w:pStyle w:val="14"/>
              <w:spacing w:before="4"/>
              <w:ind w:left="107"/>
              <w:jc w:val="both"/>
              <w:rPr>
                <w:sz w:val="21"/>
              </w:rPr>
            </w:pPr>
            <w:r>
              <w:rPr>
                <w:sz w:val="21"/>
              </w:rPr>
              <w:t>②对废气处理设施定期监测、维护，以确保废气处理设施正常运行。</w:t>
            </w:r>
          </w:p>
          <w:p w14:paraId="554461F9">
            <w:pPr>
              <w:pStyle w:val="14"/>
              <w:spacing w:before="2"/>
              <w:ind w:left="107"/>
              <w:jc w:val="both"/>
              <w:rPr>
                <w:sz w:val="21"/>
              </w:rPr>
            </w:pPr>
            <w:r>
              <w:rPr>
                <w:sz w:val="21"/>
              </w:rPr>
              <w:t>③废气处理设施设置标准并注明注意事项，防治错误操作引起的事故排放。</w:t>
            </w:r>
          </w:p>
          <w:p w14:paraId="1F9C5F42">
            <w:pPr>
              <w:pStyle w:val="14"/>
              <w:spacing w:before="5" w:line="242" w:lineRule="auto"/>
              <w:ind w:left="107" w:right="137"/>
              <w:jc w:val="both"/>
              <w:rPr>
                <w:sz w:val="21"/>
              </w:rPr>
            </w:pPr>
            <w:r>
              <w:rPr>
                <w:w w:val="95"/>
                <w:sz w:val="21"/>
              </w:rPr>
              <w:t xml:space="preserve">④加强对职工的安全教育，制定严格的工作制度，所有操作人员必须了解接  触的化学品的有害作用及对患者的急救措施，保证生产的正常运行和员工的  </w:t>
            </w:r>
            <w:r>
              <w:rPr>
                <w:sz w:val="21"/>
              </w:rPr>
              <w:t>身体健康。</w:t>
            </w:r>
          </w:p>
        </w:tc>
      </w:tr>
      <w:tr w14:paraId="625A1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9015" w:type="dxa"/>
            <w:gridSpan w:val="2"/>
          </w:tcPr>
          <w:p w14:paraId="4EA8ADAF">
            <w:pPr>
              <w:pStyle w:val="14"/>
              <w:spacing w:before="20"/>
              <w:ind w:left="107"/>
              <w:rPr>
                <w:rFonts w:ascii="Times New Roman" w:eastAsia="Times New Roman"/>
                <w:b/>
                <w:sz w:val="21"/>
              </w:rPr>
            </w:pPr>
            <w:r>
              <w:rPr>
                <w:b/>
                <w:spacing w:val="0"/>
                <w:w w:val="99"/>
                <w:sz w:val="21"/>
              </w:rPr>
              <w:t>填表说明</w:t>
            </w:r>
            <w:r>
              <w:rPr>
                <w:b/>
                <w:spacing w:val="1"/>
                <w:w w:val="99"/>
                <w:sz w:val="21"/>
              </w:rPr>
              <w:t>（</w:t>
            </w:r>
            <w:r>
              <w:rPr>
                <w:b/>
                <w:spacing w:val="-1"/>
                <w:w w:val="99"/>
                <w:sz w:val="21"/>
              </w:rPr>
              <w:t>列出项目相关信息及评价说明</w:t>
            </w:r>
            <w:r>
              <w:rPr>
                <w:b/>
                <w:spacing w:val="-104"/>
                <w:w w:val="99"/>
                <w:sz w:val="21"/>
              </w:rPr>
              <w:t>）</w:t>
            </w:r>
            <w:r>
              <w:rPr>
                <w:b/>
                <w:spacing w:val="-7"/>
                <w:w w:val="99"/>
                <w:sz w:val="21"/>
              </w:rPr>
              <w:t>：根据《建设项目环境风险评价技术导则》</w:t>
            </w:r>
            <w:r>
              <w:rPr>
                <w:b/>
                <w:spacing w:val="1"/>
                <w:w w:val="99"/>
                <w:sz w:val="21"/>
              </w:rPr>
              <w:t>（</w:t>
            </w:r>
            <w:r>
              <w:rPr>
                <w:rFonts w:ascii="Times New Roman" w:eastAsia="Times New Roman"/>
                <w:b/>
                <w:w w:val="99"/>
                <w:sz w:val="21"/>
              </w:rPr>
              <w:t>H</w:t>
            </w:r>
            <w:r>
              <w:rPr>
                <w:rFonts w:ascii="Times New Roman" w:eastAsia="Times New Roman"/>
                <w:b/>
                <w:spacing w:val="0"/>
                <w:w w:val="99"/>
                <w:sz w:val="21"/>
              </w:rPr>
              <w:t>J169</w:t>
            </w:r>
            <w:r>
              <w:rPr>
                <w:rFonts w:ascii="Times New Roman" w:eastAsia="Times New Roman"/>
                <w:b/>
                <w:w w:val="99"/>
                <w:sz w:val="21"/>
              </w:rPr>
              <w:t>-</w:t>
            </w:r>
          </w:p>
          <w:p w14:paraId="6A09C50A">
            <w:pPr>
              <w:pStyle w:val="14"/>
              <w:spacing w:before="2" w:line="242" w:lineRule="auto"/>
              <w:ind w:left="107" w:right="207"/>
              <w:rPr>
                <w:b/>
                <w:sz w:val="21"/>
              </w:rPr>
            </w:pPr>
            <w:r>
              <w:rPr>
                <w:rFonts w:ascii="Times New Roman" w:hAnsi="Times New Roman" w:eastAsia="Times New Roman"/>
                <w:b/>
                <w:sz w:val="21"/>
              </w:rPr>
              <w:t>2018</w:t>
            </w:r>
            <w:r>
              <w:rPr>
                <w:b/>
                <w:sz w:val="21"/>
              </w:rPr>
              <w:t xml:space="preserve">）附录 </w:t>
            </w:r>
            <w:r>
              <w:rPr>
                <w:rFonts w:ascii="Times New Roman" w:hAnsi="Times New Roman" w:eastAsia="Times New Roman"/>
                <w:b/>
                <w:sz w:val="21"/>
              </w:rPr>
              <w:t>B</w:t>
            </w:r>
            <w:r>
              <w:rPr>
                <w:b/>
                <w:sz w:val="21"/>
              </w:rPr>
              <w:t>，本项目所涉及的危险物质为过氧乙酸和次氯酸钠，经计算本项目危险物质数量与临界值比值（</w:t>
            </w:r>
            <w:r>
              <w:rPr>
                <w:rFonts w:ascii="Times New Roman" w:hAnsi="Times New Roman" w:eastAsia="Times New Roman"/>
                <w:b/>
                <w:sz w:val="21"/>
              </w:rPr>
              <w:t>Q</w:t>
            </w:r>
            <w:r>
              <w:rPr>
                <w:b/>
                <w:sz w:val="21"/>
              </w:rPr>
              <w:t xml:space="preserve">）小于 </w:t>
            </w:r>
            <w:r>
              <w:rPr>
                <w:rFonts w:ascii="Times New Roman" w:hAnsi="Times New Roman" w:eastAsia="Times New Roman"/>
                <w:b/>
                <w:sz w:val="21"/>
              </w:rPr>
              <w:t>1</w:t>
            </w:r>
            <w:r>
              <w:rPr>
                <w:b/>
                <w:sz w:val="21"/>
              </w:rPr>
              <w:t>，则本项目环境风险潜势为Ⅰ，环境风险评级等级为简单分析。</w:t>
            </w:r>
          </w:p>
        </w:tc>
      </w:tr>
    </w:tbl>
    <w:p w14:paraId="335534FF">
      <w:pPr>
        <w:spacing w:after="0" w:line="242" w:lineRule="auto"/>
        <w:rPr>
          <w:sz w:val="21"/>
        </w:rPr>
        <w:sectPr>
          <w:pgSz w:w="11910" w:h="16840"/>
          <w:pgMar w:top="1360" w:right="1320" w:bottom="1400" w:left="1340" w:header="878" w:footer="1204" w:gutter="0"/>
          <w:cols w:space="720" w:num="1"/>
        </w:sectPr>
      </w:pPr>
    </w:p>
    <w:p w14:paraId="4E0B1CAD">
      <w:pPr>
        <w:pStyle w:val="7"/>
        <w:spacing w:before="10"/>
        <w:rPr>
          <w:rFonts w:ascii="Times New Roman"/>
          <w:sz w:val="10"/>
        </w:rPr>
      </w:pPr>
    </w:p>
    <w:p w14:paraId="5984DD3D">
      <w:pPr>
        <w:pStyle w:val="2"/>
        <w:numPr>
          <w:ilvl w:val="0"/>
          <w:numId w:val="27"/>
        </w:numPr>
        <w:tabs>
          <w:tab w:val="left" w:pos="2637"/>
        </w:tabs>
        <w:spacing w:before="65" w:after="0" w:line="240" w:lineRule="auto"/>
        <w:ind w:left="2636" w:right="0" w:hanging="228"/>
        <w:jc w:val="left"/>
        <w:rPr>
          <w:rFonts w:ascii="Times New Roman" w:eastAsia="Times New Roman"/>
        </w:rPr>
      </w:pPr>
      <w:bookmarkStart w:id="262" w:name="_bookmark36"/>
      <w:bookmarkEnd w:id="262"/>
      <w:bookmarkStart w:id="263" w:name="7环境保护措施及其可行性论证"/>
      <w:bookmarkEnd w:id="263"/>
      <w:bookmarkStart w:id="264" w:name="_bookmark36"/>
      <w:bookmarkEnd w:id="264"/>
      <w:r>
        <w:t>环境保护措施及其可行性论证</w:t>
      </w:r>
    </w:p>
    <w:p w14:paraId="0BBD4755">
      <w:pPr>
        <w:pStyle w:val="7"/>
        <w:spacing w:before="12"/>
        <w:rPr>
          <w:b/>
          <w:sz w:val="25"/>
        </w:rPr>
      </w:pPr>
    </w:p>
    <w:p w14:paraId="515F9032">
      <w:pPr>
        <w:pStyle w:val="3"/>
        <w:numPr>
          <w:ilvl w:val="1"/>
          <w:numId w:val="28"/>
        </w:numPr>
        <w:tabs>
          <w:tab w:val="left" w:pos="868"/>
        </w:tabs>
        <w:spacing w:before="0" w:after="0" w:line="240" w:lineRule="auto"/>
        <w:ind w:left="868" w:right="0" w:hanging="408"/>
        <w:jc w:val="left"/>
      </w:pPr>
      <w:bookmarkStart w:id="265" w:name="7.1施工期污染防治措施及其可行性分析"/>
      <w:bookmarkEnd w:id="265"/>
      <w:bookmarkStart w:id="266" w:name="_bookmark37"/>
      <w:bookmarkEnd w:id="266"/>
      <w:bookmarkStart w:id="267" w:name="_bookmark37"/>
      <w:bookmarkEnd w:id="267"/>
      <w:r>
        <w:t>施工期污染防治措施及其可行性分析</w:t>
      </w:r>
    </w:p>
    <w:p w14:paraId="464C4173">
      <w:pPr>
        <w:pStyle w:val="6"/>
        <w:numPr>
          <w:ilvl w:val="2"/>
          <w:numId w:val="28"/>
        </w:numPr>
        <w:tabs>
          <w:tab w:val="left" w:pos="991"/>
        </w:tabs>
        <w:spacing w:before="186" w:after="0" w:line="240" w:lineRule="auto"/>
        <w:ind w:left="990" w:right="0" w:hanging="530"/>
        <w:jc w:val="left"/>
      </w:pPr>
      <w:bookmarkStart w:id="268" w:name="7.1.1施工期大气污染防治措施"/>
      <w:bookmarkEnd w:id="268"/>
      <w:bookmarkStart w:id="269" w:name="7.1.1施工期大气污染防治措施"/>
      <w:bookmarkEnd w:id="269"/>
      <w:r>
        <w:t>施工期大气污染防治措施</w:t>
      </w:r>
    </w:p>
    <w:p w14:paraId="6442A3E2">
      <w:pPr>
        <w:pStyle w:val="7"/>
        <w:spacing w:before="158"/>
        <w:ind w:left="940"/>
      </w:pPr>
      <w:r>
        <w:rPr>
          <w:rFonts w:ascii="Times New Roman" w:eastAsia="Times New Roman"/>
        </w:rPr>
        <w:t>1</w:t>
      </w:r>
      <w:r>
        <w:t>、扬尘污染防治措施</w:t>
      </w:r>
    </w:p>
    <w:p w14:paraId="0AF9090E">
      <w:pPr>
        <w:pStyle w:val="7"/>
        <w:spacing w:before="158" w:line="364" w:lineRule="auto"/>
        <w:ind w:left="460" w:right="477" w:firstLine="480"/>
        <w:jc w:val="both"/>
      </w:pPr>
      <w:r>
        <w:t>为防止或减小项目建设及运输过程中的扬尘对环境空气及敏感目标的影响</w:t>
      </w:r>
      <w:r>
        <w:rPr>
          <w:rFonts w:ascii="Times New Roman" w:eastAsia="Times New Roman"/>
        </w:rPr>
        <w:t xml:space="preserve">, </w:t>
      </w:r>
      <w:r>
        <w:t>应采取下述扬尘污染防治措施：</w:t>
      </w:r>
    </w:p>
    <w:p w14:paraId="14D6A34E">
      <w:pPr>
        <w:pStyle w:val="7"/>
        <w:spacing w:before="1" w:line="362" w:lineRule="auto"/>
        <w:ind w:left="460" w:right="477" w:firstLine="480"/>
        <w:jc w:val="both"/>
      </w:pPr>
      <w:r>
        <w:t>①整个施工期必须适量的专职保洁员。根据施工工期、阶段和进度明确建设方、施工方扬尘控制责任人员数量、名单、联系电话和责任范围。</w:t>
      </w:r>
    </w:p>
    <w:p w14:paraId="68978D53">
      <w:pPr>
        <w:pStyle w:val="7"/>
        <w:spacing w:before="5" w:line="364" w:lineRule="auto"/>
        <w:ind w:left="460" w:right="477" w:firstLine="480"/>
        <w:jc w:val="both"/>
      </w:pPr>
      <w:r>
        <w:t xml:space="preserve">②设置洗车平台，完善排水设施，防止泥土粘带；对出场车辆的车身、轮胎进行冲洗，冲洗台周边设置防溢座、导流渠、沉淀池等设施；每个冲洗点必须配置清洗机和清洗员，洗车作业地面和连接进出口的道路必须水泥硬化，连接出口的道路必须保洁，保洁的长度不小于 </w:t>
      </w:r>
      <w:r>
        <w:rPr>
          <w:rFonts w:ascii="Times New Roman" w:hAnsi="Times New Roman" w:eastAsia="Times New Roman"/>
        </w:rPr>
        <w:t>50m</w:t>
      </w:r>
      <w:r>
        <w:t>。</w:t>
      </w:r>
    </w:p>
    <w:p w14:paraId="6501DF05">
      <w:pPr>
        <w:pStyle w:val="7"/>
        <w:spacing w:line="364" w:lineRule="auto"/>
        <w:ind w:left="460" w:right="477" w:firstLine="480"/>
        <w:jc w:val="both"/>
      </w:pPr>
      <w:r>
        <w:rPr>
          <w:spacing w:val="-4"/>
        </w:rPr>
        <w:t xml:space="preserve">③施工期间，当空气污染指数为 </w:t>
      </w:r>
      <w:r>
        <w:rPr>
          <w:rFonts w:ascii="Times New Roman" w:hAnsi="Times New Roman" w:eastAsia="Times New Roman"/>
        </w:rPr>
        <w:t xml:space="preserve">80~100 </w:t>
      </w:r>
      <w:r>
        <w:rPr>
          <w:spacing w:val="-9"/>
        </w:rPr>
        <w:t xml:space="preserve">时，应每隔 </w:t>
      </w:r>
      <w:r>
        <w:rPr>
          <w:rFonts w:ascii="Times New Roman" w:hAnsi="Times New Roman" w:eastAsia="Times New Roman"/>
        </w:rPr>
        <w:t xml:space="preserve">4 </w:t>
      </w:r>
      <w:r>
        <w:t>小时保洁一次，清扫</w:t>
      </w:r>
      <w:r>
        <w:rPr>
          <w:spacing w:val="-26"/>
        </w:rPr>
        <w:t xml:space="preserve">每 </w:t>
      </w:r>
      <w:r>
        <w:rPr>
          <w:rFonts w:ascii="Times New Roman" w:hAnsi="Times New Roman" w:eastAsia="Times New Roman"/>
        </w:rPr>
        <w:t xml:space="preserve">4 </w:t>
      </w:r>
      <w:r>
        <w:t xml:space="preserve">小时一次，洒水和清扫次数为交替进行；当空气污染指数大于 </w:t>
      </w:r>
      <w:r>
        <w:rPr>
          <w:rFonts w:ascii="Times New Roman" w:hAnsi="Times New Roman" w:eastAsia="Times New Roman"/>
        </w:rPr>
        <w:t xml:space="preserve">100 </w:t>
      </w:r>
      <w:r>
        <w:rPr>
          <w:spacing w:val="-26"/>
        </w:rPr>
        <w:t xml:space="preserve">或 </w:t>
      </w:r>
      <w:r>
        <w:rPr>
          <w:rFonts w:ascii="Times New Roman" w:hAnsi="Times New Roman" w:eastAsia="Times New Roman"/>
        </w:rPr>
        <w:t xml:space="preserve">4 </w:t>
      </w:r>
      <w:r>
        <w:t>级以上大风、高温干燥天气时，不许土方作业和人工干扫，保洁、洒水、清扫次</w:t>
      </w:r>
      <w:r>
        <w:rPr>
          <w:spacing w:val="-4"/>
        </w:rPr>
        <w:t xml:space="preserve">数增加；当空气污染指数低于 </w:t>
      </w:r>
      <w:r>
        <w:rPr>
          <w:rFonts w:ascii="Times New Roman" w:hAnsi="Times New Roman" w:eastAsia="Times New Roman"/>
        </w:rPr>
        <w:t xml:space="preserve">50 </w:t>
      </w:r>
      <w:r>
        <w:t>或雨天时，可以在保持清洁的前提下适当降低保洁强度和洒水、清扫次数。</w:t>
      </w:r>
    </w:p>
    <w:p w14:paraId="79849A3E">
      <w:pPr>
        <w:pStyle w:val="7"/>
        <w:spacing w:line="364" w:lineRule="auto"/>
        <w:ind w:left="460" w:right="477" w:firstLine="480"/>
        <w:jc w:val="both"/>
      </w:pPr>
      <w:r>
        <w:t>④施工过程中使用易产生扬尘的建筑材料，应采取密闭存储、设置围挡或堆砌围墙、采用防尘布苫盖等有效防尘措施。施工工程中产生的建筑垃圾，应及时清运。</w:t>
      </w:r>
    </w:p>
    <w:p w14:paraId="5A7E0EBE">
      <w:pPr>
        <w:pStyle w:val="7"/>
        <w:spacing w:line="362" w:lineRule="auto"/>
        <w:ind w:left="460" w:right="477" w:firstLine="480"/>
        <w:jc w:val="both"/>
      </w:pPr>
      <w:r>
        <w:t>⑤装载物料的运输车辆应尽量采用密闭车斗，若无密闭车斗，装载物料不得超过车辆槽帮上沿，车斗应用苫布盖严， 苫布边沿应超出槽帮上沿以下</w:t>
      </w:r>
    </w:p>
    <w:p w14:paraId="381CA08E">
      <w:pPr>
        <w:pStyle w:val="7"/>
        <w:ind w:left="460"/>
      </w:pPr>
      <w:r>
        <w:rPr>
          <w:rFonts w:ascii="Times New Roman" w:eastAsia="Times New Roman"/>
        </w:rPr>
        <w:t>15cm</w:t>
      </w:r>
      <w:r>
        <w:t>，保证物料不露出，车辆应按照批准的路线和时间进行运输。</w:t>
      </w:r>
    </w:p>
    <w:p w14:paraId="0AB412ED">
      <w:pPr>
        <w:pStyle w:val="7"/>
        <w:spacing w:before="158"/>
        <w:ind w:left="940"/>
        <w:rPr>
          <w:rFonts w:ascii="Times New Roman" w:hAnsi="Times New Roman" w:eastAsia="Times New Roman"/>
        </w:rPr>
      </w:pPr>
      <w:r>
        <w:t xml:space="preserve">⑥按规定使用商品砼；在施工场地四周设实体围挡，围挡高不少于 </w:t>
      </w:r>
      <w:r>
        <w:rPr>
          <w:rFonts w:ascii="Times New Roman" w:hAnsi="Times New Roman" w:eastAsia="Times New Roman"/>
        </w:rPr>
        <w:t>2.5</w:t>
      </w:r>
    </w:p>
    <w:p w14:paraId="25154F69">
      <w:pPr>
        <w:pStyle w:val="7"/>
        <w:spacing w:before="158"/>
        <w:ind w:left="460"/>
      </w:pPr>
      <w:r>
        <w:t>米，以减少扬尘对周边居民的影响。</w:t>
      </w:r>
    </w:p>
    <w:p w14:paraId="6DCF9467">
      <w:pPr>
        <w:pStyle w:val="7"/>
        <w:spacing w:before="161" w:line="362" w:lineRule="auto"/>
        <w:ind w:left="460" w:right="477" w:firstLine="480"/>
        <w:jc w:val="both"/>
      </w:pPr>
      <w:r>
        <w:rPr>
          <w:spacing w:val="-5"/>
        </w:rPr>
        <w:t xml:space="preserve">⑦工程项目竣工后 </w:t>
      </w:r>
      <w:r>
        <w:rPr>
          <w:rFonts w:ascii="Times New Roman" w:hAnsi="Times New Roman" w:eastAsia="Times New Roman"/>
        </w:rPr>
        <w:t xml:space="preserve">30 </w:t>
      </w:r>
      <w:r>
        <w:t>日内，建设单位负责平整施工工地，并清除积土、堆物。</w:t>
      </w:r>
    </w:p>
    <w:p w14:paraId="20087E87">
      <w:pPr>
        <w:pStyle w:val="7"/>
        <w:spacing w:before="5" w:line="362" w:lineRule="auto"/>
        <w:ind w:left="460" w:right="477" w:firstLine="480"/>
        <w:jc w:val="both"/>
      </w:pPr>
      <w:r>
        <w:t>上述减少扬尘污染的措施是常用的、有效的，也能落实到实际施工过程中。项目在采取上述措施后，粉尘产生量将大大减少，对周围环境的影响也将</w:t>
      </w:r>
    </w:p>
    <w:p w14:paraId="1170A33A">
      <w:pPr>
        <w:spacing w:after="0" w:line="362" w:lineRule="auto"/>
        <w:jc w:val="both"/>
        <w:sectPr>
          <w:pgSz w:w="11910" w:h="16840"/>
          <w:pgMar w:top="1360" w:right="1320" w:bottom="1400" w:left="1340" w:header="878" w:footer="1204" w:gutter="0"/>
          <w:cols w:space="720" w:num="1"/>
        </w:sectPr>
      </w:pPr>
    </w:p>
    <w:p w14:paraId="32EAAD0E">
      <w:pPr>
        <w:pStyle w:val="7"/>
        <w:spacing w:before="68"/>
        <w:ind w:left="460"/>
      </w:pPr>
      <w:r>
        <w:t>随着减小，因此措施合理可行。</w:t>
      </w:r>
    </w:p>
    <w:p w14:paraId="62D0013A">
      <w:pPr>
        <w:pStyle w:val="7"/>
        <w:spacing w:before="160"/>
        <w:ind w:left="940"/>
      </w:pPr>
      <w:r>
        <w:t>（</w:t>
      </w:r>
      <w:r>
        <w:rPr>
          <w:rFonts w:ascii="Times New Roman" w:eastAsia="Times New Roman"/>
        </w:rPr>
        <w:t>2</w:t>
      </w:r>
      <w:r>
        <w:t>）施工机械及施工车辆尾气污染控制措施</w:t>
      </w:r>
    </w:p>
    <w:p w14:paraId="173953CA">
      <w:pPr>
        <w:pStyle w:val="7"/>
        <w:spacing w:before="159" w:line="364" w:lineRule="auto"/>
        <w:ind w:left="460" w:right="477" w:firstLine="480"/>
        <w:jc w:val="both"/>
      </w:pPr>
      <w:r>
        <w:t>①项目应采用尾气排放符合国家规定标准的车辆和施工机械，确保其在运行时尾气达标排放，减少对环境空气的污染。禁止尾气排放不达标的车辆和施工机械运行作业。</w:t>
      </w:r>
    </w:p>
    <w:p w14:paraId="426A6877">
      <w:pPr>
        <w:pStyle w:val="7"/>
        <w:spacing w:line="362" w:lineRule="auto"/>
        <w:ind w:left="460" w:right="477" w:firstLine="480"/>
      </w:pPr>
      <w:r>
        <w:t>②运输车辆和施工机械发生故障和损坏，必须及时维修或更新，防止设备带病运行，加大废气对环境空气的污染。</w:t>
      </w:r>
    </w:p>
    <w:p w14:paraId="1A0973CD">
      <w:pPr>
        <w:pStyle w:val="7"/>
        <w:spacing w:before="4" w:line="364" w:lineRule="auto"/>
        <w:ind w:left="460" w:right="477" w:firstLine="480"/>
      </w:pPr>
      <w:r>
        <w:t>在车辆使用上严格执行国家相关规定，同时加强机械保养及维修的情况下，施工机械及施工车辆尾气对空气环境质量影响不大，上述措施合理可行。</w:t>
      </w:r>
    </w:p>
    <w:p w14:paraId="4D7C1140">
      <w:pPr>
        <w:pStyle w:val="7"/>
        <w:spacing w:line="306" w:lineRule="exact"/>
        <w:ind w:left="940"/>
      </w:pPr>
      <w:r>
        <w:t>（</w:t>
      </w:r>
      <w:r>
        <w:rPr>
          <w:rFonts w:ascii="Times New Roman" w:eastAsia="Times New Roman"/>
        </w:rPr>
        <w:t>3</w:t>
      </w:r>
      <w:r>
        <w:t>）施工装修废气污染控制措施</w:t>
      </w:r>
    </w:p>
    <w:p w14:paraId="21E9B712">
      <w:pPr>
        <w:pStyle w:val="7"/>
        <w:spacing w:before="158" w:line="364" w:lineRule="auto"/>
        <w:ind w:left="460" w:right="477" w:firstLine="480"/>
      </w:pPr>
      <w:r>
        <w:t>项目施工过程中采用环保装修材料对项目内建筑进行装修，同时加强装修建筑的通风，加强空气流通，减少装修废气对周围环境的影响。</w:t>
      </w:r>
    </w:p>
    <w:p w14:paraId="4687CCDB">
      <w:pPr>
        <w:pStyle w:val="6"/>
        <w:numPr>
          <w:ilvl w:val="2"/>
          <w:numId w:val="28"/>
        </w:numPr>
        <w:tabs>
          <w:tab w:val="left" w:pos="991"/>
        </w:tabs>
        <w:spacing w:before="1" w:after="0" w:line="240" w:lineRule="auto"/>
        <w:ind w:left="990" w:right="0" w:hanging="530"/>
        <w:jc w:val="left"/>
      </w:pPr>
      <w:bookmarkStart w:id="270" w:name="7.1.2施工期水污染防治措施"/>
      <w:bookmarkEnd w:id="270"/>
      <w:bookmarkStart w:id="271" w:name="7.1.2施工期水污染防治措施"/>
      <w:bookmarkEnd w:id="271"/>
      <w:r>
        <w:t>施工期水污染防治措施</w:t>
      </w:r>
    </w:p>
    <w:p w14:paraId="5A59DF17">
      <w:pPr>
        <w:pStyle w:val="7"/>
        <w:spacing w:before="158" w:line="364" w:lineRule="auto"/>
        <w:ind w:left="460" w:right="477" w:firstLine="480"/>
      </w:pPr>
      <w:r>
        <w:t>为了防止建筑施工对周围水体产生的污染，建设单位应要求本项目的建筑施工单位严格采用以下措施，减少污染现象的发生。</w:t>
      </w:r>
    </w:p>
    <w:p w14:paraId="13B695AC">
      <w:pPr>
        <w:pStyle w:val="7"/>
        <w:spacing w:line="364" w:lineRule="auto"/>
        <w:ind w:left="460" w:right="477" w:firstLine="480"/>
      </w:pPr>
      <w:r>
        <w:t>①建设导流沟</w:t>
      </w:r>
      <w:r>
        <w:rPr>
          <w:rFonts w:ascii="Times New Roman" w:hAnsi="Times New Roman" w:eastAsia="Times New Roman"/>
        </w:rPr>
        <w:t>:</w:t>
      </w:r>
      <w:r>
        <w:t>在施工场地建设临时导流沟，将暴雨径流引至导流沟排放， 避免雨水横流现象。</w:t>
      </w:r>
    </w:p>
    <w:p w14:paraId="4D8FDE0D">
      <w:pPr>
        <w:pStyle w:val="7"/>
        <w:spacing w:line="364" w:lineRule="auto"/>
        <w:ind w:left="460" w:right="477" w:firstLine="480"/>
      </w:pPr>
      <w:r>
        <w:t>②雨天施工要注意防止水土流失，堆积土方时适当采取覆盖措施，防止於塞下水系统，汛期及暴雨天要停止施工。</w:t>
      </w:r>
    </w:p>
    <w:p w14:paraId="514E3F61">
      <w:pPr>
        <w:pStyle w:val="7"/>
        <w:spacing w:line="364" w:lineRule="auto"/>
        <w:ind w:left="460" w:right="477" w:firstLine="480"/>
      </w:pPr>
      <w:r>
        <w:t>③车辆、设备冲洗水循环使用</w:t>
      </w:r>
      <w:r>
        <w:rPr>
          <w:rFonts w:ascii="Times New Roman" w:hAnsi="Times New Roman" w:eastAsia="Times New Roman"/>
        </w:rPr>
        <w:t>:</w:t>
      </w:r>
      <w:r>
        <w:t>设置沉淀池，将设备、车辆洗涤水简单处理后循环使用，禁止此类废水直接外排。</w:t>
      </w:r>
    </w:p>
    <w:p w14:paraId="0AAA2AA9">
      <w:pPr>
        <w:pStyle w:val="7"/>
        <w:spacing w:line="364" w:lineRule="auto"/>
        <w:ind w:left="460" w:right="477" w:firstLine="480"/>
      </w:pPr>
      <w:r>
        <w:t>④施工场地局部应进行硬化处理，避免施工期因水土流失造成下区域水环境污染。</w:t>
      </w:r>
    </w:p>
    <w:p w14:paraId="69660D8B">
      <w:pPr>
        <w:pStyle w:val="7"/>
        <w:ind w:left="940"/>
      </w:pPr>
      <w:r>
        <w:t>⑤施工人员产生的生活污水依托周边居民生活污水处理设施。</w:t>
      </w:r>
    </w:p>
    <w:p w14:paraId="215FAB3D">
      <w:pPr>
        <w:pStyle w:val="7"/>
        <w:spacing w:before="155"/>
        <w:ind w:left="940"/>
      </w:pPr>
      <w:r>
        <w:t>⑥禁止向水体排放、倾倒施工废渣、生活垃圾和其他废弃物。</w:t>
      </w:r>
    </w:p>
    <w:p w14:paraId="0E62E660">
      <w:pPr>
        <w:pStyle w:val="7"/>
        <w:spacing w:before="158" w:line="364" w:lineRule="auto"/>
        <w:ind w:left="460" w:right="480" w:firstLine="480"/>
      </w:pPr>
      <w:r>
        <w:t>⑦基建完工后，及时恢复区域绿化和场地硬化，杜绝土壤裸露和水土流失。</w:t>
      </w:r>
    </w:p>
    <w:p w14:paraId="21EA84C9">
      <w:pPr>
        <w:pStyle w:val="7"/>
        <w:spacing w:line="364" w:lineRule="auto"/>
        <w:ind w:left="460" w:right="477" w:firstLine="480"/>
      </w:pPr>
      <w:r>
        <w:t>采取上述措施后，可以有效地做好施工污水的防治，加之施工活动周期较短，因此，不会导致施工场地周围水环境的污染。</w:t>
      </w:r>
    </w:p>
    <w:p w14:paraId="1A0B045A">
      <w:pPr>
        <w:pStyle w:val="6"/>
        <w:numPr>
          <w:ilvl w:val="2"/>
          <w:numId w:val="28"/>
        </w:numPr>
        <w:tabs>
          <w:tab w:val="left" w:pos="991"/>
        </w:tabs>
        <w:spacing w:before="0" w:after="0" w:line="240" w:lineRule="auto"/>
        <w:ind w:left="990" w:right="0" w:hanging="530"/>
        <w:jc w:val="left"/>
      </w:pPr>
      <w:bookmarkStart w:id="272" w:name="7.1.3施工噪声污染防治措施"/>
      <w:bookmarkEnd w:id="272"/>
      <w:bookmarkStart w:id="273" w:name="7.1.3施工噪声污染防治措施"/>
      <w:bookmarkEnd w:id="273"/>
      <w:r>
        <w:t>施工噪声污染防治措施</w:t>
      </w:r>
    </w:p>
    <w:p w14:paraId="20531EBD">
      <w:pPr>
        <w:spacing w:after="0" w:line="240" w:lineRule="auto"/>
        <w:jc w:val="left"/>
        <w:sectPr>
          <w:pgSz w:w="11910" w:h="16840"/>
          <w:pgMar w:top="1360" w:right="1320" w:bottom="1400" w:left="1340" w:header="878" w:footer="1204" w:gutter="0"/>
          <w:cols w:space="720" w:num="1"/>
        </w:sectPr>
      </w:pPr>
    </w:p>
    <w:p w14:paraId="25925DB4">
      <w:pPr>
        <w:pStyle w:val="7"/>
        <w:spacing w:before="68" w:line="364" w:lineRule="auto"/>
        <w:ind w:left="460" w:right="477" w:firstLine="480"/>
        <w:jc w:val="both"/>
      </w:pPr>
      <w:r>
        <w:t>噪声对周围环境的影响是短暂的，会随着施工期的结束而自动消除，但由于施工时机械噪声值相对较高，为减少施工噪声对环境的影响。施工单位应严格遵守《中华人民共和国环境噪声污染防治法》中关于建筑施工噪声污染防治的有关规定和《建筑施工场界环境噪声排放标准》</w:t>
      </w:r>
      <w:r>
        <w:rPr>
          <w:rFonts w:ascii="Times New Roman" w:eastAsia="Times New Roman"/>
        </w:rPr>
        <w:t>(GB12523-2011)</w:t>
      </w:r>
      <w:r>
        <w:t>的要求，积极采取防治措施，尽可能的降低施工噪声对周围环境的影响。</w:t>
      </w:r>
    </w:p>
    <w:p w14:paraId="1BF2BD6E">
      <w:pPr>
        <w:pStyle w:val="7"/>
        <w:spacing w:line="306" w:lineRule="exact"/>
        <w:ind w:left="940"/>
      </w:pPr>
      <w:r>
        <w:t>施工期噪声污染防治措施主要有：</w:t>
      </w:r>
    </w:p>
    <w:p w14:paraId="5675A620">
      <w:pPr>
        <w:pStyle w:val="7"/>
        <w:spacing w:before="158" w:line="364" w:lineRule="auto"/>
        <w:ind w:left="460" w:right="477" w:firstLine="480"/>
        <w:jc w:val="both"/>
      </w:pPr>
      <w:r>
        <w:t>①合理规划施工场地，将高噪声设备布置在远离居民点的位置，避免在同一施工地点安排大量动力机械设备，以避免局部声级过高。</w:t>
      </w:r>
    </w:p>
    <w:p w14:paraId="54C3395A">
      <w:pPr>
        <w:pStyle w:val="7"/>
        <w:spacing w:before="1" w:line="364" w:lineRule="auto"/>
        <w:ind w:left="460" w:right="477" w:firstLine="480"/>
        <w:jc w:val="both"/>
      </w:pPr>
      <w:r>
        <w:t>②降低设备声级，设备选型上尽量采用低噪声设备，如以液压机械代替燃油机械，液压工具代替气压冲击工具，振捣器采用高频振捣器，钻装机替代冲击打桩机，焊接代替铆接等；固定机械设备与控土、运土机械，如挖土机、推土机等，可通过排气管消音器和隔离发动机振动部件的方法降低噪声；设备常因松动部件的振动或消声器的损坏而增加其工作时的噪声级，对动力机械设备进行定期的维修、养护；严格按规范操作，尽量降低机械设备噪声源强值。</w:t>
      </w:r>
    </w:p>
    <w:p w14:paraId="3A26A713">
      <w:pPr>
        <w:pStyle w:val="7"/>
        <w:spacing w:line="362" w:lineRule="auto"/>
        <w:ind w:left="460" w:right="477" w:firstLine="480"/>
        <w:jc w:val="both"/>
      </w:pPr>
      <w:r>
        <w:t>③降低人为噪音，按规程操作机械设备；模板、支架拆卸过程中，遵守作业规定，减少碰撞噪声；尽量少用哨子等指挥作业，代之以现代化通讯设备。</w:t>
      </w:r>
    </w:p>
    <w:p w14:paraId="01A056BD">
      <w:pPr>
        <w:pStyle w:val="7"/>
        <w:spacing w:before="2"/>
        <w:ind w:left="940"/>
      </w:pPr>
      <w:r>
        <w:t>④合理安排施工计划，加强施工管理及对施工机械的管理维护。</w:t>
      </w:r>
    </w:p>
    <w:p w14:paraId="0D45FD16">
      <w:pPr>
        <w:pStyle w:val="7"/>
        <w:spacing w:before="158" w:line="364" w:lineRule="auto"/>
        <w:ind w:left="460" w:right="477" w:firstLine="480"/>
        <w:jc w:val="both"/>
      </w:pPr>
      <w:r>
        <w:t xml:space="preserve">⑤对噪声大、振动大的设备安装消音减振设施外，噪声超标的施工单位未经批准，夜晚 </w:t>
      </w:r>
      <w:r>
        <w:rPr>
          <w:rFonts w:ascii="Times New Roman" w:hAnsi="Times New Roman" w:eastAsia="Times New Roman"/>
        </w:rPr>
        <w:t xml:space="preserve">22:00 </w:t>
      </w:r>
      <w:r>
        <w:t xml:space="preserve">至次日的 </w:t>
      </w:r>
      <w:r>
        <w:rPr>
          <w:rFonts w:ascii="Times New Roman" w:hAnsi="Times New Roman" w:eastAsia="Times New Roman"/>
        </w:rPr>
        <w:t xml:space="preserve">06:00 </w:t>
      </w:r>
      <w:r>
        <w:t>不得施工，减少对周围区域环境的影响。</w:t>
      </w:r>
    </w:p>
    <w:p w14:paraId="16E65B94">
      <w:pPr>
        <w:pStyle w:val="7"/>
        <w:spacing w:line="364" w:lineRule="auto"/>
        <w:ind w:left="460" w:right="477" w:firstLine="480"/>
        <w:jc w:val="both"/>
      </w:pPr>
      <w:r>
        <w:rPr>
          <w:spacing w:val="2"/>
        </w:rPr>
        <w:t>⑥尽量避免在中午（</w:t>
      </w:r>
      <w:r>
        <w:rPr>
          <w:spacing w:val="-9"/>
        </w:rPr>
        <w:t xml:space="preserve">北京时间 </w:t>
      </w:r>
      <w:r>
        <w:rPr>
          <w:rFonts w:ascii="Times New Roman" w:hAnsi="Times New Roman" w:eastAsia="Times New Roman"/>
        </w:rPr>
        <w:t xml:space="preserve">12:00 </w:t>
      </w:r>
      <w:r>
        <w:rPr>
          <w:spacing w:val="-24"/>
        </w:rPr>
        <w:t xml:space="preserve">至 </w:t>
      </w:r>
      <w:r>
        <w:rPr>
          <w:rFonts w:ascii="Times New Roman" w:hAnsi="Times New Roman" w:eastAsia="Times New Roman"/>
        </w:rPr>
        <w:t>14:30</w:t>
      </w:r>
      <w:r>
        <w:t>）</w:t>
      </w:r>
      <w:r>
        <w:rPr>
          <w:spacing w:val="3"/>
        </w:rPr>
        <w:t>和夜间</w:t>
      </w:r>
      <w:r>
        <w:rPr>
          <w:spacing w:val="2"/>
        </w:rPr>
        <w:t>（</w:t>
      </w:r>
      <w:r>
        <w:rPr>
          <w:spacing w:val="-9"/>
        </w:rPr>
        <w:t xml:space="preserve">北京时间 </w:t>
      </w:r>
      <w:r>
        <w:rPr>
          <w:rFonts w:ascii="Times New Roman" w:hAnsi="Times New Roman" w:eastAsia="Times New Roman"/>
        </w:rPr>
        <w:t xml:space="preserve">22:00 </w:t>
      </w:r>
      <w:r>
        <w:t>至</w:t>
      </w:r>
      <w:r>
        <w:rPr>
          <w:spacing w:val="0"/>
        </w:rPr>
        <w:t xml:space="preserve">次日凌晨 </w:t>
      </w:r>
      <w:r>
        <w:rPr>
          <w:rFonts w:ascii="Times New Roman" w:hAnsi="Times New Roman" w:eastAsia="Times New Roman"/>
          <w:spacing w:val="3"/>
        </w:rPr>
        <w:t>6:00</w:t>
      </w:r>
      <w:r>
        <w:rPr>
          <w:spacing w:val="3"/>
        </w:rPr>
        <w:t>）</w:t>
      </w:r>
      <w:r>
        <w:rPr>
          <w:spacing w:val="10"/>
        </w:rPr>
        <w:t>进行产生建筑施工噪声的作业。确因生产工艺必须连续作业的，施工单位必须经生态环境主管部门批准并提前公告周边居民。</w:t>
      </w:r>
    </w:p>
    <w:p w14:paraId="4ECC38F9">
      <w:pPr>
        <w:pStyle w:val="7"/>
        <w:spacing w:line="364" w:lineRule="auto"/>
        <w:ind w:left="460" w:right="477" w:firstLine="480"/>
        <w:jc w:val="both"/>
      </w:pPr>
      <w:r>
        <w:t>⑦积极听取周围居民的针对噪声影响的意见，发现问题，立即采取措施予以解决。</w:t>
      </w:r>
    </w:p>
    <w:p w14:paraId="71C40CC6">
      <w:pPr>
        <w:pStyle w:val="7"/>
        <w:spacing w:line="364" w:lineRule="auto"/>
        <w:ind w:left="460" w:right="477" w:firstLine="480"/>
        <w:jc w:val="both"/>
      </w:pPr>
      <w:r>
        <w:t>本项目施工期合理安排施工时间，尽可能避免大量高噪声设备同时施工， 主要噪声源尽量安排在昼间非正常休息时间内进行施工，减少夜间施工量，夜间禁止打桩。施工噪声对周围环境及敏感点的影响较小，环保措施可行。</w:t>
      </w:r>
    </w:p>
    <w:p w14:paraId="6C64C60C">
      <w:pPr>
        <w:pStyle w:val="6"/>
        <w:numPr>
          <w:ilvl w:val="2"/>
          <w:numId w:val="28"/>
        </w:numPr>
        <w:tabs>
          <w:tab w:val="left" w:pos="991"/>
        </w:tabs>
        <w:spacing w:before="0" w:after="0" w:line="305" w:lineRule="exact"/>
        <w:ind w:left="990" w:right="0" w:hanging="530"/>
        <w:jc w:val="left"/>
      </w:pPr>
      <w:bookmarkStart w:id="274" w:name="7.1.4施工固体废物处理、处置措施"/>
      <w:bookmarkEnd w:id="274"/>
      <w:bookmarkStart w:id="275" w:name="7.1.4施工固体废物处理、处置措施"/>
      <w:bookmarkEnd w:id="275"/>
      <w:r>
        <w:t>施工固体废物处理、处置措施</w:t>
      </w:r>
    </w:p>
    <w:p w14:paraId="67B1999F">
      <w:pPr>
        <w:pStyle w:val="7"/>
        <w:spacing w:before="157" w:line="364" w:lineRule="auto"/>
        <w:ind w:left="460" w:right="477" w:firstLine="480"/>
        <w:jc w:val="both"/>
      </w:pPr>
      <w:r>
        <w:t>项目施工期产生的固体废物主要包括弃土石方、建筑垃圾和生活垃圾，施工单位应加强管理，分类收集、合理处置。防治措施如下：</w:t>
      </w:r>
    </w:p>
    <w:p w14:paraId="7462BF77">
      <w:pPr>
        <w:spacing w:after="0" w:line="364" w:lineRule="auto"/>
        <w:jc w:val="both"/>
        <w:sectPr>
          <w:pgSz w:w="11910" w:h="16840"/>
          <w:pgMar w:top="1360" w:right="1320" w:bottom="1400" w:left="1340" w:header="878" w:footer="1204" w:gutter="0"/>
          <w:cols w:space="720" w:num="1"/>
        </w:sectPr>
      </w:pPr>
    </w:p>
    <w:p w14:paraId="742B9230">
      <w:pPr>
        <w:pStyle w:val="7"/>
        <w:spacing w:before="68" w:line="364" w:lineRule="auto"/>
        <w:ind w:left="460" w:right="477" w:firstLine="480"/>
        <w:jc w:val="both"/>
      </w:pPr>
      <w:r>
        <w:t>①建设单位要向当地市容卫生管理部门提出建筑垃圾处置的请示报告，经批准后将弃土石方、建筑垃圾清运到指定地点合理消纳，防止水土流失和破坏当地景观。</w:t>
      </w:r>
    </w:p>
    <w:p w14:paraId="506096DC">
      <w:pPr>
        <w:pStyle w:val="7"/>
        <w:spacing w:line="364" w:lineRule="auto"/>
        <w:ind w:left="460" w:right="477" w:firstLine="480"/>
        <w:jc w:val="both"/>
      </w:pPr>
      <w:r>
        <w:t>②根据施工产生的建筑垃圾，设置容量足够的、有围栏和覆盖设施的堆放场地，不得占用基本农田，分类管理，可利用的部分尽量在场内周转、平衡， 就地利用，以防产生污染、影响周围环境卫生</w:t>
      </w:r>
      <w:r>
        <w:rPr>
          <w:rFonts w:ascii="Times New Roman" w:hAnsi="Times New Roman" w:eastAsia="Times New Roman"/>
        </w:rPr>
        <w:t>:</w:t>
      </w:r>
      <w:r>
        <w:t>建筑垃圾外运时需制定运输计划，避免在行车高峰时运输。</w:t>
      </w:r>
    </w:p>
    <w:p w14:paraId="090FC6A8">
      <w:pPr>
        <w:pStyle w:val="7"/>
        <w:spacing w:line="364" w:lineRule="auto"/>
        <w:ind w:left="460" w:right="477" w:firstLine="480"/>
        <w:jc w:val="both"/>
      </w:pPr>
      <w:r>
        <w:t>③车辆运输建筑垃圾和废弃物时，必须包扎、覆盖，不得沿途撒漏；运输车辆必须在规定的时间内，按指定路线行驶。</w:t>
      </w:r>
    </w:p>
    <w:p w14:paraId="558AEA60">
      <w:pPr>
        <w:pStyle w:val="7"/>
        <w:spacing w:line="362" w:lineRule="auto"/>
        <w:ind w:left="460" w:right="477" w:firstLine="480"/>
        <w:jc w:val="both"/>
      </w:pPr>
      <w:r>
        <w:t>④运输车辆不能超载运输，须采取密闭化运输，且车辆出场前应安排专人监督，并对车身外表进行清理，避免沿路泄漏、遗撒。</w:t>
      </w:r>
    </w:p>
    <w:p w14:paraId="378DD606">
      <w:pPr>
        <w:pStyle w:val="7"/>
        <w:spacing w:before="1" w:line="364" w:lineRule="auto"/>
        <w:ind w:left="460" w:right="477" w:firstLine="480"/>
        <w:jc w:val="both"/>
      </w:pPr>
      <w:r>
        <w:t>⑤在工程竣工以后，施工单位应立即拆除各种临时施工设施，并负责将工地的剩余建筑垃圾、工程渣土全部按规定处理，不得乱堆乱放，禁止压占基本农田。</w:t>
      </w:r>
    </w:p>
    <w:p w14:paraId="238E406C">
      <w:pPr>
        <w:pStyle w:val="7"/>
        <w:spacing w:line="364" w:lineRule="auto"/>
        <w:ind w:left="460" w:right="477" w:firstLine="480"/>
        <w:jc w:val="both"/>
      </w:pPr>
      <w:r>
        <w:t>⑥生活垃圾与建筑垃圾分开，设封闭式垃圾站，以免污染环境；将生活垃圾集中收集后清运至当地环卫部门指定的生活垃圾收集点堆放，后由环卫部门统一处理。</w:t>
      </w:r>
    </w:p>
    <w:p w14:paraId="3B1DFC04">
      <w:pPr>
        <w:pStyle w:val="6"/>
        <w:numPr>
          <w:ilvl w:val="2"/>
          <w:numId w:val="28"/>
        </w:numPr>
        <w:tabs>
          <w:tab w:val="left" w:pos="991"/>
        </w:tabs>
        <w:spacing w:before="0" w:after="0" w:line="304" w:lineRule="exact"/>
        <w:ind w:left="990" w:right="0" w:hanging="530"/>
        <w:jc w:val="left"/>
      </w:pPr>
      <w:bookmarkStart w:id="276" w:name="7.1.5施工期生态保护措施"/>
      <w:bookmarkEnd w:id="276"/>
      <w:bookmarkStart w:id="277" w:name="7.1.5施工期生态保护措施"/>
      <w:bookmarkEnd w:id="277"/>
      <w:r>
        <w:t>施工期生态保护措施</w:t>
      </w:r>
    </w:p>
    <w:p w14:paraId="50B67FA5">
      <w:pPr>
        <w:pStyle w:val="7"/>
        <w:spacing w:before="160" w:line="364" w:lineRule="auto"/>
        <w:ind w:left="460" w:right="477" w:firstLine="480"/>
        <w:jc w:val="both"/>
      </w:pPr>
      <w:r>
        <w:t>在项目建设过程中，必须采取积极有效的防治水土流失的措施并严格执行。施工期间，应尽可能采取措施来进行水土保持，以将施工所引起的水土流失问题降低到最小限度。</w:t>
      </w:r>
    </w:p>
    <w:p w14:paraId="5BE535D7">
      <w:pPr>
        <w:pStyle w:val="7"/>
        <w:spacing w:line="364" w:lineRule="auto"/>
        <w:ind w:left="460" w:right="477" w:firstLine="480"/>
        <w:jc w:val="both"/>
      </w:pPr>
      <w:r>
        <w:t>①地表开挖尽量避开雨季及洪水期，随挖随运，随铺随压，以减少水土流失。</w:t>
      </w:r>
    </w:p>
    <w:p w14:paraId="7887CC00">
      <w:pPr>
        <w:pStyle w:val="7"/>
        <w:spacing w:line="362" w:lineRule="auto"/>
        <w:ind w:left="460" w:right="477" w:firstLine="480"/>
        <w:jc w:val="both"/>
      </w:pPr>
      <w:r>
        <w:t>②将堆料堆放在不易受到地表径流冲刷的地方，或将易冲刷堆料临时覆盖起来。</w:t>
      </w:r>
    </w:p>
    <w:p w14:paraId="548681A7">
      <w:pPr>
        <w:pStyle w:val="7"/>
        <w:spacing w:line="364" w:lineRule="auto"/>
        <w:ind w:left="460" w:right="477" w:firstLine="480"/>
        <w:jc w:val="both"/>
      </w:pPr>
      <w:r>
        <w:t>③施工场地、堆体周边要修建排水沟、挡墙和沉砂池，防止上游径流通过施工区、堆体，将收集的地表径流，经过沉砂、除渣后，排入周边地表径流。</w:t>
      </w:r>
    </w:p>
    <w:p w14:paraId="04FCA2A2">
      <w:pPr>
        <w:pStyle w:val="7"/>
        <w:spacing w:line="364" w:lineRule="auto"/>
        <w:ind w:left="460" w:right="477" w:firstLine="480"/>
        <w:jc w:val="both"/>
      </w:pPr>
      <w:r>
        <w:t>④尽量避开雨天施工，统筹规划，尽可能缩短工期，以达到减少水土流失程度的目的。</w:t>
      </w:r>
    </w:p>
    <w:p w14:paraId="4796F418">
      <w:pPr>
        <w:pStyle w:val="7"/>
        <w:ind w:left="940"/>
      </w:pPr>
      <w:r>
        <w:t>⑤加强施工管理，最大程度的减少地表的剥离面积和上层土壤的破坏，把</w:t>
      </w:r>
    </w:p>
    <w:p w14:paraId="337A4518">
      <w:pPr>
        <w:spacing w:after="0"/>
        <w:sectPr>
          <w:pgSz w:w="11910" w:h="16840"/>
          <w:pgMar w:top="1360" w:right="1320" w:bottom="1400" w:left="1340" w:header="878" w:footer="1204" w:gutter="0"/>
          <w:cols w:space="720" w:num="1"/>
        </w:sectPr>
      </w:pPr>
    </w:p>
    <w:p w14:paraId="3DC0EEB9">
      <w:pPr>
        <w:pStyle w:val="7"/>
        <w:spacing w:before="68"/>
        <w:ind w:left="460"/>
      </w:pPr>
      <w:r>
        <w:t>植被破坏减少到最低程度。</w:t>
      </w:r>
    </w:p>
    <w:p w14:paraId="22EC857F">
      <w:pPr>
        <w:pStyle w:val="7"/>
        <w:spacing w:before="160" w:line="362" w:lineRule="auto"/>
        <w:ind w:left="460" w:right="477" w:firstLine="480"/>
        <w:jc w:val="both"/>
      </w:pPr>
      <w:r>
        <w:t>工程结束后，可以进行植被恢复的地方立即进行植被恢复和修复工作，尽可能减少水土流失和土壤侵蚀程度。</w:t>
      </w:r>
    </w:p>
    <w:p w14:paraId="76E4EFDB">
      <w:pPr>
        <w:pStyle w:val="13"/>
        <w:numPr>
          <w:ilvl w:val="1"/>
          <w:numId w:val="29"/>
        </w:numPr>
        <w:tabs>
          <w:tab w:val="left" w:pos="900"/>
        </w:tabs>
        <w:spacing w:before="5" w:after="0" w:line="240" w:lineRule="auto"/>
        <w:ind w:left="899" w:right="0" w:hanging="439"/>
        <w:jc w:val="left"/>
        <w:rPr>
          <w:b/>
          <w:sz w:val="30"/>
        </w:rPr>
      </w:pPr>
      <w:bookmarkStart w:id="278" w:name="_bookmark38"/>
      <w:bookmarkEnd w:id="278"/>
      <w:bookmarkStart w:id="279" w:name="7.2营运期污染治理措施可行性分析"/>
      <w:bookmarkEnd w:id="279"/>
      <w:bookmarkStart w:id="280" w:name="_bookmark38"/>
      <w:bookmarkEnd w:id="280"/>
      <w:r>
        <w:rPr>
          <w:b/>
          <w:sz w:val="30"/>
        </w:rPr>
        <w:t>营运期污染治理措施可行性分析</w:t>
      </w:r>
    </w:p>
    <w:p w14:paraId="54818895">
      <w:pPr>
        <w:pStyle w:val="13"/>
        <w:numPr>
          <w:ilvl w:val="2"/>
          <w:numId w:val="29"/>
        </w:numPr>
        <w:tabs>
          <w:tab w:val="left" w:pos="1080"/>
        </w:tabs>
        <w:spacing w:before="200" w:after="0" w:line="240" w:lineRule="auto"/>
        <w:ind w:left="1079" w:right="0" w:hanging="619"/>
        <w:jc w:val="left"/>
        <w:rPr>
          <w:b/>
          <w:sz w:val="28"/>
        </w:rPr>
      </w:pPr>
      <w:bookmarkStart w:id="281" w:name="7.2.1废气污染防治措施"/>
      <w:bookmarkEnd w:id="281"/>
      <w:bookmarkStart w:id="282" w:name="7.2.1废气污染防治措施"/>
      <w:bookmarkEnd w:id="282"/>
      <w:r>
        <w:rPr>
          <w:b/>
          <w:sz w:val="28"/>
        </w:rPr>
        <w:t>废气污染防治措施</w:t>
      </w:r>
    </w:p>
    <w:p w14:paraId="5A168BDE">
      <w:pPr>
        <w:pStyle w:val="7"/>
        <w:spacing w:before="185" w:line="362" w:lineRule="auto"/>
        <w:ind w:left="460" w:right="477" w:firstLine="480"/>
        <w:jc w:val="both"/>
      </w:pPr>
      <w:r>
        <w:t>本项目为屠宰加工建设项目，项目营运期产生的废气污染物主要为厂区恶臭、锅炉废气和运输车辆尾气及扬尘等。</w:t>
      </w:r>
    </w:p>
    <w:p w14:paraId="25321D25">
      <w:pPr>
        <w:pStyle w:val="7"/>
        <w:spacing w:before="5" w:line="362" w:lineRule="auto"/>
        <w:ind w:left="460" w:right="477" w:firstLine="480"/>
        <w:jc w:val="both"/>
      </w:pPr>
      <w:r>
        <w:t>项目营运期产生的恶臭污染源主要为暂养间及待宰圈恶臭、屠宰加工间恶臭、污水处理站恶臭、运输车辆恶臭等。</w:t>
      </w:r>
    </w:p>
    <w:p w14:paraId="481708F3">
      <w:pPr>
        <w:pStyle w:val="7"/>
        <w:spacing w:before="5" w:line="364" w:lineRule="auto"/>
        <w:ind w:left="460" w:right="424" w:firstLine="480"/>
        <w:jc w:val="both"/>
      </w:pPr>
      <w:r>
        <w:t>项目有组织废气排放主要是暂养区排气筒</w:t>
      </w:r>
      <w:r>
        <w:rPr>
          <w:rFonts w:ascii="Times New Roman" w:eastAsia="Times New Roman"/>
        </w:rPr>
        <w:t>(DA001)</w:t>
      </w:r>
      <w:r>
        <w:t>排放的恶臭气体、综合排气筒</w:t>
      </w:r>
      <w:r>
        <w:rPr>
          <w:rFonts w:ascii="Times New Roman" w:eastAsia="Times New Roman"/>
        </w:rPr>
        <w:t>(DA002)</w:t>
      </w:r>
      <w:r>
        <w:t>排放的恶臭气体、屠宰加工排气筒</w:t>
      </w:r>
      <w:r>
        <w:rPr>
          <w:rFonts w:ascii="Times New Roman" w:eastAsia="Times New Roman"/>
        </w:rPr>
        <w:t>(DA003)</w:t>
      </w:r>
      <w:r>
        <w:t>和锅炉排气筒</w:t>
      </w:r>
      <w:r>
        <w:rPr>
          <w:rFonts w:ascii="Times New Roman" w:eastAsia="Times New Roman"/>
        </w:rPr>
        <w:t xml:space="preserve">(DA004) </w:t>
      </w:r>
      <w:r>
        <w:t>排放的恶臭气体。厂界废气为无组织排放。</w:t>
      </w:r>
    </w:p>
    <w:p w14:paraId="658B85C0">
      <w:pPr>
        <w:pStyle w:val="6"/>
        <w:numPr>
          <w:ilvl w:val="3"/>
          <w:numId w:val="29"/>
        </w:numPr>
        <w:tabs>
          <w:tab w:val="left" w:pos="1171"/>
        </w:tabs>
        <w:spacing w:before="0" w:after="0" w:line="307" w:lineRule="exact"/>
        <w:ind w:left="1170" w:right="0" w:hanging="710"/>
        <w:jc w:val="left"/>
      </w:pPr>
      <w:bookmarkStart w:id="283" w:name="7.2.1.1有组织恶臭治理措施"/>
      <w:bookmarkEnd w:id="283"/>
      <w:bookmarkStart w:id="284" w:name="7.2.1.1有组织恶臭治理措施"/>
      <w:bookmarkEnd w:id="284"/>
      <w:r>
        <w:t>有组织恶臭治理措施</w:t>
      </w:r>
    </w:p>
    <w:p w14:paraId="133DCB12">
      <w:pPr>
        <w:pStyle w:val="7"/>
        <w:spacing w:before="158" w:line="364" w:lineRule="auto"/>
        <w:ind w:left="460" w:right="477" w:firstLine="480"/>
        <w:jc w:val="both"/>
      </w:pPr>
      <w:r>
        <w:t>项目生猪暂养区设置高压喷雾除臭设施，再设置集气系统收集恶臭，经收集后恶臭气体通过厂房顶部布置的喷淋吸收塔</w:t>
      </w:r>
      <w:r>
        <w:rPr>
          <w:rFonts w:ascii="Times New Roman" w:eastAsia="Times New Roman"/>
        </w:rPr>
        <w:t>+</w:t>
      </w:r>
      <w:r>
        <w:t>生物除臭装置</w:t>
      </w:r>
      <w:r>
        <w:rPr>
          <w:rFonts w:ascii="Times New Roman" w:eastAsia="Times New Roman"/>
        </w:rPr>
        <w:t>(TA001)</w:t>
      </w:r>
      <w:r>
        <w:t xml:space="preserve">处理，处理后的废气经过 </w:t>
      </w:r>
      <w:r>
        <w:rPr>
          <w:rFonts w:ascii="Times New Roman" w:eastAsia="Times New Roman"/>
        </w:rPr>
        <w:t xml:space="preserve">1 </w:t>
      </w:r>
      <w:r>
        <w:t xml:space="preserve">根 </w:t>
      </w:r>
      <w:r>
        <w:rPr>
          <w:rFonts w:ascii="Times New Roman" w:eastAsia="Times New Roman"/>
        </w:rPr>
        <w:t xml:space="preserve">15m </w:t>
      </w:r>
      <w:r>
        <w:t>高排气筒</w:t>
      </w:r>
      <w:r>
        <w:rPr>
          <w:rFonts w:ascii="Times New Roman" w:eastAsia="Times New Roman"/>
        </w:rPr>
        <w:t xml:space="preserve">(DA001) </w:t>
      </w:r>
      <w:r>
        <w:t>排放；</w:t>
      </w:r>
    </w:p>
    <w:p w14:paraId="0B2E1B6E">
      <w:pPr>
        <w:pStyle w:val="7"/>
        <w:spacing w:line="364" w:lineRule="auto"/>
        <w:ind w:left="460" w:right="477" w:firstLine="480"/>
        <w:jc w:val="both"/>
      </w:pPr>
      <w:r>
        <w:t>高压雾化除臭系统主要是对待宰圈空气进行除臭，除臭剂经高压雾化主机按比例稀释、加压后经由高压雾化管送至车间各处的雾化喷头处，由高压雾化喷头喷出的除臭剂形成雾状除臭剂，对空气中的臭气组分进行捕捉去除。除臭剂通过高压泵雾化为气溶胶，均匀弥漫在空气中，迅速扑捉空气中的臭气因子，并与臭气因子发生分解、氧化还原等反应，将臭气因子降解为低味或无味的水、二氧化碳、氮气等无害物质，从而解决车间内臭气污染的现象，也不会对环境造成二次污染。</w:t>
      </w:r>
    </w:p>
    <w:p w14:paraId="5F32C725">
      <w:pPr>
        <w:pStyle w:val="7"/>
        <w:spacing w:line="364" w:lineRule="auto"/>
        <w:ind w:left="460" w:right="477" w:firstLine="480"/>
        <w:jc w:val="both"/>
      </w:pPr>
      <w:r>
        <w:t>屠宰加工间为标准化厂房，内脏处理间和一般固废暂存间为封闭结构，内脏处理间和一般固废暂存间及燎毛工序产生的臭气通过局部负压集气系统收集，经收集后恶臭气体和燎毛工序天然气燃烧废气通过厂房顶部布置的喷淋吸收塔</w:t>
      </w:r>
      <w:r>
        <w:rPr>
          <w:rFonts w:ascii="Times New Roman" w:eastAsia="Times New Roman"/>
        </w:rPr>
        <w:t>+</w:t>
      </w:r>
      <w:r>
        <w:t>生物除臭装置</w:t>
      </w:r>
      <w:r>
        <w:rPr>
          <w:rFonts w:ascii="Times New Roman" w:eastAsia="Times New Roman"/>
        </w:rPr>
        <w:t xml:space="preserve">(TA002) </w:t>
      </w:r>
      <w:r>
        <w:t xml:space="preserve">进行处理，处理后的废气经过 </w:t>
      </w:r>
      <w:r>
        <w:rPr>
          <w:rFonts w:ascii="Times New Roman" w:eastAsia="Times New Roman"/>
        </w:rPr>
        <w:t xml:space="preserve">1 </w:t>
      </w:r>
      <w:r>
        <w:t xml:space="preserve">根 </w:t>
      </w:r>
      <w:r>
        <w:rPr>
          <w:rFonts w:ascii="Times New Roman" w:eastAsia="Times New Roman"/>
        </w:rPr>
        <w:t xml:space="preserve">15m </w:t>
      </w:r>
      <w:r>
        <w:t>高排气筒</w:t>
      </w:r>
    </w:p>
    <w:p w14:paraId="7399B9D8">
      <w:pPr>
        <w:pStyle w:val="7"/>
        <w:spacing w:line="362" w:lineRule="auto"/>
        <w:ind w:left="460" w:right="480"/>
      </w:pPr>
      <w:r>
        <w:rPr>
          <w:rFonts w:ascii="Times New Roman" w:eastAsia="Times New Roman"/>
        </w:rPr>
        <w:t xml:space="preserve">(DA002) </w:t>
      </w:r>
      <w:r>
        <w:t>排放；为降低污水处理站恶臭，本项目将污水处理站主体设置为地埋式，曝气池和好氧池、污泥处理间等进行密闭，将废气通过密闭管道负压收集</w:t>
      </w:r>
    </w:p>
    <w:p w14:paraId="54C2B38A">
      <w:pPr>
        <w:spacing w:after="0" w:line="362" w:lineRule="auto"/>
        <w:sectPr>
          <w:pgSz w:w="11910" w:h="16840"/>
          <w:pgMar w:top="1360" w:right="1320" w:bottom="1400" w:left="1340" w:header="878" w:footer="1204" w:gutter="0"/>
          <w:cols w:space="720" w:num="1"/>
        </w:sectPr>
      </w:pPr>
    </w:p>
    <w:p w14:paraId="78E203FE">
      <w:pPr>
        <w:pStyle w:val="7"/>
        <w:spacing w:before="68" w:line="364" w:lineRule="auto"/>
        <w:ind w:left="460" w:right="480"/>
      </w:pPr>
      <w:r>
        <w:t xml:space="preserve">至屠宰加工间旁 </w:t>
      </w:r>
      <w:r>
        <w:rPr>
          <w:rFonts w:ascii="Times New Roman" w:eastAsia="Times New Roman"/>
        </w:rPr>
        <w:t xml:space="preserve">1 </w:t>
      </w:r>
      <w:r>
        <w:t>套喷淋吸收塔</w:t>
      </w:r>
      <w:r>
        <w:rPr>
          <w:rFonts w:ascii="Times New Roman" w:eastAsia="Times New Roman"/>
        </w:rPr>
        <w:t>+</w:t>
      </w:r>
      <w:r>
        <w:t>生物除臭装置</w:t>
      </w:r>
      <w:r>
        <w:rPr>
          <w:rFonts w:ascii="Times New Roman" w:eastAsia="Times New Roman"/>
        </w:rPr>
        <w:t>(TA002)</w:t>
      </w:r>
      <w:r>
        <w:t xml:space="preserve">处理，处理后的废气通过 </w:t>
      </w:r>
      <w:r>
        <w:rPr>
          <w:rFonts w:ascii="Times New Roman" w:eastAsia="Times New Roman"/>
        </w:rPr>
        <w:t xml:space="preserve">1 </w:t>
      </w:r>
      <w:r>
        <w:t xml:space="preserve">根 </w:t>
      </w:r>
      <w:r>
        <w:rPr>
          <w:rFonts w:ascii="Times New Roman" w:eastAsia="Times New Roman"/>
        </w:rPr>
        <w:t xml:space="preserve">15m </w:t>
      </w:r>
      <w:r>
        <w:t>排气筒</w:t>
      </w:r>
      <w:r>
        <w:rPr>
          <w:rFonts w:ascii="Times New Roman" w:eastAsia="Times New Roman"/>
        </w:rPr>
        <w:t xml:space="preserve">(DA002) </w:t>
      </w:r>
      <w:r>
        <w:t>排放。</w:t>
      </w:r>
    </w:p>
    <w:p w14:paraId="4B6FAC10">
      <w:pPr>
        <w:pStyle w:val="7"/>
        <w:spacing w:line="364" w:lineRule="auto"/>
        <w:ind w:left="460" w:right="477" w:firstLine="480"/>
        <w:jc w:val="both"/>
      </w:pPr>
      <w:r>
        <w:t>项目产生的恶臭污染物排放均满足《恶臭污染物排放标准》</w:t>
      </w:r>
      <w:r>
        <w:rPr>
          <w:rFonts w:ascii="Times New Roman" w:eastAsia="Times New Roman"/>
        </w:rPr>
        <w:t xml:space="preserve">(GB14554-93) </w:t>
      </w:r>
      <w:r>
        <w:t xml:space="preserve">表 </w:t>
      </w:r>
      <w:r>
        <w:rPr>
          <w:rFonts w:ascii="Times New Roman" w:eastAsia="Times New Roman"/>
        </w:rPr>
        <w:t xml:space="preserve">2 </w:t>
      </w:r>
      <w:r>
        <w:t>中恶臭污染物排放标准限值要求。参照同类型多家企业恶臭气体处理效果，喷淋吸收塔</w:t>
      </w:r>
      <w:r>
        <w:rPr>
          <w:rFonts w:ascii="Times New Roman" w:eastAsia="Times New Roman"/>
        </w:rPr>
        <w:t>+</w:t>
      </w:r>
      <w:r>
        <w:t>生物除臭效率高，处理装置简单，处理成本低，可避免二次污染，适合大气量低浓度的废气处理。本项目选用废气处理设施均属于可行性技术，因此工艺可行。</w:t>
      </w:r>
    </w:p>
    <w:p w14:paraId="17CD1E28">
      <w:pPr>
        <w:pStyle w:val="6"/>
        <w:numPr>
          <w:ilvl w:val="3"/>
          <w:numId w:val="29"/>
        </w:numPr>
        <w:tabs>
          <w:tab w:val="left" w:pos="1171"/>
        </w:tabs>
        <w:spacing w:before="0" w:after="0" w:line="306" w:lineRule="exact"/>
        <w:ind w:left="1170" w:right="0" w:hanging="710"/>
        <w:jc w:val="left"/>
      </w:pPr>
      <w:bookmarkStart w:id="285" w:name="7.2.1.2无组织恶臭治理措施"/>
      <w:bookmarkEnd w:id="285"/>
      <w:bookmarkStart w:id="286" w:name="7.2.1.2无组织恶臭治理措施"/>
      <w:bookmarkEnd w:id="286"/>
      <w:r>
        <w:t>无组织恶臭治理措施</w:t>
      </w:r>
    </w:p>
    <w:p w14:paraId="77A8D4F0">
      <w:pPr>
        <w:pStyle w:val="7"/>
        <w:spacing w:before="159"/>
        <w:ind w:left="940"/>
      </w:pPr>
      <w:r>
        <w:t>（</w:t>
      </w:r>
      <w:r>
        <w:rPr>
          <w:rFonts w:ascii="Times New Roman" w:eastAsia="Times New Roman"/>
        </w:rPr>
        <w:t>1</w:t>
      </w:r>
      <w:r>
        <w:t>）喷洒植物型除臭剂</w:t>
      </w:r>
    </w:p>
    <w:p w14:paraId="2E33AF7E">
      <w:pPr>
        <w:pStyle w:val="7"/>
        <w:spacing w:before="158" w:line="364" w:lineRule="auto"/>
        <w:ind w:left="460" w:right="477" w:firstLine="480"/>
        <w:jc w:val="both"/>
      </w:pPr>
      <w:r>
        <w:t>为减少暂养区、屠宰加工间、污水处理站及车辆冲洗区等区域的恶臭气体排放，项目采用喷洒专用的植物型除臭剂来减少恶臭气体污染物。植物型除臭剂是利用了一些特殊的微生物，其能高效吸收，转化和降解氨气、硫化氢和硫醇等恶臭成分，并将这些恶臭成分转化为无臭无害的物质，从而达到改善空气质量、保护人类身体健康的目标。</w:t>
      </w:r>
    </w:p>
    <w:p w14:paraId="6AD30BBA">
      <w:pPr>
        <w:pStyle w:val="7"/>
        <w:spacing w:line="364" w:lineRule="auto"/>
        <w:ind w:left="460" w:right="477" w:firstLine="480"/>
        <w:jc w:val="both"/>
      </w:pPr>
      <w:r>
        <w:t>生物除臭剂处理臭气的基本原理是利用微生物把溶解于水中的恶臭物质吸收于微生物自身体内，通过微生物的代谢活动使其降解的一种过程。生物除臭剂产品对人体及动物无危害，对环境不造成二次污染，消除异味效果显著，可达到改善环境空气质量的效果，具有去味快、时间持久、无毒、无刺激的特点。</w:t>
      </w:r>
    </w:p>
    <w:p w14:paraId="571FA72D">
      <w:pPr>
        <w:pStyle w:val="7"/>
        <w:spacing w:line="303" w:lineRule="exact"/>
        <w:ind w:left="940"/>
      </w:pPr>
      <w:r>
        <w:t>（</w:t>
      </w:r>
      <w:r>
        <w:rPr>
          <w:rFonts w:ascii="Times New Roman" w:eastAsia="Times New Roman"/>
        </w:rPr>
        <w:t>2</w:t>
      </w:r>
      <w:r>
        <w:t>）牲畜粪便和尿液及时清理</w:t>
      </w:r>
    </w:p>
    <w:p w14:paraId="385A709E">
      <w:pPr>
        <w:pStyle w:val="7"/>
        <w:spacing w:before="159" w:line="362" w:lineRule="auto"/>
        <w:ind w:left="460" w:right="477" w:firstLine="480"/>
        <w:jc w:val="both"/>
      </w:pPr>
      <w:r>
        <w:t>项目暂养间和待宰圈牲畜粪便及时清理，尿液和冲洗废水等及时排至污水处理系统，实现牲畜粪便和尿液日产日清，从源强上减少牲畜粪便和尿液在待</w:t>
      </w:r>
      <w:r>
        <w:rPr>
          <w:position w:val="2"/>
        </w:rPr>
        <w:t xml:space="preserve">宰间的存放时间，从而减少猪粪降解产生大量 </w:t>
      </w:r>
      <w:r>
        <w:rPr>
          <w:rFonts w:ascii="Times New Roman" w:eastAsia="Times New Roman"/>
          <w:position w:val="2"/>
        </w:rPr>
        <w:t>NH</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H</w:t>
      </w:r>
      <w:r>
        <w:rPr>
          <w:rFonts w:ascii="Times New Roman" w:eastAsia="Times New Roman"/>
          <w:position w:val="2"/>
          <w:vertAlign w:val="subscript"/>
        </w:rPr>
        <w:t>2</w:t>
      </w:r>
      <w:r>
        <w:rPr>
          <w:rFonts w:ascii="Times New Roman" w:eastAsia="Times New Roman"/>
          <w:position w:val="2"/>
          <w:vertAlign w:val="baseline"/>
        </w:rPr>
        <w:t xml:space="preserve">S </w:t>
      </w:r>
      <w:r>
        <w:rPr>
          <w:position w:val="2"/>
          <w:vertAlign w:val="baseline"/>
        </w:rPr>
        <w:t>等恶臭气体。</w:t>
      </w:r>
    </w:p>
    <w:p w14:paraId="253F2EAC">
      <w:pPr>
        <w:pStyle w:val="7"/>
        <w:spacing w:before="4"/>
        <w:ind w:left="940"/>
      </w:pPr>
      <w:r>
        <w:t>（</w:t>
      </w:r>
      <w:r>
        <w:rPr>
          <w:rFonts w:ascii="Times New Roman" w:eastAsia="Times New Roman"/>
        </w:rPr>
        <w:t>3</w:t>
      </w:r>
      <w:r>
        <w:t>）车间加强通风</w:t>
      </w:r>
    </w:p>
    <w:p w14:paraId="7A500660">
      <w:pPr>
        <w:pStyle w:val="7"/>
        <w:spacing w:before="158" w:line="364" w:lineRule="auto"/>
        <w:ind w:left="460" w:right="477" w:firstLine="480"/>
        <w:jc w:val="both"/>
      </w:pPr>
      <w:r>
        <w:t xml:space="preserve">项目车间采用机械通风或自然与机械联合通风，通风次数不小于 </w:t>
      </w:r>
      <w:r>
        <w:rPr>
          <w:rFonts w:ascii="Times New Roman" w:eastAsia="Times New Roman"/>
        </w:rPr>
        <w:t xml:space="preserve">6 </w:t>
      </w:r>
      <w:r>
        <w:t>次</w:t>
      </w:r>
      <w:r>
        <w:rPr>
          <w:rFonts w:ascii="Times New Roman" w:eastAsia="Times New Roman"/>
        </w:rPr>
        <w:t>/h</w:t>
      </w:r>
      <w:r>
        <w:t>。通常采用在车间侧墙或屋顶安装工业排风机，将车间内污浊空气排出室外，使室内形成负压，室外新风在大气压强的作用下通过门窗补充到车间，从而实现通风的效果。</w:t>
      </w:r>
    </w:p>
    <w:p w14:paraId="6361B208">
      <w:pPr>
        <w:pStyle w:val="7"/>
        <w:spacing w:line="305" w:lineRule="exact"/>
        <w:ind w:left="940"/>
      </w:pPr>
      <w:r>
        <w:t>（</w:t>
      </w:r>
      <w:r>
        <w:rPr>
          <w:rFonts w:ascii="Times New Roman" w:eastAsia="Times New Roman"/>
        </w:rPr>
        <w:t>4</w:t>
      </w:r>
      <w:r>
        <w:t>）加强绿化，在生产区及污染治理工程周围种植绿化带</w:t>
      </w:r>
    </w:p>
    <w:p w14:paraId="6ED7CC34">
      <w:pPr>
        <w:pStyle w:val="7"/>
        <w:spacing w:before="161"/>
        <w:ind w:left="940"/>
      </w:pPr>
      <w:r>
        <w:t>加强场区的绿化工作、对改善场区内小环境有重要意义。绿化可以吸尘灭</w:t>
      </w:r>
    </w:p>
    <w:p w14:paraId="63C2D7C8">
      <w:pPr>
        <w:spacing w:after="0"/>
        <w:sectPr>
          <w:pgSz w:w="11910" w:h="16840"/>
          <w:pgMar w:top="1360" w:right="1320" w:bottom="1400" w:left="1340" w:header="878" w:footer="1204" w:gutter="0"/>
          <w:cols w:space="720" w:num="1"/>
        </w:sectPr>
      </w:pPr>
    </w:p>
    <w:p w14:paraId="36BD61CB">
      <w:pPr>
        <w:pStyle w:val="7"/>
        <w:spacing w:before="68"/>
        <w:ind w:left="460"/>
      </w:pPr>
      <w:r>
        <w:t>菌、降低噪声、净化空气、防疫隔离、防暑防寒。</w:t>
      </w:r>
    </w:p>
    <w:p w14:paraId="7BB3146A">
      <w:pPr>
        <w:pStyle w:val="7"/>
        <w:spacing w:before="160" w:line="362" w:lineRule="auto"/>
        <w:ind w:left="460" w:right="477" w:firstLine="480"/>
        <w:jc w:val="both"/>
      </w:pPr>
      <w:r>
        <w:t>项目场区绿化遵循常绿植物和落叶植物相结合、灌木和草坪相结合配置原则。项目在场区周围栽种较高大绿色植物，形成绿色屏障，减少对周围敏感点的危害。在场区的院墙上选择种植攀缘性强的蔷薇；场区道路两侧、场区内空</w:t>
      </w:r>
      <w:r>
        <w:rPr>
          <w:position w:val="2"/>
        </w:rPr>
        <w:t>地</w:t>
      </w:r>
      <w:r>
        <w:rPr>
          <w:rFonts w:ascii="Times New Roman" w:eastAsia="Times New Roman"/>
          <w:position w:val="2"/>
        </w:rPr>
        <w:t>.</w:t>
      </w:r>
      <w:r>
        <w:rPr>
          <w:position w:val="2"/>
        </w:rPr>
        <w:t xml:space="preserve">上以及办公室等种植月季等。这些植物都能很好地吸收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S</w:t>
      </w:r>
      <w:r>
        <w:rPr>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等气体</w:t>
      </w:r>
      <w:r>
        <w:rPr>
          <w:rFonts w:ascii="Times New Roman" w:eastAsia="Times New Roman"/>
          <w:position w:val="2"/>
          <w:vertAlign w:val="baseline"/>
        </w:rPr>
        <w:t>,</w:t>
      </w:r>
      <w:r>
        <w:rPr>
          <w:position w:val="2"/>
          <w:vertAlign w:val="baseline"/>
        </w:rPr>
        <w:t>具</w:t>
      </w:r>
      <w:r>
        <w:rPr>
          <w:vertAlign w:val="baseline"/>
        </w:rPr>
        <w:t>有减降恶臭气体排放量的作用。参考《规模畜禽场臭气防治研究进展》</w:t>
      </w:r>
      <w:r>
        <w:rPr>
          <w:rFonts w:ascii="Times New Roman" w:eastAsia="Times New Roman"/>
          <w:vertAlign w:val="baseline"/>
        </w:rPr>
        <w:t>(</w:t>
      </w:r>
      <w:r>
        <w:rPr>
          <w:vertAlign w:val="baseline"/>
        </w:rPr>
        <w:t>简保权等，农业部规划设计研究院</w:t>
      </w:r>
      <w:r>
        <w:rPr>
          <w:rFonts w:ascii="Times New Roman" w:eastAsia="Times New Roman"/>
          <w:vertAlign w:val="baseline"/>
        </w:rPr>
        <w:t>)</w:t>
      </w:r>
      <w:r>
        <w:rPr>
          <w:vertAlign w:val="baseline"/>
        </w:rPr>
        <w:t>、《养猪场恶臭影响量化分析及控制对策研究》</w:t>
      </w:r>
    </w:p>
    <w:p w14:paraId="7850FE99">
      <w:pPr>
        <w:pStyle w:val="7"/>
        <w:spacing w:before="11" w:line="364" w:lineRule="auto"/>
        <w:ind w:left="460" w:right="477"/>
        <w:jc w:val="both"/>
      </w:pPr>
      <w:r>
        <w:rPr>
          <w:rFonts w:ascii="Times New Roman" w:eastAsia="Times New Roman"/>
        </w:rPr>
        <w:t>(</w:t>
      </w:r>
      <w:r>
        <w:t>孙艳青等</w:t>
      </w:r>
      <w:r>
        <w:rPr>
          <w:rFonts w:ascii="Times New Roman" w:eastAsia="Times New Roman"/>
        </w:rPr>
        <w:t>)</w:t>
      </w:r>
      <w:r>
        <w:t>等文献中的论述：养殖场内建立隔离绿带，不仅能提供氧气</w:t>
      </w:r>
      <w:r>
        <w:rPr>
          <w:rFonts w:ascii="Times New Roman" w:eastAsia="Times New Roman"/>
        </w:rPr>
        <w:t>,</w:t>
      </w:r>
      <w:r>
        <w:t>更能直接吸收氨及硫化氢</w:t>
      </w:r>
      <w:r>
        <w:rPr>
          <w:rFonts w:ascii="Times New Roman" w:eastAsia="Times New Roman"/>
        </w:rPr>
        <w:t>,</w:t>
      </w:r>
      <w:r>
        <w:t>且树林可以减少粉尘量</w:t>
      </w:r>
      <w:r>
        <w:rPr>
          <w:rFonts w:ascii="Times New Roman" w:eastAsia="Times New Roman"/>
        </w:rPr>
        <w:t>,</w:t>
      </w:r>
      <w:r>
        <w:t xml:space="preserve">可以阻留、净化约 </w:t>
      </w:r>
      <w:r>
        <w:rPr>
          <w:rFonts w:ascii="Times New Roman" w:eastAsia="Times New Roman"/>
        </w:rPr>
        <w:t>25%~40%</w:t>
      </w:r>
      <w:r>
        <w:t>的有害气体和吸附粉尘，降低风速并防止臭气外溢。</w:t>
      </w:r>
    </w:p>
    <w:p w14:paraId="49C9FEDF">
      <w:pPr>
        <w:pStyle w:val="7"/>
        <w:spacing w:line="304" w:lineRule="exact"/>
        <w:ind w:left="940"/>
      </w:pPr>
      <w:r>
        <w:t>（</w:t>
      </w:r>
      <w:r>
        <w:rPr>
          <w:rFonts w:ascii="Times New Roman" w:eastAsia="Times New Roman"/>
        </w:rPr>
        <w:t>5</w:t>
      </w:r>
      <w:r>
        <w:t>）运输车辆恶臭和车辆冲洗区恶臭</w:t>
      </w:r>
    </w:p>
    <w:p w14:paraId="550D2371">
      <w:pPr>
        <w:pStyle w:val="7"/>
        <w:spacing w:before="160" w:line="364" w:lineRule="auto"/>
        <w:ind w:left="460" w:right="477" w:firstLine="480"/>
        <w:jc w:val="both"/>
      </w:pPr>
      <w:r>
        <w:t>本项目运输车辆将生猪运至厂区装卸完成后开到车辆消毒清洗区，采用高压水枪对运输车辆进行冲洗，清洗完毕再喷洒除臭剂。为减少车辆冲洗区恶臭排放，通过采取冲洗废水收集管网密闭、冲洗区周边喷洒除臭剂等方式，减少恶臭气体无组织排放。</w:t>
      </w:r>
    </w:p>
    <w:p w14:paraId="60918C03">
      <w:pPr>
        <w:pStyle w:val="7"/>
        <w:spacing w:line="364" w:lineRule="auto"/>
        <w:ind w:left="460" w:right="477" w:firstLine="480"/>
        <w:jc w:val="both"/>
      </w:pPr>
      <w:r>
        <w:t>项目生猪出栏时出栏装车前应彻底清洗，冲洗粪便及身上的污物，运输过程中尽量选择半封闭式的运输车辆，能更大程度上防止运输车辆恶臭对运输路线沿线居民的影响。</w:t>
      </w:r>
    </w:p>
    <w:p w14:paraId="04B3F695">
      <w:pPr>
        <w:pStyle w:val="7"/>
        <w:spacing w:line="364" w:lineRule="auto"/>
        <w:ind w:left="460" w:right="477" w:firstLine="480"/>
        <w:jc w:val="both"/>
      </w:pPr>
      <w:r>
        <w:t>综上：建设项目无组织排放的废气主要是气体收集系统未捕集的废气，以无组织形式排放。待宰间主要通过喷酒除臭剂、牲畜粪便和尿液及时清理；屠宰间主要通过加强通风，减小无组织废气对车间职工的不利影响。同时加强对操作工的培训和管理，确保废气的捕捉率，以减少废气无组织排放，在采取良好通风措施的情况下，厂房外一般闻不到异味，项目无组织废气治理措施可行。</w:t>
      </w:r>
    </w:p>
    <w:p w14:paraId="33BBC4CD">
      <w:pPr>
        <w:pStyle w:val="7"/>
        <w:spacing w:line="364" w:lineRule="auto"/>
        <w:ind w:left="460" w:right="480" w:firstLine="480"/>
        <w:jc w:val="both"/>
      </w:pPr>
      <w:r>
        <w:rPr>
          <w:spacing w:val="-3"/>
        </w:rPr>
        <w:t xml:space="preserve">通过采取上述措施，厂界氨气浓度可控制在 </w:t>
      </w:r>
      <w:r>
        <w:rPr>
          <w:rFonts w:ascii="Times New Roman" w:eastAsia="Times New Roman"/>
        </w:rPr>
        <w:t>1.5mg/m</w:t>
      </w:r>
      <w:r>
        <w:rPr>
          <w:rFonts w:ascii="Times New Roman" w:eastAsia="Times New Roman"/>
          <w:position w:val="8"/>
          <w:sz w:val="15"/>
        </w:rPr>
        <w:t xml:space="preserve">3 </w:t>
      </w:r>
      <w:r>
        <w:rPr>
          <w:spacing w:val="-8"/>
        </w:rPr>
        <w:t>以下， 厂界硫化氢浓</w:t>
      </w:r>
      <w:r>
        <w:rPr>
          <w:spacing w:val="-10"/>
        </w:rPr>
        <w:t xml:space="preserve">度可控制在 </w:t>
      </w:r>
      <w:r>
        <w:rPr>
          <w:rFonts w:ascii="Times New Roman" w:eastAsia="Times New Roman"/>
        </w:rPr>
        <w:t>0.06mg/m</w:t>
      </w:r>
      <w:r>
        <w:rPr>
          <w:rFonts w:ascii="Times New Roman" w:eastAsia="Times New Roman"/>
          <w:position w:val="8"/>
          <w:sz w:val="15"/>
        </w:rPr>
        <w:t xml:space="preserve">3 </w:t>
      </w:r>
      <w:r>
        <w:rPr>
          <w:spacing w:val="-4"/>
        </w:rPr>
        <w:t xml:space="preserve">以下，臭气浓度可控制在 </w:t>
      </w:r>
      <w:r>
        <w:rPr>
          <w:rFonts w:ascii="Times New Roman" w:eastAsia="Times New Roman"/>
        </w:rPr>
        <w:t xml:space="preserve">20 </w:t>
      </w:r>
      <w:r>
        <w:t>以下，能够达到《恶臭污染物排放标准》（</w:t>
      </w:r>
      <w:r>
        <w:rPr>
          <w:rFonts w:ascii="Times New Roman" w:eastAsia="Times New Roman"/>
        </w:rPr>
        <w:t>GB14554-93</w:t>
      </w:r>
      <w:r>
        <w:t>）恶臭污染物厂界标准值的二级标准要求。</w:t>
      </w:r>
    </w:p>
    <w:p w14:paraId="4841A5B8">
      <w:pPr>
        <w:pStyle w:val="6"/>
        <w:numPr>
          <w:ilvl w:val="3"/>
          <w:numId w:val="29"/>
        </w:numPr>
        <w:tabs>
          <w:tab w:val="left" w:pos="1171"/>
        </w:tabs>
        <w:spacing w:before="0" w:after="0" w:line="305" w:lineRule="exact"/>
        <w:ind w:left="1170" w:right="0" w:hanging="710"/>
        <w:jc w:val="left"/>
      </w:pPr>
      <w:bookmarkStart w:id="287" w:name="7.2.1.3运输车辆尾气和扬尘防治措施"/>
      <w:bookmarkEnd w:id="287"/>
      <w:bookmarkStart w:id="288" w:name="7.2.1.3运输车辆尾气和扬尘防治措施"/>
      <w:bookmarkEnd w:id="288"/>
      <w:r>
        <w:t>运输车辆尾气和扬尘防治措施</w:t>
      </w:r>
    </w:p>
    <w:p w14:paraId="10073406">
      <w:pPr>
        <w:pStyle w:val="7"/>
        <w:spacing w:before="154" w:line="364" w:lineRule="auto"/>
        <w:ind w:left="460" w:right="477" w:firstLine="480"/>
        <w:jc w:val="both"/>
      </w:pPr>
      <w:r>
        <w:t>项目运输车辆尾气属间断性排放，排放量小，加之项目场地扩散条件良好，汽车尾气能得到有效的稀释扩散。</w:t>
      </w:r>
    </w:p>
    <w:p w14:paraId="1FE8F8C2">
      <w:pPr>
        <w:spacing w:after="0" w:line="364" w:lineRule="auto"/>
        <w:jc w:val="both"/>
        <w:sectPr>
          <w:pgSz w:w="11910" w:h="16840"/>
          <w:pgMar w:top="1360" w:right="1320" w:bottom="1400" w:left="1340" w:header="878" w:footer="1204" w:gutter="0"/>
          <w:cols w:space="720" w:num="1"/>
        </w:sectPr>
      </w:pPr>
    </w:p>
    <w:p w14:paraId="5C68C6C8">
      <w:pPr>
        <w:pStyle w:val="7"/>
        <w:spacing w:before="68" w:line="364" w:lineRule="auto"/>
        <w:ind w:left="460" w:right="477" w:firstLine="480"/>
        <w:jc w:val="both"/>
      </w:pPr>
      <w:r>
        <w:t>项目厂区道路采取路面硬化，厂区内安排人员定期洒水降尘等措施；运输车辆在进厂前先对车轮进行冲洗和消毒。经采取以上措施，运输车辆产生的扬尘可得到有效控制。</w:t>
      </w:r>
    </w:p>
    <w:p w14:paraId="2B00D397">
      <w:pPr>
        <w:pStyle w:val="13"/>
        <w:numPr>
          <w:ilvl w:val="2"/>
          <w:numId w:val="30"/>
        </w:numPr>
        <w:tabs>
          <w:tab w:val="left" w:pos="1080"/>
        </w:tabs>
        <w:spacing w:before="0" w:after="0" w:line="240" w:lineRule="auto"/>
        <w:ind w:left="1079" w:right="0" w:hanging="619"/>
        <w:jc w:val="left"/>
        <w:rPr>
          <w:b/>
          <w:sz w:val="28"/>
        </w:rPr>
      </w:pPr>
      <w:bookmarkStart w:id="289" w:name="7.2.2废水污染防治措施"/>
      <w:bookmarkEnd w:id="289"/>
      <w:bookmarkStart w:id="290" w:name="7.2.2废水污染防治措施"/>
      <w:bookmarkEnd w:id="290"/>
      <w:r>
        <w:rPr>
          <w:b/>
          <w:sz w:val="28"/>
        </w:rPr>
        <w:t>废水污染防治措施</w:t>
      </w:r>
    </w:p>
    <w:p w14:paraId="41304683">
      <w:pPr>
        <w:pStyle w:val="7"/>
        <w:spacing w:before="185"/>
        <w:ind w:left="940"/>
      </w:pPr>
      <w:r>
        <w:t>（</w:t>
      </w:r>
      <w:r>
        <w:rPr>
          <w:rFonts w:ascii="Times New Roman" w:eastAsia="Times New Roman"/>
        </w:rPr>
        <w:t>1</w:t>
      </w:r>
      <w:r>
        <w:t>）生活污水污染防治措施</w:t>
      </w:r>
    </w:p>
    <w:p w14:paraId="6ADD0A08">
      <w:pPr>
        <w:pStyle w:val="7"/>
        <w:spacing w:before="158" w:line="364" w:lineRule="auto"/>
        <w:ind w:left="460" w:right="477" w:firstLine="480"/>
        <w:jc w:val="both"/>
      </w:pPr>
      <w:r>
        <w:t>生活污水排入化粪池预处理后再排入厂内污水处理站处理，达标后再经市政污水管网排入岳阳县污水处理厂处理，达到《城镇污水处理厂污染物排放标准》</w:t>
      </w:r>
      <w:r>
        <w:rPr>
          <w:rFonts w:ascii="Times New Roman" w:hAnsi="Times New Roman" w:eastAsia="Times New Roman"/>
        </w:rPr>
        <w:t>(GB18918</w:t>
      </w:r>
      <w:r>
        <w:t>—</w:t>
      </w:r>
      <w:r>
        <w:rPr>
          <w:rFonts w:ascii="Times New Roman" w:hAnsi="Times New Roman" w:eastAsia="Times New Roman"/>
        </w:rPr>
        <w:t>2002)</w:t>
      </w:r>
      <w:r>
        <w:t xml:space="preserve">中一级 </w:t>
      </w:r>
      <w:r>
        <w:rPr>
          <w:rFonts w:ascii="Times New Roman" w:hAnsi="Times New Roman" w:eastAsia="Times New Roman"/>
        </w:rPr>
        <w:t xml:space="preserve">A </w:t>
      </w:r>
      <w:r>
        <w:t>标后排入新墙河。</w:t>
      </w:r>
    </w:p>
    <w:p w14:paraId="054806F6">
      <w:pPr>
        <w:pStyle w:val="7"/>
        <w:spacing w:line="307" w:lineRule="exact"/>
        <w:ind w:left="940"/>
      </w:pPr>
      <w:r>
        <w:t>（</w:t>
      </w:r>
      <w:r>
        <w:rPr>
          <w:rFonts w:ascii="Times New Roman" w:eastAsia="Times New Roman"/>
        </w:rPr>
        <w:t>2</w:t>
      </w:r>
      <w:r>
        <w:t>）生产废水污染防治措施</w:t>
      </w:r>
    </w:p>
    <w:p w14:paraId="2ACE03D0">
      <w:pPr>
        <w:pStyle w:val="7"/>
        <w:spacing w:before="159" w:line="364" w:lineRule="auto"/>
        <w:ind w:left="460" w:right="477" w:firstLine="480"/>
        <w:jc w:val="both"/>
      </w:pPr>
      <w:r>
        <w:t>生产废水主要为屠宰废水，包括圈栏冲洗、宰前淋洗、宰后烫毛或剥皮、开腔、劈半、解体、内脏洗涤及车间冲洗等过程产生的废水，与生猪尿液、洗衣房废水等一起排入污水处理站处理后，再排入市政污水管网，经岳阳县污水处理厂处理，达到《城镇污水处理厂污染物排放标准》</w:t>
      </w:r>
      <w:r>
        <w:rPr>
          <w:rFonts w:ascii="Times New Roman" w:hAnsi="Times New Roman" w:eastAsia="Times New Roman"/>
        </w:rPr>
        <w:t>(GB18918—2002)</w:t>
      </w:r>
      <w:r>
        <w:t>中一级</w:t>
      </w:r>
    </w:p>
    <w:p w14:paraId="2282556F">
      <w:pPr>
        <w:pStyle w:val="7"/>
        <w:ind w:left="460"/>
        <w:jc w:val="both"/>
      </w:pPr>
      <w:r>
        <w:rPr>
          <w:rFonts w:ascii="Times New Roman" w:eastAsia="Times New Roman"/>
        </w:rPr>
        <w:t xml:space="preserve">A </w:t>
      </w:r>
      <w:r>
        <w:t>标后排入新墙河。</w:t>
      </w:r>
    </w:p>
    <w:p w14:paraId="24C0455C">
      <w:pPr>
        <w:pStyle w:val="7"/>
        <w:spacing w:before="158"/>
        <w:ind w:left="940"/>
      </w:pPr>
      <w:r>
        <w:t>①废水处理工艺可行性</w:t>
      </w:r>
    </w:p>
    <w:p w14:paraId="2728FEC0">
      <w:pPr>
        <w:pStyle w:val="7"/>
        <w:spacing w:before="158"/>
        <w:ind w:left="940"/>
      </w:pPr>
      <w:r>
        <w:t>根据《屠宰及肉类加工业污染防治可行技术指南 》（</w:t>
      </w:r>
      <w:r>
        <w:rPr>
          <w:rFonts w:ascii="Times New Roman" w:hAnsi="Times New Roman" w:eastAsia="Times New Roman"/>
        </w:rPr>
        <w:t>HJ 1285</w:t>
      </w:r>
      <w:r>
        <w:t>—</w:t>
      </w:r>
      <w:r>
        <w:rPr>
          <w:rFonts w:ascii="Times New Roman" w:hAnsi="Times New Roman" w:eastAsia="Times New Roman"/>
        </w:rPr>
        <w:t>2023</w:t>
      </w:r>
      <w:r>
        <w:t>）、</w:t>
      </w:r>
    </w:p>
    <w:p w14:paraId="7B78A8A1">
      <w:pPr>
        <w:pStyle w:val="7"/>
        <w:spacing w:before="160"/>
        <w:ind w:left="460"/>
        <w:jc w:val="both"/>
      </w:pPr>
      <w:r>
        <w:t>《排污许可证申请与核发技术规范 农副食品加工工业一屠宰及肉类加工工业》</w:t>
      </w:r>
    </w:p>
    <w:p w14:paraId="1E7CA9B9">
      <w:pPr>
        <w:pStyle w:val="7"/>
        <w:spacing w:before="161" w:line="364" w:lineRule="auto"/>
        <w:ind w:left="460" w:right="477"/>
        <w:jc w:val="both"/>
      </w:pPr>
      <w:r>
        <w:t>（</w:t>
      </w:r>
      <w:r>
        <w:rPr>
          <w:rFonts w:ascii="Times New Roman" w:hAnsi="Times New Roman" w:eastAsia="Times New Roman"/>
        </w:rPr>
        <w:t>HJ 860.3</w:t>
      </w:r>
      <w:r>
        <w:t>—</w:t>
      </w:r>
      <w:r>
        <w:rPr>
          <w:rFonts w:ascii="Times New Roman" w:hAnsi="Times New Roman" w:eastAsia="Times New Roman"/>
        </w:rPr>
        <w:t>2018</w:t>
      </w:r>
      <w:r>
        <w:t>）的要求，处理应采用生化处理为主、物化处理为辅的组合处理工艺，屠宰废水间接排放的可行处理技术包括：“预处理技术</w:t>
      </w:r>
      <w:r>
        <w:rPr>
          <w:rFonts w:ascii="Times New Roman" w:hAnsi="Times New Roman" w:eastAsia="Times New Roman"/>
        </w:rPr>
        <w:t>(</w:t>
      </w:r>
      <w:r>
        <w:t>水力筛或捞毛机</w:t>
      </w:r>
      <w:r>
        <w:rPr>
          <w:rFonts w:ascii="Times New Roman" w:hAnsi="Times New Roman" w:eastAsia="Times New Roman"/>
        </w:rPr>
        <w:t>+</w:t>
      </w:r>
      <w:r>
        <w:t>格栅</w:t>
      </w:r>
      <w:r>
        <w:rPr>
          <w:rFonts w:ascii="Times New Roman" w:hAnsi="Times New Roman" w:eastAsia="Times New Roman"/>
        </w:rPr>
        <w:t>+</w:t>
      </w:r>
      <w:r>
        <w:t>隔油沉淀</w:t>
      </w:r>
      <w:r>
        <w:rPr>
          <w:rFonts w:ascii="Times New Roman" w:hAnsi="Times New Roman" w:eastAsia="Times New Roman"/>
        </w:rPr>
        <w:t>+</w:t>
      </w:r>
      <w:r>
        <w:t>气浮</w:t>
      </w:r>
      <w:r>
        <w:rPr>
          <w:rFonts w:ascii="Times New Roman" w:hAnsi="Times New Roman" w:eastAsia="Times New Roman"/>
        </w:rPr>
        <w:t>) +</w:t>
      </w:r>
      <w:r>
        <w:t>②厌氧技术</w:t>
      </w:r>
      <w:r>
        <w:rPr>
          <w:rFonts w:ascii="Times New Roman" w:hAnsi="Times New Roman" w:eastAsia="Times New Roman"/>
        </w:rPr>
        <w:t>(</w:t>
      </w:r>
      <w:r>
        <w:t>水解酸化</w:t>
      </w:r>
      <w:r>
        <w:rPr>
          <w:rFonts w:ascii="Times New Roman" w:hAnsi="Times New Roman" w:eastAsia="Times New Roman"/>
        </w:rPr>
        <w:t>)+</w:t>
      </w:r>
      <w:r>
        <w:t>③好氧技术</w:t>
      </w:r>
      <w:r>
        <w:rPr>
          <w:rFonts w:ascii="Times New Roman" w:hAnsi="Times New Roman" w:eastAsia="Times New Roman"/>
        </w:rPr>
        <w:t>(</w:t>
      </w:r>
      <w:r>
        <w:t>常规活性污泥法或序批式活性污泥法</w:t>
      </w:r>
      <w:r>
        <w:rPr>
          <w:rFonts w:ascii="Times New Roman" w:hAnsi="Times New Roman" w:eastAsia="Times New Roman"/>
        </w:rPr>
        <w:t>)+</w:t>
      </w:r>
      <w:r>
        <w:t>④深度处理技术</w:t>
      </w:r>
      <w:r>
        <w:rPr>
          <w:rFonts w:ascii="Times New Roman" w:hAnsi="Times New Roman" w:eastAsia="Times New Roman"/>
        </w:rPr>
        <w:t>(</w:t>
      </w:r>
      <w:r>
        <w:t>消毒</w:t>
      </w:r>
      <w:r>
        <w:rPr>
          <w:rFonts w:ascii="Times New Roman" w:hAnsi="Times New Roman" w:eastAsia="Times New Roman"/>
        </w:rPr>
        <w:t>)</w:t>
      </w:r>
      <w:r>
        <w:t>”</w:t>
      </w:r>
    </w:p>
    <w:p w14:paraId="22A499AF">
      <w:pPr>
        <w:pStyle w:val="7"/>
        <w:spacing w:line="305" w:lineRule="exact"/>
        <w:ind w:left="940"/>
      </w:pPr>
      <w:r>
        <w:t>本项目污水处理工艺采用格栅</w:t>
      </w:r>
      <w:r>
        <w:rPr>
          <w:rFonts w:ascii="Times New Roman" w:eastAsia="Times New Roman"/>
        </w:rPr>
        <w:t>+</w:t>
      </w:r>
      <w:r>
        <w:t>固液斜筛式除渣机</w:t>
      </w:r>
      <w:r>
        <w:rPr>
          <w:rFonts w:ascii="Times New Roman" w:eastAsia="Times New Roman"/>
        </w:rPr>
        <w:t>+</w:t>
      </w:r>
      <w:r>
        <w:t>气浮的预处理工艺和</w:t>
      </w:r>
    </w:p>
    <w:p w14:paraId="11E4547C">
      <w:pPr>
        <w:pStyle w:val="7"/>
        <w:spacing w:before="158" w:line="364" w:lineRule="auto"/>
        <w:ind w:left="460" w:right="477"/>
      </w:pPr>
      <w:r>
        <w:t>“预处理</w:t>
      </w:r>
      <w:r>
        <w:rPr>
          <w:rFonts w:ascii="Times New Roman" w:hAnsi="Times New Roman" w:eastAsia="Times New Roman"/>
        </w:rPr>
        <w:t>+</w:t>
      </w:r>
      <w:r>
        <w:t>水解酸化</w:t>
      </w:r>
      <w:r>
        <w:rPr>
          <w:rFonts w:ascii="Times New Roman" w:hAnsi="Times New Roman" w:eastAsia="Times New Roman"/>
        </w:rPr>
        <w:t>+A/O+</w:t>
      </w:r>
      <w:r>
        <w:t>混凝沉淀</w:t>
      </w:r>
      <w:r>
        <w:rPr>
          <w:rFonts w:ascii="Times New Roman" w:hAnsi="Times New Roman" w:eastAsia="Times New Roman"/>
        </w:rPr>
        <w:t>+</w:t>
      </w:r>
      <w:r>
        <w:t>消毒”的生化处理工艺，采用的均为规范中的可行技术，因此项目废水处理工艺可行。</w:t>
      </w:r>
    </w:p>
    <w:p w14:paraId="0F70A19C">
      <w:pPr>
        <w:pStyle w:val="7"/>
        <w:spacing w:line="306" w:lineRule="exact"/>
        <w:ind w:left="940"/>
      </w:pPr>
      <w:r>
        <w:t>②废水处理工艺效果可行性</w:t>
      </w:r>
    </w:p>
    <w:p w14:paraId="57AB9D6B">
      <w:pPr>
        <w:pStyle w:val="7"/>
        <w:spacing w:before="160"/>
        <w:ind w:left="940"/>
      </w:pPr>
      <w:r>
        <w:t>项目选用的污水处理系统具有良好的去除效率， 本项目污水处理站对</w:t>
      </w:r>
    </w:p>
    <w:p w14:paraId="054054A2">
      <w:pPr>
        <w:pStyle w:val="7"/>
        <w:spacing w:before="155"/>
        <w:ind w:left="460"/>
        <w:jc w:val="both"/>
      </w:pPr>
      <w:r>
        <w:rPr>
          <w:rFonts w:ascii="Times New Roman" w:eastAsia="Times New Roman"/>
          <w:position w:val="2"/>
        </w:rPr>
        <w:t>COD</w:t>
      </w:r>
      <w:r>
        <w:rPr>
          <w:rFonts w:ascii="Times New Roman" w:eastAsia="Times New Roman"/>
          <w:position w:val="2"/>
          <w:vertAlign w:val="subscript"/>
        </w:rPr>
        <w:t>Cr</w:t>
      </w:r>
      <w:r>
        <w:rPr>
          <w:rFonts w:ascii="Times New Roman" w:eastAsia="Times New Roman"/>
          <w:position w:val="2"/>
          <w:vertAlign w:val="baseline"/>
        </w:rPr>
        <w:t xml:space="preserve"> </w:t>
      </w:r>
      <w:r>
        <w:rPr>
          <w:spacing w:val="22"/>
          <w:position w:val="2"/>
          <w:vertAlign w:val="baseline"/>
        </w:rPr>
        <w:t>、</w:t>
      </w:r>
      <w:r>
        <w:rPr>
          <w:rFonts w:ascii="Times New Roman" w:eastAsia="Times New Roman"/>
          <w:spacing w:val="3"/>
          <w:position w:val="2"/>
          <w:vertAlign w:val="baseline"/>
        </w:rPr>
        <w:t>BOD</w:t>
      </w:r>
      <w:r>
        <w:rPr>
          <w:rFonts w:ascii="Times New Roman" w:eastAsia="Times New Roman"/>
          <w:spacing w:val="3"/>
          <w:position w:val="2"/>
          <w:vertAlign w:val="subscript"/>
        </w:rPr>
        <w:t>5</w:t>
      </w:r>
      <w:r>
        <w:rPr>
          <w:spacing w:val="22"/>
          <w:position w:val="2"/>
          <w:vertAlign w:val="baseline"/>
        </w:rPr>
        <w:t>、</w:t>
      </w:r>
      <w:r>
        <w:rPr>
          <w:rFonts w:ascii="Times New Roman" w:eastAsia="Times New Roman"/>
          <w:position w:val="2"/>
          <w:vertAlign w:val="baseline"/>
        </w:rPr>
        <w:t xml:space="preserve">SS </w:t>
      </w:r>
      <w:r>
        <w:rPr>
          <w:spacing w:val="20"/>
          <w:position w:val="2"/>
          <w:vertAlign w:val="baseline"/>
        </w:rPr>
        <w:t>、</w:t>
      </w:r>
      <w:r>
        <w:rPr>
          <w:rFonts w:ascii="Times New Roman" w:eastAsia="Times New Roman"/>
          <w:position w:val="2"/>
          <w:vertAlign w:val="baseline"/>
        </w:rPr>
        <w:t>NH</w:t>
      </w:r>
      <w:r>
        <w:rPr>
          <w:rFonts w:ascii="Times New Roman" w:eastAsia="Times New Roman"/>
          <w:position w:val="2"/>
          <w:vertAlign w:val="subscript"/>
        </w:rPr>
        <w:t>3</w:t>
      </w:r>
      <w:r>
        <w:rPr>
          <w:rFonts w:ascii="Times New Roman" w:eastAsia="Times New Roman"/>
          <w:position w:val="2"/>
          <w:vertAlign w:val="baseline"/>
        </w:rPr>
        <w:t xml:space="preserve">-N </w:t>
      </w:r>
      <w:r>
        <w:rPr>
          <w:spacing w:val="18"/>
          <w:position w:val="2"/>
          <w:vertAlign w:val="baseline"/>
        </w:rPr>
        <w:t>、动植物油、总氮、总磷的综合去除率分别为</w:t>
      </w:r>
    </w:p>
    <w:p w14:paraId="25B60D2A">
      <w:pPr>
        <w:pStyle w:val="7"/>
        <w:spacing w:before="160"/>
        <w:ind w:left="460"/>
        <w:jc w:val="both"/>
      </w:pPr>
      <w:r>
        <w:rPr>
          <w:rFonts w:ascii="Times New Roman" w:eastAsia="Times New Roman"/>
        </w:rPr>
        <w:t>87%</w:t>
      </w:r>
      <w:r>
        <w:t>、</w:t>
      </w:r>
      <w:r>
        <w:rPr>
          <w:rFonts w:ascii="Times New Roman" w:eastAsia="Times New Roman"/>
        </w:rPr>
        <w:t>95%</w:t>
      </w:r>
      <w:r>
        <w:t>、</w:t>
      </w:r>
      <w:r>
        <w:rPr>
          <w:rFonts w:ascii="Times New Roman" w:eastAsia="Times New Roman"/>
        </w:rPr>
        <w:t>80%</w:t>
      </w:r>
      <w:r>
        <w:t xml:space="preserve">、 </w:t>
      </w:r>
      <w:r>
        <w:rPr>
          <w:rFonts w:ascii="Times New Roman" w:eastAsia="Times New Roman"/>
        </w:rPr>
        <w:t>60%</w:t>
      </w:r>
      <w:r>
        <w:t>、</w:t>
      </w:r>
      <w:r>
        <w:rPr>
          <w:rFonts w:ascii="Times New Roman" w:eastAsia="Times New Roman"/>
        </w:rPr>
        <w:t>70%</w:t>
      </w:r>
      <w:r>
        <w:t>、</w:t>
      </w:r>
      <w:r>
        <w:rPr>
          <w:rFonts w:ascii="Times New Roman" w:eastAsia="Times New Roman"/>
        </w:rPr>
        <w:t>80%</w:t>
      </w:r>
      <w:r>
        <w:t>、</w:t>
      </w:r>
      <w:r>
        <w:rPr>
          <w:rFonts w:ascii="Times New Roman" w:eastAsia="Times New Roman"/>
        </w:rPr>
        <w:t>85%</w:t>
      </w:r>
      <w:r>
        <w:t>。</w:t>
      </w:r>
    </w:p>
    <w:p w14:paraId="0AF178C0">
      <w:pPr>
        <w:pStyle w:val="7"/>
        <w:spacing w:before="8" w:line="460" w:lineRule="atLeast"/>
        <w:ind w:left="460" w:right="477" w:firstLine="480"/>
        <w:jc w:val="both"/>
      </w:pPr>
      <w:r>
        <w:t>根据建设单位委托的废水处理设施单位在桃江县顺联食品屠宰废水处理项目和冷水江市新九唐肉联有限公司屠宰废水处理项目实际设计、运行经验，此</w:t>
      </w:r>
    </w:p>
    <w:p w14:paraId="1B01EA98">
      <w:pPr>
        <w:spacing w:after="0" w:line="460" w:lineRule="atLeast"/>
        <w:jc w:val="both"/>
        <w:sectPr>
          <w:pgSz w:w="11910" w:h="16840"/>
          <w:pgMar w:top="1360" w:right="1320" w:bottom="1400" w:left="1340" w:header="878" w:footer="1204" w:gutter="0"/>
          <w:cols w:space="720" w:num="1"/>
        </w:sectPr>
      </w:pPr>
    </w:p>
    <w:p w14:paraId="3AC4F806">
      <w:pPr>
        <w:pStyle w:val="7"/>
        <w:spacing w:before="68" w:line="364" w:lineRule="auto"/>
        <w:ind w:left="459" w:right="477"/>
        <w:jc w:val="center"/>
        <w:rPr>
          <w:b/>
          <w:sz w:val="21"/>
        </w:rPr>
      </w:pPr>
      <w:r>
        <w:pict>
          <v:shape id="_x0000_s1400" o:spid="_x0000_s1400" o:spt="202" type="#_x0000_t202" style="position:absolute;left:0pt;margin-left:84.4pt;margin-top:86.95pt;height:128.2pt;width:424.55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3"/>
                    <w:gridCol w:w="653"/>
                    <w:gridCol w:w="637"/>
                    <w:gridCol w:w="697"/>
                    <w:gridCol w:w="485"/>
                    <w:gridCol w:w="473"/>
                    <w:gridCol w:w="463"/>
                    <w:gridCol w:w="439"/>
                    <w:gridCol w:w="656"/>
                    <w:gridCol w:w="2200"/>
                  </w:tblGrid>
                  <w:tr w14:paraId="25945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773" w:type="dxa"/>
                      </w:tcPr>
                      <w:p w14:paraId="54B2E6A3">
                        <w:pPr>
                          <w:pStyle w:val="14"/>
                          <w:spacing w:before="160"/>
                          <w:ind w:left="591"/>
                          <w:rPr>
                            <w:b/>
                            <w:sz w:val="21"/>
                          </w:rPr>
                        </w:pPr>
                        <w:r>
                          <w:rPr>
                            <w:b/>
                            <w:sz w:val="21"/>
                          </w:rPr>
                          <w:t>污染物</w:t>
                        </w:r>
                      </w:p>
                    </w:tc>
                    <w:tc>
                      <w:tcPr>
                        <w:tcW w:w="653" w:type="dxa"/>
                      </w:tcPr>
                      <w:p w14:paraId="3529101E">
                        <w:pPr>
                          <w:pStyle w:val="14"/>
                          <w:spacing w:before="176"/>
                          <w:ind w:left="82" w:right="34"/>
                          <w:jc w:val="center"/>
                          <w:rPr>
                            <w:rFonts w:ascii="Times New Roman"/>
                            <w:b/>
                            <w:sz w:val="21"/>
                          </w:rPr>
                        </w:pPr>
                        <w:r>
                          <w:rPr>
                            <w:rFonts w:ascii="Times New Roman"/>
                            <w:b/>
                            <w:sz w:val="21"/>
                          </w:rPr>
                          <w:t>PH</w:t>
                        </w:r>
                      </w:p>
                    </w:tc>
                    <w:tc>
                      <w:tcPr>
                        <w:tcW w:w="637" w:type="dxa"/>
                      </w:tcPr>
                      <w:p w14:paraId="518C46BD">
                        <w:pPr>
                          <w:pStyle w:val="14"/>
                          <w:spacing w:before="176"/>
                          <w:ind w:left="86" w:right="34"/>
                          <w:jc w:val="center"/>
                          <w:rPr>
                            <w:rFonts w:ascii="Times New Roman"/>
                            <w:b/>
                            <w:sz w:val="21"/>
                          </w:rPr>
                        </w:pPr>
                        <w:r>
                          <w:rPr>
                            <w:rFonts w:ascii="Times New Roman"/>
                            <w:b/>
                            <w:sz w:val="21"/>
                          </w:rPr>
                          <w:t>COD</w:t>
                        </w:r>
                      </w:p>
                    </w:tc>
                    <w:tc>
                      <w:tcPr>
                        <w:tcW w:w="697" w:type="dxa"/>
                      </w:tcPr>
                      <w:p w14:paraId="2EC2ECAC">
                        <w:pPr>
                          <w:pStyle w:val="14"/>
                          <w:spacing w:before="173"/>
                          <w:ind w:left="88" w:right="34"/>
                          <w:jc w:val="center"/>
                          <w:rPr>
                            <w:rFonts w:ascii="Times New Roman"/>
                            <w:b/>
                            <w:sz w:val="21"/>
                          </w:rPr>
                        </w:pPr>
                        <w:r>
                          <w:rPr>
                            <w:rFonts w:ascii="Times New Roman"/>
                            <w:b/>
                            <w:position w:val="2"/>
                            <w:sz w:val="21"/>
                          </w:rPr>
                          <w:t>BOD</w:t>
                        </w:r>
                        <w:r>
                          <w:rPr>
                            <w:rFonts w:ascii="Times New Roman"/>
                            <w:b/>
                            <w:position w:val="2"/>
                            <w:sz w:val="21"/>
                            <w:vertAlign w:val="subscript"/>
                          </w:rPr>
                          <w:t>5</w:t>
                        </w:r>
                      </w:p>
                    </w:tc>
                    <w:tc>
                      <w:tcPr>
                        <w:tcW w:w="485" w:type="dxa"/>
                      </w:tcPr>
                      <w:p w14:paraId="205B295F">
                        <w:pPr>
                          <w:pStyle w:val="14"/>
                          <w:spacing w:before="176"/>
                          <w:ind w:right="95"/>
                          <w:jc w:val="right"/>
                          <w:rPr>
                            <w:rFonts w:ascii="Times New Roman"/>
                            <w:b/>
                            <w:sz w:val="21"/>
                          </w:rPr>
                        </w:pPr>
                        <w:r>
                          <w:rPr>
                            <w:rFonts w:ascii="Times New Roman"/>
                            <w:b/>
                            <w:w w:val="95"/>
                            <w:sz w:val="21"/>
                          </w:rPr>
                          <w:t>SS</w:t>
                        </w:r>
                      </w:p>
                    </w:tc>
                    <w:tc>
                      <w:tcPr>
                        <w:tcW w:w="473" w:type="dxa"/>
                      </w:tcPr>
                      <w:p w14:paraId="4E238222">
                        <w:pPr>
                          <w:pStyle w:val="14"/>
                          <w:spacing w:before="26" w:line="242" w:lineRule="auto"/>
                          <w:ind w:left="152" w:right="99"/>
                          <w:rPr>
                            <w:b/>
                            <w:sz w:val="21"/>
                          </w:rPr>
                        </w:pPr>
                        <w:r>
                          <w:rPr>
                            <w:b/>
                            <w:sz w:val="21"/>
                          </w:rPr>
                          <w:t>氨氮</w:t>
                        </w:r>
                      </w:p>
                    </w:tc>
                    <w:tc>
                      <w:tcPr>
                        <w:tcW w:w="463" w:type="dxa"/>
                      </w:tcPr>
                      <w:p w14:paraId="3BB8C924">
                        <w:pPr>
                          <w:pStyle w:val="14"/>
                          <w:spacing w:before="176"/>
                          <w:ind w:left="86" w:right="35"/>
                          <w:jc w:val="center"/>
                          <w:rPr>
                            <w:rFonts w:ascii="Times New Roman"/>
                            <w:b/>
                            <w:sz w:val="21"/>
                          </w:rPr>
                        </w:pPr>
                        <w:r>
                          <w:rPr>
                            <w:rFonts w:ascii="Times New Roman"/>
                            <w:b/>
                            <w:sz w:val="21"/>
                          </w:rPr>
                          <w:t>TN</w:t>
                        </w:r>
                      </w:p>
                    </w:tc>
                    <w:tc>
                      <w:tcPr>
                        <w:tcW w:w="439" w:type="dxa"/>
                      </w:tcPr>
                      <w:p w14:paraId="429E41F1">
                        <w:pPr>
                          <w:pStyle w:val="14"/>
                          <w:spacing w:before="176"/>
                          <w:ind w:left="86" w:right="34"/>
                          <w:jc w:val="center"/>
                          <w:rPr>
                            <w:rFonts w:ascii="Times New Roman"/>
                            <w:b/>
                            <w:sz w:val="21"/>
                          </w:rPr>
                        </w:pPr>
                        <w:r>
                          <w:rPr>
                            <w:rFonts w:ascii="Times New Roman"/>
                            <w:b/>
                            <w:sz w:val="21"/>
                          </w:rPr>
                          <w:t>TP</w:t>
                        </w:r>
                      </w:p>
                    </w:tc>
                    <w:tc>
                      <w:tcPr>
                        <w:tcW w:w="656" w:type="dxa"/>
                      </w:tcPr>
                      <w:p w14:paraId="46B4678C">
                        <w:pPr>
                          <w:pStyle w:val="14"/>
                          <w:spacing w:before="26" w:line="242" w:lineRule="auto"/>
                          <w:ind w:left="138" w:right="85"/>
                          <w:rPr>
                            <w:b/>
                            <w:sz w:val="21"/>
                          </w:rPr>
                        </w:pPr>
                        <w:r>
                          <w:rPr>
                            <w:b/>
                            <w:sz w:val="21"/>
                          </w:rPr>
                          <w:t>动植物油</w:t>
                        </w:r>
                      </w:p>
                    </w:tc>
                    <w:tc>
                      <w:tcPr>
                        <w:tcW w:w="2200" w:type="dxa"/>
                      </w:tcPr>
                      <w:p w14:paraId="3CA6BC55">
                        <w:pPr>
                          <w:pStyle w:val="14"/>
                          <w:spacing w:before="160"/>
                          <w:ind w:left="173" w:right="122"/>
                          <w:jc w:val="center"/>
                          <w:rPr>
                            <w:b/>
                            <w:sz w:val="21"/>
                          </w:rPr>
                        </w:pPr>
                        <w:r>
                          <w:rPr>
                            <w:b/>
                            <w:sz w:val="21"/>
                          </w:rPr>
                          <w:t>标准</w:t>
                        </w:r>
                      </w:p>
                    </w:tc>
                  </w:tr>
                  <w:tr w14:paraId="1CBAE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773" w:type="dxa"/>
                        <w:vMerge w:val="restart"/>
                      </w:tcPr>
                      <w:p w14:paraId="7EF266AF">
                        <w:pPr>
                          <w:pStyle w:val="14"/>
                          <w:rPr>
                            <w:sz w:val="22"/>
                          </w:rPr>
                        </w:pPr>
                      </w:p>
                      <w:p w14:paraId="39825F4D">
                        <w:pPr>
                          <w:pStyle w:val="14"/>
                          <w:spacing w:before="9"/>
                          <w:rPr>
                            <w:sz w:val="32"/>
                          </w:rPr>
                        </w:pPr>
                      </w:p>
                      <w:p w14:paraId="14FF7527">
                        <w:pPr>
                          <w:pStyle w:val="14"/>
                          <w:spacing w:line="244" w:lineRule="auto"/>
                          <w:ind w:left="365" w:right="120" w:hanging="195"/>
                          <w:rPr>
                            <w:sz w:val="21"/>
                          </w:rPr>
                        </w:pPr>
                        <w:r>
                          <w:rPr>
                            <w:sz w:val="21"/>
                          </w:rPr>
                          <w:t>最高允许排放浓度（</w:t>
                        </w:r>
                        <w:r>
                          <w:rPr>
                            <w:rFonts w:ascii="Times New Roman" w:eastAsia="Times New Roman"/>
                            <w:sz w:val="21"/>
                          </w:rPr>
                          <w:t>mg/L</w:t>
                        </w:r>
                        <w:r>
                          <w:rPr>
                            <w:sz w:val="21"/>
                          </w:rPr>
                          <w:t>）</w:t>
                        </w:r>
                      </w:p>
                    </w:tc>
                    <w:tc>
                      <w:tcPr>
                        <w:tcW w:w="653" w:type="dxa"/>
                      </w:tcPr>
                      <w:p w14:paraId="4490D264">
                        <w:pPr>
                          <w:pStyle w:val="14"/>
                          <w:spacing w:before="175"/>
                          <w:ind w:left="87" w:right="34"/>
                          <w:jc w:val="center"/>
                          <w:rPr>
                            <w:rFonts w:ascii="Times New Roman"/>
                            <w:b/>
                            <w:sz w:val="21"/>
                          </w:rPr>
                        </w:pPr>
                        <w:r>
                          <w:rPr>
                            <w:rFonts w:ascii="Times New Roman"/>
                            <w:b/>
                            <w:sz w:val="21"/>
                          </w:rPr>
                          <w:t>6~8.5</w:t>
                        </w:r>
                      </w:p>
                    </w:tc>
                    <w:tc>
                      <w:tcPr>
                        <w:tcW w:w="637" w:type="dxa"/>
                      </w:tcPr>
                      <w:p w14:paraId="7126D036">
                        <w:pPr>
                          <w:pStyle w:val="14"/>
                          <w:spacing w:before="175"/>
                          <w:ind w:left="85" w:right="34"/>
                          <w:jc w:val="center"/>
                          <w:rPr>
                            <w:rFonts w:ascii="Times New Roman"/>
                            <w:b/>
                            <w:sz w:val="21"/>
                          </w:rPr>
                        </w:pPr>
                        <w:r>
                          <w:rPr>
                            <w:rFonts w:ascii="Times New Roman"/>
                            <w:b/>
                            <w:sz w:val="21"/>
                          </w:rPr>
                          <w:t>300</w:t>
                        </w:r>
                      </w:p>
                    </w:tc>
                    <w:tc>
                      <w:tcPr>
                        <w:tcW w:w="697" w:type="dxa"/>
                      </w:tcPr>
                      <w:p w14:paraId="5F503B00">
                        <w:pPr>
                          <w:pStyle w:val="14"/>
                          <w:spacing w:before="175"/>
                          <w:ind w:left="86" w:right="34"/>
                          <w:jc w:val="center"/>
                          <w:rPr>
                            <w:rFonts w:ascii="Times New Roman"/>
                            <w:b/>
                            <w:sz w:val="21"/>
                          </w:rPr>
                        </w:pPr>
                        <w:r>
                          <w:rPr>
                            <w:rFonts w:ascii="Times New Roman"/>
                            <w:b/>
                            <w:sz w:val="21"/>
                          </w:rPr>
                          <w:t>130</w:t>
                        </w:r>
                      </w:p>
                    </w:tc>
                    <w:tc>
                      <w:tcPr>
                        <w:tcW w:w="485" w:type="dxa"/>
                      </w:tcPr>
                      <w:p w14:paraId="58FEE622">
                        <w:pPr>
                          <w:pStyle w:val="14"/>
                          <w:spacing w:before="175"/>
                          <w:ind w:right="49"/>
                          <w:jc w:val="right"/>
                          <w:rPr>
                            <w:rFonts w:ascii="Times New Roman"/>
                            <w:b/>
                            <w:sz w:val="21"/>
                          </w:rPr>
                        </w:pPr>
                        <w:r>
                          <w:rPr>
                            <w:rFonts w:ascii="Times New Roman"/>
                            <w:b/>
                            <w:sz w:val="21"/>
                          </w:rPr>
                          <w:t>200</w:t>
                        </w:r>
                      </w:p>
                    </w:tc>
                    <w:tc>
                      <w:tcPr>
                        <w:tcW w:w="473" w:type="dxa"/>
                      </w:tcPr>
                      <w:p w14:paraId="1E84E6E8">
                        <w:pPr>
                          <w:pStyle w:val="14"/>
                          <w:spacing w:before="175"/>
                          <w:ind w:right="97"/>
                          <w:jc w:val="right"/>
                          <w:rPr>
                            <w:rFonts w:ascii="Times New Roman"/>
                            <w:b/>
                            <w:sz w:val="21"/>
                          </w:rPr>
                        </w:pPr>
                        <w:r>
                          <w:rPr>
                            <w:rFonts w:ascii="Times New Roman"/>
                            <w:b/>
                            <w:sz w:val="21"/>
                          </w:rPr>
                          <w:t>35</w:t>
                        </w:r>
                      </w:p>
                    </w:tc>
                    <w:tc>
                      <w:tcPr>
                        <w:tcW w:w="463" w:type="dxa"/>
                      </w:tcPr>
                      <w:p w14:paraId="161ABFA5">
                        <w:pPr>
                          <w:pStyle w:val="14"/>
                          <w:spacing w:before="175"/>
                          <w:ind w:left="86" w:right="33"/>
                          <w:jc w:val="center"/>
                          <w:rPr>
                            <w:rFonts w:ascii="Times New Roman"/>
                            <w:b/>
                            <w:sz w:val="21"/>
                          </w:rPr>
                        </w:pPr>
                        <w:r>
                          <w:rPr>
                            <w:rFonts w:ascii="Times New Roman"/>
                            <w:b/>
                            <w:sz w:val="21"/>
                          </w:rPr>
                          <w:t>40</w:t>
                        </w:r>
                      </w:p>
                    </w:tc>
                    <w:tc>
                      <w:tcPr>
                        <w:tcW w:w="439" w:type="dxa"/>
                      </w:tcPr>
                      <w:p w14:paraId="4AE8A39A">
                        <w:pPr>
                          <w:pStyle w:val="14"/>
                          <w:spacing w:before="175"/>
                          <w:ind w:left="86" w:right="33"/>
                          <w:jc w:val="center"/>
                          <w:rPr>
                            <w:rFonts w:ascii="Times New Roman"/>
                            <w:b/>
                            <w:sz w:val="21"/>
                          </w:rPr>
                        </w:pPr>
                        <w:r>
                          <w:rPr>
                            <w:rFonts w:ascii="Times New Roman"/>
                            <w:b/>
                            <w:sz w:val="21"/>
                          </w:rPr>
                          <w:t>4.0</w:t>
                        </w:r>
                      </w:p>
                    </w:tc>
                    <w:tc>
                      <w:tcPr>
                        <w:tcW w:w="656" w:type="dxa"/>
                      </w:tcPr>
                      <w:p w14:paraId="44D05A9C">
                        <w:pPr>
                          <w:pStyle w:val="14"/>
                          <w:spacing w:before="175"/>
                          <w:ind w:left="224" w:right="172"/>
                          <w:jc w:val="center"/>
                          <w:rPr>
                            <w:rFonts w:ascii="Times New Roman"/>
                            <w:b/>
                            <w:sz w:val="21"/>
                          </w:rPr>
                        </w:pPr>
                        <w:r>
                          <w:rPr>
                            <w:rFonts w:ascii="Times New Roman"/>
                            <w:b/>
                            <w:sz w:val="21"/>
                          </w:rPr>
                          <w:t>60</w:t>
                        </w:r>
                      </w:p>
                    </w:tc>
                    <w:tc>
                      <w:tcPr>
                        <w:tcW w:w="2200" w:type="dxa"/>
                      </w:tcPr>
                      <w:p w14:paraId="56326206">
                        <w:pPr>
                          <w:pStyle w:val="14"/>
                          <w:spacing w:before="26" w:line="270" w:lineRule="atLeast"/>
                          <w:ind w:left="387" w:right="122" w:hanging="212"/>
                          <w:rPr>
                            <w:sz w:val="21"/>
                          </w:rPr>
                        </w:pPr>
                        <w:r>
                          <w:rPr>
                            <w:sz w:val="21"/>
                          </w:rPr>
                          <w:t>本项目污水处理站排水执行排放标准</w:t>
                        </w:r>
                      </w:p>
                    </w:tc>
                  </w:tr>
                  <w:tr w14:paraId="15FC4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1773" w:type="dxa"/>
                        <w:vMerge w:val="continue"/>
                        <w:tcBorders>
                          <w:top w:val="nil"/>
                        </w:tcBorders>
                      </w:tcPr>
                      <w:p w14:paraId="3B432CBC">
                        <w:pPr>
                          <w:rPr>
                            <w:sz w:val="2"/>
                            <w:szCs w:val="2"/>
                          </w:rPr>
                        </w:pPr>
                      </w:p>
                    </w:tc>
                    <w:tc>
                      <w:tcPr>
                        <w:tcW w:w="653" w:type="dxa"/>
                      </w:tcPr>
                      <w:p w14:paraId="2A7CFE58">
                        <w:pPr>
                          <w:pStyle w:val="14"/>
                          <w:rPr>
                            <w:sz w:val="22"/>
                          </w:rPr>
                        </w:pPr>
                      </w:p>
                      <w:p w14:paraId="7E919DE3">
                        <w:pPr>
                          <w:pStyle w:val="14"/>
                          <w:spacing w:before="1"/>
                          <w:rPr>
                            <w:sz w:val="21"/>
                          </w:rPr>
                        </w:pPr>
                      </w:p>
                      <w:p w14:paraId="634CE8E6">
                        <w:pPr>
                          <w:pStyle w:val="14"/>
                          <w:ind w:left="87" w:right="34"/>
                          <w:jc w:val="center"/>
                          <w:rPr>
                            <w:rFonts w:ascii="Times New Roman"/>
                            <w:sz w:val="21"/>
                          </w:rPr>
                        </w:pPr>
                        <w:r>
                          <w:rPr>
                            <w:rFonts w:ascii="Times New Roman"/>
                            <w:sz w:val="21"/>
                          </w:rPr>
                          <w:t>6~8.5</w:t>
                        </w:r>
                      </w:p>
                    </w:tc>
                    <w:tc>
                      <w:tcPr>
                        <w:tcW w:w="637" w:type="dxa"/>
                      </w:tcPr>
                      <w:p w14:paraId="1AA75C08">
                        <w:pPr>
                          <w:pStyle w:val="14"/>
                          <w:rPr>
                            <w:sz w:val="22"/>
                          </w:rPr>
                        </w:pPr>
                      </w:p>
                      <w:p w14:paraId="04422E44">
                        <w:pPr>
                          <w:pStyle w:val="14"/>
                          <w:spacing w:before="1"/>
                          <w:rPr>
                            <w:sz w:val="21"/>
                          </w:rPr>
                        </w:pPr>
                      </w:p>
                      <w:p w14:paraId="762CB437">
                        <w:pPr>
                          <w:pStyle w:val="14"/>
                          <w:ind w:left="85" w:right="34"/>
                          <w:jc w:val="center"/>
                          <w:rPr>
                            <w:rFonts w:ascii="Times New Roman"/>
                            <w:sz w:val="21"/>
                          </w:rPr>
                        </w:pPr>
                        <w:r>
                          <w:rPr>
                            <w:rFonts w:ascii="Times New Roman"/>
                            <w:sz w:val="21"/>
                          </w:rPr>
                          <w:t>80</w:t>
                        </w:r>
                      </w:p>
                    </w:tc>
                    <w:tc>
                      <w:tcPr>
                        <w:tcW w:w="697" w:type="dxa"/>
                      </w:tcPr>
                      <w:p w14:paraId="2968415A">
                        <w:pPr>
                          <w:pStyle w:val="14"/>
                          <w:rPr>
                            <w:sz w:val="22"/>
                          </w:rPr>
                        </w:pPr>
                      </w:p>
                      <w:p w14:paraId="66A06016">
                        <w:pPr>
                          <w:pStyle w:val="14"/>
                          <w:spacing w:before="1"/>
                          <w:rPr>
                            <w:sz w:val="21"/>
                          </w:rPr>
                        </w:pPr>
                      </w:p>
                      <w:p w14:paraId="69A2F8AB">
                        <w:pPr>
                          <w:pStyle w:val="14"/>
                          <w:ind w:left="86" w:right="34"/>
                          <w:jc w:val="center"/>
                          <w:rPr>
                            <w:rFonts w:ascii="Times New Roman"/>
                            <w:sz w:val="21"/>
                          </w:rPr>
                        </w:pPr>
                        <w:r>
                          <w:rPr>
                            <w:rFonts w:ascii="Times New Roman"/>
                            <w:sz w:val="21"/>
                          </w:rPr>
                          <w:t>30</w:t>
                        </w:r>
                      </w:p>
                    </w:tc>
                    <w:tc>
                      <w:tcPr>
                        <w:tcW w:w="485" w:type="dxa"/>
                      </w:tcPr>
                      <w:p w14:paraId="1BABC8AC">
                        <w:pPr>
                          <w:pStyle w:val="14"/>
                          <w:rPr>
                            <w:sz w:val="22"/>
                          </w:rPr>
                        </w:pPr>
                      </w:p>
                      <w:p w14:paraId="3BDD5AF6">
                        <w:pPr>
                          <w:pStyle w:val="14"/>
                          <w:spacing w:before="1"/>
                          <w:rPr>
                            <w:sz w:val="21"/>
                          </w:rPr>
                        </w:pPr>
                      </w:p>
                      <w:p w14:paraId="39232939">
                        <w:pPr>
                          <w:pStyle w:val="14"/>
                          <w:ind w:right="104"/>
                          <w:jc w:val="right"/>
                          <w:rPr>
                            <w:rFonts w:ascii="Times New Roman"/>
                            <w:sz w:val="21"/>
                          </w:rPr>
                        </w:pPr>
                        <w:r>
                          <w:rPr>
                            <w:rFonts w:ascii="Times New Roman"/>
                            <w:sz w:val="21"/>
                          </w:rPr>
                          <w:t>60</w:t>
                        </w:r>
                      </w:p>
                    </w:tc>
                    <w:tc>
                      <w:tcPr>
                        <w:tcW w:w="473" w:type="dxa"/>
                      </w:tcPr>
                      <w:p w14:paraId="62AF5D19">
                        <w:pPr>
                          <w:pStyle w:val="14"/>
                          <w:rPr>
                            <w:sz w:val="22"/>
                          </w:rPr>
                        </w:pPr>
                      </w:p>
                      <w:p w14:paraId="3547A8C4">
                        <w:pPr>
                          <w:pStyle w:val="14"/>
                          <w:spacing w:before="1"/>
                          <w:rPr>
                            <w:sz w:val="21"/>
                          </w:rPr>
                        </w:pPr>
                      </w:p>
                      <w:p w14:paraId="0EE2E646">
                        <w:pPr>
                          <w:pStyle w:val="14"/>
                          <w:ind w:right="97"/>
                          <w:jc w:val="right"/>
                          <w:rPr>
                            <w:rFonts w:ascii="Times New Roman"/>
                            <w:sz w:val="21"/>
                          </w:rPr>
                        </w:pPr>
                        <w:r>
                          <w:rPr>
                            <w:rFonts w:ascii="Times New Roman"/>
                            <w:sz w:val="21"/>
                          </w:rPr>
                          <w:t>15</w:t>
                        </w:r>
                      </w:p>
                    </w:tc>
                    <w:tc>
                      <w:tcPr>
                        <w:tcW w:w="463" w:type="dxa"/>
                      </w:tcPr>
                      <w:p w14:paraId="7201A262">
                        <w:pPr>
                          <w:pStyle w:val="14"/>
                          <w:rPr>
                            <w:sz w:val="22"/>
                          </w:rPr>
                        </w:pPr>
                      </w:p>
                      <w:p w14:paraId="70EA387B">
                        <w:pPr>
                          <w:pStyle w:val="14"/>
                          <w:spacing w:before="1"/>
                          <w:rPr>
                            <w:sz w:val="21"/>
                          </w:rPr>
                        </w:pPr>
                      </w:p>
                      <w:p w14:paraId="2670F5D2">
                        <w:pPr>
                          <w:pStyle w:val="14"/>
                          <w:ind w:left="54"/>
                          <w:jc w:val="center"/>
                          <w:rPr>
                            <w:rFonts w:ascii="Times New Roman"/>
                            <w:sz w:val="21"/>
                          </w:rPr>
                        </w:pPr>
                        <w:r>
                          <w:rPr>
                            <w:rFonts w:ascii="Times New Roman"/>
                            <w:w w:val="99"/>
                            <w:sz w:val="21"/>
                          </w:rPr>
                          <w:t>/</w:t>
                        </w:r>
                      </w:p>
                    </w:tc>
                    <w:tc>
                      <w:tcPr>
                        <w:tcW w:w="439" w:type="dxa"/>
                      </w:tcPr>
                      <w:p w14:paraId="2918CEBC">
                        <w:pPr>
                          <w:pStyle w:val="14"/>
                          <w:rPr>
                            <w:sz w:val="22"/>
                          </w:rPr>
                        </w:pPr>
                      </w:p>
                      <w:p w14:paraId="5EAAE64A">
                        <w:pPr>
                          <w:pStyle w:val="14"/>
                          <w:spacing w:before="1"/>
                          <w:rPr>
                            <w:sz w:val="21"/>
                          </w:rPr>
                        </w:pPr>
                      </w:p>
                      <w:p w14:paraId="2053DD4D">
                        <w:pPr>
                          <w:pStyle w:val="14"/>
                          <w:ind w:left="50"/>
                          <w:jc w:val="center"/>
                          <w:rPr>
                            <w:rFonts w:ascii="Times New Roman"/>
                            <w:sz w:val="21"/>
                          </w:rPr>
                        </w:pPr>
                        <w:r>
                          <w:rPr>
                            <w:rFonts w:ascii="Times New Roman"/>
                            <w:w w:val="99"/>
                            <w:sz w:val="21"/>
                          </w:rPr>
                          <w:t>/</w:t>
                        </w:r>
                      </w:p>
                    </w:tc>
                    <w:tc>
                      <w:tcPr>
                        <w:tcW w:w="656" w:type="dxa"/>
                      </w:tcPr>
                      <w:p w14:paraId="15DD2041">
                        <w:pPr>
                          <w:pStyle w:val="14"/>
                          <w:rPr>
                            <w:sz w:val="22"/>
                          </w:rPr>
                        </w:pPr>
                      </w:p>
                      <w:p w14:paraId="4001DA98">
                        <w:pPr>
                          <w:pStyle w:val="14"/>
                          <w:spacing w:before="1"/>
                          <w:rPr>
                            <w:sz w:val="21"/>
                          </w:rPr>
                        </w:pPr>
                      </w:p>
                      <w:p w14:paraId="2DEE13AB">
                        <w:pPr>
                          <w:pStyle w:val="14"/>
                          <w:ind w:left="224" w:right="172"/>
                          <w:jc w:val="center"/>
                          <w:rPr>
                            <w:rFonts w:ascii="Times New Roman"/>
                            <w:sz w:val="21"/>
                          </w:rPr>
                        </w:pPr>
                        <w:r>
                          <w:rPr>
                            <w:rFonts w:ascii="Times New Roman"/>
                            <w:sz w:val="21"/>
                          </w:rPr>
                          <w:t>15</w:t>
                        </w:r>
                      </w:p>
                    </w:tc>
                    <w:tc>
                      <w:tcPr>
                        <w:tcW w:w="2200" w:type="dxa"/>
                      </w:tcPr>
                      <w:p w14:paraId="1621389A">
                        <w:pPr>
                          <w:pStyle w:val="14"/>
                          <w:spacing w:before="10"/>
                          <w:rPr>
                            <w:sz w:val="20"/>
                          </w:rPr>
                        </w:pPr>
                      </w:p>
                      <w:p w14:paraId="45CC406B">
                        <w:pPr>
                          <w:pStyle w:val="14"/>
                          <w:spacing w:before="1" w:line="242" w:lineRule="auto"/>
                          <w:ind w:left="176" w:right="122"/>
                          <w:jc w:val="center"/>
                          <w:rPr>
                            <w:sz w:val="21"/>
                          </w:rPr>
                        </w:pPr>
                        <w:r>
                          <w:rPr>
                            <w:w w:val="95"/>
                            <w:sz w:val="21"/>
                          </w:rPr>
                          <w:t>桃江县顺联食品和冷水江市新九唐肉联有</w:t>
                        </w:r>
                        <w:r>
                          <w:rPr>
                            <w:sz w:val="21"/>
                          </w:rPr>
                          <w:t>限公司</w:t>
                        </w:r>
                      </w:p>
                    </w:tc>
                  </w:tr>
                </w:tbl>
                <w:p w14:paraId="3646BBDA">
                  <w:pPr>
                    <w:pStyle w:val="7"/>
                  </w:pPr>
                </w:p>
              </w:txbxContent>
            </v:textbox>
          </v:shape>
        </w:pict>
      </w:r>
      <w:r>
        <w:rPr>
          <w:spacing w:val="-1"/>
        </w:rPr>
        <w:t xml:space="preserve">两处项目废水均处理达到《肉类加工工业水污染物排放标准》 </w:t>
      </w:r>
      <w:r>
        <w:rPr>
          <w:rFonts w:ascii="Times New Roman" w:eastAsia="Times New Roman"/>
        </w:rPr>
        <w:t>(GB13457-92)</w:t>
      </w:r>
      <w:r>
        <w:t>中</w:t>
      </w:r>
      <w:r>
        <w:rPr>
          <w:spacing w:val="-21"/>
        </w:rPr>
        <w:t xml:space="preserve">表 </w:t>
      </w:r>
      <w:r>
        <w:rPr>
          <w:rFonts w:ascii="Times New Roman" w:eastAsia="Times New Roman"/>
        </w:rPr>
        <w:t xml:space="preserve">3 </w:t>
      </w:r>
      <w:r>
        <w:rPr>
          <w:spacing w:val="1"/>
        </w:rPr>
        <w:t>畜类屠宰加工一级标准限值再直接排放，废水排水水质限值要求远高于本项目排水标准要求。两处废水处理工艺均与本项目完全相同，废水类型一致。</w:t>
      </w:r>
      <w:r>
        <w:rPr>
          <w:b/>
          <w:spacing w:val="-25"/>
          <w:sz w:val="21"/>
        </w:rPr>
        <w:t xml:space="preserve">表 </w:t>
      </w:r>
      <w:r>
        <w:rPr>
          <w:rFonts w:ascii="Times New Roman" w:eastAsia="Times New Roman"/>
          <w:b/>
          <w:sz w:val="21"/>
        </w:rPr>
        <w:t>7.2-1</w:t>
      </w:r>
      <w:r>
        <w:rPr>
          <w:rFonts w:ascii="Times New Roman" w:eastAsia="Times New Roman"/>
          <w:b/>
          <w:spacing w:val="50"/>
          <w:sz w:val="21"/>
        </w:rPr>
        <w:t xml:space="preserve"> </w:t>
      </w:r>
      <w:r>
        <w:rPr>
          <w:b/>
          <w:sz w:val="21"/>
        </w:rPr>
        <w:t>项目排水质要求对比</w:t>
      </w:r>
    </w:p>
    <w:p w14:paraId="6469CC01">
      <w:pPr>
        <w:pStyle w:val="7"/>
        <w:rPr>
          <w:b/>
          <w:sz w:val="22"/>
        </w:rPr>
      </w:pPr>
    </w:p>
    <w:p w14:paraId="305CC654">
      <w:pPr>
        <w:pStyle w:val="7"/>
        <w:rPr>
          <w:b/>
          <w:sz w:val="22"/>
        </w:rPr>
      </w:pPr>
    </w:p>
    <w:p w14:paraId="6938DAF9">
      <w:pPr>
        <w:pStyle w:val="7"/>
        <w:rPr>
          <w:b/>
          <w:sz w:val="22"/>
        </w:rPr>
      </w:pPr>
    </w:p>
    <w:p w14:paraId="5ABC6DD7">
      <w:pPr>
        <w:pStyle w:val="7"/>
        <w:rPr>
          <w:b/>
          <w:sz w:val="22"/>
        </w:rPr>
      </w:pPr>
    </w:p>
    <w:p w14:paraId="79C8043B">
      <w:pPr>
        <w:pStyle w:val="7"/>
        <w:rPr>
          <w:b/>
          <w:sz w:val="22"/>
        </w:rPr>
      </w:pPr>
    </w:p>
    <w:p w14:paraId="47342EE3">
      <w:pPr>
        <w:pStyle w:val="7"/>
        <w:rPr>
          <w:b/>
          <w:sz w:val="22"/>
        </w:rPr>
      </w:pPr>
    </w:p>
    <w:p w14:paraId="36B82CA9">
      <w:pPr>
        <w:pStyle w:val="7"/>
        <w:rPr>
          <w:b/>
          <w:sz w:val="22"/>
        </w:rPr>
      </w:pPr>
    </w:p>
    <w:p w14:paraId="7E6956B5">
      <w:pPr>
        <w:pStyle w:val="7"/>
        <w:rPr>
          <w:b/>
          <w:sz w:val="22"/>
        </w:rPr>
      </w:pPr>
    </w:p>
    <w:p w14:paraId="54965A9C">
      <w:pPr>
        <w:pStyle w:val="7"/>
        <w:spacing w:before="172" w:line="364" w:lineRule="auto"/>
        <w:ind w:left="460" w:right="477" w:firstLine="480"/>
        <w:jc w:val="both"/>
      </w:pPr>
      <w:r>
        <w:t>根据废水处理设施单位对湖南红星盛业食品股份有限公司进行了污水处理改造工程，采用本项目同类污水处理工艺，其出水水质（详见下表）除总磷和总氮外，均可以满足本项目排水水质标准要求。而湖南红星盛业食品股份有限公司为集养殖、屠宰及肉类深加工为一体的企业，其废水水质远比本项目的单一屠宰废水水质复杂，本项目废水中总磷、总氮的产生浓度本身低于湖南红星盛业食品股份有限公司，因此，本项目废水经过相同工艺处理后，其废水水质能够达标排放。</w:t>
      </w:r>
    </w:p>
    <w:p w14:paraId="038F4222">
      <w:pPr>
        <w:pStyle w:val="7"/>
        <w:rPr>
          <w:sz w:val="8"/>
        </w:rPr>
      </w:pPr>
      <w:r>
        <w:drawing>
          <wp:anchor distT="0" distB="0" distL="0" distR="0" simplePos="0" relativeHeight="251660288" behindDoc="0" locked="0" layoutInCell="1" allowOverlap="1">
            <wp:simplePos x="0" y="0"/>
            <wp:positionH relativeFrom="page">
              <wp:posOffset>1143000</wp:posOffset>
            </wp:positionH>
            <wp:positionV relativeFrom="paragraph">
              <wp:posOffset>90170</wp:posOffset>
            </wp:positionV>
            <wp:extent cx="5212715" cy="3344545"/>
            <wp:effectExtent l="0" t="0" r="0" b="0"/>
            <wp:wrapTopAndBottom/>
            <wp:docPr id="5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1.jpeg"/>
                    <pic:cNvPicPr>
                      <a:picLocks noChangeAspect="1"/>
                    </pic:cNvPicPr>
                  </pic:nvPicPr>
                  <pic:blipFill>
                    <a:blip r:embed="rId88" cstate="print"/>
                    <a:stretch>
                      <a:fillRect/>
                    </a:stretch>
                  </pic:blipFill>
                  <pic:spPr>
                    <a:xfrm>
                      <a:off x="0" y="0"/>
                      <a:ext cx="5212895" cy="3344417"/>
                    </a:xfrm>
                    <a:prstGeom prst="rect">
                      <a:avLst/>
                    </a:prstGeom>
                  </pic:spPr>
                </pic:pic>
              </a:graphicData>
            </a:graphic>
          </wp:anchor>
        </w:drawing>
      </w:r>
    </w:p>
    <w:p w14:paraId="0B5F2D19">
      <w:pPr>
        <w:pStyle w:val="7"/>
        <w:spacing w:before="117" w:line="364" w:lineRule="auto"/>
        <w:ind w:left="460" w:right="477" w:firstLine="480"/>
        <w:jc w:val="both"/>
      </w:pPr>
      <w:r>
        <w:rPr>
          <w:spacing w:val="0"/>
        </w:rPr>
        <w:t>综上，本项目污水处理系统处理效率高，出水水质能达到《肉类加工工业</w:t>
      </w:r>
      <w:r>
        <w:rPr>
          <w:spacing w:val="-5"/>
        </w:rPr>
        <w:t xml:space="preserve">水污染物排放标准》 </w:t>
      </w:r>
      <w:r>
        <w:rPr>
          <w:rFonts w:ascii="Times New Roman" w:eastAsia="Times New Roman"/>
        </w:rPr>
        <w:t>(GB13457-92)</w:t>
      </w:r>
      <w:r>
        <w:rPr>
          <w:spacing w:val="-16"/>
        </w:rPr>
        <w:t xml:space="preserve">中表 </w:t>
      </w:r>
      <w:r>
        <w:rPr>
          <w:rFonts w:ascii="Times New Roman" w:eastAsia="Times New Roman"/>
        </w:rPr>
        <w:t xml:space="preserve">3 </w:t>
      </w:r>
      <w:r>
        <w:t>畜类屠宰加工三级标准限值要求和岳</w:t>
      </w:r>
    </w:p>
    <w:p w14:paraId="539489CF">
      <w:pPr>
        <w:spacing w:after="0" w:line="364" w:lineRule="auto"/>
        <w:jc w:val="both"/>
        <w:sectPr>
          <w:footerReference r:id="rId38" w:type="default"/>
          <w:pgSz w:w="11910" w:h="16840"/>
          <w:pgMar w:top="1360" w:right="1320" w:bottom="1400" w:left="1340" w:header="878" w:footer="1204" w:gutter="0"/>
          <w:pgNumType w:start="150"/>
          <w:cols w:space="720" w:num="1"/>
        </w:sectPr>
      </w:pPr>
    </w:p>
    <w:p w14:paraId="268F352E">
      <w:pPr>
        <w:pStyle w:val="7"/>
        <w:spacing w:before="68"/>
        <w:ind w:left="460"/>
      </w:pPr>
      <w:r>
        <w:t>阳县污水处理厂进水水质标准要求。</w:t>
      </w:r>
    </w:p>
    <w:p w14:paraId="12597F74">
      <w:pPr>
        <w:pStyle w:val="7"/>
        <w:spacing w:before="160"/>
        <w:ind w:left="940"/>
      </w:pPr>
      <w:r>
        <w:t>③废水处理规模可行性</w:t>
      </w:r>
    </w:p>
    <w:p w14:paraId="2B4CE87A">
      <w:pPr>
        <w:pStyle w:val="7"/>
        <w:spacing w:before="159" w:line="364" w:lineRule="auto"/>
        <w:ind w:left="460" w:right="477" w:firstLine="480"/>
        <w:jc w:val="both"/>
      </w:pPr>
      <w:r>
        <w:rPr>
          <w:spacing w:val="-3"/>
        </w:rPr>
        <w:t xml:space="preserve">由工程分析可知，项目生产废水量 </w:t>
      </w:r>
      <w:r>
        <w:rPr>
          <w:rFonts w:ascii="Times New Roman" w:eastAsia="Times New Roman"/>
        </w:rPr>
        <w:t>226000m</w:t>
      </w:r>
      <w:r>
        <w:rPr>
          <w:rFonts w:ascii="Times New Roman" w:eastAsia="Times New Roman"/>
          <w:position w:val="8"/>
          <w:sz w:val="15"/>
        </w:rPr>
        <w:t>3</w:t>
      </w:r>
      <w:r>
        <w:rPr>
          <w:rFonts w:ascii="Times New Roman" w:eastAsia="Times New Roman"/>
        </w:rPr>
        <w:t>/a</w:t>
      </w:r>
      <w:r>
        <w:t>（</w:t>
      </w:r>
      <w:r>
        <w:rPr>
          <w:spacing w:val="-15"/>
        </w:rPr>
        <w:t xml:space="preserve">平均 </w:t>
      </w:r>
      <w:r>
        <w:rPr>
          <w:rFonts w:ascii="Times New Roman" w:eastAsia="Times New Roman"/>
        </w:rPr>
        <w:t>619.2m</w:t>
      </w:r>
      <w:r>
        <w:rPr>
          <w:rFonts w:ascii="Times New Roman" w:eastAsia="Times New Roman"/>
          <w:position w:val="8"/>
          <w:sz w:val="15"/>
        </w:rPr>
        <w:t>3</w:t>
      </w:r>
      <w:r>
        <w:rPr>
          <w:rFonts w:ascii="Times New Roman" w:eastAsia="Times New Roman"/>
        </w:rPr>
        <w:t>/d</w:t>
      </w:r>
      <w:r>
        <w:t>）。根据项</w:t>
      </w:r>
      <w:r>
        <w:rPr>
          <w:spacing w:val="2"/>
        </w:rPr>
        <w:t xml:space="preserve">目设计方案，污水处理站日处理能力为 </w:t>
      </w:r>
      <w:r>
        <w:rPr>
          <w:rFonts w:ascii="Times New Roman" w:eastAsia="Times New Roman"/>
        </w:rPr>
        <w:t>800m</w:t>
      </w:r>
      <w:r>
        <w:rPr>
          <w:rFonts w:ascii="Times New Roman" w:eastAsia="Times New Roman"/>
          <w:position w:val="8"/>
          <w:sz w:val="15"/>
        </w:rPr>
        <w:t>3</w:t>
      </w:r>
      <w:r>
        <w:rPr>
          <w:rFonts w:ascii="Times New Roman" w:eastAsia="Times New Roman"/>
        </w:rPr>
        <w:t>/d</w:t>
      </w:r>
      <w:r>
        <w:rPr>
          <w:spacing w:val="1"/>
        </w:rPr>
        <w:t>，污水处理站处理能力满足本项目污水处理量需求。</w:t>
      </w:r>
    </w:p>
    <w:p w14:paraId="74D324FD">
      <w:pPr>
        <w:pStyle w:val="6"/>
        <w:spacing w:line="362" w:lineRule="auto"/>
        <w:ind w:left="460" w:right="480" w:firstLine="480"/>
        <w:jc w:val="both"/>
      </w:pPr>
      <w:r>
        <w:t>综上，本项目污水处理工艺为屠宰加工行业废水处理的成熟可靠工艺，设计规模满足项目废水处理要求，项目生产废水处理措施可行。</w:t>
      </w:r>
    </w:p>
    <w:p w14:paraId="0539E369">
      <w:pPr>
        <w:pStyle w:val="7"/>
        <w:spacing w:before="4"/>
        <w:ind w:left="940"/>
      </w:pPr>
      <w:r>
        <w:t>（</w:t>
      </w:r>
      <w:r>
        <w:rPr>
          <w:rFonts w:ascii="Times New Roman" w:eastAsia="Times New Roman"/>
        </w:rPr>
        <w:t>3</w:t>
      </w:r>
      <w:r>
        <w:t>）废水非正常排放的防治措施</w:t>
      </w:r>
    </w:p>
    <w:p w14:paraId="2E3147DA">
      <w:pPr>
        <w:pStyle w:val="7"/>
        <w:spacing w:before="160" w:line="362" w:lineRule="auto"/>
        <w:ind w:left="460" w:right="477" w:firstLine="480"/>
        <w:jc w:val="both"/>
      </w:pPr>
      <w:r>
        <w:t>项目生产过程中，因管理不到位，会造成废水非正常排放。因此，项目应采取以下措施防止污染物非正常排放：</w:t>
      </w:r>
    </w:p>
    <w:p w14:paraId="23F8523F">
      <w:pPr>
        <w:pStyle w:val="7"/>
        <w:spacing w:before="3" w:line="364" w:lineRule="auto"/>
        <w:ind w:left="460" w:right="477" w:firstLine="480"/>
        <w:jc w:val="both"/>
      </w:pPr>
      <w:r>
        <w:t>①定时对污水处理设备进行检修，防止污水处理设备故障事故的发生，保证废水处理系统正常运行。</w:t>
      </w:r>
    </w:p>
    <w:p w14:paraId="4C6FDC05">
      <w:pPr>
        <w:pStyle w:val="7"/>
        <w:spacing w:before="1" w:line="362" w:lineRule="auto"/>
        <w:ind w:left="460" w:right="480" w:firstLine="480"/>
        <w:jc w:val="both"/>
      </w:pPr>
      <w:r>
        <w:t>②废水处理系统应保证其去除效率，当发生去除效率降低时，应尽快检修。</w:t>
      </w:r>
    </w:p>
    <w:p w14:paraId="5D39DBE9">
      <w:pPr>
        <w:pStyle w:val="7"/>
        <w:spacing w:before="5" w:line="362" w:lineRule="auto"/>
        <w:ind w:left="460" w:right="480" w:firstLine="480"/>
        <w:jc w:val="both"/>
      </w:pPr>
      <w:r>
        <w:t xml:space="preserve">③项目污水处理站设立事故应急池，总设计容积为 </w:t>
      </w:r>
      <w:r>
        <w:rPr>
          <w:rFonts w:ascii="Times New Roman" w:hAnsi="Times New Roman" w:eastAsia="Times New Roman"/>
        </w:rPr>
        <w:t>1500m</w:t>
      </w:r>
      <w:r>
        <w:rPr>
          <w:rFonts w:ascii="Times New Roman" w:hAnsi="Times New Roman" w:eastAsia="Times New Roman"/>
          <w:position w:val="8"/>
          <w:sz w:val="15"/>
        </w:rPr>
        <w:t>3</w:t>
      </w:r>
      <w:r>
        <w:t>，当废水处理设施发生故障停运时，应将废水导入事故应急池。</w:t>
      </w:r>
    </w:p>
    <w:p w14:paraId="3D9BD492">
      <w:pPr>
        <w:pStyle w:val="13"/>
        <w:numPr>
          <w:ilvl w:val="2"/>
          <w:numId w:val="30"/>
        </w:numPr>
        <w:tabs>
          <w:tab w:val="left" w:pos="1080"/>
        </w:tabs>
        <w:spacing w:before="6" w:after="0" w:line="240" w:lineRule="auto"/>
        <w:ind w:left="1079" w:right="0" w:hanging="619"/>
        <w:jc w:val="left"/>
        <w:rPr>
          <w:b/>
          <w:sz w:val="28"/>
        </w:rPr>
      </w:pPr>
      <w:bookmarkStart w:id="291" w:name="7.2.3地下水污染防治措施"/>
      <w:bookmarkEnd w:id="291"/>
      <w:bookmarkStart w:id="292" w:name="7.2.3地下水污染防治措施"/>
      <w:bookmarkEnd w:id="292"/>
      <w:r>
        <w:rPr>
          <w:b/>
          <w:sz w:val="28"/>
        </w:rPr>
        <w:t>地下水污染防治措施</w:t>
      </w:r>
    </w:p>
    <w:p w14:paraId="41F70362">
      <w:pPr>
        <w:pStyle w:val="7"/>
        <w:spacing w:before="182" w:line="364" w:lineRule="auto"/>
        <w:ind w:left="460" w:right="477" w:firstLine="480"/>
        <w:jc w:val="both"/>
      </w:pPr>
      <w:r>
        <w:rPr>
          <w:position w:val="2"/>
        </w:rPr>
        <w:t xml:space="preserve">本项目主要废水为生产废水，生产废水中 </w:t>
      </w:r>
      <w:r>
        <w:rPr>
          <w:rFonts w:ascii="Times New Roman" w:eastAsia="Times New Roman"/>
          <w:position w:val="2"/>
        </w:rPr>
        <w:t>CODcr</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 xml:space="preserve">、 </w:t>
      </w:r>
      <w:r>
        <w:rPr>
          <w:rFonts w:ascii="Times New Roman" w:eastAsia="Times New Roman"/>
          <w:position w:val="2"/>
          <w:vertAlign w:val="baseline"/>
        </w:rPr>
        <w:t>SS</w:t>
      </w:r>
      <w:r>
        <w:rPr>
          <w:position w:val="2"/>
          <w:vertAlign w:val="baseline"/>
        </w:rPr>
        <w:t>、氨氮、动</w:t>
      </w:r>
      <w:r>
        <w:rPr>
          <w:vertAlign w:val="baseline"/>
        </w:rPr>
        <w:t>植物油等污染物浓度较高，并可能携带致病性微生物。若生产废水未经处理后泄漏到外环境，将会对地下水造成严重污染。</w:t>
      </w:r>
    </w:p>
    <w:p w14:paraId="4CA1B9AE">
      <w:pPr>
        <w:pStyle w:val="7"/>
        <w:spacing w:line="364" w:lineRule="auto"/>
        <w:ind w:left="460" w:right="477" w:firstLine="480"/>
        <w:jc w:val="both"/>
      </w:pPr>
      <w:r>
        <w:t>根据《环境影响评价技术导则地下水环境》</w:t>
      </w:r>
      <w:r>
        <w:rPr>
          <w:rFonts w:ascii="Times New Roman" w:eastAsia="Times New Roman"/>
        </w:rPr>
        <w:t>(HJ610-2016)</w:t>
      </w:r>
      <w:r>
        <w:t>，结合项目场地污染控制难易程度，厂区各生产功能单元可能泄漏至地面区域的污染物性质和生产单元的构筑方式，将场区划分为一般污染防治区、简单防渗区。</w:t>
      </w:r>
    </w:p>
    <w:p w14:paraId="1D2FC9E4">
      <w:pPr>
        <w:pStyle w:val="7"/>
        <w:spacing w:line="364" w:lineRule="auto"/>
        <w:ind w:left="460" w:right="477" w:firstLine="480"/>
        <w:jc w:val="both"/>
      </w:pPr>
      <w:r>
        <w:t>针对项目可能发生的地下水污染，本项目地下水污染防治措施按照“源头控制、分区防治、污染监控、应急响应”相结合的原则，从污染物的产生、入渗、扩散、应急响应全方位进行控制。</w:t>
      </w:r>
    </w:p>
    <w:p w14:paraId="5624C5EA">
      <w:pPr>
        <w:pStyle w:val="7"/>
        <w:spacing w:line="304" w:lineRule="exact"/>
        <w:ind w:left="940"/>
      </w:pPr>
      <w:r>
        <w:t>（1）源头控制</w:t>
      </w:r>
    </w:p>
    <w:p w14:paraId="400E06C6">
      <w:pPr>
        <w:pStyle w:val="7"/>
        <w:spacing w:before="156"/>
        <w:ind w:left="460" w:firstLine="480"/>
      </w:pPr>
      <w:r>
        <w:t>针对源头控制，主要包括在管道、设备、污水存储、运输道路等源头控制</w:t>
      </w:r>
    </w:p>
    <w:p w14:paraId="6C5F39D0">
      <w:pPr>
        <w:pStyle w:val="7"/>
        <w:spacing w:before="8" w:line="460" w:lineRule="atLeast"/>
        <w:ind w:left="460" w:right="477"/>
      </w:pPr>
      <w:r>
        <w:t>措施，主要包括在管道、设备、污水储存及处理构筑物采取相应措施，防止和减少污染物的跑、冒、滴、漏，将污染物泄漏的环境风险事故降到最低程度。</w:t>
      </w:r>
    </w:p>
    <w:p w14:paraId="5ED53A28">
      <w:pPr>
        <w:spacing w:after="0" w:line="460" w:lineRule="atLeast"/>
        <w:sectPr>
          <w:pgSz w:w="11910" w:h="16840"/>
          <w:pgMar w:top="1360" w:right="1320" w:bottom="1400" w:left="1340" w:header="878" w:footer="1204" w:gutter="0"/>
          <w:cols w:space="720" w:num="1"/>
        </w:sectPr>
      </w:pPr>
    </w:p>
    <w:p w14:paraId="7A9449FD">
      <w:pPr>
        <w:pStyle w:val="7"/>
        <w:spacing w:before="68"/>
        <w:ind w:left="460"/>
      </w:pPr>
      <w:r>
        <w:t>本项目应采用以下措施：</w:t>
      </w:r>
    </w:p>
    <w:p w14:paraId="46CF58DD">
      <w:pPr>
        <w:pStyle w:val="7"/>
        <w:spacing w:before="160" w:line="362" w:lineRule="auto"/>
        <w:ind w:left="460" w:right="477" w:firstLine="480"/>
        <w:jc w:val="both"/>
      </w:pPr>
      <w:r>
        <w:t>本项目对生产厂房地面及其他区域地面等均进行防渗、防腐、防漏处理， 具体措施如下：</w:t>
      </w:r>
    </w:p>
    <w:p w14:paraId="5EED752A">
      <w:pPr>
        <w:pStyle w:val="7"/>
        <w:spacing w:before="5" w:line="364" w:lineRule="auto"/>
        <w:ind w:left="460" w:right="477" w:firstLine="480"/>
        <w:jc w:val="both"/>
      </w:pPr>
      <w:r>
        <w:t xml:space="preserve">①项目排水系统应实行雨水和污水分类收集输送系统。雨水管网可设置明沟，沟深为 </w:t>
      </w:r>
      <w:r>
        <w:rPr>
          <w:rFonts w:ascii="Times New Roman" w:hAnsi="Times New Roman" w:eastAsia="Times New Roman"/>
        </w:rPr>
        <w:t>20-30cm</w:t>
      </w:r>
      <w:r>
        <w:t>。污水不得采取明沟布设，应采用密闭管道输送至厂区自建污水处理站，管道应严格做好防渗、防腐、防漏处理。</w:t>
      </w:r>
    </w:p>
    <w:p w14:paraId="30D7CAE9">
      <w:pPr>
        <w:pStyle w:val="7"/>
        <w:spacing w:line="364" w:lineRule="auto"/>
        <w:ind w:left="460" w:right="477" w:firstLine="480"/>
        <w:jc w:val="both"/>
      </w:pPr>
      <w:r>
        <w:t>②屠宰加工间、暂养区及待宰圈、污水处理站、无害化暂存间等地面进行水泥硬化防渗处理，及采用高密度聚乙烯土工膜</w:t>
      </w:r>
      <w:r>
        <w:rPr>
          <w:rFonts w:ascii="Times New Roman" w:hAnsi="Times New Roman" w:eastAsia="Times New Roman"/>
        </w:rPr>
        <w:t>(HDPE)</w:t>
      </w:r>
      <w:r>
        <w:t xml:space="preserve">进行防渗，防渗技术要求达到等效黏土防渗层 </w:t>
      </w:r>
      <w:r>
        <w:rPr>
          <w:rFonts w:ascii="Times New Roman" w:hAnsi="Times New Roman" w:eastAsia="Times New Roman"/>
        </w:rPr>
        <w:t>Mb</w:t>
      </w:r>
      <w:r>
        <w:t>≥</w:t>
      </w:r>
      <w:r>
        <w:rPr>
          <w:rFonts w:ascii="Times New Roman" w:hAnsi="Times New Roman" w:eastAsia="Times New Roman"/>
        </w:rPr>
        <w:t>1.5m</w:t>
      </w:r>
      <w:r>
        <w:t>，</w:t>
      </w:r>
      <w:r>
        <w:rPr>
          <w:rFonts w:ascii="Times New Roman" w:hAnsi="Times New Roman" w:eastAsia="Times New Roman"/>
        </w:rPr>
        <w:t>K</w:t>
      </w:r>
      <w:r>
        <w:t>≤</w:t>
      </w:r>
      <w:r>
        <w:rPr>
          <w:rFonts w:ascii="Times New Roman" w:hAnsi="Times New Roman" w:eastAsia="Times New Roman"/>
        </w:rPr>
        <w:t>1×10</w:t>
      </w:r>
      <w:r>
        <w:rPr>
          <w:rFonts w:ascii="Times New Roman" w:hAnsi="Times New Roman" w:eastAsia="Times New Roman"/>
          <w:position w:val="8"/>
          <w:sz w:val="15"/>
        </w:rPr>
        <w:t>-7</w:t>
      </w:r>
      <w:r>
        <w:rPr>
          <w:rFonts w:ascii="Times New Roman" w:hAnsi="Times New Roman" w:eastAsia="Times New Roman"/>
        </w:rPr>
        <w:t>cm/s</w:t>
      </w:r>
      <w:r>
        <w:t>。</w:t>
      </w:r>
    </w:p>
    <w:p w14:paraId="455D3E4D">
      <w:pPr>
        <w:pStyle w:val="7"/>
        <w:spacing w:line="362" w:lineRule="auto"/>
        <w:ind w:left="460" w:right="477" w:firstLine="480"/>
        <w:jc w:val="both"/>
      </w:pPr>
      <w:r>
        <w:t>③定期、不定期对屠宰加工间、污水处理站等进行检测，一旦发现其防渗能力下降，及时采取修补措施，防止污染物进入到地下水中。</w:t>
      </w:r>
    </w:p>
    <w:p w14:paraId="2FCF5C68">
      <w:pPr>
        <w:pStyle w:val="7"/>
        <w:spacing w:before="2"/>
        <w:ind w:left="940"/>
      </w:pPr>
      <w:r>
        <w:t>（</w:t>
      </w:r>
      <w:r>
        <w:rPr>
          <w:rFonts w:ascii="Times New Roman" w:eastAsia="Times New Roman"/>
        </w:rPr>
        <w:t>2</w:t>
      </w:r>
      <w:r>
        <w:t>）分区防治措施</w:t>
      </w:r>
    </w:p>
    <w:p w14:paraId="2FA5F791">
      <w:pPr>
        <w:pStyle w:val="7"/>
        <w:spacing w:before="160" w:line="364" w:lineRule="auto"/>
        <w:ind w:left="460" w:right="477" w:firstLine="480"/>
        <w:jc w:val="both"/>
      </w:pPr>
      <w:r>
        <w:rPr>
          <w:spacing w:val="-1"/>
        </w:rPr>
        <w:t>根据《环境影响评价导则地下水环境》</w:t>
      </w:r>
      <w:r>
        <w:rPr>
          <w:rFonts w:ascii="Times New Roman" w:hAnsi="Times New Roman" w:eastAsia="Times New Roman"/>
        </w:rPr>
        <w:t>(HJ610-2016)</w:t>
      </w:r>
      <w:r>
        <w:rPr>
          <w:spacing w:val="-10"/>
        </w:rPr>
        <w:t xml:space="preserve">中明确“表 </w:t>
      </w:r>
      <w:r>
        <w:rPr>
          <w:rFonts w:ascii="Times New Roman" w:hAnsi="Times New Roman" w:eastAsia="Times New Roman"/>
        </w:rPr>
        <w:t xml:space="preserve">7 </w:t>
      </w:r>
      <w:r>
        <w:t>地下水污染防渗分区参照表”，结合项目总平面布置情况，将项目按一般防渗区、简单</w:t>
      </w:r>
      <w:r>
        <w:rPr>
          <w:spacing w:val="-7"/>
        </w:rPr>
        <w:t xml:space="preserve">防渗区进行污染防控。 “表 </w:t>
      </w:r>
      <w:r>
        <w:rPr>
          <w:rFonts w:ascii="Times New Roman" w:hAnsi="Times New Roman" w:eastAsia="Times New Roman"/>
        </w:rPr>
        <w:t xml:space="preserve">5 </w:t>
      </w:r>
      <w:r>
        <w:t>中控制难易划分原则”，本项目污水管道为难控制区，其它区域为易控制区</w:t>
      </w:r>
    </w:p>
    <w:p w14:paraId="4A8A4D08">
      <w:pPr>
        <w:spacing w:before="0" w:after="2" w:line="265" w:lineRule="exact"/>
        <w:ind w:left="267" w:right="286" w:firstLine="0"/>
        <w:jc w:val="center"/>
        <w:rPr>
          <w:b/>
          <w:sz w:val="21"/>
        </w:rPr>
      </w:pPr>
      <w:r>
        <w:rPr>
          <w:b/>
          <w:spacing w:val="-26"/>
          <w:sz w:val="21"/>
        </w:rPr>
        <w:t xml:space="preserve">表 </w:t>
      </w:r>
      <w:r>
        <w:rPr>
          <w:rFonts w:ascii="Times New Roman" w:eastAsia="Times New Roman"/>
          <w:b/>
          <w:sz w:val="21"/>
        </w:rPr>
        <w:t>0-1</w:t>
      </w:r>
      <w:r>
        <w:rPr>
          <w:rFonts w:ascii="Times New Roman" w:eastAsia="Times New Roman"/>
          <w:b/>
          <w:spacing w:val="50"/>
          <w:sz w:val="21"/>
        </w:rPr>
        <w:t xml:space="preserve"> </w:t>
      </w:r>
      <w:r>
        <w:rPr>
          <w:b/>
          <w:sz w:val="21"/>
        </w:rPr>
        <w:t>地下水污染防渗分区表</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4777"/>
        <w:gridCol w:w="767"/>
        <w:gridCol w:w="2214"/>
      </w:tblGrid>
      <w:tr w14:paraId="1C39D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764" w:type="dxa"/>
          </w:tcPr>
          <w:p w14:paraId="1795583D">
            <w:pPr>
              <w:pStyle w:val="14"/>
              <w:spacing w:before="156" w:line="244" w:lineRule="auto"/>
              <w:ind w:left="170" w:right="161"/>
              <w:rPr>
                <w:b/>
                <w:sz w:val="21"/>
              </w:rPr>
            </w:pPr>
            <w:r>
              <w:rPr>
                <w:b/>
                <w:sz w:val="21"/>
              </w:rPr>
              <w:t>防渗分区</w:t>
            </w:r>
          </w:p>
        </w:tc>
        <w:tc>
          <w:tcPr>
            <w:tcW w:w="4777" w:type="dxa"/>
          </w:tcPr>
          <w:p w14:paraId="0782D6CD">
            <w:pPr>
              <w:pStyle w:val="14"/>
              <w:spacing w:before="10"/>
              <w:rPr>
                <w:b/>
                <w:sz w:val="22"/>
              </w:rPr>
            </w:pPr>
          </w:p>
          <w:p w14:paraId="34B2AED4">
            <w:pPr>
              <w:pStyle w:val="14"/>
              <w:spacing w:before="1"/>
              <w:ind w:left="789" w:right="785"/>
              <w:jc w:val="center"/>
              <w:rPr>
                <w:b/>
                <w:sz w:val="21"/>
              </w:rPr>
            </w:pPr>
            <w:r>
              <w:rPr>
                <w:b/>
                <w:sz w:val="21"/>
              </w:rPr>
              <w:t>区域</w:t>
            </w:r>
          </w:p>
        </w:tc>
        <w:tc>
          <w:tcPr>
            <w:tcW w:w="767" w:type="dxa"/>
          </w:tcPr>
          <w:p w14:paraId="35A0FF06">
            <w:pPr>
              <w:pStyle w:val="14"/>
              <w:spacing w:before="21" w:line="242" w:lineRule="auto"/>
              <w:ind w:left="170" w:right="164"/>
              <w:jc w:val="both"/>
              <w:rPr>
                <w:b/>
                <w:sz w:val="21"/>
              </w:rPr>
            </w:pPr>
            <w:r>
              <w:rPr>
                <w:b/>
                <w:sz w:val="21"/>
              </w:rPr>
              <w:t>污染物类型</w:t>
            </w:r>
          </w:p>
        </w:tc>
        <w:tc>
          <w:tcPr>
            <w:tcW w:w="2214" w:type="dxa"/>
          </w:tcPr>
          <w:p w14:paraId="0A1CA3DD">
            <w:pPr>
              <w:pStyle w:val="14"/>
              <w:spacing w:before="10"/>
              <w:rPr>
                <w:b/>
                <w:sz w:val="22"/>
              </w:rPr>
            </w:pPr>
          </w:p>
          <w:p w14:paraId="6A6AC6E5">
            <w:pPr>
              <w:pStyle w:val="14"/>
              <w:spacing w:before="1"/>
              <w:ind w:left="150" w:right="144"/>
              <w:jc w:val="center"/>
              <w:rPr>
                <w:b/>
                <w:sz w:val="21"/>
              </w:rPr>
            </w:pPr>
            <w:r>
              <w:rPr>
                <w:b/>
                <w:sz w:val="21"/>
              </w:rPr>
              <w:t>防治技术要求</w:t>
            </w:r>
          </w:p>
        </w:tc>
      </w:tr>
      <w:tr w14:paraId="77FAC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64" w:type="dxa"/>
          </w:tcPr>
          <w:p w14:paraId="237710F1">
            <w:pPr>
              <w:pStyle w:val="14"/>
              <w:spacing w:before="21" w:line="242" w:lineRule="auto"/>
              <w:ind w:left="172" w:right="161"/>
              <w:jc w:val="both"/>
              <w:rPr>
                <w:sz w:val="21"/>
              </w:rPr>
            </w:pPr>
            <w:r>
              <w:rPr>
                <w:w w:val="95"/>
                <w:sz w:val="21"/>
              </w:rPr>
              <w:t>一般防渗</w:t>
            </w:r>
            <w:r>
              <w:rPr>
                <w:sz w:val="21"/>
              </w:rPr>
              <w:t>区</w:t>
            </w:r>
          </w:p>
        </w:tc>
        <w:tc>
          <w:tcPr>
            <w:tcW w:w="4777" w:type="dxa"/>
          </w:tcPr>
          <w:p w14:paraId="789E3BD4">
            <w:pPr>
              <w:pStyle w:val="14"/>
              <w:spacing w:before="157" w:line="242" w:lineRule="auto"/>
              <w:ind w:left="1443" w:right="172" w:hanging="1260"/>
              <w:rPr>
                <w:sz w:val="21"/>
              </w:rPr>
            </w:pPr>
            <w:r>
              <w:rPr>
                <w:w w:val="95"/>
                <w:sz w:val="21"/>
              </w:rPr>
              <w:t xml:space="preserve">屠宰加工间、暂养间和待宰圈、污水处理站、冷 </w:t>
            </w:r>
            <w:r>
              <w:rPr>
                <w:sz w:val="21"/>
              </w:rPr>
              <w:t>库、无害化暂存间等</w:t>
            </w:r>
          </w:p>
        </w:tc>
        <w:tc>
          <w:tcPr>
            <w:tcW w:w="767" w:type="dxa"/>
          </w:tcPr>
          <w:p w14:paraId="351A5213">
            <w:pPr>
              <w:pStyle w:val="14"/>
              <w:spacing w:before="157" w:line="242" w:lineRule="auto"/>
              <w:ind w:left="173" w:right="164"/>
              <w:rPr>
                <w:sz w:val="21"/>
              </w:rPr>
            </w:pPr>
            <w:r>
              <w:rPr>
                <w:w w:val="95"/>
                <w:sz w:val="21"/>
              </w:rPr>
              <w:t>其他类型</w:t>
            </w:r>
          </w:p>
        </w:tc>
        <w:tc>
          <w:tcPr>
            <w:tcW w:w="2214" w:type="dxa"/>
          </w:tcPr>
          <w:p w14:paraId="2FD13FB7">
            <w:pPr>
              <w:pStyle w:val="14"/>
              <w:spacing w:before="35"/>
              <w:ind w:left="152" w:right="144"/>
              <w:jc w:val="center"/>
              <w:rPr>
                <w:rFonts w:ascii="Times New Roman" w:eastAsia="Times New Roman"/>
                <w:sz w:val="21"/>
              </w:rPr>
            </w:pPr>
            <w:r>
              <w:rPr>
                <w:sz w:val="21"/>
              </w:rPr>
              <w:t xml:space="preserve">等效黏土防渗层 </w:t>
            </w:r>
            <w:r>
              <w:rPr>
                <w:rFonts w:ascii="Times New Roman" w:eastAsia="Times New Roman"/>
                <w:sz w:val="21"/>
              </w:rPr>
              <w:t>Mb</w:t>
            </w:r>
          </w:p>
          <w:p w14:paraId="0F2FF60C">
            <w:pPr>
              <w:pStyle w:val="14"/>
              <w:spacing w:before="5"/>
              <w:ind w:left="150" w:right="144"/>
              <w:jc w:val="center"/>
              <w:rPr>
                <w:rFonts w:ascii="Times New Roman" w:hAnsi="Times New Roman" w:eastAsia="Times New Roman"/>
                <w:sz w:val="13"/>
              </w:rPr>
            </w:pPr>
            <w:r>
              <w:rPr>
                <w:sz w:val="21"/>
              </w:rPr>
              <w:t>≥</w:t>
            </w:r>
            <w:r>
              <w:rPr>
                <w:rFonts w:ascii="Times New Roman" w:hAnsi="Times New Roman" w:eastAsia="Times New Roman"/>
                <w:sz w:val="21"/>
              </w:rPr>
              <w:t>1.5m</w:t>
            </w:r>
            <w:r>
              <w:rPr>
                <w:sz w:val="21"/>
              </w:rPr>
              <w:t>，</w:t>
            </w:r>
            <w:r>
              <w:rPr>
                <w:rFonts w:ascii="Times New Roman" w:hAnsi="Times New Roman" w:eastAsia="Times New Roman"/>
                <w:sz w:val="21"/>
              </w:rPr>
              <w:t>K</w:t>
            </w:r>
            <w:r>
              <w:rPr>
                <w:sz w:val="21"/>
              </w:rPr>
              <w:t>≤</w:t>
            </w:r>
            <w:r>
              <w:rPr>
                <w:rFonts w:ascii="Times New Roman" w:hAnsi="Times New Roman" w:eastAsia="Times New Roman"/>
                <w:sz w:val="21"/>
              </w:rPr>
              <w:t>1× 10</w:t>
            </w:r>
            <w:r>
              <w:rPr>
                <w:rFonts w:ascii="Times New Roman" w:hAnsi="Times New Roman" w:eastAsia="Times New Roman"/>
                <w:position w:val="7"/>
                <w:sz w:val="13"/>
              </w:rPr>
              <w:t>-</w:t>
            </w:r>
          </w:p>
          <w:p w14:paraId="1C43314C">
            <w:pPr>
              <w:pStyle w:val="14"/>
              <w:spacing w:before="1"/>
              <w:ind w:left="150" w:right="144"/>
              <w:jc w:val="center"/>
              <w:rPr>
                <w:rFonts w:ascii="Times New Roman"/>
                <w:sz w:val="21"/>
              </w:rPr>
            </w:pPr>
            <w:r>
              <w:rPr>
                <w:rFonts w:ascii="Times New Roman"/>
                <w:position w:val="7"/>
                <w:sz w:val="13"/>
              </w:rPr>
              <w:t>7</w:t>
            </w:r>
            <w:r>
              <w:rPr>
                <w:rFonts w:ascii="Times New Roman"/>
                <w:sz w:val="21"/>
              </w:rPr>
              <w:t>cm/s</w:t>
            </w:r>
          </w:p>
        </w:tc>
      </w:tr>
      <w:tr w14:paraId="08675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764" w:type="dxa"/>
          </w:tcPr>
          <w:p w14:paraId="071D3177">
            <w:pPr>
              <w:pStyle w:val="14"/>
              <w:spacing w:before="20" w:line="242" w:lineRule="auto"/>
              <w:ind w:left="172" w:right="161"/>
              <w:jc w:val="both"/>
              <w:rPr>
                <w:sz w:val="21"/>
              </w:rPr>
            </w:pPr>
            <w:r>
              <w:rPr>
                <w:w w:val="95"/>
                <w:sz w:val="21"/>
              </w:rPr>
              <w:t>简单防渗</w:t>
            </w:r>
            <w:r>
              <w:rPr>
                <w:sz w:val="21"/>
              </w:rPr>
              <w:t>区</w:t>
            </w:r>
          </w:p>
        </w:tc>
        <w:tc>
          <w:tcPr>
            <w:tcW w:w="4777" w:type="dxa"/>
          </w:tcPr>
          <w:p w14:paraId="2B5BA3B8">
            <w:pPr>
              <w:pStyle w:val="14"/>
              <w:spacing w:before="12"/>
              <w:rPr>
                <w:b/>
                <w:sz w:val="22"/>
              </w:rPr>
            </w:pPr>
          </w:p>
          <w:p w14:paraId="1D6F55D2">
            <w:pPr>
              <w:pStyle w:val="14"/>
              <w:ind w:left="792" w:right="785"/>
              <w:jc w:val="center"/>
              <w:rPr>
                <w:sz w:val="21"/>
              </w:rPr>
            </w:pPr>
            <w:r>
              <w:rPr>
                <w:sz w:val="21"/>
              </w:rPr>
              <w:t>办公区、参见廊道、厂区道路等等</w:t>
            </w:r>
          </w:p>
        </w:tc>
        <w:tc>
          <w:tcPr>
            <w:tcW w:w="767" w:type="dxa"/>
          </w:tcPr>
          <w:p w14:paraId="3AD01E5D">
            <w:pPr>
              <w:pStyle w:val="14"/>
              <w:spacing w:before="157" w:line="242" w:lineRule="auto"/>
              <w:ind w:left="173" w:right="164"/>
              <w:rPr>
                <w:sz w:val="21"/>
              </w:rPr>
            </w:pPr>
            <w:r>
              <w:rPr>
                <w:w w:val="95"/>
                <w:sz w:val="21"/>
              </w:rPr>
              <w:t>其他类型</w:t>
            </w:r>
          </w:p>
        </w:tc>
        <w:tc>
          <w:tcPr>
            <w:tcW w:w="2214" w:type="dxa"/>
          </w:tcPr>
          <w:p w14:paraId="108F5C82">
            <w:pPr>
              <w:pStyle w:val="14"/>
              <w:spacing w:before="12"/>
              <w:rPr>
                <w:b/>
                <w:sz w:val="22"/>
              </w:rPr>
            </w:pPr>
          </w:p>
          <w:p w14:paraId="4328D8C3">
            <w:pPr>
              <w:pStyle w:val="14"/>
              <w:ind w:left="150" w:right="144"/>
              <w:jc w:val="center"/>
              <w:rPr>
                <w:sz w:val="21"/>
              </w:rPr>
            </w:pPr>
            <w:r>
              <w:rPr>
                <w:sz w:val="21"/>
              </w:rPr>
              <w:t>一般地面硬化</w:t>
            </w:r>
          </w:p>
        </w:tc>
      </w:tr>
    </w:tbl>
    <w:p w14:paraId="4AD88513">
      <w:pPr>
        <w:pStyle w:val="7"/>
        <w:spacing w:before="2"/>
        <w:ind w:left="940"/>
      </w:pPr>
      <w:r>
        <w:t>（</w:t>
      </w:r>
      <w:r>
        <w:rPr>
          <w:rFonts w:ascii="Times New Roman" w:eastAsia="Times New Roman"/>
        </w:rPr>
        <w:t>3</w:t>
      </w:r>
      <w:r>
        <w:t>）污染监控</w:t>
      </w:r>
    </w:p>
    <w:p w14:paraId="3BB28C4E">
      <w:pPr>
        <w:pStyle w:val="7"/>
        <w:spacing w:before="160" w:line="362" w:lineRule="auto"/>
        <w:ind w:left="460" w:right="477" w:firstLine="480"/>
        <w:jc w:val="both"/>
      </w:pPr>
      <w:r>
        <w:rPr>
          <w:spacing w:val="0"/>
        </w:rPr>
        <w:t>建立地下水污染监控制度，同地制定地下水监测计划，根据《环境影响评</w:t>
      </w:r>
      <w:r>
        <w:rPr>
          <w:spacing w:val="20"/>
        </w:rPr>
        <w:t>价技术导则地下水环境》</w:t>
      </w:r>
      <w:r>
        <w:t>（</w:t>
      </w:r>
      <w:r>
        <w:rPr>
          <w:spacing w:val="-89"/>
        </w:rPr>
        <w:t xml:space="preserve"> </w:t>
      </w:r>
      <w:r>
        <w:rPr>
          <w:rFonts w:ascii="Times New Roman" w:eastAsia="Times New Roman"/>
        </w:rPr>
        <w:t xml:space="preserve">HJ610-2016 </w:t>
      </w:r>
      <w:r>
        <w:t>）</w:t>
      </w:r>
      <w:r>
        <w:rPr>
          <w:spacing w:val="10"/>
        </w:rPr>
        <w:t xml:space="preserve"> 及《地下水环境监测技术规范》</w:t>
      </w:r>
    </w:p>
    <w:p w14:paraId="0CD6E402">
      <w:pPr>
        <w:pStyle w:val="7"/>
        <w:spacing w:before="5" w:line="364" w:lineRule="auto"/>
        <w:ind w:left="460" w:right="477"/>
        <w:jc w:val="both"/>
      </w:pPr>
      <w:r>
        <w:t>（</w:t>
      </w:r>
      <w:r>
        <w:rPr>
          <w:rFonts w:ascii="Times New Roman" w:eastAsia="Times New Roman"/>
        </w:rPr>
        <w:t>HJ/T164-2004</w:t>
      </w:r>
      <w:r>
        <w:t>）</w:t>
      </w:r>
      <w:r>
        <w:rPr>
          <w:spacing w:val="1"/>
        </w:rPr>
        <w:t>的要求确定地下水监测点布设原则，厂区地下水下游边界应设置监控井作为地下水监测井（污染源控制井）</w:t>
      </w:r>
      <w:r>
        <w:rPr>
          <w:spacing w:val="-6"/>
        </w:rPr>
        <w:t xml:space="preserve">。监测频率为 </w:t>
      </w:r>
      <w:r>
        <w:rPr>
          <w:rFonts w:ascii="Times New Roman" w:eastAsia="Times New Roman"/>
        </w:rPr>
        <w:t xml:space="preserve">2 </w:t>
      </w:r>
      <w:r>
        <w:t>次</w:t>
      </w:r>
      <w:r>
        <w:rPr>
          <w:rFonts w:ascii="Times New Roman" w:eastAsia="Times New Roman"/>
        </w:rPr>
        <w:t xml:space="preserve">/ </w:t>
      </w:r>
      <w:r>
        <w:t>年，监测项</w:t>
      </w:r>
      <w:r>
        <w:rPr>
          <w:spacing w:val="-14"/>
        </w:rPr>
        <w:t xml:space="preserve">目为 </w:t>
      </w:r>
      <w:r>
        <w:rPr>
          <w:rFonts w:ascii="Times New Roman" w:eastAsia="Times New Roman"/>
        </w:rPr>
        <w:t>pH</w:t>
      </w:r>
      <w:r>
        <w:t>、氨氮、总氮、总磷、高锰酸盐指数、总大肠菌群。监测井的某一监测</w:t>
      </w:r>
      <w:r>
        <w:rPr>
          <w:spacing w:val="-3"/>
        </w:rPr>
        <w:t xml:space="preserve">项目如果连续两年低于控制标准值的 </w:t>
      </w:r>
      <w:r>
        <w:rPr>
          <w:rFonts w:ascii="Times New Roman" w:eastAsia="Times New Roman"/>
        </w:rPr>
        <w:t>1/5</w:t>
      </w:r>
      <w:r>
        <w:t>，且在监测井附近确实无新增污染源，</w:t>
      </w:r>
    </w:p>
    <w:p w14:paraId="59FC6A75">
      <w:pPr>
        <w:pStyle w:val="7"/>
        <w:spacing w:line="305" w:lineRule="exact"/>
        <w:ind w:left="460"/>
        <w:jc w:val="both"/>
      </w:pPr>
      <w:r>
        <w:t xml:space="preserve">而现有污染源排污量未增的情况下，该项目可每年在枯水期采样 </w:t>
      </w:r>
      <w:r>
        <w:rPr>
          <w:rFonts w:ascii="Times New Roman" w:eastAsia="Times New Roman"/>
        </w:rPr>
        <w:t xml:space="preserve">1 </w:t>
      </w:r>
      <w:r>
        <w:t>次进行监</w:t>
      </w:r>
    </w:p>
    <w:p w14:paraId="6F8A865A">
      <w:pPr>
        <w:spacing w:after="0" w:line="305" w:lineRule="exact"/>
        <w:jc w:val="both"/>
        <w:sectPr>
          <w:pgSz w:w="11910" w:h="16840"/>
          <w:pgMar w:top="1360" w:right="1320" w:bottom="1400" w:left="1340" w:header="878" w:footer="1204" w:gutter="0"/>
          <w:cols w:space="720" w:num="1"/>
        </w:sectPr>
      </w:pPr>
    </w:p>
    <w:p w14:paraId="2B34D812">
      <w:pPr>
        <w:pStyle w:val="7"/>
        <w:spacing w:before="68" w:line="364" w:lineRule="auto"/>
        <w:ind w:left="460" w:right="477"/>
        <w:jc w:val="both"/>
      </w:pPr>
      <w:r>
        <w:rPr>
          <w:spacing w:val="-3"/>
        </w:rPr>
        <w:t xml:space="preserve">测。一旦监测结果大于控制标准值的 </w:t>
      </w:r>
      <w:r>
        <w:rPr>
          <w:rFonts w:ascii="Times New Roman" w:eastAsia="Times New Roman"/>
        </w:rPr>
        <w:t>1/5</w:t>
      </w:r>
      <w:r>
        <w:t>，或在监测井附近有新的污染源或现有</w:t>
      </w:r>
      <w:r>
        <w:rPr>
          <w:spacing w:val="10"/>
        </w:rPr>
        <w:t>污染源新增排污量时，即恢复正常采样频次。遇到特殊的情况或发生污染事故，可能影响地下水水质时，应随时增加采样频次。</w:t>
      </w:r>
    </w:p>
    <w:p w14:paraId="6471F3C2">
      <w:pPr>
        <w:pStyle w:val="7"/>
        <w:spacing w:line="364" w:lineRule="auto"/>
        <w:ind w:left="460" w:right="477" w:firstLine="480"/>
        <w:jc w:val="both"/>
      </w:pPr>
      <w:r>
        <w:t xml:space="preserve">本项目地下水环境评价等级为三级，根据《环境影响评价技术导则地下水环境》 </w:t>
      </w:r>
      <w:r>
        <w:rPr>
          <w:rFonts w:ascii="Times New Roman" w:eastAsia="Times New Roman"/>
        </w:rPr>
        <w:t>(HJ610-2016)</w:t>
      </w:r>
      <w:r>
        <w:t xml:space="preserve">中的规定，三级评价的建设项目，地下水跟踪监测点数量一般不少于 </w:t>
      </w:r>
      <w:r>
        <w:rPr>
          <w:rFonts w:ascii="Times New Roman" w:eastAsia="Times New Roman"/>
        </w:rPr>
        <w:t xml:space="preserve">1 </w:t>
      </w:r>
      <w:r>
        <w:t xml:space="preserve">个，应至少在建设项目场地下游布置 </w:t>
      </w:r>
      <w:r>
        <w:rPr>
          <w:rFonts w:ascii="Times New Roman" w:eastAsia="Times New Roman"/>
        </w:rPr>
        <w:t xml:space="preserve">1 </w:t>
      </w:r>
      <w:r>
        <w:t>个。根据项目平面布置及</w:t>
      </w:r>
    </w:p>
    <w:p w14:paraId="5D556BAD">
      <w:pPr>
        <w:pStyle w:val="7"/>
        <w:spacing w:line="364" w:lineRule="auto"/>
        <w:ind w:left="460" w:right="477"/>
        <w:jc w:val="both"/>
      </w:pPr>
      <w:r>
        <w:t xml:space="preserve">区域地下水监控点分布情况，按要求在项目东北面厂界内设 </w:t>
      </w:r>
      <w:r>
        <w:rPr>
          <w:rFonts w:ascii="Times New Roman" w:eastAsia="Times New Roman"/>
        </w:rPr>
        <w:t xml:space="preserve">1 </w:t>
      </w:r>
      <w:r>
        <w:t>个观测井为地下水监控井（井深为潜水层），对区域地下水实行环境影响跟踪监测计划，并公开监测结果。</w:t>
      </w:r>
    </w:p>
    <w:p w14:paraId="416E7AEA">
      <w:pPr>
        <w:spacing w:before="0" w:after="3" w:line="264" w:lineRule="exact"/>
        <w:ind w:left="264" w:right="286" w:firstLine="0"/>
        <w:jc w:val="center"/>
        <w:rPr>
          <w:b/>
          <w:sz w:val="21"/>
        </w:rPr>
      </w:pPr>
      <w:r>
        <w:rPr>
          <w:b/>
          <w:sz w:val="21"/>
        </w:rPr>
        <w:t xml:space="preserve">表 </w:t>
      </w:r>
      <w:r>
        <w:rPr>
          <w:rFonts w:ascii="Times New Roman" w:eastAsia="Times New Roman"/>
          <w:b/>
          <w:sz w:val="21"/>
        </w:rPr>
        <w:t xml:space="preserve">0- 2  </w:t>
      </w:r>
      <w:r>
        <w:rPr>
          <w:b/>
          <w:sz w:val="21"/>
        </w:rPr>
        <w:t>地下水监测计划</w:t>
      </w:r>
    </w:p>
    <w:tbl>
      <w:tblPr>
        <w:tblStyle w:val="10"/>
        <w:tblW w:w="0" w:type="auto"/>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6"/>
        <w:gridCol w:w="2259"/>
        <w:gridCol w:w="746"/>
        <w:gridCol w:w="1282"/>
        <w:gridCol w:w="2119"/>
      </w:tblGrid>
      <w:tr w14:paraId="6CED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2116" w:type="dxa"/>
          </w:tcPr>
          <w:p w14:paraId="0F23FD33">
            <w:pPr>
              <w:pStyle w:val="14"/>
              <w:spacing w:before="155"/>
              <w:ind w:left="826" w:right="818"/>
              <w:jc w:val="center"/>
              <w:rPr>
                <w:b/>
                <w:sz w:val="21"/>
              </w:rPr>
            </w:pPr>
            <w:r>
              <w:rPr>
                <w:b/>
                <w:sz w:val="21"/>
              </w:rPr>
              <w:t>点位</w:t>
            </w:r>
          </w:p>
        </w:tc>
        <w:tc>
          <w:tcPr>
            <w:tcW w:w="2259" w:type="dxa"/>
          </w:tcPr>
          <w:p w14:paraId="37D34D42">
            <w:pPr>
              <w:pStyle w:val="14"/>
              <w:spacing w:before="155"/>
              <w:ind w:left="790" w:right="785"/>
              <w:jc w:val="center"/>
              <w:rPr>
                <w:b/>
                <w:sz w:val="21"/>
              </w:rPr>
            </w:pPr>
            <w:r>
              <w:rPr>
                <w:b/>
                <w:sz w:val="21"/>
              </w:rPr>
              <w:t>井结构</w:t>
            </w:r>
          </w:p>
        </w:tc>
        <w:tc>
          <w:tcPr>
            <w:tcW w:w="746" w:type="dxa"/>
          </w:tcPr>
          <w:p w14:paraId="7F37CDC9">
            <w:pPr>
              <w:pStyle w:val="14"/>
              <w:spacing w:before="21" w:line="242" w:lineRule="auto"/>
              <w:ind w:left="160" w:right="153"/>
              <w:rPr>
                <w:b/>
                <w:sz w:val="21"/>
              </w:rPr>
            </w:pPr>
            <w:r>
              <w:rPr>
                <w:b/>
                <w:sz w:val="21"/>
              </w:rPr>
              <w:t>监测频率</w:t>
            </w:r>
          </w:p>
        </w:tc>
        <w:tc>
          <w:tcPr>
            <w:tcW w:w="1282" w:type="dxa"/>
          </w:tcPr>
          <w:p w14:paraId="0CB46AC4">
            <w:pPr>
              <w:pStyle w:val="14"/>
              <w:spacing w:before="155"/>
              <w:ind w:left="198" w:right="190"/>
              <w:jc w:val="center"/>
              <w:rPr>
                <w:b/>
                <w:sz w:val="21"/>
              </w:rPr>
            </w:pPr>
            <w:r>
              <w:rPr>
                <w:b/>
                <w:sz w:val="21"/>
              </w:rPr>
              <w:t>监测项目</w:t>
            </w:r>
          </w:p>
        </w:tc>
        <w:tc>
          <w:tcPr>
            <w:tcW w:w="2119" w:type="dxa"/>
          </w:tcPr>
          <w:p w14:paraId="361455A8">
            <w:pPr>
              <w:pStyle w:val="14"/>
              <w:spacing w:before="155"/>
              <w:ind w:left="512" w:right="507"/>
              <w:jc w:val="center"/>
              <w:rPr>
                <w:b/>
                <w:sz w:val="21"/>
              </w:rPr>
            </w:pPr>
            <w:r>
              <w:rPr>
                <w:b/>
                <w:sz w:val="21"/>
              </w:rPr>
              <w:t>备注</w:t>
            </w:r>
          </w:p>
        </w:tc>
      </w:tr>
      <w:tr w14:paraId="7695E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2116" w:type="dxa"/>
            <w:vMerge w:val="restart"/>
          </w:tcPr>
          <w:p w14:paraId="6F5CAB88">
            <w:pPr>
              <w:pStyle w:val="14"/>
              <w:spacing w:before="8"/>
              <w:rPr>
                <w:b/>
                <w:sz w:val="24"/>
              </w:rPr>
            </w:pPr>
          </w:p>
          <w:p w14:paraId="6B9FF601">
            <w:pPr>
              <w:pStyle w:val="14"/>
              <w:spacing w:line="244" w:lineRule="auto"/>
              <w:ind w:left="323" w:right="102" w:hanging="212"/>
              <w:rPr>
                <w:sz w:val="21"/>
              </w:rPr>
            </w:pPr>
            <w:r>
              <w:rPr>
                <w:sz w:val="21"/>
              </w:rPr>
              <w:t>地下水监控井（厂区东北面厂界内）</w:t>
            </w:r>
          </w:p>
        </w:tc>
        <w:tc>
          <w:tcPr>
            <w:tcW w:w="2259" w:type="dxa"/>
            <w:vMerge w:val="restart"/>
          </w:tcPr>
          <w:p w14:paraId="31D1F91D">
            <w:pPr>
              <w:pStyle w:val="14"/>
              <w:spacing w:before="8"/>
              <w:rPr>
                <w:b/>
                <w:sz w:val="24"/>
              </w:rPr>
            </w:pPr>
          </w:p>
          <w:p w14:paraId="7ABA0AEF">
            <w:pPr>
              <w:pStyle w:val="14"/>
              <w:spacing w:line="244" w:lineRule="auto"/>
              <w:ind w:left="394" w:right="129" w:hanging="190"/>
              <w:rPr>
                <w:sz w:val="21"/>
              </w:rPr>
            </w:pPr>
            <w:r>
              <w:rPr>
                <w:sz w:val="21"/>
              </w:rPr>
              <w:t xml:space="preserve">井径 </w:t>
            </w:r>
            <w:r>
              <w:rPr>
                <w:rFonts w:ascii="Times New Roman" w:eastAsia="Times New Roman"/>
                <w:sz w:val="21"/>
              </w:rPr>
              <w:t>50mm</w:t>
            </w:r>
            <w:r>
              <w:rPr>
                <w:sz w:val="21"/>
              </w:rPr>
              <w:t>，不锈钢管，条缝过滤网</w:t>
            </w:r>
          </w:p>
        </w:tc>
        <w:tc>
          <w:tcPr>
            <w:tcW w:w="746" w:type="dxa"/>
          </w:tcPr>
          <w:p w14:paraId="6CD2BA66">
            <w:pPr>
              <w:pStyle w:val="14"/>
              <w:spacing w:before="21" w:line="242" w:lineRule="auto"/>
              <w:ind w:left="268" w:right="110" w:hanging="104"/>
              <w:rPr>
                <w:sz w:val="21"/>
              </w:rPr>
            </w:pPr>
            <w:r>
              <w:rPr>
                <w:rFonts w:ascii="Times New Roman" w:eastAsia="Times New Roman"/>
                <w:sz w:val="21"/>
              </w:rPr>
              <w:t xml:space="preserve">1 </w:t>
            </w:r>
            <w:r>
              <w:rPr>
                <w:sz w:val="21"/>
              </w:rPr>
              <w:t>次</w:t>
            </w:r>
            <w:r>
              <w:rPr>
                <w:rFonts w:ascii="Times New Roman" w:eastAsia="Times New Roman"/>
                <w:sz w:val="21"/>
              </w:rPr>
              <w:t xml:space="preserve">/ </w:t>
            </w:r>
            <w:r>
              <w:rPr>
                <w:sz w:val="21"/>
              </w:rPr>
              <w:t>月</w:t>
            </w:r>
          </w:p>
        </w:tc>
        <w:tc>
          <w:tcPr>
            <w:tcW w:w="1282" w:type="dxa"/>
          </w:tcPr>
          <w:p w14:paraId="0BB649CA">
            <w:pPr>
              <w:pStyle w:val="14"/>
              <w:spacing w:before="155"/>
              <w:ind w:left="195" w:right="190"/>
              <w:jc w:val="center"/>
              <w:rPr>
                <w:sz w:val="21"/>
              </w:rPr>
            </w:pPr>
            <w:r>
              <w:rPr>
                <w:sz w:val="21"/>
              </w:rPr>
              <w:t>浮油</w:t>
            </w:r>
          </w:p>
        </w:tc>
        <w:tc>
          <w:tcPr>
            <w:tcW w:w="2119" w:type="dxa"/>
          </w:tcPr>
          <w:p w14:paraId="270B6E5D">
            <w:pPr>
              <w:pStyle w:val="14"/>
              <w:spacing w:before="155"/>
              <w:ind w:left="512" w:right="507"/>
              <w:jc w:val="center"/>
              <w:rPr>
                <w:sz w:val="21"/>
              </w:rPr>
            </w:pPr>
            <w:r>
              <w:rPr>
                <w:sz w:val="21"/>
              </w:rPr>
              <w:t>肉眼观察法</w:t>
            </w:r>
          </w:p>
        </w:tc>
      </w:tr>
      <w:tr w14:paraId="07995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2116" w:type="dxa"/>
            <w:vMerge w:val="continue"/>
            <w:tcBorders>
              <w:top w:val="nil"/>
            </w:tcBorders>
          </w:tcPr>
          <w:p w14:paraId="793B9E7F">
            <w:pPr>
              <w:rPr>
                <w:sz w:val="2"/>
                <w:szCs w:val="2"/>
              </w:rPr>
            </w:pPr>
          </w:p>
        </w:tc>
        <w:tc>
          <w:tcPr>
            <w:tcW w:w="2259" w:type="dxa"/>
            <w:vMerge w:val="continue"/>
            <w:tcBorders>
              <w:top w:val="nil"/>
            </w:tcBorders>
          </w:tcPr>
          <w:p w14:paraId="5570EC60">
            <w:pPr>
              <w:rPr>
                <w:sz w:val="2"/>
                <w:szCs w:val="2"/>
              </w:rPr>
            </w:pPr>
          </w:p>
        </w:tc>
        <w:tc>
          <w:tcPr>
            <w:tcW w:w="746" w:type="dxa"/>
          </w:tcPr>
          <w:p w14:paraId="3F06964C">
            <w:pPr>
              <w:pStyle w:val="14"/>
              <w:spacing w:before="20" w:line="270" w:lineRule="atLeast"/>
              <w:ind w:left="163" w:right="109" w:firstLine="2"/>
              <w:rPr>
                <w:sz w:val="21"/>
              </w:rPr>
            </w:pPr>
            <w:r>
              <w:rPr>
                <w:rFonts w:ascii="Times New Roman" w:eastAsia="Times New Roman"/>
                <w:sz w:val="21"/>
              </w:rPr>
              <w:t xml:space="preserve">1 </w:t>
            </w:r>
            <w:r>
              <w:rPr>
                <w:sz w:val="21"/>
              </w:rPr>
              <w:t>次</w:t>
            </w:r>
            <w:r>
              <w:rPr>
                <w:rFonts w:ascii="Times New Roman" w:eastAsia="Times New Roman"/>
                <w:sz w:val="21"/>
              </w:rPr>
              <w:t xml:space="preserve">/ </w:t>
            </w:r>
            <w:r>
              <w:rPr>
                <w:w w:val="95"/>
                <w:sz w:val="21"/>
              </w:rPr>
              <w:t>半年</w:t>
            </w:r>
          </w:p>
        </w:tc>
        <w:tc>
          <w:tcPr>
            <w:tcW w:w="1282" w:type="dxa"/>
          </w:tcPr>
          <w:p w14:paraId="0835B227">
            <w:pPr>
              <w:pStyle w:val="14"/>
              <w:spacing w:before="20" w:line="270" w:lineRule="atLeast"/>
              <w:ind w:left="326" w:right="141" w:hanging="176"/>
              <w:rPr>
                <w:sz w:val="21"/>
              </w:rPr>
            </w:pPr>
            <w:r>
              <w:rPr>
                <w:rFonts w:ascii="Times New Roman" w:eastAsia="Times New Roman"/>
                <w:w w:val="95"/>
                <w:sz w:val="21"/>
              </w:rPr>
              <w:t>pH</w:t>
            </w:r>
            <w:r>
              <w:rPr>
                <w:w w:val="95"/>
                <w:sz w:val="21"/>
              </w:rPr>
              <w:t>、</w:t>
            </w:r>
            <w:r>
              <w:rPr>
                <w:rFonts w:ascii="Times New Roman" w:eastAsia="Times New Roman"/>
                <w:w w:val="95"/>
                <w:sz w:val="21"/>
              </w:rPr>
              <w:t>DO</w:t>
            </w:r>
            <w:r>
              <w:rPr>
                <w:w w:val="95"/>
                <w:sz w:val="21"/>
              </w:rPr>
              <w:t>、</w:t>
            </w:r>
            <w:r>
              <w:rPr>
                <w:sz w:val="21"/>
              </w:rPr>
              <w:t>氮、磷</w:t>
            </w:r>
          </w:p>
        </w:tc>
        <w:tc>
          <w:tcPr>
            <w:tcW w:w="2119" w:type="dxa"/>
          </w:tcPr>
          <w:p w14:paraId="6D066DE9">
            <w:pPr>
              <w:pStyle w:val="14"/>
              <w:spacing w:before="20" w:line="270" w:lineRule="atLeast"/>
              <w:ind w:left="218" w:right="105" w:hanging="106"/>
              <w:rPr>
                <w:sz w:val="21"/>
              </w:rPr>
            </w:pPr>
            <w:r>
              <w:rPr>
                <w:w w:val="95"/>
                <w:sz w:val="21"/>
              </w:rPr>
              <w:t>自行监测或委托有资</w:t>
            </w:r>
            <w:r>
              <w:rPr>
                <w:sz w:val="21"/>
              </w:rPr>
              <w:t>质的单位进行监测</w:t>
            </w:r>
          </w:p>
        </w:tc>
      </w:tr>
    </w:tbl>
    <w:p w14:paraId="55C71F97">
      <w:pPr>
        <w:pStyle w:val="7"/>
        <w:spacing w:before="2"/>
        <w:ind w:left="940"/>
      </w:pPr>
      <w:r>
        <w:t>（</w:t>
      </w:r>
      <w:r>
        <w:rPr>
          <w:rFonts w:ascii="Times New Roman" w:eastAsia="Times New Roman"/>
        </w:rPr>
        <w:t>4</w:t>
      </w:r>
      <w:r>
        <w:t>）应急响应</w:t>
      </w:r>
    </w:p>
    <w:p w14:paraId="5972C537">
      <w:pPr>
        <w:pStyle w:val="7"/>
        <w:spacing w:before="160" w:line="364" w:lineRule="auto"/>
        <w:ind w:left="460" w:right="477" w:firstLine="480"/>
        <w:jc w:val="both"/>
      </w:pPr>
      <w:r>
        <w:t>建立向环境保护行政主管部门报告制度；制定地下水风险或突发事故的应急响应预报预案，明确风险事故状态下应及时采取封闭、截流、疏散等措施。一旦项目污水收集系统出现故障，污水应能直接进入应急系统，待故障解除后才能恢复正常生产。</w:t>
      </w:r>
    </w:p>
    <w:p w14:paraId="38FB4F68">
      <w:pPr>
        <w:pStyle w:val="13"/>
        <w:numPr>
          <w:ilvl w:val="2"/>
          <w:numId w:val="30"/>
        </w:numPr>
        <w:tabs>
          <w:tab w:val="left" w:pos="1080"/>
        </w:tabs>
        <w:spacing w:before="0" w:after="0" w:line="357" w:lineRule="exact"/>
        <w:ind w:left="1079" w:right="0" w:hanging="619"/>
        <w:jc w:val="left"/>
        <w:rPr>
          <w:b/>
          <w:sz w:val="28"/>
        </w:rPr>
      </w:pPr>
      <w:bookmarkStart w:id="293" w:name="7.2.4噪声污染防治措施"/>
      <w:bookmarkEnd w:id="293"/>
      <w:bookmarkStart w:id="294" w:name="7.2.4噪声污染防治措施"/>
      <w:bookmarkEnd w:id="294"/>
      <w:r>
        <w:rPr>
          <w:b/>
          <w:sz w:val="28"/>
        </w:rPr>
        <w:t>噪声污染防治措施</w:t>
      </w:r>
    </w:p>
    <w:p w14:paraId="1BCED43B">
      <w:pPr>
        <w:pStyle w:val="7"/>
        <w:spacing w:before="186" w:line="364" w:lineRule="auto"/>
        <w:ind w:left="460" w:right="477" w:firstLine="480"/>
        <w:jc w:val="both"/>
      </w:pPr>
      <w:r>
        <w:t xml:space="preserve">本项目主要噪声源有制冷压缩机、机泵、切割机、风机等和猪只叫声，其噪声值在 </w:t>
      </w:r>
      <w:r>
        <w:rPr>
          <w:rFonts w:ascii="Times New Roman" w:eastAsia="Times New Roman"/>
        </w:rPr>
        <w:t>75</w:t>
      </w:r>
      <w:r>
        <w:t>～</w:t>
      </w:r>
      <w:r>
        <w:rPr>
          <w:rFonts w:ascii="Times New Roman" w:eastAsia="Times New Roman"/>
        </w:rPr>
        <w:t>90dB(A)</w:t>
      </w:r>
      <w:r>
        <w:t>。其噪声控制对策主要考虑制定噪声控制规划、从声源上降低噪声和从噪声传播途径上降低噪声，并以搞好控制规划和声源降噪为主。</w:t>
      </w:r>
    </w:p>
    <w:p w14:paraId="2FE63CE7">
      <w:pPr>
        <w:pStyle w:val="7"/>
        <w:spacing w:line="305" w:lineRule="exact"/>
        <w:ind w:left="940"/>
      </w:pPr>
      <w:r>
        <w:t>（</w:t>
      </w:r>
      <w:r>
        <w:rPr>
          <w:rFonts w:ascii="Times New Roman" w:eastAsia="Times New Roman"/>
        </w:rPr>
        <w:t>1</w:t>
      </w:r>
      <w:r>
        <w:t>）制定噪声控制规划</w:t>
      </w:r>
    </w:p>
    <w:p w14:paraId="269BA7A0">
      <w:pPr>
        <w:pStyle w:val="7"/>
        <w:spacing w:before="158" w:line="364" w:lineRule="auto"/>
        <w:ind w:left="460" w:right="477" w:firstLine="480"/>
        <w:jc w:val="both"/>
      </w:pPr>
      <w:r>
        <w:t>制定噪声合理控制规划是非常重要的战略措施，本项目的建设应有计划地对高噪声、中等噪声及低噪声车间和办公室按噪声特性进行规划，制定规划应考虑的主要因素为：</w:t>
      </w:r>
    </w:p>
    <w:p w14:paraId="4D129DC3">
      <w:pPr>
        <w:pStyle w:val="7"/>
        <w:spacing w:line="307" w:lineRule="exact"/>
        <w:ind w:left="940"/>
      </w:pPr>
      <w:r>
        <w:t>①充分利用地形、绿化等作为隔声屏障；</w:t>
      </w:r>
    </w:p>
    <w:p w14:paraId="580841F6">
      <w:pPr>
        <w:pStyle w:val="7"/>
        <w:spacing w:before="158"/>
        <w:ind w:left="940"/>
      </w:pPr>
      <w:r>
        <w:t>②应合理布置厂房、车间或站房中的机电设备，将高噪声设备集中布置不</w:t>
      </w:r>
    </w:p>
    <w:p w14:paraId="2A3FBD09">
      <w:pPr>
        <w:spacing w:after="0"/>
        <w:sectPr>
          <w:pgSz w:w="11910" w:h="16840"/>
          <w:pgMar w:top="1360" w:right="1320" w:bottom="1400" w:left="1340" w:header="878" w:footer="1204" w:gutter="0"/>
          <w:cols w:space="720" w:num="1"/>
        </w:sectPr>
      </w:pPr>
    </w:p>
    <w:p w14:paraId="21BD43C8">
      <w:pPr>
        <w:pStyle w:val="7"/>
        <w:spacing w:before="68"/>
        <w:ind w:left="460"/>
      </w:pPr>
      <w:r>
        <w:t>仅可减少噪声污染范围，而且有利于采取隔声措施。</w:t>
      </w:r>
    </w:p>
    <w:p w14:paraId="7C67037F">
      <w:pPr>
        <w:pStyle w:val="7"/>
        <w:spacing w:before="160" w:line="362" w:lineRule="auto"/>
        <w:ind w:left="460" w:right="477" w:firstLine="480"/>
      </w:pPr>
      <w:r>
        <w:t>③合理规划运输车辆的行使路线，尽量避开厂内办公楼、附近村屯等声敏感区域。</w:t>
      </w:r>
    </w:p>
    <w:p w14:paraId="239FD8F7">
      <w:pPr>
        <w:pStyle w:val="7"/>
        <w:spacing w:before="5"/>
        <w:ind w:left="940"/>
      </w:pPr>
      <w:r>
        <w:t>（</w:t>
      </w:r>
      <w:r>
        <w:rPr>
          <w:rFonts w:ascii="Times New Roman" w:eastAsia="Times New Roman"/>
        </w:rPr>
        <w:t>2</w:t>
      </w:r>
      <w:r>
        <w:t>）噪声控制具体措施如下：</w:t>
      </w:r>
    </w:p>
    <w:p w14:paraId="31F13667">
      <w:pPr>
        <w:pStyle w:val="7"/>
        <w:spacing w:before="158"/>
        <w:ind w:left="940"/>
      </w:pPr>
      <w:r>
        <w:t>①风机噪声控制</w:t>
      </w:r>
    </w:p>
    <w:p w14:paraId="484283EC">
      <w:pPr>
        <w:pStyle w:val="7"/>
        <w:spacing w:before="161" w:line="364" w:lineRule="auto"/>
        <w:ind w:left="460" w:right="477" w:firstLine="480"/>
        <w:jc w:val="both"/>
      </w:pPr>
      <w:r>
        <w:t xml:space="preserve">项目首先选用低噪声风机，要求设备噪声在 </w:t>
      </w:r>
      <w:r>
        <w:rPr>
          <w:rFonts w:ascii="Times New Roman" w:eastAsia="Times New Roman"/>
        </w:rPr>
        <w:t>90dB(A)</w:t>
      </w:r>
      <w:r>
        <w:t>以下。对风机应修建密闭隔声风机房，将风机安装在单独机房内，风机安装时采取减振基础、软管连接并搞好动平衡。同时， 风机房设置隔声门窗， 整体隔声效果要大到</w:t>
      </w:r>
    </w:p>
    <w:p w14:paraId="34F367F8">
      <w:pPr>
        <w:pStyle w:val="7"/>
        <w:spacing w:line="307" w:lineRule="exact"/>
        <w:ind w:left="460"/>
      </w:pPr>
      <w:r>
        <w:rPr>
          <w:rFonts w:ascii="Times New Roman" w:eastAsia="Times New Roman"/>
        </w:rPr>
        <w:t>20dB(A)</w:t>
      </w:r>
      <w:r>
        <w:t xml:space="preserve">，使和风机房墙外 </w:t>
      </w:r>
      <w:r>
        <w:rPr>
          <w:rFonts w:ascii="Times New Roman" w:eastAsia="Times New Roman"/>
        </w:rPr>
        <w:t xml:space="preserve">1m </w:t>
      </w:r>
      <w:r>
        <w:t xml:space="preserve">处噪声低于 </w:t>
      </w:r>
      <w:r>
        <w:rPr>
          <w:rFonts w:ascii="Times New Roman" w:eastAsia="Times New Roman"/>
        </w:rPr>
        <w:t>70dB(A)</w:t>
      </w:r>
      <w:r>
        <w:t>。</w:t>
      </w:r>
    </w:p>
    <w:p w14:paraId="7AB5D5E7">
      <w:pPr>
        <w:pStyle w:val="7"/>
        <w:spacing w:before="158"/>
        <w:ind w:left="940"/>
      </w:pPr>
      <w:r>
        <w:t>②水泵、输送泵等噪声控制</w:t>
      </w:r>
    </w:p>
    <w:p w14:paraId="0C94B6B0">
      <w:pPr>
        <w:pStyle w:val="7"/>
        <w:spacing w:before="158" w:line="364" w:lineRule="auto"/>
        <w:ind w:left="460" w:right="477" w:firstLine="480"/>
      </w:pPr>
      <w:r>
        <w:t xml:space="preserve">首先应选择低噪声泵，安装时要采取减振基础，泵房用吸声墙体及顶棚， 并利用建筑物整体隔声，使泵房外 </w:t>
      </w:r>
      <w:r>
        <w:rPr>
          <w:rFonts w:ascii="Times New Roman" w:eastAsia="Times New Roman"/>
        </w:rPr>
        <w:t xml:space="preserve">1m </w:t>
      </w:r>
      <w:r>
        <w:t xml:space="preserve">处噪声控制在 </w:t>
      </w:r>
      <w:r>
        <w:rPr>
          <w:rFonts w:ascii="Times New Roman" w:eastAsia="Times New Roman"/>
        </w:rPr>
        <w:t>75dB(A)</w:t>
      </w:r>
      <w:r>
        <w:t>以下。</w:t>
      </w:r>
    </w:p>
    <w:p w14:paraId="2E12054E">
      <w:pPr>
        <w:pStyle w:val="7"/>
        <w:spacing w:before="1" w:line="362" w:lineRule="auto"/>
        <w:ind w:left="460" w:right="477" w:firstLine="480"/>
      </w:pPr>
      <w:r>
        <w:t>③运输车辆通过采取控制车速、禁止鸣笛等措施，减少交通噪声对环境的影响。</w:t>
      </w:r>
    </w:p>
    <w:p w14:paraId="030F2648">
      <w:pPr>
        <w:pStyle w:val="7"/>
        <w:spacing w:before="5"/>
        <w:ind w:left="940"/>
      </w:pPr>
      <w:r>
        <w:t>（</w:t>
      </w:r>
      <w:r>
        <w:rPr>
          <w:rFonts w:ascii="Times New Roman" w:eastAsia="Times New Roman"/>
        </w:rPr>
        <w:t>3</w:t>
      </w:r>
      <w:r>
        <w:t>）传播途径降噪</w:t>
      </w:r>
    </w:p>
    <w:p w14:paraId="0912652A">
      <w:pPr>
        <w:pStyle w:val="7"/>
        <w:spacing w:before="158" w:line="364" w:lineRule="auto"/>
        <w:ind w:left="460" w:right="477" w:firstLine="480"/>
      </w:pPr>
      <w:r>
        <w:t>在控制声源的基础上，通过总体与平面布置改善噪声的传播途径，静、闹合理分隔，减少噪声对受影响人群的干扰。</w:t>
      </w:r>
    </w:p>
    <w:p w14:paraId="15C5ED5C">
      <w:pPr>
        <w:pStyle w:val="7"/>
        <w:spacing w:line="306" w:lineRule="exact"/>
        <w:ind w:left="940"/>
      </w:pPr>
      <w:r>
        <w:t>①厂区建筑合理布置，将生产区与生活区分开。</w:t>
      </w:r>
    </w:p>
    <w:p w14:paraId="6AA720BA">
      <w:pPr>
        <w:pStyle w:val="7"/>
        <w:spacing w:before="161" w:line="362" w:lineRule="auto"/>
        <w:ind w:left="460" w:right="477" w:firstLine="480"/>
      </w:pPr>
      <w:r>
        <w:t>②厂房隔声，对于风机、水泵等高噪声设备，在将其安装在厂房内，有效降低噪声对外环境的影响。</w:t>
      </w:r>
    </w:p>
    <w:p w14:paraId="4F2249AA">
      <w:pPr>
        <w:pStyle w:val="7"/>
        <w:spacing w:before="5" w:line="364" w:lineRule="auto"/>
        <w:ind w:left="460" w:right="477" w:firstLine="480"/>
        <w:jc w:val="both"/>
      </w:pPr>
      <w:r>
        <w:t>通过采用合理布局、减振、隔声、距离衰减等措施后，根据预测结果，项目东、南、北面厂界的噪声预测结果均可达到《工业企业厂界环境噪声排放标准》</w:t>
      </w:r>
      <w:r>
        <w:rPr>
          <w:rFonts w:ascii="Times New Roman" w:eastAsia="Times New Roman"/>
        </w:rPr>
        <w:t>( GB12348-2008)</w:t>
      </w:r>
      <w:r>
        <w:t xml:space="preserve">中表 </w:t>
      </w:r>
      <w:r>
        <w:rPr>
          <w:rFonts w:ascii="Times New Roman" w:eastAsia="Times New Roman"/>
        </w:rPr>
        <w:t xml:space="preserve">1 </w:t>
      </w:r>
      <w:r>
        <w:t xml:space="preserve">的 </w:t>
      </w:r>
      <w:r>
        <w:rPr>
          <w:rFonts w:ascii="Times New Roman" w:eastAsia="Times New Roman"/>
        </w:rPr>
        <w:t xml:space="preserve">2 </w:t>
      </w:r>
      <w:r>
        <w:t>类标准。项目所用的噪声防治措施技术上可行。项目所用的噪声防治措施投资较少，经济上可行。</w:t>
      </w:r>
    </w:p>
    <w:p w14:paraId="5C7633A9">
      <w:pPr>
        <w:pStyle w:val="13"/>
        <w:numPr>
          <w:ilvl w:val="2"/>
          <w:numId w:val="30"/>
        </w:numPr>
        <w:tabs>
          <w:tab w:val="left" w:pos="1080"/>
        </w:tabs>
        <w:spacing w:before="0" w:after="0" w:line="357" w:lineRule="exact"/>
        <w:ind w:left="1079" w:right="0" w:hanging="619"/>
        <w:jc w:val="left"/>
        <w:rPr>
          <w:b/>
          <w:sz w:val="28"/>
        </w:rPr>
      </w:pPr>
      <w:bookmarkStart w:id="295" w:name="7.2.5固体废物处理、处置措施"/>
      <w:bookmarkEnd w:id="295"/>
      <w:bookmarkStart w:id="296" w:name="7.2.5固体废物处理、处置措施"/>
      <w:bookmarkEnd w:id="296"/>
      <w:r>
        <w:rPr>
          <w:b/>
          <w:sz w:val="28"/>
        </w:rPr>
        <w:t>固体废物处理、处置措施</w:t>
      </w:r>
    </w:p>
    <w:p w14:paraId="72016D94">
      <w:pPr>
        <w:pStyle w:val="6"/>
        <w:numPr>
          <w:ilvl w:val="3"/>
          <w:numId w:val="30"/>
        </w:numPr>
        <w:tabs>
          <w:tab w:val="left" w:pos="1171"/>
        </w:tabs>
        <w:spacing w:before="185" w:after="0" w:line="240" w:lineRule="auto"/>
        <w:ind w:left="1170" w:right="0" w:hanging="710"/>
        <w:jc w:val="left"/>
      </w:pPr>
      <w:bookmarkStart w:id="297" w:name="7.2.5.1无害化处理措施"/>
      <w:bookmarkEnd w:id="297"/>
      <w:bookmarkStart w:id="298" w:name="7.2.5.1无害化处理措施"/>
      <w:bookmarkEnd w:id="298"/>
      <w:r>
        <w:t>无害化处理措施</w:t>
      </w:r>
    </w:p>
    <w:p w14:paraId="7319A0DF">
      <w:pPr>
        <w:pStyle w:val="7"/>
        <w:spacing w:before="158" w:line="364" w:lineRule="auto"/>
        <w:ind w:left="460" w:right="477" w:firstLine="480"/>
        <w:jc w:val="both"/>
      </w:pPr>
      <w:r>
        <w:t>对于产生的病死动物、不合格内脏（不可食用部分）等固体废物，主要采用送无害化处置中心的处理方式处置。病死动物和不合格内脏（不可食用部分）固废经消毒处理后用塑料袋密封，在无害化暂存间冷藏，当冷藏量达到一</w:t>
      </w:r>
    </w:p>
    <w:p w14:paraId="0F24A57C">
      <w:pPr>
        <w:pStyle w:val="7"/>
        <w:spacing w:line="307" w:lineRule="exact"/>
        <w:ind w:left="460"/>
      </w:pPr>
      <w:r>
        <w:t>定量时，由岳阳县病死畜禽无害化处理中心进行转运并做无害化处理。其处置</w:t>
      </w:r>
    </w:p>
    <w:p w14:paraId="0D459F2F">
      <w:pPr>
        <w:spacing w:after="0" w:line="307" w:lineRule="exact"/>
        <w:sectPr>
          <w:pgSz w:w="11910" w:h="16840"/>
          <w:pgMar w:top="1360" w:right="1320" w:bottom="1400" w:left="1340" w:header="878" w:footer="1204" w:gutter="0"/>
          <w:cols w:space="720" w:num="1"/>
        </w:sectPr>
      </w:pPr>
    </w:p>
    <w:p w14:paraId="3E05BF2D">
      <w:pPr>
        <w:pStyle w:val="7"/>
        <w:spacing w:before="68" w:line="364" w:lineRule="auto"/>
        <w:ind w:left="460" w:right="480"/>
      </w:pPr>
      <w:r>
        <w:t>方式符合《动物防疫法》和《生猪定点屠宰厂</w:t>
      </w:r>
      <w:r>
        <w:rPr>
          <w:rFonts w:ascii="Times New Roman" w:eastAsia="Times New Roman"/>
        </w:rPr>
        <w:t>(</w:t>
      </w:r>
      <w:r>
        <w:t>场）病害猪无害化处理管理办法》相关规定，实现固体废物无害化处理。</w:t>
      </w:r>
    </w:p>
    <w:p w14:paraId="23AEC6C0">
      <w:pPr>
        <w:pStyle w:val="7"/>
        <w:spacing w:line="364" w:lineRule="auto"/>
        <w:ind w:left="460" w:right="477" w:firstLine="480"/>
        <w:jc w:val="both"/>
      </w:pPr>
      <w:r>
        <w:t>本项目属于岳阳县病死畜禽无害化处理中心覆盖区域，项目病死动物和不合格内脏（不可食用部分）等固体废物送无害化处理中心处置措施可行。</w:t>
      </w:r>
    </w:p>
    <w:p w14:paraId="7278F12B">
      <w:pPr>
        <w:pStyle w:val="6"/>
        <w:numPr>
          <w:ilvl w:val="3"/>
          <w:numId w:val="30"/>
        </w:numPr>
        <w:tabs>
          <w:tab w:val="left" w:pos="1171"/>
        </w:tabs>
        <w:spacing w:before="0" w:after="0" w:line="306" w:lineRule="exact"/>
        <w:ind w:left="1170" w:right="0" w:hanging="710"/>
        <w:jc w:val="left"/>
      </w:pPr>
      <w:bookmarkStart w:id="299" w:name="7.2.5.2一般固废处理措施"/>
      <w:bookmarkEnd w:id="299"/>
      <w:bookmarkStart w:id="300" w:name="7.2.5.2一般固废处理措施"/>
      <w:bookmarkEnd w:id="300"/>
      <w:r>
        <w:rPr>
          <w:w w:val="95"/>
        </w:rPr>
        <w:t>一般固废处理措施</w:t>
      </w:r>
    </w:p>
    <w:p w14:paraId="0BDECB53">
      <w:pPr>
        <w:pStyle w:val="7"/>
        <w:spacing w:before="159" w:line="362" w:lineRule="auto"/>
        <w:ind w:left="460" w:right="477" w:firstLine="480"/>
        <w:jc w:val="both"/>
      </w:pPr>
      <w:r>
        <w:t>项日生活垃圾在厂内集中收集后，清运至当地环卫部门指定的生活垃圾收集点堆放，再由环卫部门统一处理。</w:t>
      </w:r>
    </w:p>
    <w:p w14:paraId="724054EB">
      <w:pPr>
        <w:pStyle w:val="7"/>
        <w:spacing w:before="5" w:line="364" w:lineRule="auto"/>
        <w:ind w:left="460" w:right="477" w:firstLine="480"/>
        <w:jc w:val="both"/>
      </w:pPr>
      <w:r>
        <w:t>猪毛可作为毛刷等产品行业的原材料，因此，猪毛均收集后外售猪毛收购单位，不外排外环境，厂内设一般固废暂存间（设在屠宰车间内）暂存。</w:t>
      </w:r>
    </w:p>
    <w:p w14:paraId="3334F25B">
      <w:pPr>
        <w:pStyle w:val="7"/>
        <w:spacing w:line="364" w:lineRule="auto"/>
        <w:ind w:left="460" w:right="477" w:firstLine="480"/>
        <w:jc w:val="both"/>
      </w:pPr>
      <w:r>
        <w:t>牲畜粪便、肠内容物和污水处理站栅渣、污泥等多以有机物组成为主，无重金属和有毒有害及难降解的污染物，经收集后统一交有机肥料厂用作有机肥生产原料。牲畜粪便、肠内容物在一般固废暂存间（设在屠宰车间内，西北角位置）暂存，日产日清；污水处理站栅渣、污泥暂存污泥间，日产日清；一般固废暂存间均需地面硬底化，进行防渗处理的基础上采用半封闭贮存，并做好恶臭废气的收集、处理。厂内存放时间短，并得到及时有效处置，对环境影响不大。</w:t>
      </w:r>
    </w:p>
    <w:p w14:paraId="2678DCE0">
      <w:pPr>
        <w:pStyle w:val="6"/>
        <w:numPr>
          <w:ilvl w:val="3"/>
          <w:numId w:val="30"/>
        </w:numPr>
        <w:tabs>
          <w:tab w:val="left" w:pos="1171"/>
        </w:tabs>
        <w:spacing w:before="0" w:after="0" w:line="305" w:lineRule="exact"/>
        <w:ind w:left="1170" w:right="0" w:hanging="710"/>
        <w:jc w:val="left"/>
      </w:pPr>
      <w:bookmarkStart w:id="301" w:name="7.2.5.3危险废物处理措施"/>
      <w:bookmarkEnd w:id="301"/>
      <w:bookmarkStart w:id="302" w:name="7.2.5.3危险废物处理措施"/>
      <w:bookmarkEnd w:id="302"/>
      <w:r>
        <w:t>危险废物处理措施</w:t>
      </w:r>
    </w:p>
    <w:p w14:paraId="275E322D">
      <w:pPr>
        <w:pStyle w:val="7"/>
        <w:spacing w:before="157" w:line="364" w:lineRule="auto"/>
        <w:ind w:left="460" w:right="477" w:firstLine="480"/>
        <w:jc w:val="both"/>
      </w:pPr>
      <w:r>
        <w:t>本项目产生的危险废物主要为废机油、废包装物、含油抹布及劳保用品、检测废液等。</w:t>
      </w:r>
    </w:p>
    <w:p w14:paraId="3AC09EF6">
      <w:pPr>
        <w:pStyle w:val="7"/>
        <w:spacing w:line="364" w:lineRule="auto"/>
        <w:ind w:left="460" w:right="477" w:firstLine="480"/>
        <w:jc w:val="both"/>
      </w:pPr>
      <w:r>
        <w:t>废机油、废包装物、废含油抹布由机械保养维修等产生，在维修间设专门的暂存间暂存，定期交由委托的有资质单位处置；胴体检疫产生的实验废液， 在检验室内设专门的危废收集桶，分类收集，再送至危废暂存间暂存，定期交由委托的有资质单位处置。</w:t>
      </w:r>
    </w:p>
    <w:p w14:paraId="50619B9C">
      <w:pPr>
        <w:pStyle w:val="7"/>
        <w:ind w:left="940"/>
        <w:rPr>
          <w:rFonts w:ascii="Times New Roman" w:eastAsia="Times New Roman"/>
        </w:rPr>
      </w:pPr>
      <w:r>
        <w:rPr>
          <w:spacing w:val="-4"/>
        </w:rPr>
        <w:t>根据《排污许可证申请与核发技术规范 工业固体废物</w:t>
      </w:r>
      <w:r>
        <w:t>（试行</w:t>
      </w:r>
      <w:r>
        <w:rPr>
          <w:spacing w:val="-120"/>
        </w:rPr>
        <w:t>）》</w:t>
      </w:r>
      <w:r>
        <w:t>（</w:t>
      </w:r>
      <w:r>
        <w:rPr>
          <w:rFonts w:ascii="Times New Roman" w:eastAsia="Times New Roman"/>
        </w:rPr>
        <w:t>HJ1200-</w:t>
      </w:r>
    </w:p>
    <w:p w14:paraId="5F085E5E">
      <w:pPr>
        <w:pStyle w:val="7"/>
        <w:spacing w:before="157"/>
        <w:ind w:left="460"/>
      </w:pPr>
      <w:r>
        <w:rPr>
          <w:rFonts w:ascii="Times New Roman" w:eastAsia="Times New Roman"/>
        </w:rPr>
        <w:t>2021</w:t>
      </w:r>
      <w:r>
        <w:t>）中相关要求，对本项目产生的固体废物相关情况如下登记，详见下表。</w:t>
      </w:r>
    </w:p>
    <w:p w14:paraId="6E46EB38">
      <w:pPr>
        <w:spacing w:before="157" w:after="4"/>
        <w:ind w:left="264" w:right="286" w:firstLine="0"/>
        <w:jc w:val="center"/>
        <w:rPr>
          <w:b/>
          <w:sz w:val="21"/>
        </w:rPr>
      </w:pPr>
      <w:r>
        <w:rPr>
          <w:b/>
          <w:sz w:val="21"/>
        </w:rPr>
        <w:t xml:space="preserve">表 </w:t>
      </w:r>
      <w:r>
        <w:rPr>
          <w:rFonts w:ascii="Times New Roman" w:eastAsia="Times New Roman"/>
          <w:b/>
          <w:sz w:val="21"/>
        </w:rPr>
        <w:t xml:space="preserve">7.2-4   </w:t>
      </w:r>
      <w:r>
        <w:rPr>
          <w:b/>
          <w:sz w:val="21"/>
        </w:rPr>
        <w:t>排污单位基本信息表</w:t>
      </w: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1744"/>
        <w:gridCol w:w="1600"/>
        <w:gridCol w:w="870"/>
        <w:gridCol w:w="869"/>
        <w:gridCol w:w="879"/>
        <w:gridCol w:w="2095"/>
      </w:tblGrid>
      <w:tr w14:paraId="491FF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2" w:type="dxa"/>
            <w:gridSpan w:val="7"/>
          </w:tcPr>
          <w:p w14:paraId="0066DE24">
            <w:pPr>
              <w:pStyle w:val="14"/>
              <w:spacing w:before="34"/>
              <w:ind w:left="3087" w:right="3083"/>
              <w:jc w:val="center"/>
              <w:rPr>
                <w:sz w:val="21"/>
              </w:rPr>
            </w:pPr>
            <w:r>
              <w:rPr>
                <w:sz w:val="21"/>
              </w:rPr>
              <w:t>危险废物</w:t>
            </w:r>
          </w:p>
        </w:tc>
      </w:tr>
      <w:tr w14:paraId="5F351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5" w:type="dxa"/>
          </w:tcPr>
          <w:p w14:paraId="153DDAC4">
            <w:pPr>
              <w:pStyle w:val="14"/>
              <w:spacing w:before="1"/>
              <w:ind w:left="126"/>
              <w:rPr>
                <w:sz w:val="21"/>
              </w:rPr>
            </w:pPr>
            <w:r>
              <w:rPr>
                <w:w w:val="99"/>
                <w:sz w:val="21"/>
              </w:rPr>
              <w:t>序</w:t>
            </w:r>
          </w:p>
          <w:p w14:paraId="22911DF1">
            <w:pPr>
              <w:pStyle w:val="14"/>
              <w:spacing w:before="2" w:line="253" w:lineRule="exact"/>
              <w:ind w:left="126"/>
              <w:rPr>
                <w:sz w:val="21"/>
              </w:rPr>
            </w:pPr>
            <w:r>
              <w:rPr>
                <w:w w:val="99"/>
                <w:sz w:val="21"/>
              </w:rPr>
              <w:t>号</w:t>
            </w:r>
          </w:p>
        </w:tc>
        <w:tc>
          <w:tcPr>
            <w:tcW w:w="1744" w:type="dxa"/>
          </w:tcPr>
          <w:p w14:paraId="0B070022">
            <w:pPr>
              <w:pStyle w:val="14"/>
              <w:spacing w:before="135"/>
              <w:ind w:left="116" w:right="108"/>
              <w:jc w:val="center"/>
              <w:rPr>
                <w:sz w:val="21"/>
              </w:rPr>
            </w:pPr>
            <w:r>
              <w:rPr>
                <w:sz w:val="21"/>
              </w:rPr>
              <w:t>名称</w:t>
            </w:r>
          </w:p>
        </w:tc>
        <w:tc>
          <w:tcPr>
            <w:tcW w:w="1600" w:type="dxa"/>
          </w:tcPr>
          <w:p w14:paraId="04942533">
            <w:pPr>
              <w:pStyle w:val="14"/>
              <w:spacing w:before="135"/>
              <w:ind w:left="228" w:right="223"/>
              <w:jc w:val="center"/>
              <w:rPr>
                <w:sz w:val="21"/>
              </w:rPr>
            </w:pPr>
            <w:r>
              <w:rPr>
                <w:sz w:val="21"/>
              </w:rPr>
              <w:t>代码</w:t>
            </w:r>
          </w:p>
        </w:tc>
        <w:tc>
          <w:tcPr>
            <w:tcW w:w="870" w:type="dxa"/>
          </w:tcPr>
          <w:p w14:paraId="63A809C2">
            <w:pPr>
              <w:pStyle w:val="14"/>
              <w:spacing w:before="1"/>
              <w:ind w:left="85" w:right="78"/>
              <w:jc w:val="center"/>
              <w:rPr>
                <w:sz w:val="21"/>
              </w:rPr>
            </w:pPr>
            <w:r>
              <w:rPr>
                <w:sz w:val="21"/>
              </w:rPr>
              <w:t>危险特</w:t>
            </w:r>
          </w:p>
          <w:p w14:paraId="6F2473D6">
            <w:pPr>
              <w:pStyle w:val="14"/>
              <w:spacing w:before="2" w:line="253" w:lineRule="exact"/>
              <w:ind w:left="10"/>
              <w:jc w:val="center"/>
              <w:rPr>
                <w:sz w:val="21"/>
              </w:rPr>
            </w:pPr>
            <w:r>
              <w:rPr>
                <w:w w:val="99"/>
                <w:sz w:val="21"/>
              </w:rPr>
              <w:t>性</w:t>
            </w:r>
          </w:p>
        </w:tc>
        <w:tc>
          <w:tcPr>
            <w:tcW w:w="869" w:type="dxa"/>
          </w:tcPr>
          <w:p w14:paraId="269B6F54">
            <w:pPr>
              <w:pStyle w:val="14"/>
              <w:spacing w:before="1"/>
              <w:ind w:left="97" w:right="91"/>
              <w:jc w:val="center"/>
              <w:rPr>
                <w:sz w:val="21"/>
              </w:rPr>
            </w:pPr>
            <w:r>
              <w:rPr>
                <w:sz w:val="21"/>
              </w:rPr>
              <w:t>物理性</w:t>
            </w:r>
          </w:p>
          <w:p w14:paraId="7DCD55D4">
            <w:pPr>
              <w:pStyle w:val="14"/>
              <w:spacing w:before="2" w:line="253" w:lineRule="exact"/>
              <w:ind w:left="8"/>
              <w:jc w:val="center"/>
              <w:rPr>
                <w:sz w:val="21"/>
              </w:rPr>
            </w:pPr>
            <w:r>
              <w:rPr>
                <w:w w:val="99"/>
                <w:sz w:val="21"/>
              </w:rPr>
              <w:t>状</w:t>
            </w:r>
          </w:p>
        </w:tc>
        <w:tc>
          <w:tcPr>
            <w:tcW w:w="879" w:type="dxa"/>
          </w:tcPr>
          <w:p w14:paraId="28C6F305">
            <w:pPr>
              <w:pStyle w:val="14"/>
              <w:spacing w:before="1"/>
              <w:ind w:left="102" w:right="97"/>
              <w:jc w:val="center"/>
              <w:rPr>
                <w:sz w:val="21"/>
              </w:rPr>
            </w:pPr>
            <w:r>
              <w:rPr>
                <w:sz w:val="21"/>
              </w:rPr>
              <w:t>产生环</w:t>
            </w:r>
          </w:p>
          <w:p w14:paraId="074FB41D">
            <w:pPr>
              <w:pStyle w:val="14"/>
              <w:spacing w:before="2" w:line="253" w:lineRule="exact"/>
              <w:ind w:left="7"/>
              <w:jc w:val="center"/>
              <w:rPr>
                <w:sz w:val="21"/>
              </w:rPr>
            </w:pPr>
            <w:r>
              <w:rPr>
                <w:w w:val="99"/>
                <w:sz w:val="21"/>
              </w:rPr>
              <w:t>节</w:t>
            </w:r>
          </w:p>
        </w:tc>
        <w:tc>
          <w:tcPr>
            <w:tcW w:w="2095" w:type="dxa"/>
          </w:tcPr>
          <w:p w14:paraId="70A3683F">
            <w:pPr>
              <w:pStyle w:val="14"/>
              <w:spacing w:before="135"/>
              <w:ind w:left="816" w:right="809"/>
              <w:jc w:val="center"/>
              <w:rPr>
                <w:sz w:val="21"/>
              </w:rPr>
            </w:pPr>
            <w:r>
              <w:rPr>
                <w:sz w:val="21"/>
              </w:rPr>
              <w:t>去向</w:t>
            </w:r>
          </w:p>
        </w:tc>
      </w:tr>
      <w:tr w14:paraId="4A4A2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trPr>
        <w:tc>
          <w:tcPr>
            <w:tcW w:w="465" w:type="dxa"/>
          </w:tcPr>
          <w:p w14:paraId="37158C62">
            <w:pPr>
              <w:pStyle w:val="14"/>
              <w:spacing w:before="5"/>
              <w:rPr>
                <w:b/>
                <w:sz w:val="25"/>
              </w:rPr>
            </w:pPr>
          </w:p>
          <w:p w14:paraId="662D55D9">
            <w:pPr>
              <w:pStyle w:val="14"/>
              <w:spacing w:before="1"/>
              <w:ind w:left="8"/>
              <w:jc w:val="center"/>
              <w:rPr>
                <w:rFonts w:ascii="Times New Roman"/>
                <w:sz w:val="21"/>
              </w:rPr>
            </w:pPr>
            <w:r>
              <w:rPr>
                <w:rFonts w:ascii="Times New Roman"/>
                <w:w w:val="99"/>
                <w:sz w:val="21"/>
              </w:rPr>
              <w:t>1</w:t>
            </w:r>
          </w:p>
        </w:tc>
        <w:tc>
          <w:tcPr>
            <w:tcW w:w="1744" w:type="dxa"/>
          </w:tcPr>
          <w:p w14:paraId="53033832">
            <w:pPr>
              <w:pStyle w:val="14"/>
              <w:spacing w:before="4"/>
              <w:rPr>
                <w:b/>
                <w:sz w:val="24"/>
              </w:rPr>
            </w:pPr>
          </w:p>
          <w:p w14:paraId="207EAABF">
            <w:pPr>
              <w:pStyle w:val="14"/>
              <w:ind w:left="116" w:right="108"/>
              <w:jc w:val="center"/>
              <w:rPr>
                <w:sz w:val="21"/>
              </w:rPr>
            </w:pPr>
            <w:r>
              <w:rPr>
                <w:sz w:val="21"/>
              </w:rPr>
              <w:t>废机油</w:t>
            </w:r>
          </w:p>
        </w:tc>
        <w:tc>
          <w:tcPr>
            <w:tcW w:w="1600" w:type="dxa"/>
          </w:tcPr>
          <w:p w14:paraId="24DA529C">
            <w:pPr>
              <w:pStyle w:val="14"/>
              <w:spacing w:before="178" w:line="242" w:lineRule="auto"/>
              <w:ind w:left="396" w:right="211" w:hanging="176"/>
              <w:rPr>
                <w:sz w:val="21"/>
              </w:rPr>
            </w:pPr>
            <w:r>
              <w:rPr>
                <w:rFonts w:ascii="Times New Roman" w:eastAsia="Times New Roman"/>
                <w:sz w:val="21"/>
              </w:rPr>
              <w:t>HW08</w:t>
            </w:r>
            <w:r>
              <w:rPr>
                <w:sz w:val="21"/>
              </w:rPr>
              <w:t>（</w:t>
            </w:r>
            <w:r>
              <w:rPr>
                <w:rFonts w:ascii="Times New Roman" w:eastAsia="Times New Roman"/>
                <w:sz w:val="21"/>
              </w:rPr>
              <w:t>900- 249-08</w:t>
            </w:r>
            <w:r>
              <w:rPr>
                <w:sz w:val="21"/>
              </w:rPr>
              <w:t>）</w:t>
            </w:r>
          </w:p>
        </w:tc>
        <w:tc>
          <w:tcPr>
            <w:tcW w:w="870" w:type="dxa"/>
          </w:tcPr>
          <w:p w14:paraId="5A1ABE64">
            <w:pPr>
              <w:pStyle w:val="14"/>
              <w:spacing w:before="5"/>
              <w:rPr>
                <w:b/>
                <w:sz w:val="25"/>
              </w:rPr>
            </w:pPr>
          </w:p>
          <w:p w14:paraId="6EF2B236">
            <w:pPr>
              <w:pStyle w:val="14"/>
              <w:spacing w:before="1"/>
              <w:ind w:left="85" w:right="78"/>
              <w:jc w:val="center"/>
              <w:rPr>
                <w:rFonts w:ascii="Times New Roman"/>
                <w:sz w:val="21"/>
              </w:rPr>
            </w:pPr>
            <w:r>
              <w:rPr>
                <w:rFonts w:ascii="Times New Roman"/>
                <w:sz w:val="21"/>
              </w:rPr>
              <w:t>T,I</w:t>
            </w:r>
          </w:p>
        </w:tc>
        <w:tc>
          <w:tcPr>
            <w:tcW w:w="869" w:type="dxa"/>
          </w:tcPr>
          <w:p w14:paraId="04FF6727">
            <w:pPr>
              <w:pStyle w:val="14"/>
              <w:spacing w:before="5"/>
              <w:rPr>
                <w:b/>
                <w:sz w:val="25"/>
              </w:rPr>
            </w:pPr>
          </w:p>
          <w:p w14:paraId="7641B2C3">
            <w:pPr>
              <w:pStyle w:val="14"/>
              <w:spacing w:before="1"/>
              <w:ind w:left="9"/>
              <w:jc w:val="center"/>
              <w:rPr>
                <w:rFonts w:ascii="Times New Roman"/>
                <w:sz w:val="21"/>
              </w:rPr>
            </w:pPr>
            <w:r>
              <w:rPr>
                <w:rFonts w:ascii="Times New Roman"/>
                <w:w w:val="99"/>
                <w:sz w:val="21"/>
              </w:rPr>
              <w:t>L</w:t>
            </w:r>
          </w:p>
        </w:tc>
        <w:tc>
          <w:tcPr>
            <w:tcW w:w="879" w:type="dxa"/>
          </w:tcPr>
          <w:p w14:paraId="26643264">
            <w:pPr>
              <w:pStyle w:val="14"/>
              <w:spacing w:before="175" w:line="244" w:lineRule="auto"/>
              <w:ind w:left="228" w:right="115" w:hanging="106"/>
              <w:rPr>
                <w:sz w:val="21"/>
              </w:rPr>
            </w:pPr>
            <w:r>
              <w:rPr>
                <w:sz w:val="21"/>
              </w:rPr>
              <w:t>屠宰加工间</w:t>
            </w:r>
          </w:p>
        </w:tc>
        <w:tc>
          <w:tcPr>
            <w:tcW w:w="2095" w:type="dxa"/>
          </w:tcPr>
          <w:p w14:paraId="37E9CA9D">
            <w:pPr>
              <w:pStyle w:val="14"/>
              <w:spacing w:line="303"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60A696D4">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bl>
    <w:p w14:paraId="1EAB866B">
      <w:pPr>
        <w:spacing w:after="0" w:line="272" w:lineRule="exact"/>
        <w:rPr>
          <w:sz w:val="21"/>
        </w:rPr>
        <w:sectPr>
          <w:pgSz w:w="11910" w:h="16840"/>
          <w:pgMar w:top="1360" w:right="1320" w:bottom="1400" w:left="1340" w:header="878" w:footer="1204" w:gutter="0"/>
          <w:cols w:space="720" w:num="1"/>
        </w:sectPr>
      </w:pPr>
    </w:p>
    <w:p w14:paraId="2A9DE402">
      <w:pPr>
        <w:pStyle w:val="7"/>
        <w:spacing w:before="3"/>
        <w:rPr>
          <w:b/>
          <w:sz w:val="5"/>
        </w:rPr>
      </w:pP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1744"/>
        <w:gridCol w:w="1600"/>
        <w:gridCol w:w="870"/>
        <w:gridCol w:w="869"/>
        <w:gridCol w:w="879"/>
        <w:gridCol w:w="2095"/>
      </w:tblGrid>
      <w:tr w14:paraId="03DE0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65" w:type="dxa"/>
          </w:tcPr>
          <w:p w14:paraId="7564ED19">
            <w:pPr>
              <w:pStyle w:val="14"/>
              <w:spacing w:before="7"/>
              <w:rPr>
                <w:b/>
                <w:sz w:val="25"/>
              </w:rPr>
            </w:pPr>
          </w:p>
          <w:p w14:paraId="24A19F39">
            <w:pPr>
              <w:pStyle w:val="14"/>
              <w:ind w:left="8"/>
              <w:jc w:val="center"/>
              <w:rPr>
                <w:rFonts w:ascii="Times New Roman"/>
                <w:sz w:val="21"/>
              </w:rPr>
            </w:pPr>
            <w:r>
              <w:rPr>
                <w:rFonts w:ascii="Times New Roman"/>
                <w:w w:val="99"/>
                <w:sz w:val="21"/>
              </w:rPr>
              <w:t>2</w:t>
            </w:r>
          </w:p>
        </w:tc>
        <w:tc>
          <w:tcPr>
            <w:tcW w:w="1744" w:type="dxa"/>
          </w:tcPr>
          <w:p w14:paraId="46F2431E">
            <w:pPr>
              <w:pStyle w:val="14"/>
              <w:spacing w:before="6"/>
              <w:rPr>
                <w:b/>
                <w:sz w:val="24"/>
              </w:rPr>
            </w:pPr>
          </w:p>
          <w:p w14:paraId="004C2341">
            <w:pPr>
              <w:pStyle w:val="14"/>
              <w:ind w:left="114" w:right="108"/>
              <w:jc w:val="center"/>
              <w:rPr>
                <w:sz w:val="21"/>
              </w:rPr>
            </w:pPr>
            <w:r>
              <w:rPr>
                <w:sz w:val="21"/>
              </w:rPr>
              <w:t>废包装容器</w:t>
            </w:r>
          </w:p>
        </w:tc>
        <w:tc>
          <w:tcPr>
            <w:tcW w:w="1600" w:type="dxa"/>
          </w:tcPr>
          <w:p w14:paraId="3782033D">
            <w:pPr>
              <w:pStyle w:val="14"/>
              <w:spacing w:before="177" w:line="244" w:lineRule="auto"/>
              <w:ind w:left="396" w:right="211" w:hanging="176"/>
              <w:rPr>
                <w:sz w:val="21"/>
              </w:rPr>
            </w:pPr>
            <w:r>
              <w:rPr>
                <w:rFonts w:ascii="Times New Roman" w:eastAsia="Times New Roman"/>
                <w:sz w:val="21"/>
              </w:rPr>
              <w:t>HW49</w:t>
            </w:r>
            <w:r>
              <w:rPr>
                <w:sz w:val="21"/>
              </w:rPr>
              <w:t>（</w:t>
            </w:r>
            <w:r>
              <w:rPr>
                <w:rFonts w:ascii="Times New Roman" w:eastAsia="Times New Roman"/>
                <w:sz w:val="21"/>
              </w:rPr>
              <w:t>900- 041-49</w:t>
            </w:r>
            <w:r>
              <w:rPr>
                <w:sz w:val="21"/>
              </w:rPr>
              <w:t>）</w:t>
            </w:r>
          </w:p>
        </w:tc>
        <w:tc>
          <w:tcPr>
            <w:tcW w:w="870" w:type="dxa"/>
          </w:tcPr>
          <w:p w14:paraId="6B622BAE">
            <w:pPr>
              <w:pStyle w:val="14"/>
              <w:spacing w:before="7"/>
              <w:rPr>
                <w:b/>
                <w:sz w:val="25"/>
              </w:rPr>
            </w:pPr>
          </w:p>
          <w:p w14:paraId="55A5D731">
            <w:pPr>
              <w:pStyle w:val="14"/>
              <w:ind w:left="85" w:right="77"/>
              <w:jc w:val="center"/>
              <w:rPr>
                <w:rFonts w:ascii="Times New Roman"/>
                <w:sz w:val="21"/>
              </w:rPr>
            </w:pPr>
            <w:r>
              <w:rPr>
                <w:rFonts w:ascii="Times New Roman"/>
                <w:sz w:val="21"/>
              </w:rPr>
              <w:t>T/In</w:t>
            </w:r>
          </w:p>
        </w:tc>
        <w:tc>
          <w:tcPr>
            <w:tcW w:w="869" w:type="dxa"/>
          </w:tcPr>
          <w:p w14:paraId="4727657C">
            <w:pPr>
              <w:pStyle w:val="14"/>
              <w:spacing w:before="7"/>
              <w:rPr>
                <w:b/>
                <w:sz w:val="25"/>
              </w:rPr>
            </w:pPr>
          </w:p>
          <w:p w14:paraId="6A9A9443">
            <w:pPr>
              <w:pStyle w:val="14"/>
              <w:ind w:left="7"/>
              <w:jc w:val="center"/>
              <w:rPr>
                <w:rFonts w:ascii="Times New Roman"/>
                <w:sz w:val="21"/>
              </w:rPr>
            </w:pPr>
            <w:r>
              <w:rPr>
                <w:rFonts w:ascii="Times New Roman"/>
                <w:w w:val="99"/>
                <w:sz w:val="21"/>
              </w:rPr>
              <w:t>S</w:t>
            </w:r>
          </w:p>
        </w:tc>
        <w:tc>
          <w:tcPr>
            <w:tcW w:w="879" w:type="dxa"/>
          </w:tcPr>
          <w:p w14:paraId="080178A8">
            <w:pPr>
              <w:pStyle w:val="14"/>
              <w:spacing w:before="6"/>
              <w:rPr>
                <w:b/>
                <w:sz w:val="24"/>
              </w:rPr>
            </w:pPr>
          </w:p>
          <w:p w14:paraId="33DB10C8">
            <w:pPr>
              <w:pStyle w:val="14"/>
              <w:ind w:left="102" w:right="97"/>
              <w:jc w:val="center"/>
              <w:rPr>
                <w:sz w:val="21"/>
              </w:rPr>
            </w:pPr>
            <w:r>
              <w:rPr>
                <w:sz w:val="21"/>
              </w:rPr>
              <w:t>仓库</w:t>
            </w:r>
          </w:p>
        </w:tc>
        <w:tc>
          <w:tcPr>
            <w:tcW w:w="2095" w:type="dxa"/>
          </w:tcPr>
          <w:p w14:paraId="4A1B3B73">
            <w:pPr>
              <w:pStyle w:val="14"/>
              <w:spacing w:line="305"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1812D816">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1BBED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465" w:type="dxa"/>
          </w:tcPr>
          <w:p w14:paraId="21A5AB0E">
            <w:pPr>
              <w:pStyle w:val="14"/>
              <w:spacing w:before="5"/>
              <w:rPr>
                <w:b/>
                <w:sz w:val="25"/>
              </w:rPr>
            </w:pPr>
          </w:p>
          <w:p w14:paraId="462291CD">
            <w:pPr>
              <w:pStyle w:val="14"/>
              <w:spacing w:before="1"/>
              <w:ind w:left="8"/>
              <w:jc w:val="center"/>
              <w:rPr>
                <w:rFonts w:ascii="Times New Roman"/>
                <w:sz w:val="21"/>
              </w:rPr>
            </w:pPr>
            <w:r>
              <w:rPr>
                <w:rFonts w:ascii="Times New Roman"/>
                <w:w w:val="99"/>
                <w:sz w:val="21"/>
              </w:rPr>
              <w:t>3</w:t>
            </w:r>
          </w:p>
        </w:tc>
        <w:tc>
          <w:tcPr>
            <w:tcW w:w="1744" w:type="dxa"/>
          </w:tcPr>
          <w:p w14:paraId="4919B884">
            <w:pPr>
              <w:pStyle w:val="14"/>
              <w:spacing w:before="175" w:line="244" w:lineRule="auto"/>
              <w:ind w:left="662" w:right="126" w:hanging="526"/>
              <w:rPr>
                <w:sz w:val="21"/>
              </w:rPr>
            </w:pPr>
            <w:r>
              <w:rPr>
                <w:w w:val="95"/>
                <w:sz w:val="21"/>
              </w:rPr>
              <w:t>含油抹布及劳保</w:t>
            </w:r>
            <w:r>
              <w:rPr>
                <w:sz w:val="21"/>
              </w:rPr>
              <w:t>用品</w:t>
            </w:r>
          </w:p>
        </w:tc>
        <w:tc>
          <w:tcPr>
            <w:tcW w:w="1600" w:type="dxa"/>
          </w:tcPr>
          <w:p w14:paraId="00A04F6A">
            <w:pPr>
              <w:pStyle w:val="14"/>
              <w:spacing w:before="177" w:line="242" w:lineRule="auto"/>
              <w:ind w:left="396" w:right="211" w:hanging="176"/>
              <w:rPr>
                <w:sz w:val="21"/>
              </w:rPr>
            </w:pPr>
            <w:r>
              <w:rPr>
                <w:rFonts w:ascii="Times New Roman" w:eastAsia="Times New Roman"/>
                <w:sz w:val="21"/>
              </w:rPr>
              <w:t>HW49</w:t>
            </w:r>
            <w:r>
              <w:rPr>
                <w:sz w:val="21"/>
              </w:rPr>
              <w:t>（</w:t>
            </w:r>
            <w:r>
              <w:rPr>
                <w:rFonts w:ascii="Times New Roman" w:eastAsia="Times New Roman"/>
                <w:sz w:val="21"/>
              </w:rPr>
              <w:t>900- 041-49</w:t>
            </w:r>
            <w:r>
              <w:rPr>
                <w:sz w:val="21"/>
              </w:rPr>
              <w:t>）</w:t>
            </w:r>
          </w:p>
        </w:tc>
        <w:tc>
          <w:tcPr>
            <w:tcW w:w="870" w:type="dxa"/>
          </w:tcPr>
          <w:p w14:paraId="42CFF30A">
            <w:pPr>
              <w:pStyle w:val="14"/>
              <w:spacing w:before="5"/>
              <w:rPr>
                <w:b/>
                <w:sz w:val="25"/>
              </w:rPr>
            </w:pPr>
          </w:p>
          <w:p w14:paraId="6B65960B">
            <w:pPr>
              <w:pStyle w:val="14"/>
              <w:spacing w:before="1"/>
              <w:ind w:left="85" w:right="77"/>
              <w:jc w:val="center"/>
              <w:rPr>
                <w:rFonts w:ascii="Times New Roman"/>
                <w:sz w:val="21"/>
              </w:rPr>
            </w:pPr>
            <w:r>
              <w:rPr>
                <w:rFonts w:ascii="Times New Roman"/>
                <w:sz w:val="21"/>
              </w:rPr>
              <w:t>T/In</w:t>
            </w:r>
          </w:p>
        </w:tc>
        <w:tc>
          <w:tcPr>
            <w:tcW w:w="869" w:type="dxa"/>
          </w:tcPr>
          <w:p w14:paraId="1A026D54">
            <w:pPr>
              <w:pStyle w:val="14"/>
              <w:spacing w:before="5"/>
              <w:rPr>
                <w:b/>
                <w:sz w:val="25"/>
              </w:rPr>
            </w:pPr>
          </w:p>
          <w:p w14:paraId="17835C10">
            <w:pPr>
              <w:pStyle w:val="14"/>
              <w:spacing w:before="1"/>
              <w:ind w:left="7"/>
              <w:jc w:val="center"/>
              <w:rPr>
                <w:rFonts w:ascii="Times New Roman"/>
                <w:sz w:val="21"/>
              </w:rPr>
            </w:pPr>
            <w:r>
              <w:rPr>
                <w:rFonts w:ascii="Times New Roman"/>
                <w:w w:val="99"/>
                <w:sz w:val="21"/>
              </w:rPr>
              <w:t>S</w:t>
            </w:r>
          </w:p>
        </w:tc>
        <w:tc>
          <w:tcPr>
            <w:tcW w:w="879" w:type="dxa"/>
          </w:tcPr>
          <w:p w14:paraId="242F942E">
            <w:pPr>
              <w:pStyle w:val="14"/>
              <w:spacing w:before="4"/>
              <w:rPr>
                <w:b/>
                <w:sz w:val="24"/>
              </w:rPr>
            </w:pPr>
          </w:p>
          <w:p w14:paraId="3765D374">
            <w:pPr>
              <w:pStyle w:val="14"/>
              <w:ind w:left="102" w:right="97"/>
              <w:jc w:val="center"/>
              <w:rPr>
                <w:sz w:val="21"/>
              </w:rPr>
            </w:pPr>
            <w:r>
              <w:rPr>
                <w:sz w:val="21"/>
              </w:rPr>
              <w:t>维修间</w:t>
            </w:r>
          </w:p>
        </w:tc>
        <w:tc>
          <w:tcPr>
            <w:tcW w:w="2095" w:type="dxa"/>
          </w:tcPr>
          <w:p w14:paraId="0C84A0B2">
            <w:pPr>
              <w:pStyle w:val="14"/>
              <w:spacing w:line="303"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0E5E4586">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35204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465" w:type="dxa"/>
          </w:tcPr>
          <w:p w14:paraId="428C591F">
            <w:pPr>
              <w:pStyle w:val="14"/>
              <w:spacing w:before="6"/>
              <w:rPr>
                <w:b/>
                <w:sz w:val="25"/>
              </w:rPr>
            </w:pPr>
          </w:p>
          <w:p w14:paraId="060BBB30">
            <w:pPr>
              <w:pStyle w:val="14"/>
              <w:ind w:left="8"/>
              <w:jc w:val="center"/>
              <w:rPr>
                <w:rFonts w:ascii="Times New Roman"/>
                <w:sz w:val="21"/>
              </w:rPr>
            </w:pPr>
            <w:r>
              <w:rPr>
                <w:rFonts w:ascii="Times New Roman"/>
                <w:w w:val="99"/>
                <w:sz w:val="21"/>
              </w:rPr>
              <w:t>4</w:t>
            </w:r>
          </w:p>
        </w:tc>
        <w:tc>
          <w:tcPr>
            <w:tcW w:w="1744" w:type="dxa"/>
          </w:tcPr>
          <w:p w14:paraId="3429163F">
            <w:pPr>
              <w:pStyle w:val="14"/>
              <w:spacing w:before="5"/>
              <w:rPr>
                <w:b/>
                <w:sz w:val="24"/>
              </w:rPr>
            </w:pPr>
          </w:p>
          <w:p w14:paraId="1105A5DD">
            <w:pPr>
              <w:pStyle w:val="14"/>
              <w:ind w:left="114" w:right="108"/>
              <w:jc w:val="center"/>
              <w:rPr>
                <w:sz w:val="21"/>
              </w:rPr>
            </w:pPr>
            <w:r>
              <w:rPr>
                <w:sz w:val="21"/>
              </w:rPr>
              <w:t>实验废液</w:t>
            </w:r>
          </w:p>
        </w:tc>
        <w:tc>
          <w:tcPr>
            <w:tcW w:w="1600" w:type="dxa"/>
          </w:tcPr>
          <w:p w14:paraId="390F22FF">
            <w:pPr>
              <w:pStyle w:val="14"/>
              <w:spacing w:before="176" w:line="244" w:lineRule="auto"/>
              <w:ind w:left="396" w:right="211" w:hanging="176"/>
              <w:rPr>
                <w:sz w:val="21"/>
              </w:rPr>
            </w:pPr>
            <w:r>
              <w:rPr>
                <w:rFonts w:ascii="Times New Roman" w:eastAsia="Times New Roman"/>
                <w:sz w:val="21"/>
              </w:rPr>
              <w:t>HW49</w:t>
            </w:r>
            <w:r>
              <w:rPr>
                <w:sz w:val="21"/>
              </w:rPr>
              <w:t>（</w:t>
            </w:r>
            <w:r>
              <w:rPr>
                <w:rFonts w:ascii="Times New Roman" w:eastAsia="Times New Roman"/>
                <w:sz w:val="21"/>
              </w:rPr>
              <w:t>900- 047-49</w:t>
            </w:r>
            <w:r>
              <w:rPr>
                <w:sz w:val="21"/>
              </w:rPr>
              <w:t>）</w:t>
            </w:r>
          </w:p>
        </w:tc>
        <w:tc>
          <w:tcPr>
            <w:tcW w:w="870" w:type="dxa"/>
          </w:tcPr>
          <w:p w14:paraId="2BF225E3">
            <w:pPr>
              <w:pStyle w:val="14"/>
              <w:spacing w:before="6"/>
              <w:rPr>
                <w:b/>
                <w:sz w:val="25"/>
              </w:rPr>
            </w:pPr>
          </w:p>
          <w:p w14:paraId="324478B6">
            <w:pPr>
              <w:pStyle w:val="14"/>
              <w:ind w:left="85" w:right="80"/>
              <w:jc w:val="center"/>
              <w:rPr>
                <w:rFonts w:ascii="Times New Roman"/>
                <w:sz w:val="21"/>
              </w:rPr>
            </w:pPr>
            <w:r>
              <w:rPr>
                <w:rFonts w:ascii="Times New Roman"/>
                <w:sz w:val="21"/>
              </w:rPr>
              <w:t>T/C/I/R</w:t>
            </w:r>
          </w:p>
        </w:tc>
        <w:tc>
          <w:tcPr>
            <w:tcW w:w="869" w:type="dxa"/>
          </w:tcPr>
          <w:p w14:paraId="75975C89">
            <w:pPr>
              <w:pStyle w:val="14"/>
              <w:spacing w:before="6"/>
              <w:rPr>
                <w:b/>
                <w:sz w:val="25"/>
              </w:rPr>
            </w:pPr>
          </w:p>
          <w:p w14:paraId="23492156">
            <w:pPr>
              <w:pStyle w:val="14"/>
              <w:ind w:left="9"/>
              <w:jc w:val="center"/>
              <w:rPr>
                <w:rFonts w:ascii="Times New Roman"/>
                <w:sz w:val="21"/>
              </w:rPr>
            </w:pPr>
            <w:r>
              <w:rPr>
                <w:rFonts w:ascii="Times New Roman"/>
                <w:w w:val="99"/>
                <w:sz w:val="21"/>
              </w:rPr>
              <w:t>L</w:t>
            </w:r>
          </w:p>
        </w:tc>
        <w:tc>
          <w:tcPr>
            <w:tcW w:w="879" w:type="dxa"/>
          </w:tcPr>
          <w:p w14:paraId="427C198A">
            <w:pPr>
              <w:pStyle w:val="14"/>
              <w:spacing w:before="176" w:line="242" w:lineRule="auto"/>
              <w:ind w:left="228" w:right="115" w:hanging="106"/>
              <w:rPr>
                <w:sz w:val="21"/>
              </w:rPr>
            </w:pPr>
            <w:r>
              <w:rPr>
                <w:sz w:val="21"/>
              </w:rPr>
              <w:t>检测检验室</w:t>
            </w:r>
          </w:p>
        </w:tc>
        <w:tc>
          <w:tcPr>
            <w:tcW w:w="2095" w:type="dxa"/>
          </w:tcPr>
          <w:p w14:paraId="786B7250">
            <w:pPr>
              <w:pStyle w:val="14"/>
              <w:spacing w:line="304"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53509799">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32EEC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465" w:type="dxa"/>
          </w:tcPr>
          <w:p w14:paraId="077025F6">
            <w:pPr>
              <w:pStyle w:val="14"/>
              <w:spacing w:before="7"/>
              <w:rPr>
                <w:b/>
                <w:sz w:val="25"/>
              </w:rPr>
            </w:pPr>
          </w:p>
          <w:p w14:paraId="75461D01">
            <w:pPr>
              <w:pStyle w:val="14"/>
              <w:ind w:left="8"/>
              <w:jc w:val="center"/>
              <w:rPr>
                <w:rFonts w:ascii="Times New Roman"/>
                <w:sz w:val="21"/>
              </w:rPr>
            </w:pPr>
            <w:r>
              <w:rPr>
                <w:rFonts w:ascii="Times New Roman"/>
                <w:w w:val="99"/>
                <w:sz w:val="21"/>
              </w:rPr>
              <w:t>5</w:t>
            </w:r>
          </w:p>
        </w:tc>
        <w:tc>
          <w:tcPr>
            <w:tcW w:w="1744" w:type="dxa"/>
          </w:tcPr>
          <w:p w14:paraId="798DF9B6">
            <w:pPr>
              <w:pStyle w:val="14"/>
              <w:spacing w:before="176" w:line="242" w:lineRule="auto"/>
              <w:ind w:left="765" w:right="128" w:hanging="629"/>
              <w:rPr>
                <w:sz w:val="21"/>
              </w:rPr>
            </w:pPr>
            <w:r>
              <w:rPr>
                <w:w w:val="95"/>
                <w:sz w:val="21"/>
              </w:rPr>
              <w:t>不合格品及病死</w:t>
            </w:r>
            <w:r>
              <w:rPr>
                <w:sz w:val="21"/>
              </w:rPr>
              <w:t>猪</w:t>
            </w:r>
          </w:p>
        </w:tc>
        <w:tc>
          <w:tcPr>
            <w:tcW w:w="1600" w:type="dxa"/>
          </w:tcPr>
          <w:p w14:paraId="062FBE43">
            <w:pPr>
              <w:pStyle w:val="14"/>
              <w:spacing w:before="7"/>
              <w:rPr>
                <w:b/>
                <w:sz w:val="25"/>
              </w:rPr>
            </w:pPr>
          </w:p>
          <w:p w14:paraId="2D51A9A3">
            <w:pPr>
              <w:pStyle w:val="14"/>
              <w:ind w:left="10"/>
              <w:jc w:val="center"/>
              <w:rPr>
                <w:rFonts w:ascii="Times New Roman"/>
                <w:sz w:val="21"/>
              </w:rPr>
            </w:pPr>
            <w:r>
              <w:rPr>
                <w:rFonts w:ascii="Times New Roman"/>
                <w:w w:val="99"/>
                <w:sz w:val="21"/>
              </w:rPr>
              <w:t>/</w:t>
            </w:r>
          </w:p>
        </w:tc>
        <w:tc>
          <w:tcPr>
            <w:tcW w:w="870" w:type="dxa"/>
          </w:tcPr>
          <w:p w14:paraId="09A83669">
            <w:pPr>
              <w:pStyle w:val="14"/>
              <w:spacing w:before="7"/>
              <w:rPr>
                <w:b/>
                <w:sz w:val="25"/>
              </w:rPr>
            </w:pPr>
          </w:p>
          <w:p w14:paraId="33A02C84">
            <w:pPr>
              <w:pStyle w:val="14"/>
              <w:ind w:left="8"/>
              <w:jc w:val="center"/>
              <w:rPr>
                <w:rFonts w:ascii="Times New Roman"/>
                <w:sz w:val="21"/>
              </w:rPr>
            </w:pPr>
            <w:r>
              <w:rPr>
                <w:rFonts w:ascii="Times New Roman"/>
                <w:w w:val="99"/>
                <w:sz w:val="21"/>
              </w:rPr>
              <w:t>/</w:t>
            </w:r>
          </w:p>
        </w:tc>
        <w:tc>
          <w:tcPr>
            <w:tcW w:w="869" w:type="dxa"/>
          </w:tcPr>
          <w:p w14:paraId="05440057">
            <w:pPr>
              <w:pStyle w:val="14"/>
              <w:spacing w:before="7"/>
              <w:rPr>
                <w:b/>
                <w:sz w:val="25"/>
              </w:rPr>
            </w:pPr>
          </w:p>
          <w:p w14:paraId="740341F4">
            <w:pPr>
              <w:pStyle w:val="14"/>
              <w:ind w:left="7"/>
              <w:jc w:val="center"/>
              <w:rPr>
                <w:rFonts w:ascii="Times New Roman"/>
                <w:sz w:val="21"/>
              </w:rPr>
            </w:pPr>
            <w:r>
              <w:rPr>
                <w:rFonts w:ascii="Times New Roman"/>
                <w:w w:val="99"/>
                <w:sz w:val="21"/>
              </w:rPr>
              <w:t>S</w:t>
            </w:r>
          </w:p>
        </w:tc>
        <w:tc>
          <w:tcPr>
            <w:tcW w:w="879" w:type="dxa"/>
          </w:tcPr>
          <w:p w14:paraId="2D6CFBE1">
            <w:pPr>
              <w:pStyle w:val="14"/>
              <w:spacing w:before="3"/>
              <w:rPr>
                <w:b/>
                <w:sz w:val="24"/>
              </w:rPr>
            </w:pPr>
          </w:p>
          <w:p w14:paraId="39C1FF78">
            <w:pPr>
              <w:pStyle w:val="14"/>
              <w:ind w:left="102" w:right="97"/>
              <w:jc w:val="center"/>
              <w:rPr>
                <w:sz w:val="21"/>
              </w:rPr>
            </w:pPr>
            <w:r>
              <w:rPr>
                <w:sz w:val="21"/>
              </w:rPr>
              <w:t>暂养区</w:t>
            </w:r>
          </w:p>
        </w:tc>
        <w:tc>
          <w:tcPr>
            <w:tcW w:w="2095" w:type="dxa"/>
          </w:tcPr>
          <w:p w14:paraId="280E1265">
            <w:pPr>
              <w:pStyle w:val="14"/>
              <w:spacing w:line="303"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463759A8">
            <w:pPr>
              <w:pStyle w:val="14"/>
              <w:spacing w:before="41" w:line="274"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521D4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522" w:type="dxa"/>
            <w:gridSpan w:val="7"/>
          </w:tcPr>
          <w:p w14:paraId="35BC6516">
            <w:pPr>
              <w:pStyle w:val="14"/>
              <w:spacing w:before="34"/>
              <w:ind w:left="3087" w:right="3083"/>
              <w:jc w:val="center"/>
              <w:rPr>
                <w:sz w:val="21"/>
              </w:rPr>
            </w:pPr>
            <w:r>
              <w:rPr>
                <w:sz w:val="21"/>
              </w:rPr>
              <w:t>一般工业固体废物</w:t>
            </w:r>
          </w:p>
        </w:tc>
      </w:tr>
      <w:tr w14:paraId="77E26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65" w:type="dxa"/>
          </w:tcPr>
          <w:p w14:paraId="36F80536">
            <w:pPr>
              <w:pStyle w:val="14"/>
              <w:spacing w:before="1"/>
              <w:ind w:left="126"/>
              <w:rPr>
                <w:sz w:val="21"/>
              </w:rPr>
            </w:pPr>
            <w:r>
              <w:rPr>
                <w:w w:val="99"/>
                <w:sz w:val="21"/>
              </w:rPr>
              <w:t>序</w:t>
            </w:r>
          </w:p>
          <w:p w14:paraId="6DEDA229">
            <w:pPr>
              <w:pStyle w:val="14"/>
              <w:spacing w:before="2" w:line="253" w:lineRule="exact"/>
              <w:ind w:left="126"/>
              <w:rPr>
                <w:sz w:val="21"/>
              </w:rPr>
            </w:pPr>
            <w:r>
              <w:rPr>
                <w:w w:val="99"/>
                <w:sz w:val="21"/>
              </w:rPr>
              <w:t>号</w:t>
            </w:r>
          </w:p>
        </w:tc>
        <w:tc>
          <w:tcPr>
            <w:tcW w:w="1744" w:type="dxa"/>
          </w:tcPr>
          <w:p w14:paraId="708BA0FC">
            <w:pPr>
              <w:pStyle w:val="14"/>
              <w:spacing w:before="135"/>
              <w:ind w:left="116" w:right="108"/>
              <w:jc w:val="center"/>
              <w:rPr>
                <w:sz w:val="21"/>
              </w:rPr>
            </w:pPr>
            <w:r>
              <w:rPr>
                <w:sz w:val="21"/>
              </w:rPr>
              <w:t>名称</w:t>
            </w:r>
          </w:p>
        </w:tc>
        <w:tc>
          <w:tcPr>
            <w:tcW w:w="1600" w:type="dxa"/>
          </w:tcPr>
          <w:p w14:paraId="768E6356">
            <w:pPr>
              <w:pStyle w:val="14"/>
              <w:spacing w:before="135"/>
              <w:ind w:left="228" w:right="223"/>
              <w:jc w:val="center"/>
              <w:rPr>
                <w:sz w:val="21"/>
              </w:rPr>
            </w:pPr>
            <w:r>
              <w:rPr>
                <w:sz w:val="21"/>
              </w:rPr>
              <w:t>代码</w:t>
            </w:r>
          </w:p>
        </w:tc>
        <w:tc>
          <w:tcPr>
            <w:tcW w:w="870" w:type="dxa"/>
          </w:tcPr>
          <w:p w14:paraId="2F03AC44">
            <w:pPr>
              <w:pStyle w:val="14"/>
              <w:spacing w:before="1"/>
              <w:ind w:left="85" w:right="78"/>
              <w:jc w:val="center"/>
              <w:rPr>
                <w:sz w:val="21"/>
              </w:rPr>
            </w:pPr>
            <w:r>
              <w:rPr>
                <w:sz w:val="21"/>
              </w:rPr>
              <w:t>危险特</w:t>
            </w:r>
          </w:p>
          <w:p w14:paraId="06B72FB5">
            <w:pPr>
              <w:pStyle w:val="14"/>
              <w:spacing w:before="2" w:line="253" w:lineRule="exact"/>
              <w:ind w:left="10"/>
              <w:jc w:val="center"/>
              <w:rPr>
                <w:sz w:val="21"/>
              </w:rPr>
            </w:pPr>
            <w:r>
              <w:rPr>
                <w:w w:val="99"/>
                <w:sz w:val="21"/>
              </w:rPr>
              <w:t>性</w:t>
            </w:r>
          </w:p>
        </w:tc>
        <w:tc>
          <w:tcPr>
            <w:tcW w:w="869" w:type="dxa"/>
          </w:tcPr>
          <w:p w14:paraId="42DB6ED4">
            <w:pPr>
              <w:pStyle w:val="14"/>
              <w:spacing w:before="1"/>
              <w:ind w:left="97" w:right="91"/>
              <w:jc w:val="center"/>
              <w:rPr>
                <w:sz w:val="21"/>
              </w:rPr>
            </w:pPr>
            <w:r>
              <w:rPr>
                <w:sz w:val="21"/>
              </w:rPr>
              <w:t>物理性</w:t>
            </w:r>
          </w:p>
          <w:p w14:paraId="584258E6">
            <w:pPr>
              <w:pStyle w:val="14"/>
              <w:spacing w:before="2" w:line="253" w:lineRule="exact"/>
              <w:ind w:left="8"/>
              <w:jc w:val="center"/>
              <w:rPr>
                <w:sz w:val="21"/>
              </w:rPr>
            </w:pPr>
            <w:r>
              <w:rPr>
                <w:w w:val="99"/>
                <w:sz w:val="21"/>
              </w:rPr>
              <w:t>状</w:t>
            </w:r>
          </w:p>
        </w:tc>
        <w:tc>
          <w:tcPr>
            <w:tcW w:w="879" w:type="dxa"/>
          </w:tcPr>
          <w:p w14:paraId="23FF74DE">
            <w:pPr>
              <w:pStyle w:val="14"/>
              <w:spacing w:before="1"/>
              <w:ind w:left="102" w:right="97"/>
              <w:jc w:val="center"/>
              <w:rPr>
                <w:sz w:val="21"/>
              </w:rPr>
            </w:pPr>
            <w:r>
              <w:rPr>
                <w:sz w:val="21"/>
              </w:rPr>
              <w:t>产生环</w:t>
            </w:r>
          </w:p>
          <w:p w14:paraId="7435D601">
            <w:pPr>
              <w:pStyle w:val="14"/>
              <w:spacing w:before="2" w:line="253" w:lineRule="exact"/>
              <w:ind w:left="7"/>
              <w:jc w:val="center"/>
              <w:rPr>
                <w:sz w:val="21"/>
              </w:rPr>
            </w:pPr>
            <w:r>
              <w:rPr>
                <w:w w:val="99"/>
                <w:sz w:val="21"/>
              </w:rPr>
              <w:t>节</w:t>
            </w:r>
          </w:p>
        </w:tc>
        <w:tc>
          <w:tcPr>
            <w:tcW w:w="2095" w:type="dxa"/>
          </w:tcPr>
          <w:p w14:paraId="4252E0B3">
            <w:pPr>
              <w:pStyle w:val="14"/>
              <w:spacing w:before="135"/>
              <w:ind w:left="816" w:right="809"/>
              <w:jc w:val="center"/>
              <w:rPr>
                <w:sz w:val="21"/>
              </w:rPr>
            </w:pPr>
            <w:r>
              <w:rPr>
                <w:sz w:val="21"/>
              </w:rPr>
              <w:t>去向</w:t>
            </w:r>
          </w:p>
        </w:tc>
      </w:tr>
      <w:tr w14:paraId="4D24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65" w:type="dxa"/>
          </w:tcPr>
          <w:p w14:paraId="08C9103B">
            <w:pPr>
              <w:pStyle w:val="14"/>
              <w:spacing w:before="8"/>
              <w:rPr>
                <w:b/>
                <w:sz w:val="25"/>
              </w:rPr>
            </w:pPr>
          </w:p>
          <w:p w14:paraId="7D84E220">
            <w:pPr>
              <w:pStyle w:val="14"/>
              <w:ind w:left="8"/>
              <w:jc w:val="center"/>
              <w:rPr>
                <w:rFonts w:ascii="Times New Roman"/>
                <w:sz w:val="21"/>
              </w:rPr>
            </w:pPr>
            <w:r>
              <w:rPr>
                <w:rFonts w:ascii="Times New Roman"/>
                <w:w w:val="99"/>
                <w:sz w:val="21"/>
              </w:rPr>
              <w:t>1</w:t>
            </w:r>
          </w:p>
        </w:tc>
        <w:tc>
          <w:tcPr>
            <w:tcW w:w="1744" w:type="dxa"/>
          </w:tcPr>
          <w:p w14:paraId="747F8108">
            <w:pPr>
              <w:pStyle w:val="14"/>
              <w:spacing w:before="4"/>
              <w:rPr>
                <w:b/>
                <w:sz w:val="24"/>
              </w:rPr>
            </w:pPr>
          </w:p>
          <w:p w14:paraId="242B4BE3">
            <w:pPr>
              <w:pStyle w:val="14"/>
              <w:spacing w:before="1"/>
              <w:ind w:left="114" w:right="108"/>
              <w:jc w:val="center"/>
              <w:rPr>
                <w:sz w:val="21"/>
              </w:rPr>
            </w:pPr>
            <w:r>
              <w:rPr>
                <w:sz w:val="21"/>
              </w:rPr>
              <w:t>剩余污泥</w:t>
            </w:r>
          </w:p>
        </w:tc>
        <w:tc>
          <w:tcPr>
            <w:tcW w:w="1600" w:type="dxa"/>
          </w:tcPr>
          <w:p w14:paraId="380986D8">
            <w:pPr>
              <w:pStyle w:val="14"/>
              <w:spacing w:before="8"/>
              <w:rPr>
                <w:b/>
                <w:sz w:val="25"/>
              </w:rPr>
            </w:pPr>
          </w:p>
          <w:p w14:paraId="1D290E01">
            <w:pPr>
              <w:pStyle w:val="14"/>
              <w:ind w:left="229" w:right="223"/>
              <w:jc w:val="center"/>
              <w:rPr>
                <w:rFonts w:ascii="Times New Roman"/>
                <w:sz w:val="21"/>
              </w:rPr>
            </w:pPr>
            <w:r>
              <w:rPr>
                <w:rFonts w:ascii="Times New Roman"/>
                <w:sz w:val="21"/>
              </w:rPr>
              <w:t>135-001-S07</w:t>
            </w:r>
          </w:p>
        </w:tc>
        <w:tc>
          <w:tcPr>
            <w:tcW w:w="870" w:type="dxa"/>
          </w:tcPr>
          <w:p w14:paraId="0CF2F5DF">
            <w:pPr>
              <w:pStyle w:val="14"/>
              <w:spacing w:before="8"/>
              <w:rPr>
                <w:b/>
                <w:sz w:val="25"/>
              </w:rPr>
            </w:pPr>
          </w:p>
          <w:p w14:paraId="0304F16D">
            <w:pPr>
              <w:pStyle w:val="14"/>
              <w:ind w:left="8"/>
              <w:jc w:val="center"/>
              <w:rPr>
                <w:rFonts w:ascii="Times New Roman"/>
                <w:sz w:val="21"/>
              </w:rPr>
            </w:pPr>
            <w:r>
              <w:rPr>
                <w:rFonts w:ascii="Times New Roman"/>
                <w:w w:val="99"/>
                <w:sz w:val="21"/>
              </w:rPr>
              <w:t>/</w:t>
            </w:r>
          </w:p>
        </w:tc>
        <w:tc>
          <w:tcPr>
            <w:tcW w:w="869" w:type="dxa"/>
          </w:tcPr>
          <w:p w14:paraId="6F901389">
            <w:pPr>
              <w:pStyle w:val="14"/>
              <w:spacing w:before="4"/>
              <w:rPr>
                <w:b/>
                <w:sz w:val="24"/>
              </w:rPr>
            </w:pPr>
          </w:p>
          <w:p w14:paraId="02F07B71">
            <w:pPr>
              <w:pStyle w:val="14"/>
              <w:spacing w:before="1"/>
              <w:ind w:left="114" w:right="108"/>
              <w:jc w:val="center"/>
              <w:rPr>
                <w:sz w:val="21"/>
              </w:rPr>
            </w:pPr>
            <w:r>
              <w:rPr>
                <w:sz w:val="21"/>
              </w:rPr>
              <w:t>固体</w:t>
            </w:r>
          </w:p>
        </w:tc>
        <w:tc>
          <w:tcPr>
            <w:tcW w:w="879" w:type="dxa"/>
          </w:tcPr>
          <w:p w14:paraId="4EEF6875">
            <w:pPr>
              <w:pStyle w:val="14"/>
              <w:spacing w:before="178" w:line="242" w:lineRule="auto"/>
              <w:ind w:left="228" w:right="115" w:hanging="106"/>
              <w:rPr>
                <w:sz w:val="21"/>
              </w:rPr>
            </w:pPr>
            <w:r>
              <w:rPr>
                <w:sz w:val="21"/>
              </w:rPr>
              <w:t>污水处理站</w:t>
            </w:r>
          </w:p>
        </w:tc>
        <w:tc>
          <w:tcPr>
            <w:tcW w:w="2095" w:type="dxa"/>
          </w:tcPr>
          <w:p w14:paraId="0BC7046C">
            <w:pPr>
              <w:pStyle w:val="14"/>
              <w:spacing w:line="304" w:lineRule="exact"/>
              <w:ind w:left="160" w:hanging="36"/>
              <w:rPr>
                <w:sz w:val="21"/>
              </w:rPr>
            </w:pPr>
            <w:r>
              <w:rPr>
                <w:rFonts w:ascii="Wingdings" w:hAnsi="Wingdings" w:eastAsia="Wingdings"/>
                <w:position w:val="7"/>
                <w:sz w:val="21"/>
              </w:rPr>
              <w:t></w:t>
            </w:r>
            <w:r>
              <w:rPr>
                <w:sz w:val="21"/>
              </w:rPr>
              <w:t>自行贮存</w:t>
            </w:r>
            <w:r>
              <w:rPr>
                <w:rFonts w:ascii="Wingdings" w:hAnsi="Wingdings" w:eastAsia="Wingdings"/>
                <w:position w:val="7"/>
                <w:sz w:val="21"/>
              </w:rPr>
              <w:t></w:t>
            </w:r>
            <w:r>
              <w:rPr>
                <w:sz w:val="21"/>
              </w:rPr>
              <w:t>自行利</w:t>
            </w:r>
          </w:p>
          <w:p w14:paraId="02BAF1C3">
            <w:pPr>
              <w:pStyle w:val="14"/>
              <w:spacing w:before="43" w:line="274"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5BF60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65" w:type="dxa"/>
          </w:tcPr>
          <w:p w14:paraId="65D203F7">
            <w:pPr>
              <w:pStyle w:val="14"/>
              <w:spacing w:before="6"/>
              <w:rPr>
                <w:b/>
                <w:sz w:val="25"/>
              </w:rPr>
            </w:pPr>
          </w:p>
          <w:p w14:paraId="36A9FDD6">
            <w:pPr>
              <w:pStyle w:val="14"/>
              <w:ind w:left="8"/>
              <w:jc w:val="center"/>
              <w:rPr>
                <w:rFonts w:ascii="Times New Roman"/>
                <w:sz w:val="21"/>
              </w:rPr>
            </w:pPr>
            <w:r>
              <w:rPr>
                <w:rFonts w:ascii="Times New Roman"/>
                <w:w w:val="99"/>
                <w:sz w:val="21"/>
              </w:rPr>
              <w:t>2</w:t>
            </w:r>
          </w:p>
        </w:tc>
        <w:tc>
          <w:tcPr>
            <w:tcW w:w="1744" w:type="dxa"/>
          </w:tcPr>
          <w:p w14:paraId="040EA3A1">
            <w:pPr>
              <w:pStyle w:val="14"/>
              <w:spacing w:before="5"/>
              <w:rPr>
                <w:b/>
                <w:sz w:val="24"/>
              </w:rPr>
            </w:pPr>
          </w:p>
          <w:p w14:paraId="20AC3613">
            <w:pPr>
              <w:pStyle w:val="14"/>
              <w:ind w:left="116" w:right="108"/>
              <w:jc w:val="center"/>
              <w:rPr>
                <w:sz w:val="21"/>
              </w:rPr>
            </w:pPr>
            <w:r>
              <w:rPr>
                <w:sz w:val="21"/>
              </w:rPr>
              <w:t>栅渣浮油沉渣等</w:t>
            </w:r>
          </w:p>
        </w:tc>
        <w:tc>
          <w:tcPr>
            <w:tcW w:w="1600" w:type="dxa"/>
          </w:tcPr>
          <w:p w14:paraId="450D8D8A">
            <w:pPr>
              <w:pStyle w:val="14"/>
              <w:spacing w:before="6"/>
              <w:rPr>
                <w:b/>
                <w:sz w:val="25"/>
              </w:rPr>
            </w:pPr>
          </w:p>
          <w:p w14:paraId="7F18B6C5">
            <w:pPr>
              <w:pStyle w:val="14"/>
              <w:ind w:left="229" w:right="223"/>
              <w:jc w:val="center"/>
              <w:rPr>
                <w:rFonts w:ascii="Times New Roman"/>
                <w:sz w:val="21"/>
              </w:rPr>
            </w:pPr>
            <w:r>
              <w:rPr>
                <w:rFonts w:ascii="Times New Roman"/>
                <w:sz w:val="21"/>
              </w:rPr>
              <w:t>900-099-S59</w:t>
            </w:r>
          </w:p>
        </w:tc>
        <w:tc>
          <w:tcPr>
            <w:tcW w:w="870" w:type="dxa"/>
          </w:tcPr>
          <w:p w14:paraId="26C591AF">
            <w:pPr>
              <w:pStyle w:val="14"/>
              <w:spacing w:before="6"/>
              <w:rPr>
                <w:b/>
                <w:sz w:val="25"/>
              </w:rPr>
            </w:pPr>
          </w:p>
          <w:p w14:paraId="31631A13">
            <w:pPr>
              <w:pStyle w:val="14"/>
              <w:ind w:left="8"/>
              <w:jc w:val="center"/>
              <w:rPr>
                <w:rFonts w:ascii="Times New Roman"/>
                <w:sz w:val="21"/>
              </w:rPr>
            </w:pPr>
            <w:r>
              <w:rPr>
                <w:rFonts w:ascii="Times New Roman"/>
                <w:w w:val="99"/>
                <w:sz w:val="21"/>
              </w:rPr>
              <w:t>/</w:t>
            </w:r>
          </w:p>
        </w:tc>
        <w:tc>
          <w:tcPr>
            <w:tcW w:w="869" w:type="dxa"/>
          </w:tcPr>
          <w:p w14:paraId="767EFFC4">
            <w:pPr>
              <w:pStyle w:val="14"/>
              <w:spacing w:before="5"/>
              <w:rPr>
                <w:b/>
                <w:sz w:val="24"/>
              </w:rPr>
            </w:pPr>
          </w:p>
          <w:p w14:paraId="40689A7E">
            <w:pPr>
              <w:pStyle w:val="14"/>
              <w:ind w:left="114" w:right="108"/>
              <w:jc w:val="center"/>
              <w:rPr>
                <w:sz w:val="21"/>
              </w:rPr>
            </w:pPr>
            <w:r>
              <w:rPr>
                <w:sz w:val="21"/>
              </w:rPr>
              <w:t>固体</w:t>
            </w:r>
          </w:p>
        </w:tc>
        <w:tc>
          <w:tcPr>
            <w:tcW w:w="879" w:type="dxa"/>
          </w:tcPr>
          <w:p w14:paraId="54CF91D3">
            <w:pPr>
              <w:pStyle w:val="14"/>
              <w:spacing w:before="176" w:line="242" w:lineRule="auto"/>
              <w:ind w:left="228" w:right="115" w:hanging="106"/>
              <w:rPr>
                <w:sz w:val="21"/>
              </w:rPr>
            </w:pPr>
            <w:r>
              <w:rPr>
                <w:sz w:val="21"/>
              </w:rPr>
              <w:t>污水处理站</w:t>
            </w:r>
          </w:p>
        </w:tc>
        <w:tc>
          <w:tcPr>
            <w:tcW w:w="2095" w:type="dxa"/>
          </w:tcPr>
          <w:p w14:paraId="52C898BB">
            <w:pPr>
              <w:pStyle w:val="14"/>
              <w:spacing w:line="304"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5BB73FAD">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0F84D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65" w:type="dxa"/>
          </w:tcPr>
          <w:p w14:paraId="736E1AC3">
            <w:pPr>
              <w:pStyle w:val="14"/>
              <w:spacing w:before="7"/>
              <w:rPr>
                <w:b/>
                <w:sz w:val="25"/>
              </w:rPr>
            </w:pPr>
          </w:p>
          <w:p w14:paraId="6FC96438">
            <w:pPr>
              <w:pStyle w:val="14"/>
              <w:ind w:left="8"/>
              <w:jc w:val="center"/>
              <w:rPr>
                <w:rFonts w:ascii="Times New Roman"/>
                <w:sz w:val="21"/>
              </w:rPr>
            </w:pPr>
            <w:r>
              <w:rPr>
                <w:rFonts w:ascii="Times New Roman"/>
                <w:w w:val="99"/>
                <w:sz w:val="21"/>
              </w:rPr>
              <w:t>3</w:t>
            </w:r>
          </w:p>
        </w:tc>
        <w:tc>
          <w:tcPr>
            <w:tcW w:w="1744" w:type="dxa"/>
          </w:tcPr>
          <w:p w14:paraId="13C3652E">
            <w:pPr>
              <w:pStyle w:val="14"/>
              <w:spacing w:before="3"/>
              <w:rPr>
                <w:b/>
                <w:sz w:val="24"/>
              </w:rPr>
            </w:pPr>
          </w:p>
          <w:p w14:paraId="143E158B">
            <w:pPr>
              <w:pStyle w:val="14"/>
              <w:ind w:left="116" w:right="108"/>
              <w:jc w:val="center"/>
              <w:rPr>
                <w:sz w:val="21"/>
              </w:rPr>
            </w:pPr>
            <w:r>
              <w:rPr>
                <w:sz w:val="21"/>
              </w:rPr>
              <w:t>边角料</w:t>
            </w:r>
          </w:p>
        </w:tc>
        <w:tc>
          <w:tcPr>
            <w:tcW w:w="1600" w:type="dxa"/>
          </w:tcPr>
          <w:p w14:paraId="73B150A4">
            <w:pPr>
              <w:pStyle w:val="14"/>
              <w:spacing w:before="7"/>
              <w:rPr>
                <w:b/>
                <w:sz w:val="25"/>
              </w:rPr>
            </w:pPr>
          </w:p>
          <w:p w14:paraId="10C90DA6">
            <w:pPr>
              <w:pStyle w:val="14"/>
              <w:ind w:left="229" w:right="223"/>
              <w:jc w:val="center"/>
              <w:rPr>
                <w:rFonts w:ascii="Times New Roman"/>
                <w:sz w:val="21"/>
              </w:rPr>
            </w:pPr>
            <w:r>
              <w:rPr>
                <w:rFonts w:ascii="Times New Roman"/>
                <w:sz w:val="21"/>
              </w:rPr>
              <w:t>900-099-S17</w:t>
            </w:r>
          </w:p>
        </w:tc>
        <w:tc>
          <w:tcPr>
            <w:tcW w:w="870" w:type="dxa"/>
          </w:tcPr>
          <w:p w14:paraId="4D142BAB">
            <w:pPr>
              <w:pStyle w:val="14"/>
              <w:spacing w:before="7"/>
              <w:rPr>
                <w:b/>
                <w:sz w:val="25"/>
              </w:rPr>
            </w:pPr>
          </w:p>
          <w:p w14:paraId="2596007E">
            <w:pPr>
              <w:pStyle w:val="14"/>
              <w:ind w:left="8"/>
              <w:jc w:val="center"/>
              <w:rPr>
                <w:rFonts w:ascii="Times New Roman"/>
                <w:sz w:val="21"/>
              </w:rPr>
            </w:pPr>
            <w:r>
              <w:rPr>
                <w:rFonts w:ascii="Times New Roman"/>
                <w:w w:val="99"/>
                <w:sz w:val="21"/>
              </w:rPr>
              <w:t>/</w:t>
            </w:r>
          </w:p>
        </w:tc>
        <w:tc>
          <w:tcPr>
            <w:tcW w:w="869" w:type="dxa"/>
          </w:tcPr>
          <w:p w14:paraId="5BAC8019">
            <w:pPr>
              <w:pStyle w:val="14"/>
              <w:spacing w:before="3"/>
              <w:rPr>
                <w:b/>
                <w:sz w:val="24"/>
              </w:rPr>
            </w:pPr>
          </w:p>
          <w:p w14:paraId="395737E0">
            <w:pPr>
              <w:pStyle w:val="14"/>
              <w:ind w:left="114" w:right="108"/>
              <w:jc w:val="center"/>
              <w:rPr>
                <w:sz w:val="21"/>
              </w:rPr>
            </w:pPr>
            <w:r>
              <w:rPr>
                <w:sz w:val="21"/>
              </w:rPr>
              <w:t>固体</w:t>
            </w:r>
          </w:p>
        </w:tc>
        <w:tc>
          <w:tcPr>
            <w:tcW w:w="879" w:type="dxa"/>
          </w:tcPr>
          <w:p w14:paraId="220D0301">
            <w:pPr>
              <w:pStyle w:val="14"/>
              <w:spacing w:before="176" w:line="242" w:lineRule="auto"/>
              <w:ind w:left="228" w:right="115" w:hanging="106"/>
              <w:rPr>
                <w:sz w:val="21"/>
              </w:rPr>
            </w:pPr>
            <w:r>
              <w:rPr>
                <w:sz w:val="21"/>
              </w:rPr>
              <w:t>污水处理站</w:t>
            </w:r>
          </w:p>
        </w:tc>
        <w:tc>
          <w:tcPr>
            <w:tcW w:w="2095" w:type="dxa"/>
          </w:tcPr>
          <w:p w14:paraId="49D4FFE0">
            <w:pPr>
              <w:pStyle w:val="14"/>
              <w:spacing w:line="302" w:lineRule="exact"/>
              <w:ind w:left="160" w:hanging="36"/>
              <w:rPr>
                <w:sz w:val="21"/>
              </w:rPr>
            </w:pPr>
            <w:r>
              <w:rPr>
                <w:rFonts w:ascii="Wingdings" w:hAnsi="Wingdings" w:eastAsia="Wingdings"/>
                <w:position w:val="7"/>
                <w:sz w:val="21"/>
              </w:rPr>
              <w:t></w:t>
            </w:r>
            <w:r>
              <w:rPr>
                <w:sz w:val="21"/>
              </w:rPr>
              <w:t>自行贮存</w:t>
            </w:r>
            <w:r>
              <w:rPr>
                <w:rFonts w:ascii="Wingdings" w:hAnsi="Wingdings" w:eastAsia="Wingdings"/>
                <w:position w:val="7"/>
                <w:sz w:val="21"/>
              </w:rPr>
              <w:t></w:t>
            </w:r>
            <w:r>
              <w:rPr>
                <w:sz w:val="21"/>
              </w:rPr>
              <w:t>自行利</w:t>
            </w:r>
          </w:p>
          <w:p w14:paraId="348D1BC5">
            <w:pPr>
              <w:pStyle w:val="14"/>
              <w:spacing w:before="43" w:line="274"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28C8B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465" w:type="dxa"/>
          </w:tcPr>
          <w:p w14:paraId="591FCE14">
            <w:pPr>
              <w:pStyle w:val="14"/>
              <w:spacing w:before="7"/>
              <w:rPr>
                <w:b/>
                <w:sz w:val="25"/>
              </w:rPr>
            </w:pPr>
          </w:p>
          <w:p w14:paraId="42CA14A0">
            <w:pPr>
              <w:pStyle w:val="14"/>
              <w:spacing w:before="1"/>
              <w:ind w:left="8"/>
              <w:jc w:val="center"/>
              <w:rPr>
                <w:rFonts w:ascii="Times New Roman"/>
                <w:sz w:val="21"/>
              </w:rPr>
            </w:pPr>
            <w:r>
              <w:rPr>
                <w:rFonts w:ascii="Times New Roman"/>
                <w:w w:val="99"/>
                <w:sz w:val="21"/>
              </w:rPr>
              <w:t>4</w:t>
            </w:r>
          </w:p>
        </w:tc>
        <w:tc>
          <w:tcPr>
            <w:tcW w:w="1744" w:type="dxa"/>
          </w:tcPr>
          <w:p w14:paraId="7E25A476">
            <w:pPr>
              <w:pStyle w:val="14"/>
              <w:spacing w:before="4"/>
              <w:rPr>
                <w:b/>
                <w:sz w:val="24"/>
              </w:rPr>
            </w:pPr>
          </w:p>
          <w:p w14:paraId="6B591FD0">
            <w:pPr>
              <w:pStyle w:val="14"/>
              <w:ind w:left="116" w:right="108"/>
              <w:jc w:val="center"/>
              <w:rPr>
                <w:sz w:val="21"/>
              </w:rPr>
            </w:pPr>
            <w:r>
              <w:rPr>
                <w:sz w:val="21"/>
              </w:rPr>
              <w:t>猪毛</w:t>
            </w:r>
          </w:p>
        </w:tc>
        <w:tc>
          <w:tcPr>
            <w:tcW w:w="1600" w:type="dxa"/>
          </w:tcPr>
          <w:p w14:paraId="6C1B5949">
            <w:pPr>
              <w:pStyle w:val="14"/>
              <w:spacing w:before="7"/>
              <w:rPr>
                <w:b/>
                <w:sz w:val="25"/>
              </w:rPr>
            </w:pPr>
          </w:p>
          <w:p w14:paraId="2456534A">
            <w:pPr>
              <w:pStyle w:val="14"/>
              <w:spacing w:before="1"/>
              <w:ind w:left="229" w:right="223"/>
              <w:jc w:val="center"/>
              <w:rPr>
                <w:rFonts w:ascii="Times New Roman"/>
                <w:sz w:val="21"/>
              </w:rPr>
            </w:pPr>
            <w:r>
              <w:rPr>
                <w:rFonts w:ascii="Times New Roman"/>
                <w:sz w:val="21"/>
              </w:rPr>
              <w:t>900-099-S17</w:t>
            </w:r>
          </w:p>
        </w:tc>
        <w:tc>
          <w:tcPr>
            <w:tcW w:w="870" w:type="dxa"/>
          </w:tcPr>
          <w:p w14:paraId="0C6C5CDE">
            <w:pPr>
              <w:pStyle w:val="14"/>
              <w:spacing w:before="7"/>
              <w:rPr>
                <w:b/>
                <w:sz w:val="25"/>
              </w:rPr>
            </w:pPr>
          </w:p>
          <w:p w14:paraId="0CBCA1CD">
            <w:pPr>
              <w:pStyle w:val="14"/>
              <w:spacing w:before="1"/>
              <w:ind w:left="8"/>
              <w:jc w:val="center"/>
              <w:rPr>
                <w:rFonts w:ascii="Times New Roman"/>
                <w:sz w:val="21"/>
              </w:rPr>
            </w:pPr>
            <w:r>
              <w:rPr>
                <w:rFonts w:ascii="Times New Roman"/>
                <w:w w:val="99"/>
                <w:sz w:val="21"/>
              </w:rPr>
              <w:t>/</w:t>
            </w:r>
          </w:p>
        </w:tc>
        <w:tc>
          <w:tcPr>
            <w:tcW w:w="869" w:type="dxa"/>
          </w:tcPr>
          <w:p w14:paraId="462216C5">
            <w:pPr>
              <w:pStyle w:val="14"/>
              <w:spacing w:before="4"/>
              <w:rPr>
                <w:b/>
                <w:sz w:val="24"/>
              </w:rPr>
            </w:pPr>
          </w:p>
          <w:p w14:paraId="5AFD3F2F">
            <w:pPr>
              <w:pStyle w:val="14"/>
              <w:ind w:left="114" w:right="108"/>
              <w:jc w:val="center"/>
              <w:rPr>
                <w:sz w:val="21"/>
              </w:rPr>
            </w:pPr>
            <w:r>
              <w:rPr>
                <w:sz w:val="21"/>
              </w:rPr>
              <w:t>固体</w:t>
            </w:r>
          </w:p>
        </w:tc>
        <w:tc>
          <w:tcPr>
            <w:tcW w:w="879" w:type="dxa"/>
          </w:tcPr>
          <w:p w14:paraId="3A9615B8">
            <w:pPr>
              <w:pStyle w:val="14"/>
              <w:spacing w:before="175" w:line="244" w:lineRule="auto"/>
              <w:ind w:left="228" w:right="115" w:hanging="106"/>
              <w:rPr>
                <w:sz w:val="21"/>
              </w:rPr>
            </w:pPr>
            <w:r>
              <w:rPr>
                <w:sz w:val="21"/>
              </w:rPr>
              <w:t>污水处理站</w:t>
            </w:r>
          </w:p>
        </w:tc>
        <w:tc>
          <w:tcPr>
            <w:tcW w:w="2095" w:type="dxa"/>
          </w:tcPr>
          <w:p w14:paraId="03B57B95">
            <w:pPr>
              <w:pStyle w:val="14"/>
              <w:spacing w:line="303" w:lineRule="exact"/>
              <w:ind w:left="160" w:hanging="36"/>
              <w:rPr>
                <w:sz w:val="21"/>
              </w:rPr>
            </w:pPr>
            <w:r>
              <w:rPr>
                <w:rFonts w:ascii="Wingdings" w:hAnsi="Wingdings" w:eastAsia="Wingdings"/>
                <w:position w:val="7"/>
                <w:sz w:val="21"/>
              </w:rPr>
              <w:t></w:t>
            </w:r>
            <w:r>
              <w:rPr>
                <w:sz w:val="21"/>
              </w:rPr>
              <w:t>自行贮存</w:t>
            </w:r>
            <w:r>
              <w:rPr>
                <w:rFonts w:ascii="Wingdings" w:hAnsi="Wingdings" w:eastAsia="Wingdings"/>
                <w:position w:val="7"/>
                <w:sz w:val="21"/>
              </w:rPr>
              <w:t></w:t>
            </w:r>
            <w:r>
              <w:rPr>
                <w:sz w:val="21"/>
              </w:rPr>
              <w:t>自行利</w:t>
            </w:r>
          </w:p>
          <w:p w14:paraId="4BFCF4B1">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4A129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65" w:type="dxa"/>
          </w:tcPr>
          <w:p w14:paraId="47029614">
            <w:pPr>
              <w:pStyle w:val="14"/>
              <w:spacing w:before="6"/>
              <w:rPr>
                <w:b/>
                <w:sz w:val="25"/>
              </w:rPr>
            </w:pPr>
          </w:p>
          <w:p w14:paraId="533CFE42">
            <w:pPr>
              <w:pStyle w:val="14"/>
              <w:ind w:left="8"/>
              <w:jc w:val="center"/>
              <w:rPr>
                <w:rFonts w:ascii="Times New Roman"/>
                <w:sz w:val="21"/>
              </w:rPr>
            </w:pPr>
            <w:r>
              <w:rPr>
                <w:rFonts w:ascii="Times New Roman"/>
                <w:w w:val="99"/>
                <w:sz w:val="21"/>
              </w:rPr>
              <w:t>5</w:t>
            </w:r>
          </w:p>
        </w:tc>
        <w:tc>
          <w:tcPr>
            <w:tcW w:w="1744" w:type="dxa"/>
          </w:tcPr>
          <w:p w14:paraId="265C753A">
            <w:pPr>
              <w:pStyle w:val="14"/>
              <w:spacing w:before="4"/>
              <w:rPr>
                <w:b/>
                <w:sz w:val="24"/>
              </w:rPr>
            </w:pPr>
          </w:p>
          <w:p w14:paraId="0E9E5046">
            <w:pPr>
              <w:pStyle w:val="14"/>
              <w:spacing w:before="1"/>
              <w:ind w:left="114" w:right="108"/>
              <w:jc w:val="center"/>
              <w:rPr>
                <w:sz w:val="21"/>
              </w:rPr>
            </w:pPr>
            <w:r>
              <w:rPr>
                <w:sz w:val="21"/>
              </w:rPr>
              <w:t>废包装物</w:t>
            </w:r>
          </w:p>
        </w:tc>
        <w:tc>
          <w:tcPr>
            <w:tcW w:w="1600" w:type="dxa"/>
          </w:tcPr>
          <w:p w14:paraId="1202BB4B">
            <w:pPr>
              <w:pStyle w:val="14"/>
              <w:spacing w:before="6"/>
              <w:rPr>
                <w:b/>
                <w:sz w:val="25"/>
              </w:rPr>
            </w:pPr>
          </w:p>
          <w:p w14:paraId="73DB70BB">
            <w:pPr>
              <w:pStyle w:val="14"/>
              <w:ind w:left="229" w:right="223"/>
              <w:jc w:val="center"/>
              <w:rPr>
                <w:rFonts w:ascii="Times New Roman"/>
                <w:sz w:val="21"/>
              </w:rPr>
            </w:pPr>
            <w:r>
              <w:rPr>
                <w:rFonts w:ascii="Times New Roman"/>
                <w:sz w:val="21"/>
              </w:rPr>
              <w:t>900-003-S17</w:t>
            </w:r>
          </w:p>
        </w:tc>
        <w:tc>
          <w:tcPr>
            <w:tcW w:w="870" w:type="dxa"/>
          </w:tcPr>
          <w:p w14:paraId="60348864">
            <w:pPr>
              <w:pStyle w:val="14"/>
              <w:spacing w:before="6"/>
              <w:rPr>
                <w:b/>
                <w:sz w:val="25"/>
              </w:rPr>
            </w:pPr>
          </w:p>
          <w:p w14:paraId="0A0527F1">
            <w:pPr>
              <w:pStyle w:val="14"/>
              <w:ind w:left="8"/>
              <w:jc w:val="center"/>
              <w:rPr>
                <w:rFonts w:ascii="Times New Roman"/>
                <w:sz w:val="21"/>
              </w:rPr>
            </w:pPr>
            <w:r>
              <w:rPr>
                <w:rFonts w:ascii="Times New Roman"/>
                <w:w w:val="99"/>
                <w:sz w:val="21"/>
              </w:rPr>
              <w:t>/</w:t>
            </w:r>
          </w:p>
        </w:tc>
        <w:tc>
          <w:tcPr>
            <w:tcW w:w="869" w:type="dxa"/>
          </w:tcPr>
          <w:p w14:paraId="653D5A0A">
            <w:pPr>
              <w:pStyle w:val="14"/>
              <w:spacing w:before="4"/>
              <w:rPr>
                <w:b/>
                <w:sz w:val="24"/>
              </w:rPr>
            </w:pPr>
          </w:p>
          <w:p w14:paraId="0A0817BE">
            <w:pPr>
              <w:pStyle w:val="14"/>
              <w:spacing w:before="1"/>
              <w:ind w:left="114" w:right="108"/>
              <w:jc w:val="center"/>
              <w:rPr>
                <w:sz w:val="21"/>
              </w:rPr>
            </w:pPr>
            <w:r>
              <w:rPr>
                <w:sz w:val="21"/>
              </w:rPr>
              <w:t>固体</w:t>
            </w:r>
          </w:p>
        </w:tc>
        <w:tc>
          <w:tcPr>
            <w:tcW w:w="879" w:type="dxa"/>
          </w:tcPr>
          <w:p w14:paraId="60CC4BF7">
            <w:pPr>
              <w:pStyle w:val="14"/>
              <w:spacing w:before="175" w:line="244" w:lineRule="auto"/>
              <w:ind w:left="228" w:right="115" w:hanging="106"/>
              <w:rPr>
                <w:sz w:val="21"/>
              </w:rPr>
            </w:pPr>
            <w:r>
              <w:rPr>
                <w:sz w:val="21"/>
              </w:rPr>
              <w:t>污水处理站</w:t>
            </w:r>
          </w:p>
        </w:tc>
        <w:tc>
          <w:tcPr>
            <w:tcW w:w="2095" w:type="dxa"/>
          </w:tcPr>
          <w:p w14:paraId="477F62F4">
            <w:pPr>
              <w:pStyle w:val="14"/>
              <w:spacing w:line="304"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27CC250E">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r w14:paraId="0C9F9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65" w:type="dxa"/>
          </w:tcPr>
          <w:p w14:paraId="693AFDF6">
            <w:pPr>
              <w:pStyle w:val="14"/>
              <w:spacing w:before="7"/>
              <w:rPr>
                <w:b/>
                <w:sz w:val="25"/>
              </w:rPr>
            </w:pPr>
          </w:p>
          <w:p w14:paraId="1646A7AA">
            <w:pPr>
              <w:pStyle w:val="14"/>
              <w:ind w:left="8"/>
              <w:jc w:val="center"/>
              <w:rPr>
                <w:rFonts w:ascii="Times New Roman"/>
                <w:sz w:val="21"/>
              </w:rPr>
            </w:pPr>
            <w:r>
              <w:rPr>
                <w:rFonts w:ascii="Times New Roman"/>
                <w:w w:val="99"/>
                <w:sz w:val="21"/>
              </w:rPr>
              <w:t>6</w:t>
            </w:r>
          </w:p>
        </w:tc>
        <w:tc>
          <w:tcPr>
            <w:tcW w:w="1744" w:type="dxa"/>
          </w:tcPr>
          <w:p w14:paraId="571E9135">
            <w:pPr>
              <w:pStyle w:val="14"/>
              <w:spacing w:before="6"/>
              <w:rPr>
                <w:b/>
                <w:sz w:val="24"/>
              </w:rPr>
            </w:pPr>
          </w:p>
          <w:p w14:paraId="31ABC1BB">
            <w:pPr>
              <w:pStyle w:val="14"/>
              <w:ind w:left="114" w:right="108"/>
              <w:jc w:val="center"/>
              <w:rPr>
                <w:sz w:val="21"/>
              </w:rPr>
            </w:pPr>
            <w:r>
              <w:rPr>
                <w:sz w:val="21"/>
              </w:rPr>
              <w:t>生活垃圾</w:t>
            </w:r>
          </w:p>
        </w:tc>
        <w:tc>
          <w:tcPr>
            <w:tcW w:w="1600" w:type="dxa"/>
          </w:tcPr>
          <w:p w14:paraId="63102DB2">
            <w:pPr>
              <w:pStyle w:val="14"/>
              <w:spacing w:before="7"/>
              <w:rPr>
                <w:b/>
                <w:sz w:val="25"/>
              </w:rPr>
            </w:pPr>
          </w:p>
          <w:p w14:paraId="3C5BF1B0">
            <w:pPr>
              <w:pStyle w:val="14"/>
              <w:ind w:left="229" w:right="223"/>
              <w:jc w:val="center"/>
              <w:rPr>
                <w:rFonts w:ascii="Times New Roman"/>
                <w:sz w:val="21"/>
              </w:rPr>
            </w:pPr>
            <w:r>
              <w:rPr>
                <w:rFonts w:ascii="Times New Roman"/>
                <w:sz w:val="21"/>
              </w:rPr>
              <w:t>900-002-S61</w:t>
            </w:r>
          </w:p>
        </w:tc>
        <w:tc>
          <w:tcPr>
            <w:tcW w:w="870" w:type="dxa"/>
          </w:tcPr>
          <w:p w14:paraId="60A6B95E">
            <w:pPr>
              <w:pStyle w:val="14"/>
              <w:spacing w:before="7"/>
              <w:rPr>
                <w:b/>
                <w:sz w:val="25"/>
              </w:rPr>
            </w:pPr>
          </w:p>
          <w:p w14:paraId="6EDF093A">
            <w:pPr>
              <w:pStyle w:val="14"/>
              <w:ind w:left="8"/>
              <w:jc w:val="center"/>
              <w:rPr>
                <w:rFonts w:ascii="Times New Roman"/>
                <w:sz w:val="21"/>
              </w:rPr>
            </w:pPr>
            <w:r>
              <w:rPr>
                <w:rFonts w:ascii="Times New Roman"/>
                <w:w w:val="99"/>
                <w:sz w:val="21"/>
              </w:rPr>
              <w:t>/</w:t>
            </w:r>
          </w:p>
        </w:tc>
        <w:tc>
          <w:tcPr>
            <w:tcW w:w="869" w:type="dxa"/>
          </w:tcPr>
          <w:p w14:paraId="34884D47">
            <w:pPr>
              <w:pStyle w:val="14"/>
              <w:spacing w:before="6"/>
              <w:rPr>
                <w:b/>
                <w:sz w:val="24"/>
              </w:rPr>
            </w:pPr>
          </w:p>
          <w:p w14:paraId="118D1912">
            <w:pPr>
              <w:pStyle w:val="14"/>
              <w:ind w:left="97" w:right="91"/>
              <w:jc w:val="center"/>
              <w:rPr>
                <w:sz w:val="21"/>
              </w:rPr>
            </w:pPr>
            <w:r>
              <w:rPr>
                <w:sz w:val="21"/>
              </w:rPr>
              <w:t>半固体</w:t>
            </w:r>
          </w:p>
        </w:tc>
        <w:tc>
          <w:tcPr>
            <w:tcW w:w="879" w:type="dxa"/>
          </w:tcPr>
          <w:p w14:paraId="613CE321">
            <w:pPr>
              <w:pStyle w:val="14"/>
              <w:spacing w:before="6"/>
              <w:rPr>
                <w:b/>
                <w:sz w:val="24"/>
              </w:rPr>
            </w:pPr>
          </w:p>
          <w:p w14:paraId="3181CE0D">
            <w:pPr>
              <w:pStyle w:val="14"/>
              <w:ind w:left="102" w:right="97"/>
              <w:jc w:val="center"/>
              <w:rPr>
                <w:sz w:val="21"/>
              </w:rPr>
            </w:pPr>
            <w:r>
              <w:rPr>
                <w:sz w:val="21"/>
              </w:rPr>
              <w:t>餐厅</w:t>
            </w:r>
          </w:p>
        </w:tc>
        <w:tc>
          <w:tcPr>
            <w:tcW w:w="2095" w:type="dxa"/>
          </w:tcPr>
          <w:p w14:paraId="0816101D">
            <w:pPr>
              <w:pStyle w:val="14"/>
              <w:spacing w:line="305" w:lineRule="exact"/>
              <w:ind w:left="160" w:hanging="36"/>
              <w:rPr>
                <w:sz w:val="21"/>
              </w:rPr>
            </w:pPr>
            <w:r>
              <w:rPr>
                <w:rFonts w:ascii="Wingdings" w:hAnsi="Wingdings" w:eastAsia="Wingdings"/>
                <w:position w:val="8"/>
                <w:sz w:val="21"/>
              </w:rPr>
              <w:t></w:t>
            </w:r>
            <w:r>
              <w:rPr>
                <w:sz w:val="21"/>
              </w:rPr>
              <w:t>自行贮存</w:t>
            </w:r>
            <w:r>
              <w:rPr>
                <w:rFonts w:ascii="Wingdings" w:hAnsi="Wingdings" w:eastAsia="Wingdings"/>
                <w:position w:val="8"/>
                <w:sz w:val="21"/>
              </w:rPr>
              <w:t></w:t>
            </w:r>
            <w:r>
              <w:rPr>
                <w:sz w:val="21"/>
              </w:rPr>
              <w:t>自行利</w:t>
            </w:r>
          </w:p>
          <w:p w14:paraId="63801E7C">
            <w:pPr>
              <w:pStyle w:val="14"/>
              <w:spacing w:before="44" w:line="272" w:lineRule="exact"/>
              <w:ind w:left="597" w:right="150" w:hanging="437"/>
              <w:rPr>
                <w:sz w:val="21"/>
              </w:rPr>
            </w:pPr>
            <w:r>
              <w:rPr>
                <w:sz w:val="21"/>
              </w:rPr>
              <w:t>用</w:t>
            </w:r>
            <w:r>
              <w:rPr>
                <w:rFonts w:ascii="Times New Roman" w:hAnsi="Times New Roman" w:eastAsia="Times New Roman"/>
                <w:sz w:val="21"/>
              </w:rPr>
              <w:t>/</w:t>
            </w:r>
            <w:r>
              <w:rPr>
                <w:sz w:val="21"/>
              </w:rPr>
              <w:t>处置</w:t>
            </w:r>
            <w:r>
              <w:rPr>
                <w:rFonts w:ascii="Wingdings" w:hAnsi="Wingdings" w:eastAsia="Wingdings"/>
                <w:position w:val="8"/>
                <w:sz w:val="21"/>
              </w:rPr>
              <w:t></w:t>
            </w:r>
            <w:r>
              <w:rPr>
                <w:sz w:val="21"/>
              </w:rPr>
              <w:t>委托贮存</w:t>
            </w:r>
            <w:r>
              <w:rPr>
                <w:rFonts w:ascii="Times New Roman" w:hAnsi="Times New Roman" w:eastAsia="Times New Roman"/>
                <w:sz w:val="21"/>
              </w:rPr>
              <w:t xml:space="preserve">/ </w:t>
            </w:r>
            <w:r>
              <w:rPr>
                <w:sz w:val="21"/>
              </w:rPr>
              <w:t>利用</w:t>
            </w:r>
            <w:r>
              <w:rPr>
                <w:rFonts w:ascii="Times New Roman" w:hAnsi="Times New Roman" w:eastAsia="Times New Roman"/>
                <w:sz w:val="21"/>
              </w:rPr>
              <w:t>/</w:t>
            </w:r>
            <w:r>
              <w:rPr>
                <w:sz w:val="21"/>
              </w:rPr>
              <w:t>处置</w:t>
            </w:r>
          </w:p>
        </w:tc>
      </w:tr>
    </w:tbl>
    <w:p w14:paraId="38159777">
      <w:pPr>
        <w:spacing w:before="0" w:after="4"/>
        <w:ind w:left="3049" w:right="0" w:firstLine="0"/>
        <w:jc w:val="left"/>
        <w:rPr>
          <w:b/>
          <w:sz w:val="21"/>
        </w:rPr>
      </w:pPr>
      <w:r>
        <w:rPr>
          <w:b/>
          <w:sz w:val="21"/>
        </w:rPr>
        <w:t xml:space="preserve">表 </w:t>
      </w:r>
      <w:r>
        <w:rPr>
          <w:rFonts w:ascii="Times New Roman" w:eastAsia="Times New Roman"/>
          <w:b/>
          <w:sz w:val="21"/>
        </w:rPr>
        <w:t xml:space="preserve">7.2-5 </w:t>
      </w:r>
      <w:r>
        <w:rPr>
          <w:b/>
          <w:sz w:val="21"/>
        </w:rPr>
        <w:t>企业自行贮存设施信息表</w:t>
      </w: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9"/>
        <w:gridCol w:w="2035"/>
        <w:gridCol w:w="2233"/>
        <w:gridCol w:w="1715"/>
      </w:tblGrid>
      <w:tr w14:paraId="124EB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4"/>
          </w:tcPr>
          <w:p w14:paraId="4E812822">
            <w:pPr>
              <w:pStyle w:val="14"/>
              <w:spacing w:before="89"/>
              <w:ind w:left="2579"/>
              <w:rPr>
                <w:sz w:val="21"/>
              </w:rPr>
            </w:pPr>
            <w:r>
              <w:rPr>
                <w:sz w:val="21"/>
              </w:rPr>
              <w:t>自行贮存设施基本信息（危险废物）</w:t>
            </w:r>
          </w:p>
        </w:tc>
      </w:tr>
      <w:tr w14:paraId="2A900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9" w:type="dxa"/>
          </w:tcPr>
          <w:p w14:paraId="47FB007E">
            <w:pPr>
              <w:pStyle w:val="14"/>
              <w:spacing w:before="91"/>
              <w:ind w:left="196" w:right="192"/>
              <w:jc w:val="center"/>
              <w:rPr>
                <w:sz w:val="21"/>
              </w:rPr>
            </w:pPr>
            <w:r>
              <w:rPr>
                <w:sz w:val="21"/>
              </w:rPr>
              <w:t>名称</w:t>
            </w:r>
          </w:p>
        </w:tc>
        <w:tc>
          <w:tcPr>
            <w:tcW w:w="2035" w:type="dxa"/>
          </w:tcPr>
          <w:p w14:paraId="324F16B9">
            <w:pPr>
              <w:pStyle w:val="14"/>
              <w:spacing w:before="91"/>
              <w:ind w:left="471" w:right="464"/>
              <w:jc w:val="center"/>
              <w:rPr>
                <w:sz w:val="21"/>
              </w:rPr>
            </w:pPr>
            <w:r>
              <w:rPr>
                <w:sz w:val="21"/>
              </w:rPr>
              <w:t>危废暂存间</w:t>
            </w:r>
          </w:p>
        </w:tc>
        <w:tc>
          <w:tcPr>
            <w:tcW w:w="2233" w:type="dxa"/>
          </w:tcPr>
          <w:p w14:paraId="398B05E3">
            <w:pPr>
              <w:pStyle w:val="14"/>
              <w:spacing w:before="91"/>
              <w:ind w:left="223" w:right="219"/>
              <w:jc w:val="center"/>
              <w:rPr>
                <w:sz w:val="21"/>
              </w:rPr>
            </w:pPr>
            <w:r>
              <w:rPr>
                <w:sz w:val="21"/>
              </w:rPr>
              <w:t>编号</w:t>
            </w:r>
          </w:p>
        </w:tc>
        <w:tc>
          <w:tcPr>
            <w:tcW w:w="1715" w:type="dxa"/>
          </w:tcPr>
          <w:p w14:paraId="22514414">
            <w:pPr>
              <w:pStyle w:val="14"/>
              <w:spacing w:before="104"/>
              <w:ind w:left="544" w:right="537"/>
              <w:jc w:val="center"/>
              <w:rPr>
                <w:rFonts w:ascii="Times New Roman"/>
                <w:sz w:val="21"/>
              </w:rPr>
            </w:pPr>
            <w:r>
              <w:rPr>
                <w:rFonts w:ascii="Times New Roman"/>
                <w:sz w:val="21"/>
              </w:rPr>
              <w:t>DS001</w:t>
            </w:r>
          </w:p>
        </w:tc>
      </w:tr>
      <w:tr w14:paraId="4BA18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2539" w:type="dxa"/>
          </w:tcPr>
          <w:p w14:paraId="6F7B5026">
            <w:pPr>
              <w:pStyle w:val="14"/>
              <w:spacing w:before="5"/>
              <w:rPr>
                <w:b/>
                <w:sz w:val="24"/>
              </w:rPr>
            </w:pPr>
          </w:p>
          <w:p w14:paraId="0FAE67DA">
            <w:pPr>
              <w:pStyle w:val="14"/>
              <w:ind w:left="196" w:right="192"/>
              <w:jc w:val="center"/>
              <w:rPr>
                <w:sz w:val="21"/>
              </w:rPr>
            </w:pPr>
            <w:r>
              <w:rPr>
                <w:sz w:val="21"/>
              </w:rPr>
              <w:t>类型</w:t>
            </w:r>
          </w:p>
        </w:tc>
        <w:tc>
          <w:tcPr>
            <w:tcW w:w="2035" w:type="dxa"/>
          </w:tcPr>
          <w:p w14:paraId="4C43A0E2">
            <w:pPr>
              <w:pStyle w:val="14"/>
              <w:spacing w:line="303" w:lineRule="exact"/>
              <w:ind w:left="292"/>
              <w:rPr>
                <w:sz w:val="21"/>
              </w:rPr>
            </w:pPr>
            <w:r>
              <w:rPr>
                <w:rFonts w:ascii="Wingdings" w:hAnsi="Wingdings" w:eastAsia="Wingdings"/>
                <w:w w:val="95"/>
                <w:position w:val="8"/>
                <w:sz w:val="21"/>
              </w:rPr>
              <w:t></w:t>
            </w:r>
            <w:r>
              <w:rPr>
                <w:w w:val="95"/>
                <w:sz w:val="21"/>
              </w:rPr>
              <w:t>自行贮存设施</w:t>
            </w:r>
          </w:p>
          <w:p w14:paraId="5FA87142">
            <w:pPr>
              <w:pStyle w:val="14"/>
              <w:numPr>
                <w:ilvl w:val="0"/>
                <w:numId w:val="31"/>
              </w:numPr>
              <w:tabs>
                <w:tab w:val="left" w:pos="348"/>
              </w:tabs>
              <w:spacing w:before="43" w:after="0" w:line="272" w:lineRule="exact"/>
              <w:ind w:left="911" w:right="148" w:hanging="751"/>
              <w:jc w:val="left"/>
              <w:rPr>
                <w:sz w:val="21"/>
              </w:rPr>
            </w:pPr>
            <w:r>
              <w:rPr>
                <w:w w:val="95"/>
                <w:sz w:val="21"/>
              </w:rPr>
              <w:t>自行利用</w:t>
            </w:r>
            <w:r>
              <w:rPr>
                <w:rFonts w:ascii="Times New Roman" w:eastAsia="Times New Roman"/>
                <w:w w:val="95"/>
                <w:sz w:val="21"/>
              </w:rPr>
              <w:t>/</w:t>
            </w:r>
            <w:r>
              <w:rPr>
                <w:w w:val="95"/>
                <w:sz w:val="21"/>
              </w:rPr>
              <w:t>处置设</w:t>
            </w:r>
            <w:r>
              <w:rPr>
                <w:sz w:val="21"/>
              </w:rPr>
              <w:t>施</w:t>
            </w:r>
          </w:p>
        </w:tc>
        <w:tc>
          <w:tcPr>
            <w:tcW w:w="2233" w:type="dxa"/>
          </w:tcPr>
          <w:p w14:paraId="5D69E1BA">
            <w:pPr>
              <w:pStyle w:val="14"/>
              <w:spacing w:before="5"/>
              <w:rPr>
                <w:b/>
                <w:sz w:val="24"/>
              </w:rPr>
            </w:pPr>
          </w:p>
          <w:p w14:paraId="693447A5">
            <w:pPr>
              <w:pStyle w:val="14"/>
              <w:ind w:left="223" w:right="219"/>
              <w:jc w:val="center"/>
              <w:rPr>
                <w:sz w:val="21"/>
              </w:rPr>
            </w:pPr>
            <w:r>
              <w:rPr>
                <w:sz w:val="21"/>
              </w:rPr>
              <w:t>位置</w:t>
            </w:r>
          </w:p>
        </w:tc>
        <w:tc>
          <w:tcPr>
            <w:tcW w:w="1715" w:type="dxa"/>
          </w:tcPr>
          <w:p w14:paraId="54ABBB87">
            <w:pPr>
              <w:pStyle w:val="14"/>
              <w:spacing w:before="176" w:line="242" w:lineRule="auto"/>
              <w:ind w:left="121" w:right="112"/>
              <w:rPr>
                <w:sz w:val="21"/>
              </w:rPr>
            </w:pPr>
            <w:r>
              <w:rPr>
                <w:w w:val="95"/>
                <w:sz w:val="21"/>
              </w:rPr>
              <w:t>厂区东南角（含无害化暂存间）</w:t>
            </w:r>
          </w:p>
        </w:tc>
      </w:tr>
      <w:tr w14:paraId="254B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539" w:type="dxa"/>
          </w:tcPr>
          <w:p w14:paraId="5C8E3B8B">
            <w:pPr>
              <w:pStyle w:val="14"/>
              <w:spacing w:before="91"/>
              <w:ind w:left="196" w:right="192"/>
              <w:jc w:val="center"/>
              <w:rPr>
                <w:sz w:val="21"/>
              </w:rPr>
            </w:pPr>
            <w:r>
              <w:rPr>
                <w:sz w:val="21"/>
              </w:rPr>
              <w:t>是否符合相关标准要求</w:t>
            </w:r>
          </w:p>
        </w:tc>
        <w:tc>
          <w:tcPr>
            <w:tcW w:w="2035" w:type="dxa"/>
          </w:tcPr>
          <w:p w14:paraId="51854350">
            <w:pPr>
              <w:pStyle w:val="14"/>
              <w:spacing w:before="57"/>
              <w:ind w:left="471" w:right="461"/>
              <w:jc w:val="center"/>
              <w:rPr>
                <w:sz w:val="21"/>
              </w:rPr>
            </w:pPr>
            <w:r>
              <w:rPr>
                <w:rFonts w:ascii="Wingdings" w:hAnsi="Wingdings" w:eastAsia="Wingdings"/>
                <w:sz w:val="21"/>
              </w:rPr>
              <w:t></w:t>
            </w:r>
            <w:r>
              <w:rPr>
                <w:position w:val="-7"/>
                <w:sz w:val="21"/>
              </w:rPr>
              <w:t xml:space="preserve">是 </w:t>
            </w:r>
            <w:r>
              <w:rPr>
                <w:rFonts w:ascii="Wingdings" w:hAnsi="Wingdings" w:eastAsia="Wingdings"/>
                <w:sz w:val="21"/>
              </w:rPr>
              <w:t></w:t>
            </w:r>
            <w:r>
              <w:rPr>
                <w:position w:val="-7"/>
                <w:sz w:val="21"/>
              </w:rPr>
              <w:t>否</w:t>
            </w:r>
          </w:p>
        </w:tc>
        <w:tc>
          <w:tcPr>
            <w:tcW w:w="2233" w:type="dxa"/>
          </w:tcPr>
          <w:p w14:paraId="7E38399E">
            <w:pPr>
              <w:pStyle w:val="14"/>
              <w:spacing w:before="91"/>
              <w:ind w:left="225" w:right="219"/>
              <w:jc w:val="center"/>
              <w:rPr>
                <w:sz w:val="21"/>
              </w:rPr>
            </w:pPr>
            <w:r>
              <w:rPr>
                <w:sz w:val="21"/>
              </w:rPr>
              <w:t>自行利用</w:t>
            </w:r>
            <w:r>
              <w:rPr>
                <w:rFonts w:ascii="Times New Roman" w:eastAsia="Times New Roman"/>
                <w:sz w:val="21"/>
              </w:rPr>
              <w:t>/</w:t>
            </w:r>
            <w:r>
              <w:rPr>
                <w:sz w:val="21"/>
              </w:rPr>
              <w:t>处置方式</w:t>
            </w:r>
          </w:p>
        </w:tc>
        <w:tc>
          <w:tcPr>
            <w:tcW w:w="1715" w:type="dxa"/>
          </w:tcPr>
          <w:p w14:paraId="3BBF6A79">
            <w:pPr>
              <w:pStyle w:val="14"/>
              <w:spacing w:before="105"/>
              <w:ind w:left="7"/>
              <w:jc w:val="center"/>
              <w:rPr>
                <w:rFonts w:ascii="Times New Roman"/>
                <w:sz w:val="21"/>
              </w:rPr>
            </w:pPr>
            <w:r>
              <w:rPr>
                <w:rFonts w:ascii="Times New Roman"/>
                <w:w w:val="99"/>
                <w:sz w:val="21"/>
              </w:rPr>
              <w:t>/</w:t>
            </w:r>
          </w:p>
        </w:tc>
      </w:tr>
      <w:tr w14:paraId="5924D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9" w:type="dxa"/>
          </w:tcPr>
          <w:p w14:paraId="347A131A">
            <w:pPr>
              <w:pStyle w:val="14"/>
              <w:spacing w:before="91"/>
              <w:ind w:left="196" w:right="192"/>
              <w:jc w:val="center"/>
              <w:rPr>
                <w:sz w:val="21"/>
              </w:rPr>
            </w:pPr>
            <w:r>
              <w:rPr>
                <w:sz w:val="21"/>
              </w:rPr>
              <w:t>自行贮存能力</w:t>
            </w:r>
          </w:p>
        </w:tc>
        <w:tc>
          <w:tcPr>
            <w:tcW w:w="2035" w:type="dxa"/>
          </w:tcPr>
          <w:p w14:paraId="394179F6">
            <w:pPr>
              <w:pStyle w:val="14"/>
              <w:spacing w:before="107"/>
              <w:ind w:left="471" w:right="461"/>
              <w:jc w:val="center"/>
              <w:rPr>
                <w:rFonts w:ascii="Times New Roman"/>
                <w:sz w:val="21"/>
              </w:rPr>
            </w:pPr>
            <w:r>
              <w:rPr>
                <w:rFonts w:ascii="Times New Roman"/>
                <w:sz w:val="21"/>
              </w:rPr>
              <w:t>20t</w:t>
            </w:r>
          </w:p>
        </w:tc>
        <w:tc>
          <w:tcPr>
            <w:tcW w:w="2233" w:type="dxa"/>
          </w:tcPr>
          <w:p w14:paraId="783BD712">
            <w:pPr>
              <w:pStyle w:val="14"/>
              <w:spacing w:before="91"/>
              <w:ind w:left="223" w:right="219"/>
              <w:jc w:val="center"/>
              <w:rPr>
                <w:sz w:val="21"/>
              </w:rPr>
            </w:pPr>
            <w:r>
              <w:rPr>
                <w:sz w:val="21"/>
              </w:rPr>
              <w:t>面积</w:t>
            </w:r>
          </w:p>
        </w:tc>
        <w:tc>
          <w:tcPr>
            <w:tcW w:w="1715" w:type="dxa"/>
          </w:tcPr>
          <w:p w14:paraId="55B3F6B2">
            <w:pPr>
              <w:pStyle w:val="14"/>
              <w:spacing w:before="107"/>
              <w:ind w:left="544" w:right="534"/>
              <w:jc w:val="center"/>
              <w:rPr>
                <w:rFonts w:ascii="Times New Roman"/>
                <w:sz w:val="13"/>
              </w:rPr>
            </w:pPr>
            <w:r>
              <w:rPr>
                <w:rFonts w:ascii="Times New Roman"/>
                <w:sz w:val="21"/>
              </w:rPr>
              <w:t>100m</w:t>
            </w:r>
            <w:r>
              <w:rPr>
                <w:rFonts w:ascii="Times New Roman"/>
                <w:position w:val="7"/>
                <w:sz w:val="13"/>
              </w:rPr>
              <w:t>2</w:t>
            </w:r>
          </w:p>
        </w:tc>
      </w:tr>
      <w:tr w14:paraId="5B4CC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522" w:type="dxa"/>
            <w:gridSpan w:val="4"/>
          </w:tcPr>
          <w:p w14:paraId="333D26BD">
            <w:pPr>
              <w:pStyle w:val="14"/>
              <w:spacing w:before="90"/>
              <w:ind w:left="2159"/>
              <w:rPr>
                <w:sz w:val="21"/>
              </w:rPr>
            </w:pPr>
            <w:r>
              <w:rPr>
                <w:sz w:val="21"/>
              </w:rPr>
              <w:t>自行贮存设施基本信息（一般工业固体废物）</w:t>
            </w:r>
          </w:p>
        </w:tc>
      </w:tr>
    </w:tbl>
    <w:p w14:paraId="49741180">
      <w:pPr>
        <w:spacing w:after="0"/>
        <w:rPr>
          <w:sz w:val="21"/>
        </w:rPr>
        <w:sectPr>
          <w:pgSz w:w="11910" w:h="16840"/>
          <w:pgMar w:top="1360" w:right="1320" w:bottom="1400" w:left="1340" w:header="878" w:footer="1204" w:gutter="0"/>
          <w:cols w:space="720" w:num="1"/>
        </w:sectPr>
      </w:pPr>
    </w:p>
    <w:p w14:paraId="0BF90569">
      <w:pPr>
        <w:pStyle w:val="7"/>
        <w:spacing w:before="3"/>
        <w:rPr>
          <w:b/>
          <w:sz w:val="5"/>
        </w:rPr>
      </w:pPr>
    </w:p>
    <w:tbl>
      <w:tblPr>
        <w:tblStyle w:val="10"/>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9"/>
        <w:gridCol w:w="2035"/>
        <w:gridCol w:w="2233"/>
        <w:gridCol w:w="1715"/>
      </w:tblGrid>
      <w:tr w14:paraId="3F9FA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539" w:type="dxa"/>
          </w:tcPr>
          <w:p w14:paraId="3A844D91">
            <w:pPr>
              <w:pStyle w:val="14"/>
              <w:spacing w:before="91"/>
              <w:ind w:left="196" w:right="192"/>
              <w:jc w:val="center"/>
              <w:rPr>
                <w:sz w:val="21"/>
              </w:rPr>
            </w:pPr>
            <w:r>
              <w:rPr>
                <w:sz w:val="21"/>
              </w:rPr>
              <w:t>名称</w:t>
            </w:r>
          </w:p>
        </w:tc>
        <w:tc>
          <w:tcPr>
            <w:tcW w:w="2035" w:type="dxa"/>
          </w:tcPr>
          <w:p w14:paraId="5C904057">
            <w:pPr>
              <w:pStyle w:val="14"/>
              <w:spacing w:before="91"/>
              <w:ind w:left="471" w:right="464"/>
              <w:jc w:val="center"/>
              <w:rPr>
                <w:sz w:val="21"/>
              </w:rPr>
            </w:pPr>
            <w:r>
              <w:rPr>
                <w:sz w:val="21"/>
              </w:rPr>
              <w:t>备用油池</w:t>
            </w:r>
          </w:p>
        </w:tc>
        <w:tc>
          <w:tcPr>
            <w:tcW w:w="2233" w:type="dxa"/>
          </w:tcPr>
          <w:p w14:paraId="32BBC29F">
            <w:pPr>
              <w:pStyle w:val="14"/>
              <w:spacing w:before="91"/>
              <w:ind w:left="223" w:right="219"/>
              <w:jc w:val="center"/>
              <w:rPr>
                <w:sz w:val="21"/>
              </w:rPr>
            </w:pPr>
            <w:r>
              <w:rPr>
                <w:sz w:val="21"/>
              </w:rPr>
              <w:t>编号</w:t>
            </w:r>
          </w:p>
        </w:tc>
        <w:tc>
          <w:tcPr>
            <w:tcW w:w="1715" w:type="dxa"/>
          </w:tcPr>
          <w:p w14:paraId="555BC1EC">
            <w:pPr>
              <w:pStyle w:val="14"/>
              <w:spacing w:before="107"/>
              <w:ind w:right="555"/>
              <w:jc w:val="right"/>
              <w:rPr>
                <w:rFonts w:ascii="Times New Roman"/>
                <w:sz w:val="21"/>
              </w:rPr>
            </w:pPr>
            <w:r>
              <w:rPr>
                <w:rFonts w:ascii="Times New Roman"/>
                <w:w w:val="95"/>
                <w:sz w:val="21"/>
              </w:rPr>
              <w:t>DS002</w:t>
            </w:r>
          </w:p>
        </w:tc>
      </w:tr>
      <w:tr w14:paraId="04856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539" w:type="dxa"/>
          </w:tcPr>
          <w:p w14:paraId="500E8BF3">
            <w:pPr>
              <w:pStyle w:val="14"/>
              <w:spacing w:before="5"/>
              <w:rPr>
                <w:b/>
                <w:sz w:val="24"/>
              </w:rPr>
            </w:pPr>
          </w:p>
          <w:p w14:paraId="362EFB80">
            <w:pPr>
              <w:pStyle w:val="14"/>
              <w:ind w:left="196" w:right="192"/>
              <w:jc w:val="center"/>
              <w:rPr>
                <w:sz w:val="21"/>
              </w:rPr>
            </w:pPr>
            <w:r>
              <w:rPr>
                <w:sz w:val="21"/>
              </w:rPr>
              <w:t>类型</w:t>
            </w:r>
          </w:p>
        </w:tc>
        <w:tc>
          <w:tcPr>
            <w:tcW w:w="2035" w:type="dxa"/>
          </w:tcPr>
          <w:p w14:paraId="449511A8">
            <w:pPr>
              <w:pStyle w:val="14"/>
              <w:spacing w:line="304" w:lineRule="exact"/>
              <w:ind w:left="292"/>
              <w:rPr>
                <w:sz w:val="21"/>
              </w:rPr>
            </w:pPr>
            <w:r>
              <w:rPr>
                <w:rFonts w:ascii="Wingdings" w:hAnsi="Wingdings" w:eastAsia="Wingdings"/>
                <w:w w:val="95"/>
                <w:position w:val="8"/>
                <w:sz w:val="21"/>
              </w:rPr>
              <w:t></w:t>
            </w:r>
            <w:r>
              <w:rPr>
                <w:w w:val="95"/>
                <w:sz w:val="21"/>
              </w:rPr>
              <w:t>自行贮存设施</w:t>
            </w:r>
          </w:p>
          <w:p w14:paraId="31B11B2E">
            <w:pPr>
              <w:pStyle w:val="14"/>
              <w:numPr>
                <w:ilvl w:val="0"/>
                <w:numId w:val="32"/>
              </w:numPr>
              <w:tabs>
                <w:tab w:val="left" w:pos="348"/>
              </w:tabs>
              <w:spacing w:before="44" w:after="0" w:line="272" w:lineRule="exact"/>
              <w:ind w:left="911" w:right="148" w:hanging="751"/>
              <w:jc w:val="left"/>
              <w:rPr>
                <w:sz w:val="21"/>
              </w:rPr>
            </w:pPr>
            <w:r>
              <w:rPr>
                <w:w w:val="95"/>
                <w:sz w:val="21"/>
              </w:rPr>
              <w:t>自行利用</w:t>
            </w:r>
            <w:r>
              <w:rPr>
                <w:rFonts w:ascii="Times New Roman" w:eastAsia="Times New Roman"/>
                <w:w w:val="95"/>
                <w:sz w:val="21"/>
              </w:rPr>
              <w:t>/</w:t>
            </w:r>
            <w:r>
              <w:rPr>
                <w:w w:val="95"/>
                <w:sz w:val="21"/>
              </w:rPr>
              <w:t>处置设</w:t>
            </w:r>
            <w:r>
              <w:rPr>
                <w:sz w:val="21"/>
              </w:rPr>
              <w:t>施</w:t>
            </w:r>
          </w:p>
        </w:tc>
        <w:tc>
          <w:tcPr>
            <w:tcW w:w="2233" w:type="dxa"/>
          </w:tcPr>
          <w:p w14:paraId="3F554EDE">
            <w:pPr>
              <w:pStyle w:val="14"/>
              <w:spacing w:before="5"/>
              <w:rPr>
                <w:b/>
                <w:sz w:val="24"/>
              </w:rPr>
            </w:pPr>
          </w:p>
          <w:p w14:paraId="34B4A606">
            <w:pPr>
              <w:pStyle w:val="14"/>
              <w:ind w:left="223" w:right="219"/>
              <w:jc w:val="center"/>
              <w:rPr>
                <w:sz w:val="21"/>
              </w:rPr>
            </w:pPr>
            <w:r>
              <w:rPr>
                <w:sz w:val="21"/>
              </w:rPr>
              <w:t>位置</w:t>
            </w:r>
          </w:p>
        </w:tc>
        <w:tc>
          <w:tcPr>
            <w:tcW w:w="1715" w:type="dxa"/>
          </w:tcPr>
          <w:p w14:paraId="3B626BF0">
            <w:pPr>
              <w:pStyle w:val="14"/>
              <w:spacing w:before="176" w:line="244" w:lineRule="auto"/>
              <w:ind w:left="752" w:right="112" w:hanging="632"/>
              <w:rPr>
                <w:sz w:val="21"/>
              </w:rPr>
            </w:pPr>
            <w:r>
              <w:rPr>
                <w:sz w:val="21"/>
              </w:rPr>
              <w:t>屠宰加工间东南角</w:t>
            </w:r>
          </w:p>
        </w:tc>
      </w:tr>
      <w:tr w14:paraId="0CA23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39" w:type="dxa"/>
          </w:tcPr>
          <w:p w14:paraId="4607FAC6">
            <w:pPr>
              <w:pStyle w:val="14"/>
              <w:spacing w:before="90"/>
              <w:ind w:left="196" w:right="192"/>
              <w:jc w:val="center"/>
              <w:rPr>
                <w:sz w:val="21"/>
              </w:rPr>
            </w:pPr>
            <w:r>
              <w:rPr>
                <w:sz w:val="21"/>
              </w:rPr>
              <w:t>是否符合相关标准要求</w:t>
            </w:r>
          </w:p>
        </w:tc>
        <w:tc>
          <w:tcPr>
            <w:tcW w:w="2035" w:type="dxa"/>
          </w:tcPr>
          <w:p w14:paraId="503E685E">
            <w:pPr>
              <w:pStyle w:val="14"/>
              <w:spacing w:before="56"/>
              <w:ind w:left="471" w:right="461"/>
              <w:jc w:val="center"/>
              <w:rPr>
                <w:sz w:val="21"/>
              </w:rPr>
            </w:pPr>
            <w:r>
              <w:rPr>
                <w:rFonts w:ascii="Wingdings" w:hAnsi="Wingdings" w:eastAsia="Wingdings"/>
                <w:sz w:val="21"/>
              </w:rPr>
              <w:t></w:t>
            </w:r>
            <w:r>
              <w:rPr>
                <w:position w:val="-7"/>
                <w:sz w:val="21"/>
              </w:rPr>
              <w:t xml:space="preserve">是 </w:t>
            </w:r>
            <w:r>
              <w:rPr>
                <w:rFonts w:ascii="Wingdings" w:hAnsi="Wingdings" w:eastAsia="Wingdings"/>
                <w:sz w:val="21"/>
              </w:rPr>
              <w:t></w:t>
            </w:r>
            <w:r>
              <w:rPr>
                <w:position w:val="-7"/>
                <w:sz w:val="21"/>
              </w:rPr>
              <w:t>否</w:t>
            </w:r>
          </w:p>
        </w:tc>
        <w:tc>
          <w:tcPr>
            <w:tcW w:w="2233" w:type="dxa"/>
          </w:tcPr>
          <w:p w14:paraId="24B4EB25">
            <w:pPr>
              <w:pStyle w:val="14"/>
              <w:spacing w:before="90"/>
              <w:ind w:left="225" w:right="219"/>
              <w:jc w:val="center"/>
              <w:rPr>
                <w:sz w:val="21"/>
              </w:rPr>
            </w:pPr>
            <w:r>
              <w:rPr>
                <w:sz w:val="21"/>
              </w:rPr>
              <w:t>自行利用</w:t>
            </w:r>
            <w:r>
              <w:rPr>
                <w:rFonts w:ascii="Times New Roman" w:eastAsia="Times New Roman"/>
                <w:sz w:val="21"/>
              </w:rPr>
              <w:t>/</w:t>
            </w:r>
            <w:r>
              <w:rPr>
                <w:sz w:val="21"/>
              </w:rPr>
              <w:t>处置方式</w:t>
            </w:r>
          </w:p>
        </w:tc>
        <w:tc>
          <w:tcPr>
            <w:tcW w:w="1715" w:type="dxa"/>
          </w:tcPr>
          <w:p w14:paraId="75E5BDF9">
            <w:pPr>
              <w:pStyle w:val="14"/>
              <w:spacing w:before="104"/>
              <w:ind w:left="7"/>
              <w:jc w:val="center"/>
              <w:rPr>
                <w:rFonts w:ascii="Times New Roman"/>
                <w:sz w:val="21"/>
              </w:rPr>
            </w:pPr>
            <w:r>
              <w:rPr>
                <w:rFonts w:ascii="Times New Roman"/>
                <w:w w:val="99"/>
                <w:sz w:val="21"/>
              </w:rPr>
              <w:t>/</w:t>
            </w:r>
          </w:p>
        </w:tc>
      </w:tr>
      <w:tr w14:paraId="7DB10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539" w:type="dxa"/>
          </w:tcPr>
          <w:p w14:paraId="52BB4CB7">
            <w:pPr>
              <w:pStyle w:val="14"/>
              <w:spacing w:before="89"/>
              <w:ind w:left="196" w:right="192"/>
              <w:jc w:val="center"/>
              <w:rPr>
                <w:sz w:val="21"/>
              </w:rPr>
            </w:pPr>
            <w:r>
              <w:rPr>
                <w:sz w:val="21"/>
              </w:rPr>
              <w:t>自行贮存能力</w:t>
            </w:r>
          </w:p>
        </w:tc>
        <w:tc>
          <w:tcPr>
            <w:tcW w:w="2035" w:type="dxa"/>
          </w:tcPr>
          <w:p w14:paraId="77932A93">
            <w:pPr>
              <w:pStyle w:val="14"/>
              <w:spacing w:before="106"/>
              <w:ind w:left="471" w:right="461"/>
              <w:jc w:val="center"/>
              <w:rPr>
                <w:rFonts w:ascii="Times New Roman"/>
                <w:sz w:val="21"/>
              </w:rPr>
            </w:pPr>
            <w:r>
              <w:rPr>
                <w:rFonts w:ascii="Times New Roman"/>
                <w:sz w:val="21"/>
              </w:rPr>
              <w:t>100t</w:t>
            </w:r>
          </w:p>
        </w:tc>
        <w:tc>
          <w:tcPr>
            <w:tcW w:w="2233" w:type="dxa"/>
          </w:tcPr>
          <w:p w14:paraId="5A9131BF">
            <w:pPr>
              <w:pStyle w:val="14"/>
              <w:spacing w:before="89"/>
              <w:ind w:left="223" w:right="219"/>
              <w:jc w:val="center"/>
              <w:rPr>
                <w:sz w:val="21"/>
              </w:rPr>
            </w:pPr>
            <w:r>
              <w:rPr>
                <w:sz w:val="21"/>
              </w:rPr>
              <w:t>面积</w:t>
            </w:r>
          </w:p>
        </w:tc>
        <w:tc>
          <w:tcPr>
            <w:tcW w:w="1715" w:type="dxa"/>
          </w:tcPr>
          <w:p w14:paraId="79840FED">
            <w:pPr>
              <w:pStyle w:val="14"/>
              <w:spacing w:before="106"/>
              <w:ind w:right="625"/>
              <w:jc w:val="right"/>
              <w:rPr>
                <w:rFonts w:ascii="Times New Roman"/>
                <w:sz w:val="13"/>
              </w:rPr>
            </w:pPr>
            <w:r>
              <w:rPr>
                <w:rFonts w:ascii="Times New Roman"/>
                <w:sz w:val="21"/>
              </w:rPr>
              <w:t>50m</w:t>
            </w:r>
            <w:r>
              <w:rPr>
                <w:rFonts w:ascii="Times New Roman"/>
                <w:position w:val="7"/>
                <w:sz w:val="13"/>
              </w:rPr>
              <w:t>2</w:t>
            </w:r>
          </w:p>
        </w:tc>
      </w:tr>
    </w:tbl>
    <w:p w14:paraId="62316BEA">
      <w:pPr>
        <w:pStyle w:val="7"/>
        <w:spacing w:before="1"/>
        <w:ind w:left="940"/>
      </w:pPr>
      <w:r>
        <w:t>（</w:t>
      </w:r>
      <w:r>
        <w:rPr>
          <w:rFonts w:ascii="Times New Roman" w:eastAsia="Times New Roman"/>
        </w:rPr>
        <w:t>1</w:t>
      </w:r>
      <w:r>
        <w:t>）危险废物的储存</w:t>
      </w:r>
    </w:p>
    <w:p w14:paraId="022A9757">
      <w:pPr>
        <w:pStyle w:val="7"/>
        <w:spacing w:before="159" w:line="364" w:lineRule="auto"/>
        <w:ind w:left="460" w:right="477" w:firstLine="480"/>
        <w:jc w:val="both"/>
      </w:pPr>
      <w:r>
        <w:t xml:space="preserve">环评要求建设单位在厂内维修间和检验室分别设置危废暂存间和专门的危废收集桶，危废暂存间建筑面积 </w:t>
      </w:r>
      <w:r>
        <w:rPr>
          <w:rFonts w:ascii="Times New Roman" w:eastAsia="Times New Roman"/>
        </w:rPr>
        <w:t>100m</w:t>
      </w:r>
      <w:r>
        <w:rPr>
          <w:rFonts w:ascii="Times New Roman" w:eastAsia="Times New Roman"/>
          <w:position w:val="8"/>
          <w:sz w:val="15"/>
        </w:rPr>
        <w:t>2</w:t>
      </w:r>
      <w:r>
        <w:t>，可以满足危险废物日常暂存量的需要。</w:t>
      </w:r>
    </w:p>
    <w:p w14:paraId="2FA0F9D6">
      <w:pPr>
        <w:pStyle w:val="7"/>
        <w:spacing w:line="364" w:lineRule="auto"/>
        <w:ind w:left="460" w:right="480" w:firstLine="480"/>
        <w:jc w:val="both"/>
      </w:pPr>
      <w:r>
        <w:t>危废暂存间严格按照《危险废物贮存污染控制标准》（</w:t>
      </w:r>
      <w:r>
        <w:rPr>
          <w:rFonts w:ascii="Times New Roman" w:eastAsia="Times New Roman"/>
        </w:rPr>
        <w:t>GB18597-2001</w:t>
      </w:r>
      <w:r>
        <w:t>）及其修改单的要求设计，拟采取措施如下：</w:t>
      </w:r>
    </w:p>
    <w:p w14:paraId="0B30FEC9">
      <w:pPr>
        <w:pStyle w:val="7"/>
        <w:spacing w:line="364" w:lineRule="auto"/>
        <w:ind w:left="460" w:right="477" w:firstLine="480"/>
        <w:jc w:val="both"/>
      </w:pPr>
      <w:r>
        <w:t>①项目各危险废物存放于相应的专用容器中，并贴上废物分类专用标签， 临时堆放在危废暂存间中，累积一定数量后由有资质单位统一运输。</w:t>
      </w:r>
    </w:p>
    <w:p w14:paraId="6C52456F">
      <w:pPr>
        <w:pStyle w:val="7"/>
        <w:spacing w:line="364" w:lineRule="auto"/>
        <w:ind w:left="460" w:right="477" w:firstLine="480"/>
        <w:jc w:val="both"/>
      </w:pPr>
      <w:r>
        <w:t>②不相容的危险废物必须分开存放，并设有隔离间隔断。项目危险废物包括废实验废液和废药品包装材料（</w:t>
      </w:r>
      <w:r>
        <w:rPr>
          <w:rFonts w:ascii="Times New Roman" w:hAnsi="Times New Roman" w:eastAsia="Times New Roman"/>
        </w:rPr>
        <w:t>900-047-49</w:t>
      </w:r>
      <w:r>
        <w:t>）、废机油和废机油包装及含油抹布等（</w:t>
      </w:r>
      <w:r>
        <w:rPr>
          <w:rFonts w:ascii="Times New Roman" w:hAnsi="Times New Roman" w:eastAsia="Times New Roman"/>
        </w:rPr>
        <w:t>900-219-08</w:t>
      </w:r>
      <w:r>
        <w:t>），危险废物中不含强氧化剂、强酸、强碱等腐蚀性废物，危险废物性质相容，不会发生化学反应。危险废物外包装必须完好无损， 各危险废物单独收集后独立密封包装，并设置物品名称、处置方式、禁忌物、防护措施等警示标识，分类分区存放。</w:t>
      </w:r>
    </w:p>
    <w:p w14:paraId="2F81B191">
      <w:pPr>
        <w:pStyle w:val="7"/>
        <w:spacing w:line="362" w:lineRule="auto"/>
        <w:ind w:left="460" w:right="477" w:firstLine="480"/>
        <w:jc w:val="both"/>
      </w:pPr>
      <w:r>
        <w:t>③危险废物全部暂存于危险暂存间内，做到防风、防雨、防晒，内设通讯设备、照明设施、防火、防雷装置，并配备一定的消防器材，严禁烟火。</w:t>
      </w:r>
    </w:p>
    <w:p w14:paraId="25D38ABE">
      <w:pPr>
        <w:pStyle w:val="7"/>
        <w:ind w:left="940"/>
      </w:pPr>
      <w:r>
        <w:t>④危险废物暂存间地面基础必须防渗，防渗层渗透系≤</w:t>
      </w:r>
      <w:r>
        <w:rPr>
          <w:rFonts w:ascii="Times New Roman" w:hAnsi="Times New Roman" w:eastAsia="Times New Roman"/>
        </w:rPr>
        <w:t>10</w:t>
      </w:r>
      <w:r>
        <w:rPr>
          <w:rFonts w:ascii="Times New Roman" w:hAnsi="Times New Roman" w:eastAsia="Times New Roman"/>
          <w:position w:val="8"/>
          <w:sz w:val="15"/>
        </w:rPr>
        <w:t>-7</w:t>
      </w:r>
      <w:r>
        <w:rPr>
          <w:rFonts w:ascii="Times New Roman" w:hAnsi="Times New Roman" w:eastAsia="Times New Roman"/>
        </w:rPr>
        <w:t>cm/s</w:t>
      </w:r>
      <w:r>
        <w:t>。</w:t>
      </w:r>
    </w:p>
    <w:p w14:paraId="193AF146">
      <w:pPr>
        <w:pStyle w:val="7"/>
        <w:spacing w:before="158" w:line="364" w:lineRule="auto"/>
        <w:ind w:left="460" w:right="477" w:firstLine="480"/>
        <w:jc w:val="both"/>
      </w:pPr>
      <w:r>
        <w:t>⑤危废暂存间应设有隔离设施，并建有堵截泄漏的裙脚，地面与裙脚用坚固防渗材料建造。</w:t>
      </w:r>
    </w:p>
    <w:p w14:paraId="629350D8">
      <w:pPr>
        <w:pStyle w:val="7"/>
        <w:spacing w:line="364" w:lineRule="auto"/>
        <w:ind w:left="460" w:right="477" w:firstLine="480"/>
        <w:jc w:val="both"/>
      </w:pPr>
      <w:r>
        <w:t>⑥危险废物收集时应填写危险废物收集记录表，并将记录表作为危废管理的重要档案妥善保存；包装好的危废应设置相应标签，标签信息应填写完整。建立危险废物贮存的台账制度，危废出入库应填写危险废物出入库交接记录表。</w:t>
      </w:r>
    </w:p>
    <w:p w14:paraId="3C5905D8">
      <w:pPr>
        <w:pStyle w:val="7"/>
        <w:spacing w:line="364" w:lineRule="auto"/>
        <w:ind w:left="460" w:right="477" w:firstLine="480"/>
        <w:jc w:val="both"/>
      </w:pPr>
      <w:r>
        <w:t>⑦危险废物临时贮存场所容量按满足企业存放需求设置，设置有警示标志，周围有安全照明系统，需达到防风、防雨、防晒、防渗，地面渗透系数小</w:t>
      </w:r>
    </w:p>
    <w:p w14:paraId="05D86EF5">
      <w:pPr>
        <w:spacing w:after="0" w:line="364" w:lineRule="auto"/>
        <w:jc w:val="both"/>
        <w:sectPr>
          <w:pgSz w:w="11910" w:h="16840"/>
          <w:pgMar w:top="1360" w:right="1320" w:bottom="1400" w:left="1340" w:header="878" w:footer="1204" w:gutter="0"/>
          <w:cols w:space="720" w:num="1"/>
        </w:sectPr>
      </w:pPr>
    </w:p>
    <w:p w14:paraId="374CBC2C">
      <w:pPr>
        <w:pStyle w:val="7"/>
        <w:spacing w:before="68"/>
        <w:ind w:left="460"/>
      </w:pPr>
      <w:r>
        <w:t xml:space="preserve">于 </w:t>
      </w:r>
      <w:r>
        <w:rPr>
          <w:rFonts w:ascii="Times New Roman" w:eastAsia="Times New Roman"/>
        </w:rPr>
        <w:t>10</w:t>
      </w:r>
      <w:r>
        <w:rPr>
          <w:rFonts w:ascii="Times New Roman" w:eastAsia="Times New Roman"/>
          <w:position w:val="8"/>
          <w:sz w:val="15"/>
        </w:rPr>
        <w:t>-7</w:t>
      </w:r>
      <w:r>
        <w:rPr>
          <w:rFonts w:ascii="Times New Roman" w:eastAsia="Times New Roman"/>
        </w:rPr>
        <w:t>cm/s</w:t>
      </w:r>
      <w:r>
        <w:t>，周围的水沟能及时疏导地面径流。</w:t>
      </w:r>
    </w:p>
    <w:p w14:paraId="126ADD15">
      <w:pPr>
        <w:pStyle w:val="7"/>
        <w:spacing w:before="160" w:line="364" w:lineRule="auto"/>
        <w:ind w:left="460" w:right="477" w:firstLine="480"/>
        <w:jc w:val="both"/>
      </w:pPr>
      <w:r>
        <w:t>⑧厂区内所有排水沟需进行防渗处理，外排废水口及雨水口设置切换装置，被危废污染的雨水需通过切换阀门将废水引流至厂区内污水处理站进行处理。</w:t>
      </w:r>
    </w:p>
    <w:p w14:paraId="1E502129">
      <w:pPr>
        <w:pStyle w:val="7"/>
        <w:spacing w:line="304" w:lineRule="exact"/>
        <w:ind w:left="940"/>
        <w:rPr>
          <w:rFonts w:ascii="Times New Roman" w:eastAsia="Times New Roman"/>
        </w:rPr>
      </w:pPr>
      <w:r>
        <w:t>危废临时储存场所严格按照《危险废物贮存污染控制标准》（</w:t>
      </w:r>
      <w:r>
        <w:rPr>
          <w:rFonts w:ascii="Times New Roman" w:eastAsia="Times New Roman"/>
        </w:rPr>
        <w:t>GB18597-</w:t>
      </w:r>
    </w:p>
    <w:p w14:paraId="57888F6C">
      <w:pPr>
        <w:pStyle w:val="7"/>
        <w:spacing w:before="161" w:line="362" w:lineRule="auto"/>
        <w:ind w:left="460" w:right="477"/>
      </w:pPr>
      <w:r>
        <w:rPr>
          <w:rFonts w:ascii="Times New Roman" w:eastAsia="Times New Roman"/>
        </w:rPr>
        <w:t>2001</w:t>
      </w:r>
      <w:r>
        <w:t>）及其修改单相关要求进行防雨、防渗、防腐处理，安全可靠，不会受到风雨侵蚀，可有效地防止临时存放过程中的二次污染。</w:t>
      </w:r>
    </w:p>
    <w:p w14:paraId="1736D3EB">
      <w:pPr>
        <w:pStyle w:val="7"/>
        <w:spacing w:before="5"/>
        <w:ind w:left="940"/>
      </w:pPr>
      <w:r>
        <w:t>（</w:t>
      </w:r>
      <w:r>
        <w:rPr>
          <w:rFonts w:ascii="Times New Roman" w:eastAsia="Times New Roman"/>
        </w:rPr>
        <w:t>2</w:t>
      </w:r>
      <w:r>
        <w:t>）危险废物的转移</w:t>
      </w:r>
    </w:p>
    <w:p w14:paraId="7C8FAE2A">
      <w:pPr>
        <w:pStyle w:val="7"/>
        <w:spacing w:before="160" w:line="364" w:lineRule="auto"/>
        <w:ind w:left="460" w:right="477" w:firstLine="480"/>
        <w:jc w:val="both"/>
      </w:pPr>
      <w:r>
        <w:t xml:space="preserve">项目内危险废物约每半年清运一次，根据中华人民共和国国务院令第 </w:t>
      </w:r>
      <w:r>
        <w:rPr>
          <w:rFonts w:ascii="Times New Roman" w:eastAsia="Times New Roman"/>
        </w:rPr>
        <w:t xml:space="preserve">591 </w:t>
      </w:r>
      <w:r>
        <w:t>号《危险化学品安全管理条例》以及《危险废物转移联单管理办法》的有关规定，在危险废物外运转移时必须严格落实转移联单制度，并委托有相应资质的单位外运进行处置。</w:t>
      </w:r>
    </w:p>
    <w:p w14:paraId="02DF84E0">
      <w:pPr>
        <w:pStyle w:val="6"/>
        <w:spacing w:line="362" w:lineRule="auto"/>
        <w:ind w:left="460" w:right="477" w:firstLine="480"/>
        <w:jc w:val="both"/>
      </w:pPr>
      <w:r>
        <w:t>综上，本项目营运期产生的固体废弃物去向明确、合理、安全，不会造成二次污染，可实现</w:t>
      </w:r>
      <w:r>
        <w:rPr>
          <w:rFonts w:ascii="Times New Roman" w:hAnsi="Times New Roman" w:eastAsia="Times New Roman"/>
        </w:rPr>
        <w:t>“</w:t>
      </w:r>
      <w:r>
        <w:t>资源化、无害化</w:t>
      </w:r>
      <w:r>
        <w:rPr>
          <w:rFonts w:ascii="Times New Roman" w:hAnsi="Times New Roman" w:eastAsia="Times New Roman"/>
        </w:rPr>
        <w:t>”</w:t>
      </w:r>
      <w:r>
        <w:t>目标，项目固体废物污染防治措施可行。</w:t>
      </w:r>
    </w:p>
    <w:p w14:paraId="257E9127">
      <w:pPr>
        <w:spacing w:after="0" w:line="362" w:lineRule="auto"/>
        <w:jc w:val="both"/>
        <w:sectPr>
          <w:pgSz w:w="11910" w:h="16840"/>
          <w:pgMar w:top="1360" w:right="1320" w:bottom="1400" w:left="1340" w:header="878" w:footer="1204" w:gutter="0"/>
          <w:cols w:space="720" w:num="1"/>
        </w:sectPr>
      </w:pPr>
    </w:p>
    <w:p w14:paraId="713E5356">
      <w:pPr>
        <w:pStyle w:val="7"/>
        <w:spacing w:before="10"/>
        <w:rPr>
          <w:b/>
          <w:sz w:val="9"/>
        </w:rPr>
      </w:pPr>
    </w:p>
    <w:p w14:paraId="6D6914EB">
      <w:pPr>
        <w:pStyle w:val="2"/>
        <w:numPr>
          <w:ilvl w:val="0"/>
          <w:numId w:val="29"/>
        </w:numPr>
        <w:tabs>
          <w:tab w:val="left" w:pos="3120"/>
        </w:tabs>
        <w:spacing w:before="64" w:after="0" w:line="240" w:lineRule="auto"/>
        <w:ind w:left="3119" w:right="0" w:hanging="228"/>
        <w:jc w:val="left"/>
        <w:rPr>
          <w:rFonts w:ascii="Times New Roman" w:eastAsia="Times New Roman"/>
        </w:rPr>
      </w:pPr>
      <w:bookmarkStart w:id="303" w:name="_bookmark39"/>
      <w:bookmarkEnd w:id="303"/>
      <w:bookmarkStart w:id="304" w:name="_bookmark39"/>
      <w:bookmarkEnd w:id="304"/>
      <w:bookmarkStart w:id="305" w:name="8环境影响经济损益分析"/>
      <w:bookmarkEnd w:id="305"/>
      <w:r>
        <w:t>环境影响经济损益分析</w:t>
      </w:r>
    </w:p>
    <w:p w14:paraId="57AB4C7E">
      <w:pPr>
        <w:pStyle w:val="7"/>
        <w:rPr>
          <w:b/>
          <w:sz w:val="26"/>
        </w:rPr>
      </w:pPr>
    </w:p>
    <w:p w14:paraId="26386A00">
      <w:pPr>
        <w:pStyle w:val="3"/>
        <w:numPr>
          <w:ilvl w:val="1"/>
          <w:numId w:val="33"/>
        </w:numPr>
        <w:tabs>
          <w:tab w:val="left" w:pos="868"/>
        </w:tabs>
        <w:spacing w:before="0" w:after="0" w:line="240" w:lineRule="auto"/>
        <w:ind w:left="868" w:right="0" w:hanging="408"/>
        <w:jc w:val="left"/>
      </w:pPr>
      <w:bookmarkStart w:id="306" w:name="8.1目的、内容及方法"/>
      <w:bookmarkEnd w:id="306"/>
      <w:bookmarkStart w:id="307" w:name="_bookmark40"/>
      <w:bookmarkEnd w:id="307"/>
      <w:bookmarkStart w:id="308" w:name="_bookmark40"/>
      <w:bookmarkEnd w:id="308"/>
      <w:r>
        <w:t>目的、内容及方法</w:t>
      </w:r>
    </w:p>
    <w:p w14:paraId="4C8C4698">
      <w:pPr>
        <w:pStyle w:val="7"/>
        <w:spacing w:before="186" w:line="364" w:lineRule="auto"/>
        <w:ind w:left="460" w:right="477" w:firstLine="480"/>
        <w:jc w:val="both"/>
      </w:pPr>
      <w:r>
        <w:t>目的和内容：将项目产生的直接和间接、定量和非定量的各种影响列于分析范围内，通过分析计算用于控制污染所需投资费用、环境经济指标，估算可能收到的环境与经济实效，全面衡量项目建设投资在环保经济上的合理水平， 反映项目投资的环保经济效益和社会环境效益。</w:t>
      </w:r>
    </w:p>
    <w:p w14:paraId="5104AA27">
      <w:pPr>
        <w:pStyle w:val="7"/>
        <w:spacing w:line="364" w:lineRule="auto"/>
        <w:ind w:left="460" w:right="477" w:firstLine="480"/>
        <w:jc w:val="both"/>
      </w:pPr>
      <w:r>
        <w:t>分析方法：采用指标计算方法进行建设项目的环境经济损益分析。将项目对环境产生的损益分解成各项经济指标，包括环保费用指标、污染损失指标和环境效益，逐项计算。然后通过环境经济的静态分析，得出项目环保投资的年净效益、环保费用的经济效益，以及效益与费用比例等各项参数。</w:t>
      </w:r>
    </w:p>
    <w:p w14:paraId="5BAE535E">
      <w:pPr>
        <w:pStyle w:val="3"/>
        <w:numPr>
          <w:ilvl w:val="1"/>
          <w:numId w:val="33"/>
        </w:numPr>
        <w:tabs>
          <w:tab w:val="left" w:pos="868"/>
        </w:tabs>
        <w:spacing w:before="0" w:after="0" w:line="357" w:lineRule="exact"/>
        <w:ind w:left="868" w:right="0" w:hanging="408"/>
        <w:jc w:val="left"/>
      </w:pPr>
      <w:bookmarkStart w:id="309" w:name="8.2环境效益分析"/>
      <w:bookmarkEnd w:id="309"/>
      <w:bookmarkStart w:id="310" w:name="_bookmark41"/>
      <w:bookmarkEnd w:id="310"/>
      <w:bookmarkStart w:id="311" w:name="_bookmark41"/>
      <w:bookmarkEnd w:id="311"/>
      <w:r>
        <w:t>环境效益分析</w:t>
      </w:r>
    </w:p>
    <w:p w14:paraId="63EAD1C0">
      <w:pPr>
        <w:pStyle w:val="6"/>
        <w:numPr>
          <w:ilvl w:val="2"/>
          <w:numId w:val="33"/>
        </w:numPr>
        <w:tabs>
          <w:tab w:val="left" w:pos="991"/>
        </w:tabs>
        <w:spacing w:before="182" w:after="0" w:line="240" w:lineRule="auto"/>
        <w:ind w:left="990" w:right="0" w:hanging="530"/>
        <w:jc w:val="left"/>
      </w:pPr>
      <w:r>
        <w:t>环保投资及估算</w:t>
      </w:r>
    </w:p>
    <w:p w14:paraId="7BEC0DA3">
      <w:pPr>
        <w:pStyle w:val="7"/>
        <w:spacing w:before="158" w:line="364" w:lineRule="auto"/>
        <w:ind w:left="460" w:right="477" w:firstLine="480"/>
        <w:jc w:val="both"/>
      </w:pPr>
      <w:r>
        <w:t>《建设项目环境保护设计规定》第六十三条指出：“凡属于污染治理和保护环境所需的装置、设备、监测手段和工程设施等均属于环境保护设施”、</w:t>
      </w:r>
    </w:p>
    <w:p w14:paraId="3BBC28B3">
      <w:pPr>
        <w:pStyle w:val="7"/>
        <w:spacing w:line="364" w:lineRule="auto"/>
        <w:ind w:left="460" w:right="477"/>
        <w:jc w:val="both"/>
      </w:pPr>
      <w:r>
        <w:t xml:space="preserve">“凡有环境保护设施的建设项目均应列出环境保护设施的投资概算”。据此规定，本项目环境保护设施主要有：废气污染治理设施、噪声污染治理设施、废水污染防治措施、固体废物处置设施等，本项目总投资 </w:t>
      </w:r>
      <w:r>
        <w:rPr>
          <w:rFonts w:ascii="Times New Roman" w:hAnsi="Times New Roman" w:eastAsia="Times New Roman"/>
        </w:rPr>
        <w:t xml:space="preserve">17585.3 </w:t>
      </w:r>
      <w:r>
        <w:t xml:space="preserve">万元，其中环保投资约 </w:t>
      </w:r>
      <w:r>
        <w:rPr>
          <w:rFonts w:ascii="Times New Roman" w:hAnsi="Times New Roman" w:eastAsia="Times New Roman"/>
        </w:rPr>
        <w:t xml:space="preserve">791 </w:t>
      </w:r>
      <w:r>
        <w:t xml:space="preserve">万元，占总投资的 </w:t>
      </w:r>
      <w:r>
        <w:rPr>
          <w:rFonts w:ascii="Times New Roman" w:hAnsi="Times New Roman" w:eastAsia="Times New Roman"/>
        </w:rPr>
        <w:t>4.5%</w:t>
      </w:r>
      <w:r>
        <w:t>。主要环保投资概算如下表。</w:t>
      </w:r>
    </w:p>
    <w:p w14:paraId="2A9AE17B">
      <w:pPr>
        <w:spacing w:after="0" w:line="364" w:lineRule="auto"/>
        <w:jc w:val="both"/>
        <w:sectPr>
          <w:pgSz w:w="11910" w:h="16840"/>
          <w:pgMar w:top="1360" w:right="1320" w:bottom="1400" w:left="1340" w:header="878" w:footer="1204" w:gutter="0"/>
          <w:cols w:space="720" w:num="1"/>
        </w:sectPr>
      </w:pPr>
    </w:p>
    <w:p w14:paraId="305C7B4B">
      <w:pPr>
        <w:pStyle w:val="7"/>
        <w:rPr>
          <w:sz w:val="20"/>
        </w:rPr>
      </w:pPr>
    </w:p>
    <w:p w14:paraId="5BA5C5D3">
      <w:pPr>
        <w:pStyle w:val="7"/>
        <w:spacing w:before="9"/>
        <w:rPr>
          <w:sz w:val="22"/>
        </w:rPr>
      </w:pPr>
    </w:p>
    <w:p w14:paraId="29FCC93A">
      <w:pPr>
        <w:spacing w:before="77"/>
        <w:ind w:left="5761" w:right="5762" w:firstLine="0"/>
        <w:jc w:val="center"/>
        <w:rPr>
          <w:b/>
          <w:sz w:val="21"/>
        </w:rPr>
      </w:pPr>
      <w:r>
        <w:rPr>
          <w:b/>
          <w:sz w:val="21"/>
        </w:rPr>
        <w:t xml:space="preserve">表 </w:t>
      </w:r>
      <w:r>
        <w:rPr>
          <w:rFonts w:ascii="Times New Roman" w:eastAsia="Times New Roman"/>
          <w:b/>
          <w:sz w:val="21"/>
        </w:rPr>
        <w:t xml:space="preserve">8.2-1  </w:t>
      </w:r>
      <w:r>
        <w:rPr>
          <w:b/>
          <w:sz w:val="21"/>
        </w:rPr>
        <w:t>本项目环保投资汇总</w:t>
      </w:r>
    </w:p>
    <w:tbl>
      <w:tblPr>
        <w:tblStyle w:val="10"/>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588"/>
        <w:gridCol w:w="1449"/>
        <w:gridCol w:w="1812"/>
        <w:gridCol w:w="8505"/>
        <w:gridCol w:w="975"/>
      </w:tblGrid>
      <w:tr w14:paraId="3EE46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tcPr>
          <w:p w14:paraId="76E68036">
            <w:pPr>
              <w:pStyle w:val="14"/>
              <w:spacing w:before="34"/>
              <w:ind w:left="159"/>
              <w:rPr>
                <w:b/>
                <w:sz w:val="21"/>
              </w:rPr>
            </w:pPr>
            <w:r>
              <w:rPr>
                <w:b/>
                <w:sz w:val="21"/>
              </w:rPr>
              <w:t>阶段</w:t>
            </w:r>
          </w:p>
        </w:tc>
        <w:tc>
          <w:tcPr>
            <w:tcW w:w="588" w:type="dxa"/>
          </w:tcPr>
          <w:p w14:paraId="7B90B431">
            <w:pPr>
              <w:pStyle w:val="14"/>
              <w:spacing w:before="34"/>
              <w:ind w:left="60" w:right="55"/>
              <w:jc w:val="center"/>
              <w:rPr>
                <w:b/>
                <w:sz w:val="21"/>
              </w:rPr>
            </w:pPr>
            <w:r>
              <w:rPr>
                <w:b/>
                <w:sz w:val="21"/>
              </w:rPr>
              <w:t>类别</w:t>
            </w:r>
          </w:p>
        </w:tc>
        <w:tc>
          <w:tcPr>
            <w:tcW w:w="1449" w:type="dxa"/>
          </w:tcPr>
          <w:p w14:paraId="194DBAFF">
            <w:pPr>
              <w:pStyle w:val="14"/>
              <w:spacing w:before="34"/>
              <w:ind w:left="72" w:right="66"/>
              <w:jc w:val="center"/>
              <w:rPr>
                <w:b/>
                <w:sz w:val="21"/>
              </w:rPr>
            </w:pPr>
            <w:r>
              <w:rPr>
                <w:b/>
                <w:sz w:val="21"/>
              </w:rPr>
              <w:t>产排污节点</w:t>
            </w:r>
          </w:p>
        </w:tc>
        <w:tc>
          <w:tcPr>
            <w:tcW w:w="1812" w:type="dxa"/>
          </w:tcPr>
          <w:p w14:paraId="0D764391">
            <w:pPr>
              <w:pStyle w:val="14"/>
              <w:spacing w:before="34"/>
              <w:ind w:left="60" w:right="56"/>
              <w:jc w:val="center"/>
              <w:rPr>
                <w:b/>
                <w:sz w:val="21"/>
              </w:rPr>
            </w:pPr>
            <w:r>
              <w:rPr>
                <w:b/>
                <w:sz w:val="21"/>
              </w:rPr>
              <w:t>污染物名称</w:t>
            </w:r>
          </w:p>
        </w:tc>
        <w:tc>
          <w:tcPr>
            <w:tcW w:w="8505" w:type="dxa"/>
          </w:tcPr>
          <w:p w14:paraId="3F1227A2">
            <w:pPr>
              <w:pStyle w:val="14"/>
              <w:spacing w:before="34"/>
              <w:ind w:left="3810" w:right="3801"/>
              <w:jc w:val="center"/>
              <w:rPr>
                <w:b/>
                <w:sz w:val="21"/>
              </w:rPr>
            </w:pPr>
            <w:r>
              <w:rPr>
                <w:b/>
                <w:sz w:val="21"/>
              </w:rPr>
              <w:t>治理措施</w:t>
            </w:r>
          </w:p>
        </w:tc>
        <w:tc>
          <w:tcPr>
            <w:tcW w:w="975" w:type="dxa"/>
          </w:tcPr>
          <w:p w14:paraId="02B90418">
            <w:pPr>
              <w:pStyle w:val="14"/>
              <w:spacing w:before="34"/>
              <w:ind w:left="45" w:right="36"/>
              <w:jc w:val="center"/>
              <w:rPr>
                <w:b/>
                <w:sz w:val="21"/>
              </w:rPr>
            </w:pPr>
            <w:r>
              <w:rPr>
                <w:b/>
                <w:sz w:val="21"/>
              </w:rPr>
              <w:t>环保投资</w:t>
            </w:r>
          </w:p>
        </w:tc>
      </w:tr>
      <w:tr w14:paraId="732A5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43" w:type="dxa"/>
            <w:vMerge w:val="restart"/>
          </w:tcPr>
          <w:p w14:paraId="3A5418DC">
            <w:pPr>
              <w:pStyle w:val="14"/>
              <w:rPr>
                <w:b/>
                <w:sz w:val="20"/>
              </w:rPr>
            </w:pPr>
          </w:p>
          <w:p w14:paraId="282467C2">
            <w:pPr>
              <w:pStyle w:val="14"/>
              <w:rPr>
                <w:b/>
                <w:sz w:val="20"/>
              </w:rPr>
            </w:pPr>
          </w:p>
          <w:p w14:paraId="12FD27BD">
            <w:pPr>
              <w:pStyle w:val="14"/>
              <w:rPr>
                <w:b/>
                <w:sz w:val="20"/>
              </w:rPr>
            </w:pPr>
          </w:p>
          <w:p w14:paraId="4C43E2F4">
            <w:pPr>
              <w:pStyle w:val="14"/>
              <w:spacing w:before="11"/>
              <w:rPr>
                <w:b/>
                <w:sz w:val="21"/>
              </w:rPr>
            </w:pPr>
          </w:p>
          <w:p w14:paraId="2F619613">
            <w:pPr>
              <w:pStyle w:val="14"/>
              <w:spacing w:before="1" w:line="242" w:lineRule="auto"/>
              <w:ind w:left="265" w:right="153" w:hanging="106"/>
              <w:rPr>
                <w:sz w:val="21"/>
              </w:rPr>
            </w:pPr>
            <w:r>
              <w:rPr>
                <w:w w:val="95"/>
                <w:sz w:val="21"/>
              </w:rPr>
              <w:t>施工</w:t>
            </w:r>
            <w:r>
              <w:rPr>
                <w:sz w:val="21"/>
              </w:rPr>
              <w:t>期</w:t>
            </w:r>
          </w:p>
        </w:tc>
        <w:tc>
          <w:tcPr>
            <w:tcW w:w="588" w:type="dxa"/>
            <w:vMerge w:val="restart"/>
          </w:tcPr>
          <w:p w14:paraId="465DA9EF">
            <w:pPr>
              <w:pStyle w:val="14"/>
              <w:spacing w:before="3"/>
              <w:rPr>
                <w:b/>
                <w:sz w:val="24"/>
              </w:rPr>
            </w:pPr>
          </w:p>
          <w:p w14:paraId="3067C2C6">
            <w:pPr>
              <w:pStyle w:val="14"/>
              <w:ind w:left="84"/>
              <w:rPr>
                <w:sz w:val="21"/>
              </w:rPr>
            </w:pPr>
            <w:r>
              <w:rPr>
                <w:sz w:val="21"/>
              </w:rPr>
              <w:t>废水</w:t>
            </w:r>
          </w:p>
        </w:tc>
        <w:tc>
          <w:tcPr>
            <w:tcW w:w="1449" w:type="dxa"/>
          </w:tcPr>
          <w:p w14:paraId="673362E8">
            <w:pPr>
              <w:pStyle w:val="14"/>
              <w:spacing w:before="1"/>
              <w:ind w:left="72" w:right="66"/>
              <w:jc w:val="center"/>
              <w:rPr>
                <w:sz w:val="21"/>
              </w:rPr>
            </w:pPr>
            <w:r>
              <w:rPr>
                <w:sz w:val="21"/>
              </w:rPr>
              <w:t>施工人员生活</w:t>
            </w:r>
          </w:p>
          <w:p w14:paraId="615ED6A3">
            <w:pPr>
              <w:pStyle w:val="14"/>
              <w:spacing w:before="2" w:line="253" w:lineRule="exact"/>
              <w:ind w:left="72" w:right="66"/>
              <w:jc w:val="center"/>
              <w:rPr>
                <w:sz w:val="21"/>
              </w:rPr>
            </w:pPr>
            <w:r>
              <w:rPr>
                <w:sz w:val="21"/>
              </w:rPr>
              <w:t>污水</w:t>
            </w:r>
          </w:p>
        </w:tc>
        <w:tc>
          <w:tcPr>
            <w:tcW w:w="1812" w:type="dxa"/>
          </w:tcPr>
          <w:p w14:paraId="56F1434B">
            <w:pPr>
              <w:pStyle w:val="14"/>
              <w:spacing w:line="271" w:lineRule="exact"/>
              <w:ind w:left="60" w:right="56"/>
              <w:jc w:val="center"/>
              <w:rPr>
                <w:sz w:val="21"/>
              </w:rPr>
            </w:pP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p>
          <w:p w14:paraId="1C09DDCA">
            <w:pPr>
              <w:pStyle w:val="14"/>
              <w:spacing w:line="254" w:lineRule="exact"/>
              <w:ind w:left="62" w:right="56"/>
              <w:jc w:val="center"/>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、动植物油</w:t>
            </w:r>
          </w:p>
        </w:tc>
        <w:tc>
          <w:tcPr>
            <w:tcW w:w="8505" w:type="dxa"/>
          </w:tcPr>
          <w:p w14:paraId="3DE62DFB">
            <w:pPr>
              <w:pStyle w:val="14"/>
              <w:spacing w:before="135"/>
              <w:ind w:left="55"/>
              <w:rPr>
                <w:sz w:val="21"/>
              </w:rPr>
            </w:pPr>
            <w:r>
              <w:rPr>
                <w:sz w:val="21"/>
              </w:rPr>
              <w:t>化粪池处理</w:t>
            </w:r>
          </w:p>
        </w:tc>
        <w:tc>
          <w:tcPr>
            <w:tcW w:w="975" w:type="dxa"/>
          </w:tcPr>
          <w:p w14:paraId="358B50AB">
            <w:pPr>
              <w:pStyle w:val="14"/>
              <w:spacing w:before="151"/>
              <w:ind w:left="11"/>
              <w:jc w:val="center"/>
              <w:rPr>
                <w:rFonts w:ascii="Times New Roman"/>
                <w:sz w:val="21"/>
              </w:rPr>
            </w:pPr>
            <w:r>
              <w:rPr>
                <w:rFonts w:ascii="Times New Roman"/>
                <w:w w:val="99"/>
                <w:sz w:val="21"/>
              </w:rPr>
              <w:t>1</w:t>
            </w:r>
          </w:p>
        </w:tc>
      </w:tr>
      <w:tr w14:paraId="3F7E0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37BBA959">
            <w:pPr>
              <w:rPr>
                <w:sz w:val="2"/>
                <w:szCs w:val="2"/>
              </w:rPr>
            </w:pPr>
          </w:p>
        </w:tc>
        <w:tc>
          <w:tcPr>
            <w:tcW w:w="588" w:type="dxa"/>
            <w:vMerge w:val="continue"/>
            <w:tcBorders>
              <w:top w:val="nil"/>
            </w:tcBorders>
          </w:tcPr>
          <w:p w14:paraId="410705BB">
            <w:pPr>
              <w:rPr>
                <w:sz w:val="2"/>
                <w:szCs w:val="2"/>
              </w:rPr>
            </w:pPr>
          </w:p>
        </w:tc>
        <w:tc>
          <w:tcPr>
            <w:tcW w:w="1449" w:type="dxa"/>
          </w:tcPr>
          <w:p w14:paraId="33A8FECA">
            <w:pPr>
              <w:pStyle w:val="14"/>
              <w:spacing w:before="34"/>
              <w:ind w:left="69" w:right="66"/>
              <w:jc w:val="center"/>
              <w:rPr>
                <w:sz w:val="21"/>
              </w:rPr>
            </w:pPr>
            <w:r>
              <w:rPr>
                <w:sz w:val="21"/>
              </w:rPr>
              <w:t>施工废水</w:t>
            </w:r>
          </w:p>
        </w:tc>
        <w:tc>
          <w:tcPr>
            <w:tcW w:w="1812" w:type="dxa"/>
          </w:tcPr>
          <w:p w14:paraId="1C03C514">
            <w:pPr>
              <w:pStyle w:val="14"/>
              <w:spacing w:before="48"/>
              <w:ind w:left="61" w:right="56"/>
              <w:jc w:val="center"/>
              <w:rPr>
                <w:rFonts w:ascii="Times New Roman"/>
                <w:sz w:val="21"/>
              </w:rPr>
            </w:pPr>
            <w:r>
              <w:rPr>
                <w:rFonts w:ascii="Times New Roman"/>
                <w:sz w:val="21"/>
              </w:rPr>
              <w:t>SS</w:t>
            </w:r>
          </w:p>
        </w:tc>
        <w:tc>
          <w:tcPr>
            <w:tcW w:w="8505" w:type="dxa"/>
          </w:tcPr>
          <w:p w14:paraId="67CEBEE1">
            <w:pPr>
              <w:pStyle w:val="14"/>
              <w:spacing w:before="34"/>
              <w:ind w:left="55"/>
              <w:rPr>
                <w:sz w:val="21"/>
              </w:rPr>
            </w:pPr>
            <w:r>
              <w:rPr>
                <w:sz w:val="21"/>
              </w:rPr>
              <w:t>回收利用</w:t>
            </w:r>
          </w:p>
        </w:tc>
        <w:tc>
          <w:tcPr>
            <w:tcW w:w="975" w:type="dxa"/>
          </w:tcPr>
          <w:p w14:paraId="59D64267">
            <w:pPr>
              <w:pStyle w:val="14"/>
              <w:spacing w:before="48"/>
              <w:ind w:left="45" w:right="34"/>
              <w:jc w:val="center"/>
              <w:rPr>
                <w:rFonts w:ascii="Times New Roman"/>
                <w:sz w:val="21"/>
              </w:rPr>
            </w:pPr>
            <w:r>
              <w:rPr>
                <w:rFonts w:ascii="Times New Roman"/>
                <w:sz w:val="21"/>
              </w:rPr>
              <w:t>0.5</w:t>
            </w:r>
          </w:p>
        </w:tc>
      </w:tr>
      <w:tr w14:paraId="2C2DD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2FBE74B1">
            <w:pPr>
              <w:rPr>
                <w:sz w:val="2"/>
                <w:szCs w:val="2"/>
              </w:rPr>
            </w:pPr>
          </w:p>
        </w:tc>
        <w:tc>
          <w:tcPr>
            <w:tcW w:w="588" w:type="dxa"/>
          </w:tcPr>
          <w:p w14:paraId="1B28DEC4">
            <w:pPr>
              <w:pStyle w:val="14"/>
              <w:spacing w:before="34"/>
              <w:ind w:left="60" w:right="52"/>
              <w:jc w:val="center"/>
              <w:rPr>
                <w:sz w:val="21"/>
              </w:rPr>
            </w:pPr>
            <w:r>
              <w:rPr>
                <w:sz w:val="21"/>
              </w:rPr>
              <w:t>废气</w:t>
            </w:r>
          </w:p>
        </w:tc>
        <w:tc>
          <w:tcPr>
            <w:tcW w:w="1449" w:type="dxa"/>
          </w:tcPr>
          <w:p w14:paraId="78FFAF93">
            <w:pPr>
              <w:pStyle w:val="14"/>
              <w:spacing w:before="34"/>
              <w:ind w:left="72" w:right="66"/>
              <w:jc w:val="center"/>
              <w:rPr>
                <w:sz w:val="21"/>
              </w:rPr>
            </w:pPr>
            <w:r>
              <w:rPr>
                <w:sz w:val="21"/>
              </w:rPr>
              <w:t>材料运输扬尘</w:t>
            </w:r>
          </w:p>
        </w:tc>
        <w:tc>
          <w:tcPr>
            <w:tcW w:w="1812" w:type="dxa"/>
          </w:tcPr>
          <w:p w14:paraId="3B2FB910">
            <w:pPr>
              <w:pStyle w:val="14"/>
              <w:spacing w:before="48"/>
              <w:ind w:left="62" w:right="55"/>
              <w:jc w:val="center"/>
              <w:rPr>
                <w:rFonts w:ascii="Times New Roman"/>
                <w:sz w:val="21"/>
              </w:rPr>
            </w:pPr>
            <w:r>
              <w:rPr>
                <w:rFonts w:ascii="Times New Roman"/>
                <w:sz w:val="21"/>
              </w:rPr>
              <w:t>TSP</w:t>
            </w:r>
          </w:p>
        </w:tc>
        <w:tc>
          <w:tcPr>
            <w:tcW w:w="8505" w:type="dxa"/>
          </w:tcPr>
          <w:p w14:paraId="063E6623">
            <w:pPr>
              <w:pStyle w:val="14"/>
              <w:spacing w:before="34"/>
              <w:ind w:left="55"/>
              <w:rPr>
                <w:sz w:val="21"/>
              </w:rPr>
            </w:pPr>
            <w:r>
              <w:rPr>
                <w:sz w:val="21"/>
              </w:rPr>
              <w:t>现场施工材料遮盖、封闭、防扬撒</w:t>
            </w:r>
          </w:p>
        </w:tc>
        <w:tc>
          <w:tcPr>
            <w:tcW w:w="975" w:type="dxa"/>
          </w:tcPr>
          <w:p w14:paraId="0C2443EF">
            <w:pPr>
              <w:pStyle w:val="14"/>
              <w:spacing w:before="48"/>
              <w:ind w:left="11"/>
              <w:jc w:val="center"/>
              <w:rPr>
                <w:rFonts w:ascii="Times New Roman"/>
                <w:sz w:val="21"/>
              </w:rPr>
            </w:pPr>
            <w:r>
              <w:rPr>
                <w:rFonts w:ascii="Times New Roman"/>
                <w:w w:val="99"/>
                <w:sz w:val="21"/>
              </w:rPr>
              <w:t>2</w:t>
            </w:r>
          </w:p>
        </w:tc>
      </w:tr>
      <w:tr w14:paraId="7309F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0342F5AC">
            <w:pPr>
              <w:rPr>
                <w:sz w:val="2"/>
                <w:szCs w:val="2"/>
              </w:rPr>
            </w:pPr>
          </w:p>
        </w:tc>
        <w:tc>
          <w:tcPr>
            <w:tcW w:w="588" w:type="dxa"/>
            <w:vMerge w:val="restart"/>
          </w:tcPr>
          <w:p w14:paraId="5868E382">
            <w:pPr>
              <w:pStyle w:val="14"/>
              <w:rPr>
                <w:b/>
                <w:sz w:val="20"/>
              </w:rPr>
            </w:pPr>
          </w:p>
          <w:p w14:paraId="53167B60">
            <w:pPr>
              <w:pStyle w:val="14"/>
              <w:spacing w:before="129"/>
              <w:ind w:left="84"/>
              <w:rPr>
                <w:sz w:val="21"/>
              </w:rPr>
            </w:pPr>
            <w:r>
              <w:rPr>
                <w:sz w:val="21"/>
              </w:rPr>
              <w:t>固废</w:t>
            </w:r>
          </w:p>
        </w:tc>
        <w:tc>
          <w:tcPr>
            <w:tcW w:w="1449" w:type="dxa"/>
          </w:tcPr>
          <w:p w14:paraId="79E8240A">
            <w:pPr>
              <w:pStyle w:val="14"/>
              <w:spacing w:before="34"/>
              <w:ind w:left="69" w:right="66"/>
              <w:jc w:val="center"/>
              <w:rPr>
                <w:sz w:val="21"/>
              </w:rPr>
            </w:pPr>
            <w:r>
              <w:rPr>
                <w:sz w:val="21"/>
              </w:rPr>
              <w:t>施工垃圾</w:t>
            </w:r>
          </w:p>
        </w:tc>
        <w:tc>
          <w:tcPr>
            <w:tcW w:w="1812" w:type="dxa"/>
          </w:tcPr>
          <w:p w14:paraId="528AF682">
            <w:pPr>
              <w:pStyle w:val="14"/>
              <w:spacing w:before="34"/>
              <w:ind w:left="62" w:right="53"/>
              <w:jc w:val="center"/>
              <w:rPr>
                <w:sz w:val="21"/>
              </w:rPr>
            </w:pPr>
            <w:r>
              <w:rPr>
                <w:sz w:val="21"/>
              </w:rPr>
              <w:t>废包装、砖块等</w:t>
            </w:r>
          </w:p>
        </w:tc>
        <w:tc>
          <w:tcPr>
            <w:tcW w:w="8505" w:type="dxa"/>
          </w:tcPr>
          <w:p w14:paraId="0CC4ADC0">
            <w:pPr>
              <w:pStyle w:val="14"/>
              <w:spacing w:before="34"/>
              <w:ind w:left="55"/>
              <w:rPr>
                <w:sz w:val="21"/>
              </w:rPr>
            </w:pPr>
            <w:r>
              <w:rPr>
                <w:sz w:val="21"/>
              </w:rPr>
              <w:t>集中收集、及时清运，委托渣土管理部门运送到指定地点处置</w:t>
            </w:r>
          </w:p>
        </w:tc>
        <w:tc>
          <w:tcPr>
            <w:tcW w:w="975" w:type="dxa"/>
          </w:tcPr>
          <w:p w14:paraId="388D8A31">
            <w:pPr>
              <w:pStyle w:val="14"/>
              <w:spacing w:before="48"/>
              <w:ind w:left="11"/>
              <w:jc w:val="center"/>
              <w:rPr>
                <w:rFonts w:ascii="Times New Roman"/>
                <w:sz w:val="21"/>
              </w:rPr>
            </w:pPr>
            <w:r>
              <w:rPr>
                <w:rFonts w:ascii="Times New Roman"/>
                <w:w w:val="99"/>
                <w:sz w:val="21"/>
              </w:rPr>
              <w:t>2</w:t>
            </w:r>
          </w:p>
        </w:tc>
      </w:tr>
      <w:tr w14:paraId="1321B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68AC8241">
            <w:pPr>
              <w:rPr>
                <w:sz w:val="2"/>
                <w:szCs w:val="2"/>
              </w:rPr>
            </w:pPr>
          </w:p>
        </w:tc>
        <w:tc>
          <w:tcPr>
            <w:tcW w:w="588" w:type="dxa"/>
            <w:vMerge w:val="continue"/>
            <w:tcBorders>
              <w:top w:val="nil"/>
            </w:tcBorders>
          </w:tcPr>
          <w:p w14:paraId="51A2BA04">
            <w:pPr>
              <w:rPr>
                <w:sz w:val="2"/>
                <w:szCs w:val="2"/>
              </w:rPr>
            </w:pPr>
          </w:p>
        </w:tc>
        <w:tc>
          <w:tcPr>
            <w:tcW w:w="1449" w:type="dxa"/>
          </w:tcPr>
          <w:p w14:paraId="610B0BF2">
            <w:pPr>
              <w:pStyle w:val="14"/>
              <w:spacing w:before="35"/>
              <w:ind w:left="72" w:right="64"/>
              <w:jc w:val="center"/>
              <w:rPr>
                <w:sz w:val="21"/>
              </w:rPr>
            </w:pPr>
            <w:r>
              <w:rPr>
                <w:sz w:val="21"/>
              </w:rPr>
              <w:t>土石方开挖</w:t>
            </w:r>
          </w:p>
        </w:tc>
        <w:tc>
          <w:tcPr>
            <w:tcW w:w="1812" w:type="dxa"/>
          </w:tcPr>
          <w:p w14:paraId="677A159D">
            <w:pPr>
              <w:pStyle w:val="14"/>
              <w:spacing w:before="35"/>
              <w:ind w:left="62" w:right="53"/>
              <w:jc w:val="center"/>
              <w:rPr>
                <w:sz w:val="21"/>
              </w:rPr>
            </w:pPr>
            <w:r>
              <w:rPr>
                <w:sz w:val="21"/>
              </w:rPr>
              <w:t>弃土</w:t>
            </w:r>
          </w:p>
        </w:tc>
        <w:tc>
          <w:tcPr>
            <w:tcW w:w="8505" w:type="dxa"/>
          </w:tcPr>
          <w:p w14:paraId="76259C13">
            <w:pPr>
              <w:pStyle w:val="14"/>
              <w:spacing w:before="35"/>
              <w:ind w:left="55"/>
              <w:rPr>
                <w:sz w:val="21"/>
              </w:rPr>
            </w:pPr>
            <w:r>
              <w:rPr>
                <w:sz w:val="21"/>
              </w:rPr>
              <w:t>不自行设置弃土场，弃土运至市政土方平衡堆存场地，实现区域取弃土平衡。</w:t>
            </w:r>
          </w:p>
        </w:tc>
        <w:tc>
          <w:tcPr>
            <w:tcW w:w="975" w:type="dxa"/>
          </w:tcPr>
          <w:p w14:paraId="5BE32BB5">
            <w:pPr>
              <w:pStyle w:val="14"/>
              <w:spacing w:before="49"/>
              <w:ind w:left="42" w:right="36"/>
              <w:jc w:val="center"/>
              <w:rPr>
                <w:rFonts w:ascii="Times New Roman"/>
                <w:sz w:val="21"/>
              </w:rPr>
            </w:pPr>
            <w:r>
              <w:rPr>
                <w:rFonts w:ascii="Times New Roman"/>
                <w:sz w:val="21"/>
              </w:rPr>
              <w:t>10</w:t>
            </w:r>
          </w:p>
        </w:tc>
      </w:tr>
      <w:tr w14:paraId="30B64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1836E371">
            <w:pPr>
              <w:rPr>
                <w:sz w:val="2"/>
                <w:szCs w:val="2"/>
              </w:rPr>
            </w:pPr>
          </w:p>
        </w:tc>
        <w:tc>
          <w:tcPr>
            <w:tcW w:w="588" w:type="dxa"/>
            <w:vMerge w:val="continue"/>
            <w:tcBorders>
              <w:top w:val="nil"/>
            </w:tcBorders>
          </w:tcPr>
          <w:p w14:paraId="2D6057D7">
            <w:pPr>
              <w:rPr>
                <w:sz w:val="2"/>
                <w:szCs w:val="2"/>
              </w:rPr>
            </w:pPr>
          </w:p>
        </w:tc>
        <w:tc>
          <w:tcPr>
            <w:tcW w:w="1449" w:type="dxa"/>
          </w:tcPr>
          <w:p w14:paraId="1855C2E0">
            <w:pPr>
              <w:pStyle w:val="14"/>
              <w:spacing w:before="33"/>
              <w:ind w:left="69" w:right="66"/>
              <w:jc w:val="center"/>
              <w:rPr>
                <w:sz w:val="21"/>
              </w:rPr>
            </w:pPr>
            <w:r>
              <w:rPr>
                <w:sz w:val="21"/>
              </w:rPr>
              <w:t>生活垃圾</w:t>
            </w:r>
          </w:p>
        </w:tc>
        <w:tc>
          <w:tcPr>
            <w:tcW w:w="1812" w:type="dxa"/>
          </w:tcPr>
          <w:p w14:paraId="477396E6">
            <w:pPr>
              <w:pStyle w:val="14"/>
              <w:spacing w:before="33"/>
              <w:ind w:left="62" w:right="56"/>
              <w:jc w:val="center"/>
              <w:rPr>
                <w:sz w:val="21"/>
              </w:rPr>
            </w:pPr>
            <w:r>
              <w:rPr>
                <w:sz w:val="21"/>
              </w:rPr>
              <w:t>生活垃圾</w:t>
            </w:r>
          </w:p>
        </w:tc>
        <w:tc>
          <w:tcPr>
            <w:tcW w:w="8505" w:type="dxa"/>
          </w:tcPr>
          <w:p w14:paraId="45944857">
            <w:pPr>
              <w:pStyle w:val="14"/>
              <w:spacing w:before="33"/>
              <w:ind w:left="55"/>
              <w:rPr>
                <w:sz w:val="21"/>
              </w:rPr>
            </w:pPr>
            <w:r>
              <w:rPr>
                <w:sz w:val="21"/>
              </w:rPr>
              <w:t>加强管理，设临时垃圾箱，统一送环卫部门处理</w:t>
            </w:r>
          </w:p>
        </w:tc>
        <w:tc>
          <w:tcPr>
            <w:tcW w:w="975" w:type="dxa"/>
          </w:tcPr>
          <w:p w14:paraId="39DFA177">
            <w:pPr>
              <w:pStyle w:val="14"/>
              <w:spacing w:before="49"/>
              <w:ind w:left="45" w:right="34"/>
              <w:jc w:val="center"/>
              <w:rPr>
                <w:rFonts w:ascii="Times New Roman"/>
                <w:sz w:val="21"/>
              </w:rPr>
            </w:pPr>
            <w:r>
              <w:rPr>
                <w:rFonts w:ascii="Times New Roman"/>
                <w:sz w:val="21"/>
              </w:rPr>
              <w:t>0.5</w:t>
            </w:r>
          </w:p>
        </w:tc>
      </w:tr>
      <w:tr w14:paraId="3A4E5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52045A3F">
            <w:pPr>
              <w:rPr>
                <w:sz w:val="2"/>
                <w:szCs w:val="2"/>
              </w:rPr>
            </w:pPr>
          </w:p>
        </w:tc>
        <w:tc>
          <w:tcPr>
            <w:tcW w:w="588" w:type="dxa"/>
          </w:tcPr>
          <w:p w14:paraId="20E4D9A1">
            <w:pPr>
              <w:pStyle w:val="14"/>
              <w:spacing w:before="33"/>
              <w:ind w:left="60" w:right="52"/>
              <w:jc w:val="center"/>
              <w:rPr>
                <w:sz w:val="21"/>
              </w:rPr>
            </w:pPr>
            <w:r>
              <w:rPr>
                <w:sz w:val="21"/>
              </w:rPr>
              <w:t>噪声</w:t>
            </w:r>
          </w:p>
        </w:tc>
        <w:tc>
          <w:tcPr>
            <w:tcW w:w="1449" w:type="dxa"/>
          </w:tcPr>
          <w:p w14:paraId="79F0A997">
            <w:pPr>
              <w:pStyle w:val="14"/>
              <w:spacing w:before="33"/>
              <w:ind w:left="72" w:right="64"/>
              <w:jc w:val="center"/>
              <w:rPr>
                <w:sz w:val="21"/>
              </w:rPr>
            </w:pPr>
            <w:r>
              <w:rPr>
                <w:sz w:val="21"/>
              </w:rPr>
              <w:t>机械、车辆</w:t>
            </w:r>
          </w:p>
        </w:tc>
        <w:tc>
          <w:tcPr>
            <w:tcW w:w="1812" w:type="dxa"/>
          </w:tcPr>
          <w:p w14:paraId="22943C56">
            <w:pPr>
              <w:pStyle w:val="14"/>
              <w:spacing w:before="33"/>
              <w:ind w:left="62" w:right="53"/>
              <w:jc w:val="center"/>
              <w:rPr>
                <w:sz w:val="21"/>
              </w:rPr>
            </w:pPr>
            <w:r>
              <w:rPr>
                <w:sz w:val="21"/>
              </w:rPr>
              <w:t>噪声</w:t>
            </w:r>
          </w:p>
        </w:tc>
        <w:tc>
          <w:tcPr>
            <w:tcW w:w="8505" w:type="dxa"/>
          </w:tcPr>
          <w:p w14:paraId="1CAD3DD3">
            <w:pPr>
              <w:pStyle w:val="14"/>
              <w:spacing w:before="33"/>
              <w:ind w:left="55"/>
              <w:rPr>
                <w:sz w:val="21"/>
              </w:rPr>
            </w:pPr>
            <w:r>
              <w:rPr>
                <w:sz w:val="21"/>
              </w:rPr>
              <w:t>选择低噪声施工设备、夜间不施工</w:t>
            </w:r>
          </w:p>
        </w:tc>
        <w:tc>
          <w:tcPr>
            <w:tcW w:w="975" w:type="dxa"/>
          </w:tcPr>
          <w:p w14:paraId="1B187BA9">
            <w:pPr>
              <w:pStyle w:val="14"/>
              <w:spacing w:before="50"/>
              <w:ind w:left="11"/>
              <w:jc w:val="center"/>
              <w:rPr>
                <w:rFonts w:ascii="Times New Roman"/>
                <w:sz w:val="21"/>
              </w:rPr>
            </w:pPr>
            <w:r>
              <w:rPr>
                <w:rFonts w:ascii="Times New Roman"/>
                <w:w w:val="99"/>
                <w:sz w:val="21"/>
              </w:rPr>
              <w:t>1</w:t>
            </w:r>
          </w:p>
        </w:tc>
      </w:tr>
      <w:tr w14:paraId="5C0D0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43" w:type="dxa"/>
            <w:vMerge w:val="restart"/>
          </w:tcPr>
          <w:p w14:paraId="30A57877">
            <w:pPr>
              <w:pStyle w:val="14"/>
              <w:rPr>
                <w:b/>
                <w:sz w:val="20"/>
              </w:rPr>
            </w:pPr>
          </w:p>
          <w:p w14:paraId="3B1D1F7D">
            <w:pPr>
              <w:pStyle w:val="14"/>
              <w:rPr>
                <w:b/>
                <w:sz w:val="20"/>
              </w:rPr>
            </w:pPr>
          </w:p>
          <w:p w14:paraId="40D93E98">
            <w:pPr>
              <w:pStyle w:val="14"/>
              <w:rPr>
                <w:b/>
                <w:sz w:val="20"/>
              </w:rPr>
            </w:pPr>
          </w:p>
          <w:p w14:paraId="78830954">
            <w:pPr>
              <w:pStyle w:val="14"/>
              <w:rPr>
                <w:b/>
                <w:sz w:val="20"/>
              </w:rPr>
            </w:pPr>
          </w:p>
          <w:p w14:paraId="59F0CB55">
            <w:pPr>
              <w:pStyle w:val="14"/>
              <w:rPr>
                <w:b/>
                <w:sz w:val="20"/>
              </w:rPr>
            </w:pPr>
          </w:p>
          <w:p w14:paraId="5FBC87B5">
            <w:pPr>
              <w:pStyle w:val="14"/>
              <w:rPr>
                <w:b/>
                <w:sz w:val="20"/>
              </w:rPr>
            </w:pPr>
          </w:p>
          <w:p w14:paraId="1AA48B0D">
            <w:pPr>
              <w:pStyle w:val="14"/>
              <w:rPr>
                <w:b/>
                <w:sz w:val="20"/>
              </w:rPr>
            </w:pPr>
          </w:p>
          <w:p w14:paraId="016829AB">
            <w:pPr>
              <w:pStyle w:val="14"/>
              <w:rPr>
                <w:b/>
                <w:sz w:val="20"/>
              </w:rPr>
            </w:pPr>
          </w:p>
          <w:p w14:paraId="6242E6BD">
            <w:pPr>
              <w:pStyle w:val="14"/>
              <w:spacing w:before="149" w:line="242" w:lineRule="auto"/>
              <w:ind w:left="265" w:right="153" w:hanging="106"/>
              <w:rPr>
                <w:sz w:val="21"/>
              </w:rPr>
            </w:pPr>
            <w:r>
              <w:rPr>
                <w:w w:val="95"/>
                <w:sz w:val="21"/>
              </w:rPr>
              <w:t>营运</w:t>
            </w:r>
            <w:r>
              <w:rPr>
                <w:sz w:val="21"/>
              </w:rPr>
              <w:t>期</w:t>
            </w:r>
          </w:p>
        </w:tc>
        <w:tc>
          <w:tcPr>
            <w:tcW w:w="588" w:type="dxa"/>
            <w:vMerge w:val="restart"/>
          </w:tcPr>
          <w:p w14:paraId="5E315BCA">
            <w:pPr>
              <w:pStyle w:val="14"/>
              <w:rPr>
                <w:b/>
                <w:sz w:val="20"/>
              </w:rPr>
            </w:pPr>
          </w:p>
          <w:p w14:paraId="700D2AB0">
            <w:pPr>
              <w:pStyle w:val="14"/>
              <w:rPr>
                <w:b/>
                <w:sz w:val="20"/>
              </w:rPr>
            </w:pPr>
          </w:p>
          <w:p w14:paraId="7D9B03B0">
            <w:pPr>
              <w:pStyle w:val="14"/>
              <w:rPr>
                <w:b/>
                <w:sz w:val="20"/>
              </w:rPr>
            </w:pPr>
          </w:p>
          <w:p w14:paraId="6F8E472B">
            <w:pPr>
              <w:pStyle w:val="14"/>
              <w:rPr>
                <w:b/>
                <w:sz w:val="20"/>
              </w:rPr>
            </w:pPr>
          </w:p>
          <w:p w14:paraId="4DA1D684">
            <w:pPr>
              <w:pStyle w:val="14"/>
              <w:rPr>
                <w:b/>
                <w:sz w:val="20"/>
              </w:rPr>
            </w:pPr>
          </w:p>
          <w:p w14:paraId="05BDF667">
            <w:pPr>
              <w:pStyle w:val="14"/>
              <w:rPr>
                <w:b/>
                <w:sz w:val="20"/>
              </w:rPr>
            </w:pPr>
          </w:p>
          <w:p w14:paraId="7A3CCB5A">
            <w:pPr>
              <w:pStyle w:val="14"/>
              <w:rPr>
                <w:b/>
                <w:sz w:val="20"/>
              </w:rPr>
            </w:pPr>
          </w:p>
          <w:p w14:paraId="1A35B438">
            <w:pPr>
              <w:pStyle w:val="14"/>
              <w:rPr>
                <w:b/>
                <w:sz w:val="20"/>
              </w:rPr>
            </w:pPr>
          </w:p>
          <w:p w14:paraId="18C6AC32">
            <w:pPr>
              <w:pStyle w:val="14"/>
              <w:spacing w:before="3"/>
              <w:rPr>
                <w:b/>
                <w:sz w:val="22"/>
              </w:rPr>
            </w:pPr>
          </w:p>
          <w:p w14:paraId="0C520130">
            <w:pPr>
              <w:pStyle w:val="14"/>
              <w:ind w:left="84"/>
              <w:rPr>
                <w:sz w:val="21"/>
              </w:rPr>
            </w:pPr>
            <w:r>
              <w:rPr>
                <w:sz w:val="21"/>
              </w:rPr>
              <w:t>废气</w:t>
            </w:r>
          </w:p>
        </w:tc>
        <w:tc>
          <w:tcPr>
            <w:tcW w:w="1449" w:type="dxa"/>
          </w:tcPr>
          <w:p w14:paraId="0766E9D7">
            <w:pPr>
              <w:pStyle w:val="14"/>
              <w:spacing w:before="137"/>
              <w:ind w:left="69" w:right="66"/>
              <w:jc w:val="center"/>
              <w:rPr>
                <w:sz w:val="21"/>
              </w:rPr>
            </w:pPr>
            <w:r>
              <w:rPr>
                <w:sz w:val="21"/>
              </w:rPr>
              <w:t>运输恶臭</w:t>
            </w:r>
          </w:p>
        </w:tc>
        <w:tc>
          <w:tcPr>
            <w:tcW w:w="1812" w:type="dxa"/>
          </w:tcPr>
          <w:p w14:paraId="1D65817F">
            <w:pPr>
              <w:pStyle w:val="14"/>
              <w:spacing w:before="134"/>
              <w:ind w:left="62" w:right="55"/>
              <w:jc w:val="center"/>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8505" w:type="dxa"/>
          </w:tcPr>
          <w:p w14:paraId="69897EA6">
            <w:pPr>
              <w:pStyle w:val="14"/>
              <w:ind w:left="55"/>
              <w:rPr>
                <w:sz w:val="21"/>
              </w:rPr>
            </w:pPr>
            <w:r>
              <w:rPr>
                <w:sz w:val="21"/>
              </w:rPr>
              <w:t>①及时清洗地面；</w:t>
            </w:r>
          </w:p>
          <w:p w14:paraId="05EDD1CD">
            <w:pPr>
              <w:pStyle w:val="14"/>
              <w:spacing w:before="5" w:line="251" w:lineRule="exact"/>
              <w:ind w:left="55"/>
              <w:rPr>
                <w:sz w:val="21"/>
              </w:rPr>
            </w:pPr>
            <w:r>
              <w:rPr>
                <w:sz w:val="21"/>
              </w:rPr>
              <w:t>②喷洒除臭剂。</w:t>
            </w:r>
          </w:p>
        </w:tc>
        <w:tc>
          <w:tcPr>
            <w:tcW w:w="975" w:type="dxa"/>
          </w:tcPr>
          <w:p w14:paraId="401DF7CC">
            <w:pPr>
              <w:pStyle w:val="14"/>
              <w:spacing w:before="151"/>
              <w:ind w:left="45" w:right="34"/>
              <w:jc w:val="center"/>
              <w:rPr>
                <w:rFonts w:ascii="Times New Roman"/>
                <w:sz w:val="21"/>
              </w:rPr>
            </w:pPr>
            <w:r>
              <w:rPr>
                <w:rFonts w:ascii="Times New Roman"/>
                <w:sz w:val="21"/>
              </w:rPr>
              <w:t>2.5</w:t>
            </w:r>
          </w:p>
        </w:tc>
      </w:tr>
      <w:tr w14:paraId="73C14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743" w:type="dxa"/>
            <w:vMerge w:val="continue"/>
            <w:tcBorders>
              <w:top w:val="nil"/>
            </w:tcBorders>
          </w:tcPr>
          <w:p w14:paraId="1C13CD26">
            <w:pPr>
              <w:rPr>
                <w:sz w:val="2"/>
                <w:szCs w:val="2"/>
              </w:rPr>
            </w:pPr>
          </w:p>
        </w:tc>
        <w:tc>
          <w:tcPr>
            <w:tcW w:w="588" w:type="dxa"/>
            <w:vMerge w:val="continue"/>
            <w:tcBorders>
              <w:top w:val="nil"/>
            </w:tcBorders>
          </w:tcPr>
          <w:p w14:paraId="313C9999">
            <w:pPr>
              <w:rPr>
                <w:sz w:val="2"/>
                <w:szCs w:val="2"/>
              </w:rPr>
            </w:pPr>
          </w:p>
        </w:tc>
        <w:tc>
          <w:tcPr>
            <w:tcW w:w="1449" w:type="dxa"/>
          </w:tcPr>
          <w:p w14:paraId="3836D001">
            <w:pPr>
              <w:pStyle w:val="14"/>
              <w:rPr>
                <w:b/>
                <w:sz w:val="20"/>
              </w:rPr>
            </w:pPr>
          </w:p>
          <w:p w14:paraId="11171A49">
            <w:pPr>
              <w:pStyle w:val="14"/>
              <w:spacing w:before="6"/>
              <w:rPr>
                <w:b/>
                <w:sz w:val="22"/>
              </w:rPr>
            </w:pPr>
          </w:p>
          <w:p w14:paraId="0804B33E">
            <w:pPr>
              <w:pStyle w:val="14"/>
              <w:ind w:left="72" w:right="66"/>
              <w:jc w:val="center"/>
              <w:rPr>
                <w:sz w:val="21"/>
              </w:rPr>
            </w:pPr>
            <w:r>
              <w:rPr>
                <w:sz w:val="21"/>
              </w:rPr>
              <w:t>暂养区及配套</w:t>
            </w:r>
          </w:p>
        </w:tc>
        <w:tc>
          <w:tcPr>
            <w:tcW w:w="1812" w:type="dxa"/>
          </w:tcPr>
          <w:p w14:paraId="692F3672">
            <w:pPr>
              <w:pStyle w:val="14"/>
              <w:rPr>
                <w:b/>
                <w:sz w:val="22"/>
              </w:rPr>
            </w:pPr>
          </w:p>
          <w:p w14:paraId="60E88DFB">
            <w:pPr>
              <w:pStyle w:val="14"/>
              <w:spacing w:before="3"/>
              <w:rPr>
                <w:b/>
                <w:sz w:val="20"/>
              </w:rPr>
            </w:pPr>
          </w:p>
          <w:p w14:paraId="02F470D8">
            <w:pPr>
              <w:pStyle w:val="14"/>
              <w:ind w:left="62" w:right="55"/>
              <w:jc w:val="center"/>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8505" w:type="dxa"/>
          </w:tcPr>
          <w:p w14:paraId="64AE019A">
            <w:pPr>
              <w:pStyle w:val="14"/>
              <w:spacing w:line="269" w:lineRule="exact"/>
              <w:ind w:left="55"/>
              <w:rPr>
                <w:sz w:val="21"/>
              </w:rPr>
            </w:pPr>
            <w:r>
              <w:rPr>
                <w:sz w:val="21"/>
              </w:rPr>
              <w:t>①及时清理积存的粪尿；</w:t>
            </w:r>
          </w:p>
          <w:p w14:paraId="2D141792">
            <w:pPr>
              <w:pStyle w:val="14"/>
              <w:spacing w:before="2"/>
              <w:ind w:left="55"/>
              <w:rPr>
                <w:sz w:val="21"/>
              </w:rPr>
            </w:pPr>
            <w:r>
              <w:rPr>
                <w:w w:val="95"/>
                <w:sz w:val="21"/>
              </w:rPr>
              <w:t>②及时清洗地面；</w:t>
            </w:r>
          </w:p>
          <w:p w14:paraId="11266784">
            <w:pPr>
              <w:pStyle w:val="14"/>
              <w:spacing w:before="4"/>
              <w:ind w:left="55"/>
              <w:rPr>
                <w:sz w:val="21"/>
              </w:rPr>
            </w:pPr>
            <w:r>
              <w:rPr>
                <w:w w:val="95"/>
                <w:sz w:val="21"/>
              </w:rPr>
              <w:t>③增加通风次数；</w:t>
            </w:r>
          </w:p>
          <w:p w14:paraId="3E4DB48B">
            <w:pPr>
              <w:pStyle w:val="14"/>
              <w:spacing w:before="5"/>
              <w:ind w:left="55"/>
              <w:rPr>
                <w:sz w:val="21"/>
              </w:rPr>
            </w:pPr>
            <w:r>
              <w:rPr>
                <w:sz w:val="21"/>
              </w:rPr>
              <w:t>④在四周安装除臭剂喷雾喷头；</w:t>
            </w:r>
          </w:p>
          <w:p w14:paraId="77ED3225">
            <w:pPr>
              <w:pStyle w:val="14"/>
              <w:spacing w:before="2" w:line="252" w:lineRule="exact"/>
              <w:ind w:left="55"/>
              <w:rPr>
                <w:sz w:val="21"/>
              </w:rPr>
            </w:pPr>
            <w:r>
              <w:rPr>
                <w:spacing w:val="-1"/>
                <w:w w:val="99"/>
                <w:sz w:val="21"/>
              </w:rPr>
              <w:t>⑤集中收集至喷淋吸收塔</w:t>
            </w:r>
            <w:r>
              <w:rPr>
                <w:rFonts w:ascii="Times New Roman" w:hAnsi="Times New Roman" w:eastAsia="Times New Roman"/>
                <w:spacing w:val="-1"/>
                <w:w w:val="99"/>
                <w:sz w:val="21"/>
              </w:rPr>
              <w:t>+</w:t>
            </w:r>
            <w:r>
              <w:rPr>
                <w:spacing w:val="-1"/>
                <w:w w:val="99"/>
                <w:sz w:val="21"/>
              </w:rPr>
              <w:t>生物处理设施</w:t>
            </w:r>
            <w:r>
              <w:rPr>
                <w:rFonts w:ascii="Times New Roman" w:hAnsi="Times New Roman" w:eastAsia="Times New Roman"/>
                <w:spacing w:val="-1"/>
                <w:w w:val="99"/>
                <w:sz w:val="21"/>
              </w:rPr>
              <w:t>+</w:t>
            </w:r>
            <w:r>
              <w:rPr>
                <w:rFonts w:ascii="Times New Roman" w:hAnsi="Times New Roman" w:eastAsia="Times New Roman"/>
                <w:spacing w:val="0"/>
                <w:w w:val="99"/>
                <w:sz w:val="21"/>
              </w:rPr>
              <w:t>15</w:t>
            </w:r>
            <w:r>
              <w:rPr>
                <w:rFonts w:ascii="Times New Roman" w:hAnsi="Times New Roman" w:eastAsia="Times New Roman"/>
                <w:w w:val="99"/>
                <w:sz w:val="21"/>
              </w:rPr>
              <w:t>m</w:t>
            </w:r>
            <w:r>
              <w:rPr>
                <w:rFonts w:ascii="Times New Roman" w:hAnsi="Times New Roman" w:eastAsia="Times New Roman"/>
                <w:spacing w:val="-12"/>
                <w:sz w:val="21"/>
              </w:rPr>
              <w:t xml:space="preserve"> </w:t>
            </w:r>
            <w:r>
              <w:rPr>
                <w:spacing w:val="-1"/>
                <w:w w:val="99"/>
                <w:sz w:val="21"/>
              </w:rPr>
              <w:t>高排气筒</w:t>
            </w:r>
            <w:r>
              <w:rPr>
                <w:spacing w:val="1"/>
                <w:w w:val="99"/>
                <w:sz w:val="21"/>
              </w:rPr>
              <w:t>（</w:t>
            </w:r>
            <w:r>
              <w:rPr>
                <w:rFonts w:ascii="Times New Roman" w:hAnsi="Times New Roman" w:eastAsia="Times New Roman"/>
                <w:w w:val="99"/>
                <w:sz w:val="21"/>
              </w:rPr>
              <w:t>DA</w:t>
            </w:r>
            <w:r>
              <w:rPr>
                <w:rFonts w:ascii="Times New Roman" w:hAnsi="Times New Roman" w:eastAsia="Times New Roman"/>
                <w:spacing w:val="0"/>
                <w:w w:val="99"/>
                <w:sz w:val="21"/>
              </w:rPr>
              <w:t>00</w:t>
            </w:r>
            <w:r>
              <w:rPr>
                <w:rFonts w:ascii="Times New Roman" w:hAnsi="Times New Roman" w:eastAsia="Times New Roman"/>
                <w:spacing w:val="-2"/>
                <w:w w:val="99"/>
                <w:sz w:val="21"/>
              </w:rPr>
              <w:t>1</w:t>
            </w:r>
            <w:r>
              <w:rPr>
                <w:spacing w:val="-104"/>
                <w:w w:val="99"/>
                <w:sz w:val="21"/>
              </w:rPr>
              <w:t>）</w:t>
            </w:r>
            <w:r>
              <w:rPr>
                <w:w w:val="99"/>
                <w:sz w:val="21"/>
              </w:rPr>
              <w:t>。</w:t>
            </w:r>
          </w:p>
        </w:tc>
        <w:tc>
          <w:tcPr>
            <w:tcW w:w="975" w:type="dxa"/>
          </w:tcPr>
          <w:p w14:paraId="629E8BB6">
            <w:pPr>
              <w:pStyle w:val="14"/>
              <w:rPr>
                <w:b/>
                <w:sz w:val="22"/>
              </w:rPr>
            </w:pPr>
          </w:p>
          <w:p w14:paraId="190C7242">
            <w:pPr>
              <w:pStyle w:val="14"/>
              <w:spacing w:before="7"/>
              <w:rPr>
                <w:b/>
                <w:sz w:val="21"/>
              </w:rPr>
            </w:pPr>
          </w:p>
          <w:p w14:paraId="33E5C125">
            <w:pPr>
              <w:pStyle w:val="14"/>
              <w:ind w:left="42" w:right="36"/>
              <w:jc w:val="center"/>
              <w:rPr>
                <w:rFonts w:ascii="Times New Roman"/>
                <w:sz w:val="21"/>
              </w:rPr>
            </w:pPr>
            <w:r>
              <w:rPr>
                <w:rFonts w:ascii="Times New Roman"/>
                <w:sz w:val="21"/>
              </w:rPr>
              <w:t>15</w:t>
            </w:r>
          </w:p>
        </w:tc>
      </w:tr>
      <w:tr w14:paraId="48157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743" w:type="dxa"/>
            <w:vMerge w:val="continue"/>
            <w:tcBorders>
              <w:top w:val="nil"/>
            </w:tcBorders>
          </w:tcPr>
          <w:p w14:paraId="76AA922B">
            <w:pPr>
              <w:rPr>
                <w:sz w:val="2"/>
                <w:szCs w:val="2"/>
              </w:rPr>
            </w:pPr>
          </w:p>
        </w:tc>
        <w:tc>
          <w:tcPr>
            <w:tcW w:w="588" w:type="dxa"/>
            <w:vMerge w:val="continue"/>
            <w:tcBorders>
              <w:top w:val="nil"/>
            </w:tcBorders>
          </w:tcPr>
          <w:p w14:paraId="5625B8DD">
            <w:pPr>
              <w:rPr>
                <w:sz w:val="2"/>
                <w:szCs w:val="2"/>
              </w:rPr>
            </w:pPr>
          </w:p>
        </w:tc>
        <w:tc>
          <w:tcPr>
            <w:tcW w:w="1449" w:type="dxa"/>
          </w:tcPr>
          <w:p w14:paraId="46BA2A42">
            <w:pPr>
              <w:pStyle w:val="14"/>
              <w:rPr>
                <w:b/>
                <w:sz w:val="20"/>
              </w:rPr>
            </w:pPr>
          </w:p>
          <w:p w14:paraId="077B7826">
            <w:pPr>
              <w:pStyle w:val="14"/>
              <w:spacing w:before="153"/>
              <w:ind w:left="69" w:right="66"/>
              <w:jc w:val="center"/>
              <w:rPr>
                <w:sz w:val="21"/>
              </w:rPr>
            </w:pPr>
            <w:r>
              <w:rPr>
                <w:sz w:val="21"/>
              </w:rPr>
              <w:t>屠宰车间</w:t>
            </w:r>
          </w:p>
        </w:tc>
        <w:tc>
          <w:tcPr>
            <w:tcW w:w="1812" w:type="dxa"/>
          </w:tcPr>
          <w:p w14:paraId="0FF30BA5">
            <w:pPr>
              <w:pStyle w:val="14"/>
              <w:spacing w:before="9"/>
              <w:rPr>
                <w:b/>
                <w:sz w:val="31"/>
              </w:rPr>
            </w:pPr>
          </w:p>
          <w:p w14:paraId="1FCB7F9F">
            <w:pPr>
              <w:pStyle w:val="14"/>
              <w:ind w:left="62" w:right="55"/>
              <w:jc w:val="center"/>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8505" w:type="dxa"/>
          </w:tcPr>
          <w:p w14:paraId="3F36D93B">
            <w:pPr>
              <w:pStyle w:val="14"/>
              <w:spacing w:before="1"/>
              <w:ind w:left="55"/>
              <w:rPr>
                <w:sz w:val="21"/>
              </w:rPr>
            </w:pPr>
            <w:r>
              <w:rPr>
                <w:sz w:val="21"/>
              </w:rPr>
              <w:t>①清洗；</w:t>
            </w:r>
          </w:p>
          <w:p w14:paraId="1124F76B">
            <w:pPr>
              <w:pStyle w:val="14"/>
              <w:spacing w:before="2"/>
              <w:ind w:left="55"/>
              <w:rPr>
                <w:sz w:val="21"/>
              </w:rPr>
            </w:pPr>
            <w:r>
              <w:rPr>
                <w:sz w:val="21"/>
              </w:rPr>
              <w:t>②增加通风次数；</w:t>
            </w:r>
          </w:p>
          <w:p w14:paraId="5EDDA6C6">
            <w:pPr>
              <w:pStyle w:val="14"/>
              <w:spacing w:before="3"/>
              <w:ind w:left="55"/>
              <w:rPr>
                <w:sz w:val="21"/>
              </w:rPr>
            </w:pPr>
            <w:r>
              <w:rPr>
                <w:sz w:val="21"/>
              </w:rPr>
              <w:t>③在屠宰间车间外四周安装除臭剂喷雾喷头；</w:t>
            </w:r>
          </w:p>
          <w:p w14:paraId="69CDEFDD">
            <w:pPr>
              <w:pStyle w:val="14"/>
              <w:spacing w:before="4" w:line="252" w:lineRule="exact"/>
              <w:ind w:left="55"/>
              <w:rPr>
                <w:sz w:val="21"/>
              </w:rPr>
            </w:pPr>
            <w:r>
              <w:rPr>
                <w:sz w:val="21"/>
              </w:rPr>
              <w:t>④密闭负压收集后接入污水处理站废气处理设施。</w:t>
            </w:r>
          </w:p>
        </w:tc>
        <w:tc>
          <w:tcPr>
            <w:tcW w:w="975" w:type="dxa"/>
          </w:tcPr>
          <w:p w14:paraId="26EEB35C">
            <w:pPr>
              <w:pStyle w:val="14"/>
              <w:rPr>
                <w:b/>
                <w:sz w:val="22"/>
              </w:rPr>
            </w:pPr>
          </w:p>
          <w:p w14:paraId="2DC1765C">
            <w:pPr>
              <w:pStyle w:val="14"/>
              <w:spacing w:before="141"/>
              <w:ind w:left="11"/>
              <w:jc w:val="center"/>
              <w:rPr>
                <w:rFonts w:ascii="Times New Roman"/>
                <w:sz w:val="21"/>
              </w:rPr>
            </w:pPr>
            <w:r>
              <w:rPr>
                <w:rFonts w:ascii="Times New Roman"/>
                <w:w w:val="99"/>
                <w:sz w:val="21"/>
              </w:rPr>
              <w:t>5</w:t>
            </w:r>
          </w:p>
        </w:tc>
      </w:tr>
      <w:tr w14:paraId="2F89F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743" w:type="dxa"/>
            <w:vMerge w:val="continue"/>
            <w:tcBorders>
              <w:top w:val="nil"/>
            </w:tcBorders>
          </w:tcPr>
          <w:p w14:paraId="6BE445AD">
            <w:pPr>
              <w:rPr>
                <w:sz w:val="2"/>
                <w:szCs w:val="2"/>
              </w:rPr>
            </w:pPr>
          </w:p>
        </w:tc>
        <w:tc>
          <w:tcPr>
            <w:tcW w:w="588" w:type="dxa"/>
            <w:vMerge w:val="continue"/>
            <w:tcBorders>
              <w:top w:val="nil"/>
            </w:tcBorders>
          </w:tcPr>
          <w:p w14:paraId="1D23D40D">
            <w:pPr>
              <w:rPr>
                <w:sz w:val="2"/>
                <w:szCs w:val="2"/>
              </w:rPr>
            </w:pPr>
          </w:p>
        </w:tc>
        <w:tc>
          <w:tcPr>
            <w:tcW w:w="1449" w:type="dxa"/>
          </w:tcPr>
          <w:p w14:paraId="44119A3A">
            <w:pPr>
              <w:pStyle w:val="14"/>
              <w:spacing w:before="2"/>
              <w:rPr>
                <w:b/>
                <w:sz w:val="21"/>
              </w:rPr>
            </w:pPr>
          </w:p>
          <w:p w14:paraId="3DE6A143">
            <w:pPr>
              <w:pStyle w:val="14"/>
              <w:spacing w:before="1"/>
              <w:ind w:left="72" w:right="64"/>
              <w:jc w:val="center"/>
              <w:rPr>
                <w:sz w:val="21"/>
              </w:rPr>
            </w:pPr>
            <w:r>
              <w:rPr>
                <w:sz w:val="21"/>
              </w:rPr>
              <w:t>污水处理站</w:t>
            </w:r>
          </w:p>
        </w:tc>
        <w:tc>
          <w:tcPr>
            <w:tcW w:w="1812" w:type="dxa"/>
          </w:tcPr>
          <w:p w14:paraId="7B12F7C1">
            <w:pPr>
              <w:pStyle w:val="14"/>
              <w:spacing w:before="12"/>
              <w:rPr>
                <w:b/>
                <w:sz w:val="20"/>
              </w:rPr>
            </w:pPr>
          </w:p>
          <w:p w14:paraId="61D44B5C">
            <w:pPr>
              <w:pStyle w:val="14"/>
              <w:ind w:left="62" w:right="55"/>
              <w:jc w:val="center"/>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8505" w:type="dxa"/>
          </w:tcPr>
          <w:p w14:paraId="7FE6D9A0">
            <w:pPr>
              <w:pStyle w:val="14"/>
              <w:ind w:left="55"/>
              <w:rPr>
                <w:sz w:val="21"/>
              </w:rPr>
            </w:pPr>
            <w:r>
              <w:rPr>
                <w:sz w:val="21"/>
              </w:rPr>
              <w:t>①增加厂区绿化；</w:t>
            </w:r>
          </w:p>
          <w:p w14:paraId="5F51852D">
            <w:pPr>
              <w:pStyle w:val="14"/>
              <w:spacing w:before="3"/>
              <w:ind w:left="55"/>
              <w:rPr>
                <w:sz w:val="21"/>
              </w:rPr>
            </w:pPr>
            <w:r>
              <w:rPr>
                <w:sz w:val="21"/>
              </w:rPr>
              <w:t>②在污水处理厂四周装除臭剂喷雾喷头；</w:t>
            </w:r>
          </w:p>
          <w:p w14:paraId="20852D89">
            <w:pPr>
              <w:pStyle w:val="14"/>
              <w:spacing w:before="2" w:line="254" w:lineRule="exact"/>
              <w:ind w:left="55"/>
              <w:rPr>
                <w:sz w:val="21"/>
              </w:rPr>
            </w:pPr>
            <w:r>
              <w:rPr>
                <w:spacing w:val="-1"/>
                <w:w w:val="99"/>
                <w:sz w:val="21"/>
              </w:rPr>
              <w:t>③密闭负压收集</w:t>
            </w:r>
            <w:r>
              <w:rPr>
                <w:rFonts w:ascii="Times New Roman" w:hAnsi="Times New Roman" w:eastAsia="Times New Roman"/>
                <w:spacing w:val="-1"/>
                <w:w w:val="99"/>
                <w:sz w:val="21"/>
              </w:rPr>
              <w:t>+</w:t>
            </w:r>
            <w:r>
              <w:rPr>
                <w:spacing w:val="-1"/>
                <w:w w:val="99"/>
                <w:sz w:val="21"/>
              </w:rPr>
              <w:t>喷淋吸收塔</w:t>
            </w:r>
            <w:r>
              <w:rPr>
                <w:rFonts w:ascii="Times New Roman" w:hAnsi="Times New Roman" w:eastAsia="Times New Roman"/>
                <w:spacing w:val="1"/>
                <w:w w:val="99"/>
                <w:sz w:val="21"/>
              </w:rPr>
              <w:t>+</w:t>
            </w:r>
            <w:r>
              <w:rPr>
                <w:spacing w:val="-1"/>
                <w:w w:val="99"/>
                <w:sz w:val="21"/>
              </w:rPr>
              <w:t>生物处理设施</w:t>
            </w:r>
            <w:r>
              <w:rPr>
                <w:rFonts w:ascii="Times New Roman" w:hAnsi="Times New Roman" w:eastAsia="Times New Roman"/>
                <w:spacing w:val="-1"/>
                <w:w w:val="99"/>
                <w:sz w:val="21"/>
              </w:rPr>
              <w:t>+</w:t>
            </w:r>
            <w:r>
              <w:rPr>
                <w:rFonts w:ascii="Times New Roman" w:hAnsi="Times New Roman" w:eastAsia="Times New Roman"/>
                <w:spacing w:val="0"/>
                <w:w w:val="99"/>
                <w:sz w:val="21"/>
              </w:rPr>
              <w:t>15</w:t>
            </w:r>
            <w:r>
              <w:rPr>
                <w:rFonts w:ascii="Times New Roman" w:hAnsi="Times New Roman" w:eastAsia="Times New Roman"/>
                <w:w w:val="99"/>
                <w:sz w:val="21"/>
              </w:rPr>
              <w:t>m</w:t>
            </w:r>
            <w:r>
              <w:rPr>
                <w:rFonts w:ascii="Times New Roman" w:hAnsi="Times New Roman" w:eastAsia="Times New Roman"/>
                <w:spacing w:val="-12"/>
                <w:sz w:val="21"/>
              </w:rPr>
              <w:t xml:space="preserve"> </w:t>
            </w:r>
            <w:r>
              <w:rPr>
                <w:spacing w:val="-1"/>
                <w:w w:val="99"/>
                <w:sz w:val="21"/>
              </w:rPr>
              <w:t>高排气筒</w:t>
            </w:r>
            <w:r>
              <w:rPr>
                <w:spacing w:val="1"/>
                <w:w w:val="99"/>
                <w:sz w:val="21"/>
              </w:rPr>
              <w:t>（</w:t>
            </w:r>
            <w:r>
              <w:rPr>
                <w:rFonts w:ascii="Times New Roman" w:hAnsi="Times New Roman" w:eastAsia="Times New Roman"/>
                <w:w w:val="99"/>
                <w:sz w:val="21"/>
              </w:rPr>
              <w:t>DA</w:t>
            </w:r>
            <w:r>
              <w:rPr>
                <w:rFonts w:ascii="Times New Roman" w:hAnsi="Times New Roman" w:eastAsia="Times New Roman"/>
                <w:spacing w:val="0"/>
                <w:w w:val="99"/>
                <w:sz w:val="21"/>
              </w:rPr>
              <w:t>002</w:t>
            </w:r>
            <w:r>
              <w:rPr>
                <w:spacing w:val="-106"/>
                <w:w w:val="99"/>
                <w:sz w:val="21"/>
              </w:rPr>
              <w:t>）</w:t>
            </w:r>
            <w:r>
              <w:rPr>
                <w:w w:val="99"/>
                <w:sz w:val="21"/>
              </w:rPr>
              <w:t>。</w:t>
            </w:r>
          </w:p>
        </w:tc>
        <w:tc>
          <w:tcPr>
            <w:tcW w:w="975" w:type="dxa"/>
          </w:tcPr>
          <w:p w14:paraId="34EFD30D">
            <w:pPr>
              <w:pStyle w:val="14"/>
              <w:spacing w:before="4"/>
              <w:rPr>
                <w:b/>
                <w:sz w:val="22"/>
              </w:rPr>
            </w:pPr>
          </w:p>
          <w:p w14:paraId="3D448B1E">
            <w:pPr>
              <w:pStyle w:val="14"/>
              <w:ind w:left="42" w:right="36"/>
              <w:jc w:val="center"/>
              <w:rPr>
                <w:rFonts w:ascii="Times New Roman"/>
                <w:sz w:val="21"/>
              </w:rPr>
            </w:pPr>
            <w:r>
              <w:rPr>
                <w:rFonts w:ascii="Times New Roman"/>
                <w:sz w:val="21"/>
              </w:rPr>
              <w:t>30</w:t>
            </w:r>
          </w:p>
        </w:tc>
      </w:tr>
      <w:tr w14:paraId="38FA1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743" w:type="dxa"/>
            <w:vMerge w:val="continue"/>
            <w:tcBorders>
              <w:top w:val="nil"/>
            </w:tcBorders>
          </w:tcPr>
          <w:p w14:paraId="284DF711">
            <w:pPr>
              <w:rPr>
                <w:sz w:val="2"/>
                <w:szCs w:val="2"/>
              </w:rPr>
            </w:pPr>
          </w:p>
        </w:tc>
        <w:tc>
          <w:tcPr>
            <w:tcW w:w="588" w:type="dxa"/>
            <w:vMerge w:val="continue"/>
            <w:tcBorders>
              <w:top w:val="nil"/>
            </w:tcBorders>
          </w:tcPr>
          <w:p w14:paraId="166AD7B9">
            <w:pPr>
              <w:rPr>
                <w:sz w:val="2"/>
                <w:szCs w:val="2"/>
              </w:rPr>
            </w:pPr>
          </w:p>
        </w:tc>
        <w:tc>
          <w:tcPr>
            <w:tcW w:w="1449" w:type="dxa"/>
          </w:tcPr>
          <w:p w14:paraId="10DA4643">
            <w:pPr>
              <w:pStyle w:val="14"/>
              <w:rPr>
                <w:b/>
                <w:sz w:val="20"/>
              </w:rPr>
            </w:pPr>
          </w:p>
          <w:p w14:paraId="4615D819">
            <w:pPr>
              <w:pStyle w:val="14"/>
              <w:spacing w:before="151"/>
              <w:ind w:left="69" w:right="66"/>
              <w:jc w:val="center"/>
              <w:rPr>
                <w:sz w:val="21"/>
              </w:rPr>
            </w:pPr>
            <w:r>
              <w:rPr>
                <w:sz w:val="21"/>
              </w:rPr>
              <w:t>屠宰车间</w:t>
            </w:r>
          </w:p>
        </w:tc>
        <w:tc>
          <w:tcPr>
            <w:tcW w:w="1812" w:type="dxa"/>
          </w:tcPr>
          <w:p w14:paraId="14FDE63D">
            <w:pPr>
              <w:pStyle w:val="14"/>
              <w:spacing w:before="7"/>
              <w:rPr>
                <w:b/>
                <w:sz w:val="31"/>
              </w:rPr>
            </w:pPr>
          </w:p>
          <w:p w14:paraId="22799483">
            <w:pPr>
              <w:pStyle w:val="14"/>
              <w:ind w:left="62" w:right="55"/>
              <w:jc w:val="center"/>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8505" w:type="dxa"/>
          </w:tcPr>
          <w:p w14:paraId="779928DA">
            <w:pPr>
              <w:pStyle w:val="14"/>
              <w:spacing w:line="268" w:lineRule="exact"/>
              <w:ind w:left="55"/>
              <w:rPr>
                <w:sz w:val="21"/>
              </w:rPr>
            </w:pPr>
            <w:r>
              <w:rPr>
                <w:sz w:val="21"/>
              </w:rPr>
              <w:t>①清洗；</w:t>
            </w:r>
          </w:p>
          <w:p w14:paraId="6D0A0CA6">
            <w:pPr>
              <w:pStyle w:val="14"/>
              <w:spacing w:before="4"/>
              <w:ind w:left="55"/>
              <w:rPr>
                <w:sz w:val="21"/>
              </w:rPr>
            </w:pPr>
            <w:r>
              <w:rPr>
                <w:sz w:val="21"/>
              </w:rPr>
              <w:t>②增加通风次数；</w:t>
            </w:r>
          </w:p>
          <w:p w14:paraId="1D43D90E">
            <w:pPr>
              <w:pStyle w:val="14"/>
              <w:spacing w:before="2"/>
              <w:ind w:left="55"/>
              <w:rPr>
                <w:sz w:val="21"/>
              </w:rPr>
            </w:pPr>
            <w:r>
              <w:rPr>
                <w:sz w:val="21"/>
              </w:rPr>
              <w:t>③在屠宰间车间外四周安装除臭剂喷雾喷头；</w:t>
            </w:r>
          </w:p>
          <w:p w14:paraId="72F57701">
            <w:pPr>
              <w:pStyle w:val="14"/>
              <w:spacing w:before="5" w:line="249" w:lineRule="exact"/>
              <w:ind w:left="55"/>
              <w:rPr>
                <w:sz w:val="21"/>
              </w:rPr>
            </w:pPr>
            <w:r>
              <w:rPr>
                <w:spacing w:val="-1"/>
                <w:w w:val="99"/>
                <w:sz w:val="21"/>
              </w:rPr>
              <w:t>④密闭负压收集</w:t>
            </w:r>
            <w:r>
              <w:rPr>
                <w:rFonts w:ascii="Times New Roman" w:hAnsi="Times New Roman" w:eastAsia="Times New Roman"/>
                <w:spacing w:val="-1"/>
                <w:w w:val="99"/>
                <w:sz w:val="21"/>
              </w:rPr>
              <w:t>+</w:t>
            </w:r>
            <w:r>
              <w:rPr>
                <w:spacing w:val="-1"/>
                <w:w w:val="99"/>
                <w:sz w:val="21"/>
              </w:rPr>
              <w:t>喷淋吸收塔</w:t>
            </w:r>
            <w:r>
              <w:rPr>
                <w:rFonts w:ascii="Times New Roman" w:hAnsi="Times New Roman" w:eastAsia="Times New Roman"/>
                <w:spacing w:val="1"/>
                <w:w w:val="99"/>
                <w:sz w:val="21"/>
              </w:rPr>
              <w:t>+</w:t>
            </w:r>
            <w:r>
              <w:rPr>
                <w:spacing w:val="-1"/>
                <w:w w:val="99"/>
                <w:sz w:val="21"/>
              </w:rPr>
              <w:t>生物处理设施</w:t>
            </w:r>
            <w:r>
              <w:rPr>
                <w:rFonts w:ascii="Times New Roman" w:hAnsi="Times New Roman" w:eastAsia="Times New Roman"/>
                <w:spacing w:val="-1"/>
                <w:w w:val="99"/>
                <w:sz w:val="21"/>
              </w:rPr>
              <w:t>+</w:t>
            </w:r>
            <w:r>
              <w:rPr>
                <w:rFonts w:ascii="Times New Roman" w:hAnsi="Times New Roman" w:eastAsia="Times New Roman"/>
                <w:spacing w:val="0"/>
                <w:w w:val="99"/>
                <w:sz w:val="21"/>
              </w:rPr>
              <w:t>15</w:t>
            </w:r>
            <w:r>
              <w:rPr>
                <w:rFonts w:ascii="Times New Roman" w:hAnsi="Times New Roman" w:eastAsia="Times New Roman"/>
                <w:w w:val="99"/>
                <w:sz w:val="21"/>
              </w:rPr>
              <w:t>m</w:t>
            </w:r>
            <w:r>
              <w:rPr>
                <w:rFonts w:ascii="Times New Roman" w:hAnsi="Times New Roman" w:eastAsia="Times New Roman"/>
                <w:spacing w:val="-12"/>
                <w:sz w:val="21"/>
              </w:rPr>
              <w:t xml:space="preserve"> </w:t>
            </w:r>
            <w:r>
              <w:rPr>
                <w:spacing w:val="-1"/>
                <w:w w:val="99"/>
                <w:sz w:val="21"/>
              </w:rPr>
              <w:t>高排气筒</w:t>
            </w:r>
            <w:r>
              <w:rPr>
                <w:spacing w:val="1"/>
                <w:w w:val="99"/>
                <w:sz w:val="21"/>
              </w:rPr>
              <w:t>（</w:t>
            </w:r>
            <w:r>
              <w:rPr>
                <w:rFonts w:ascii="Times New Roman" w:hAnsi="Times New Roman" w:eastAsia="Times New Roman"/>
                <w:w w:val="99"/>
                <w:sz w:val="21"/>
              </w:rPr>
              <w:t>DA</w:t>
            </w:r>
            <w:r>
              <w:rPr>
                <w:rFonts w:ascii="Times New Roman" w:hAnsi="Times New Roman" w:eastAsia="Times New Roman"/>
                <w:spacing w:val="0"/>
                <w:w w:val="99"/>
                <w:sz w:val="21"/>
              </w:rPr>
              <w:t>003</w:t>
            </w:r>
            <w:r>
              <w:rPr>
                <w:spacing w:val="-106"/>
                <w:w w:val="99"/>
                <w:sz w:val="21"/>
              </w:rPr>
              <w:t>）</w:t>
            </w:r>
            <w:r>
              <w:rPr>
                <w:w w:val="99"/>
                <w:sz w:val="21"/>
              </w:rPr>
              <w:t>。</w:t>
            </w:r>
          </w:p>
        </w:tc>
        <w:tc>
          <w:tcPr>
            <w:tcW w:w="975" w:type="dxa"/>
          </w:tcPr>
          <w:p w14:paraId="10F0DC5D">
            <w:pPr>
              <w:pStyle w:val="14"/>
              <w:spacing w:before="11"/>
              <w:rPr>
                <w:b/>
                <w:sz w:val="32"/>
              </w:rPr>
            </w:pPr>
          </w:p>
          <w:p w14:paraId="2D21F1FF">
            <w:pPr>
              <w:pStyle w:val="14"/>
              <w:ind w:left="42" w:right="36"/>
              <w:jc w:val="center"/>
              <w:rPr>
                <w:rFonts w:ascii="Times New Roman"/>
                <w:sz w:val="21"/>
              </w:rPr>
            </w:pPr>
            <w:r>
              <w:rPr>
                <w:rFonts w:ascii="Times New Roman"/>
                <w:sz w:val="21"/>
              </w:rPr>
              <w:t>15</w:t>
            </w:r>
          </w:p>
        </w:tc>
      </w:tr>
    </w:tbl>
    <w:p w14:paraId="38F4967E">
      <w:pPr>
        <w:spacing w:after="0"/>
        <w:jc w:val="center"/>
        <w:rPr>
          <w:rFonts w:ascii="Times New Roman"/>
          <w:sz w:val="21"/>
        </w:rPr>
        <w:sectPr>
          <w:headerReference r:id="rId39" w:type="default"/>
          <w:footerReference r:id="rId40" w:type="default"/>
          <w:pgSz w:w="16840" w:h="11910" w:orient="landscape"/>
          <w:pgMar w:top="1180" w:right="1260" w:bottom="1400" w:left="1260" w:header="878" w:footer="1204" w:gutter="0"/>
          <w:pgNumType w:start="160"/>
          <w:cols w:space="720" w:num="1"/>
        </w:sectPr>
      </w:pPr>
    </w:p>
    <w:p w14:paraId="1C6BD4D4">
      <w:pPr>
        <w:pStyle w:val="7"/>
        <w:rPr>
          <w:rFonts w:ascii="Times New Roman"/>
          <w:sz w:val="20"/>
        </w:rPr>
      </w:pPr>
    </w:p>
    <w:p w14:paraId="54F17158">
      <w:pPr>
        <w:pStyle w:val="7"/>
        <w:rPr>
          <w:rFonts w:ascii="Times New Roman"/>
          <w:sz w:val="20"/>
        </w:rPr>
      </w:pPr>
    </w:p>
    <w:p w14:paraId="5A4D311E">
      <w:pPr>
        <w:pStyle w:val="7"/>
        <w:spacing w:before="1"/>
        <w:rPr>
          <w:rFonts w:ascii="Times New Roman"/>
          <w:sz w:val="14"/>
        </w:rPr>
      </w:pPr>
    </w:p>
    <w:tbl>
      <w:tblPr>
        <w:tblStyle w:val="10"/>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588"/>
        <w:gridCol w:w="1449"/>
        <w:gridCol w:w="1812"/>
        <w:gridCol w:w="8505"/>
        <w:gridCol w:w="975"/>
      </w:tblGrid>
      <w:tr w14:paraId="45CB3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tcPr>
          <w:p w14:paraId="01062C84">
            <w:pPr>
              <w:pStyle w:val="14"/>
              <w:spacing w:before="35"/>
              <w:ind w:left="159"/>
              <w:rPr>
                <w:b/>
                <w:sz w:val="21"/>
              </w:rPr>
            </w:pPr>
            <w:r>
              <w:rPr>
                <w:b/>
                <w:sz w:val="21"/>
              </w:rPr>
              <w:t>阶段</w:t>
            </w:r>
          </w:p>
        </w:tc>
        <w:tc>
          <w:tcPr>
            <w:tcW w:w="588" w:type="dxa"/>
          </w:tcPr>
          <w:p w14:paraId="629BA27A">
            <w:pPr>
              <w:pStyle w:val="14"/>
              <w:spacing w:before="35"/>
              <w:ind w:left="60" w:right="55"/>
              <w:jc w:val="center"/>
              <w:rPr>
                <w:b/>
                <w:sz w:val="21"/>
              </w:rPr>
            </w:pPr>
            <w:r>
              <w:rPr>
                <w:b/>
                <w:sz w:val="21"/>
              </w:rPr>
              <w:t>类别</w:t>
            </w:r>
          </w:p>
        </w:tc>
        <w:tc>
          <w:tcPr>
            <w:tcW w:w="1449" w:type="dxa"/>
          </w:tcPr>
          <w:p w14:paraId="172BC5B2">
            <w:pPr>
              <w:pStyle w:val="14"/>
              <w:spacing w:before="35"/>
              <w:ind w:left="72" w:right="66"/>
              <w:jc w:val="center"/>
              <w:rPr>
                <w:b/>
                <w:sz w:val="21"/>
              </w:rPr>
            </w:pPr>
            <w:r>
              <w:rPr>
                <w:b/>
                <w:sz w:val="21"/>
              </w:rPr>
              <w:t>产排污节点</w:t>
            </w:r>
          </w:p>
        </w:tc>
        <w:tc>
          <w:tcPr>
            <w:tcW w:w="1812" w:type="dxa"/>
          </w:tcPr>
          <w:p w14:paraId="1B82AA82">
            <w:pPr>
              <w:pStyle w:val="14"/>
              <w:spacing w:before="35"/>
              <w:ind w:right="371"/>
              <w:jc w:val="right"/>
              <w:rPr>
                <w:b/>
                <w:sz w:val="21"/>
              </w:rPr>
            </w:pPr>
            <w:r>
              <w:rPr>
                <w:b/>
                <w:w w:val="95"/>
                <w:sz w:val="21"/>
              </w:rPr>
              <w:t>污染物名称</w:t>
            </w:r>
          </w:p>
        </w:tc>
        <w:tc>
          <w:tcPr>
            <w:tcW w:w="8505" w:type="dxa"/>
          </w:tcPr>
          <w:p w14:paraId="039C317B">
            <w:pPr>
              <w:pStyle w:val="14"/>
              <w:spacing w:before="35"/>
              <w:ind w:left="3810" w:right="3801"/>
              <w:jc w:val="center"/>
              <w:rPr>
                <w:b/>
                <w:sz w:val="21"/>
              </w:rPr>
            </w:pPr>
            <w:r>
              <w:rPr>
                <w:b/>
                <w:sz w:val="21"/>
              </w:rPr>
              <w:t>治理措施</w:t>
            </w:r>
          </w:p>
        </w:tc>
        <w:tc>
          <w:tcPr>
            <w:tcW w:w="975" w:type="dxa"/>
          </w:tcPr>
          <w:p w14:paraId="199957DC">
            <w:pPr>
              <w:pStyle w:val="14"/>
              <w:spacing w:before="35"/>
              <w:ind w:left="45" w:right="36"/>
              <w:jc w:val="center"/>
              <w:rPr>
                <w:b/>
                <w:sz w:val="21"/>
              </w:rPr>
            </w:pPr>
            <w:r>
              <w:rPr>
                <w:b/>
                <w:sz w:val="21"/>
              </w:rPr>
              <w:t>环保投资</w:t>
            </w:r>
          </w:p>
        </w:tc>
      </w:tr>
      <w:tr w14:paraId="55F1C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restart"/>
          </w:tcPr>
          <w:p w14:paraId="5EE4BC58">
            <w:pPr>
              <w:pStyle w:val="14"/>
              <w:rPr>
                <w:rFonts w:ascii="Times New Roman"/>
                <w:sz w:val="20"/>
              </w:rPr>
            </w:pPr>
          </w:p>
        </w:tc>
        <w:tc>
          <w:tcPr>
            <w:tcW w:w="588" w:type="dxa"/>
            <w:vMerge w:val="restart"/>
          </w:tcPr>
          <w:p w14:paraId="5083E432">
            <w:pPr>
              <w:pStyle w:val="14"/>
              <w:rPr>
                <w:rFonts w:ascii="Times New Roman"/>
                <w:sz w:val="20"/>
              </w:rPr>
            </w:pPr>
          </w:p>
        </w:tc>
        <w:tc>
          <w:tcPr>
            <w:tcW w:w="1449" w:type="dxa"/>
          </w:tcPr>
          <w:p w14:paraId="0C0AB37D">
            <w:pPr>
              <w:pStyle w:val="14"/>
              <w:spacing w:before="33"/>
              <w:ind w:left="72" w:right="64"/>
              <w:jc w:val="center"/>
              <w:rPr>
                <w:sz w:val="21"/>
              </w:rPr>
            </w:pPr>
            <w:r>
              <w:rPr>
                <w:sz w:val="21"/>
              </w:rPr>
              <w:t>无组织废气</w:t>
            </w:r>
          </w:p>
        </w:tc>
        <w:tc>
          <w:tcPr>
            <w:tcW w:w="1812" w:type="dxa"/>
          </w:tcPr>
          <w:p w14:paraId="1F758754">
            <w:pPr>
              <w:pStyle w:val="14"/>
              <w:spacing w:before="32"/>
              <w:ind w:right="437"/>
              <w:jc w:val="right"/>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H</w:t>
            </w:r>
            <w:r>
              <w:rPr>
                <w:rFonts w:ascii="Times New Roman" w:eastAsia="Times New Roman"/>
                <w:position w:val="2"/>
                <w:sz w:val="21"/>
                <w:vertAlign w:val="subscript"/>
              </w:rPr>
              <w:t>2</w:t>
            </w:r>
            <w:r>
              <w:rPr>
                <w:rFonts w:ascii="Times New Roman" w:eastAsia="Times New Roman"/>
                <w:position w:val="2"/>
                <w:sz w:val="21"/>
                <w:vertAlign w:val="baseline"/>
              </w:rPr>
              <w:t>S</w:t>
            </w:r>
          </w:p>
        </w:tc>
        <w:tc>
          <w:tcPr>
            <w:tcW w:w="8505" w:type="dxa"/>
          </w:tcPr>
          <w:p w14:paraId="34EE6688">
            <w:pPr>
              <w:pStyle w:val="14"/>
              <w:spacing w:before="33"/>
              <w:ind w:left="55"/>
              <w:rPr>
                <w:sz w:val="21"/>
              </w:rPr>
            </w:pPr>
            <w:r>
              <w:rPr>
                <w:sz w:val="21"/>
              </w:rPr>
              <w:t>冲洗、消毒、除臭、绿化等措施</w:t>
            </w:r>
          </w:p>
        </w:tc>
        <w:tc>
          <w:tcPr>
            <w:tcW w:w="975" w:type="dxa"/>
          </w:tcPr>
          <w:p w14:paraId="595F2AC9">
            <w:pPr>
              <w:pStyle w:val="14"/>
              <w:spacing w:before="49"/>
              <w:ind w:left="11"/>
              <w:jc w:val="center"/>
              <w:rPr>
                <w:rFonts w:ascii="Times New Roman"/>
                <w:sz w:val="21"/>
              </w:rPr>
            </w:pPr>
            <w:r>
              <w:rPr>
                <w:rFonts w:ascii="Times New Roman"/>
                <w:w w:val="99"/>
                <w:sz w:val="21"/>
              </w:rPr>
              <w:t>3</w:t>
            </w:r>
          </w:p>
        </w:tc>
      </w:tr>
      <w:tr w14:paraId="7A3BD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02D857B3">
            <w:pPr>
              <w:rPr>
                <w:sz w:val="2"/>
                <w:szCs w:val="2"/>
              </w:rPr>
            </w:pPr>
          </w:p>
        </w:tc>
        <w:tc>
          <w:tcPr>
            <w:tcW w:w="588" w:type="dxa"/>
            <w:vMerge w:val="continue"/>
            <w:tcBorders>
              <w:top w:val="nil"/>
            </w:tcBorders>
          </w:tcPr>
          <w:p w14:paraId="40995814">
            <w:pPr>
              <w:rPr>
                <w:sz w:val="2"/>
                <w:szCs w:val="2"/>
              </w:rPr>
            </w:pPr>
          </w:p>
        </w:tc>
        <w:tc>
          <w:tcPr>
            <w:tcW w:w="1449" w:type="dxa"/>
          </w:tcPr>
          <w:p w14:paraId="180176DB">
            <w:pPr>
              <w:pStyle w:val="14"/>
              <w:spacing w:before="33"/>
              <w:ind w:left="72" w:right="66"/>
              <w:jc w:val="center"/>
              <w:rPr>
                <w:sz w:val="21"/>
              </w:rPr>
            </w:pPr>
            <w:r>
              <w:rPr>
                <w:sz w:val="21"/>
              </w:rPr>
              <w:t>锅炉房</w:t>
            </w:r>
          </w:p>
        </w:tc>
        <w:tc>
          <w:tcPr>
            <w:tcW w:w="1812" w:type="dxa"/>
          </w:tcPr>
          <w:p w14:paraId="6AC29CBE">
            <w:pPr>
              <w:pStyle w:val="14"/>
              <w:spacing w:before="30"/>
              <w:ind w:right="420"/>
              <w:jc w:val="right"/>
              <w:rPr>
                <w:rFonts w:ascii="Times New Roman" w:eastAsia="Times New Roman"/>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p>
        </w:tc>
        <w:tc>
          <w:tcPr>
            <w:tcW w:w="8505" w:type="dxa"/>
          </w:tcPr>
          <w:p w14:paraId="0C7D75FF">
            <w:pPr>
              <w:pStyle w:val="14"/>
              <w:spacing w:before="33"/>
              <w:ind w:left="55"/>
              <w:rPr>
                <w:sz w:val="21"/>
              </w:rPr>
            </w:pPr>
            <w:r>
              <w:rPr>
                <w:sz w:val="21"/>
              </w:rPr>
              <w:t>低氮燃烧</w:t>
            </w:r>
            <w:r>
              <w:rPr>
                <w:rFonts w:ascii="Times New Roman" w:eastAsia="Times New Roman"/>
                <w:sz w:val="21"/>
              </w:rPr>
              <w:t xml:space="preserve">+15m </w:t>
            </w:r>
            <w:r>
              <w:rPr>
                <w:sz w:val="21"/>
              </w:rPr>
              <w:t>排气筒（</w:t>
            </w:r>
            <w:r>
              <w:rPr>
                <w:rFonts w:ascii="Times New Roman" w:eastAsia="Times New Roman"/>
                <w:sz w:val="21"/>
              </w:rPr>
              <w:t>DA004</w:t>
            </w:r>
            <w:r>
              <w:rPr>
                <w:sz w:val="21"/>
              </w:rPr>
              <w:t>）</w:t>
            </w:r>
          </w:p>
        </w:tc>
        <w:tc>
          <w:tcPr>
            <w:tcW w:w="975" w:type="dxa"/>
          </w:tcPr>
          <w:p w14:paraId="3FD6DB0D">
            <w:pPr>
              <w:pStyle w:val="14"/>
              <w:spacing w:before="49"/>
              <w:ind w:left="11"/>
              <w:jc w:val="center"/>
              <w:rPr>
                <w:rFonts w:ascii="Times New Roman"/>
                <w:sz w:val="21"/>
              </w:rPr>
            </w:pPr>
            <w:r>
              <w:rPr>
                <w:rFonts w:ascii="Times New Roman"/>
                <w:w w:val="99"/>
                <w:sz w:val="21"/>
              </w:rPr>
              <w:t>5</w:t>
            </w:r>
          </w:p>
        </w:tc>
      </w:tr>
      <w:tr w14:paraId="2B410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743" w:type="dxa"/>
            <w:vMerge w:val="continue"/>
            <w:tcBorders>
              <w:top w:val="nil"/>
            </w:tcBorders>
          </w:tcPr>
          <w:p w14:paraId="61DE2644">
            <w:pPr>
              <w:rPr>
                <w:sz w:val="2"/>
                <w:szCs w:val="2"/>
              </w:rPr>
            </w:pPr>
          </w:p>
        </w:tc>
        <w:tc>
          <w:tcPr>
            <w:tcW w:w="588" w:type="dxa"/>
          </w:tcPr>
          <w:p w14:paraId="473961A9">
            <w:pPr>
              <w:pStyle w:val="14"/>
              <w:spacing w:before="9"/>
              <w:rPr>
                <w:rFonts w:ascii="Times New Roman"/>
                <w:sz w:val="23"/>
              </w:rPr>
            </w:pPr>
          </w:p>
          <w:p w14:paraId="6C7C1671">
            <w:pPr>
              <w:pStyle w:val="14"/>
              <w:ind w:left="60" w:right="52"/>
              <w:jc w:val="center"/>
              <w:rPr>
                <w:sz w:val="21"/>
              </w:rPr>
            </w:pPr>
            <w:r>
              <w:rPr>
                <w:sz w:val="21"/>
              </w:rPr>
              <w:t>废水</w:t>
            </w:r>
          </w:p>
        </w:tc>
        <w:tc>
          <w:tcPr>
            <w:tcW w:w="1449" w:type="dxa"/>
          </w:tcPr>
          <w:p w14:paraId="46C3CAC0">
            <w:pPr>
              <w:pStyle w:val="14"/>
              <w:spacing w:before="9"/>
              <w:rPr>
                <w:rFonts w:ascii="Times New Roman"/>
                <w:sz w:val="23"/>
              </w:rPr>
            </w:pPr>
          </w:p>
          <w:p w14:paraId="6F082B06">
            <w:pPr>
              <w:pStyle w:val="14"/>
              <w:ind w:left="69" w:right="66"/>
              <w:jc w:val="center"/>
              <w:rPr>
                <w:sz w:val="21"/>
              </w:rPr>
            </w:pPr>
            <w:r>
              <w:rPr>
                <w:sz w:val="21"/>
              </w:rPr>
              <w:t>生产过程</w:t>
            </w:r>
          </w:p>
        </w:tc>
        <w:tc>
          <w:tcPr>
            <w:tcW w:w="1812" w:type="dxa"/>
          </w:tcPr>
          <w:p w14:paraId="60551E88">
            <w:pPr>
              <w:pStyle w:val="14"/>
              <w:spacing w:line="272" w:lineRule="exact"/>
              <w:ind w:left="149"/>
              <w:rPr>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p>
          <w:p w14:paraId="3D3A092F">
            <w:pPr>
              <w:pStyle w:val="14"/>
              <w:spacing w:before="26" w:line="254" w:lineRule="exact"/>
              <w:ind w:left="65" w:right="56" w:firstLine="7"/>
              <w:rPr>
                <w:sz w:val="21"/>
              </w:rPr>
            </w:pPr>
            <w:r>
              <w:rPr>
                <w:rFonts w:ascii="Times New Roman" w:eastAsia="Times New Roman"/>
                <w:position w:val="2"/>
                <w:sz w:val="21"/>
              </w:rPr>
              <w:t>SS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vertAlign w:val="baseline"/>
              </w:rPr>
              <w:t>-N</w:t>
            </w:r>
            <w:r>
              <w:rPr>
                <w:position w:val="2"/>
                <w:sz w:val="21"/>
                <w:vertAlign w:val="baseline"/>
              </w:rPr>
              <w:t>、动植</w:t>
            </w:r>
            <w:r>
              <w:rPr>
                <w:w w:val="95"/>
                <w:sz w:val="21"/>
                <w:vertAlign w:val="baseline"/>
              </w:rPr>
              <w:t>物油、总氮、总磷</w:t>
            </w:r>
          </w:p>
        </w:tc>
        <w:tc>
          <w:tcPr>
            <w:tcW w:w="8505" w:type="dxa"/>
          </w:tcPr>
          <w:p w14:paraId="7B9C136F">
            <w:pPr>
              <w:pStyle w:val="14"/>
              <w:ind w:left="55"/>
              <w:rPr>
                <w:sz w:val="21"/>
              </w:rPr>
            </w:pPr>
            <w:r>
              <w:rPr>
                <w:sz w:val="21"/>
              </w:rPr>
              <w:t>①雨污分流、污污分流，生活污水经化粪池预处理；</w:t>
            </w:r>
          </w:p>
          <w:p w14:paraId="68150556">
            <w:pPr>
              <w:pStyle w:val="14"/>
              <w:spacing w:before="4"/>
              <w:ind w:left="55"/>
              <w:rPr>
                <w:sz w:val="21"/>
              </w:rPr>
            </w:pPr>
            <w:r>
              <w:rPr>
                <w:sz w:val="21"/>
              </w:rPr>
              <w:t xml:space="preserve">②污水处理站占地面积约为 </w:t>
            </w:r>
            <w:r>
              <w:rPr>
                <w:rFonts w:ascii="Times New Roman" w:hAnsi="Times New Roman" w:eastAsia="Times New Roman"/>
                <w:sz w:val="21"/>
              </w:rPr>
              <w:t>800m</w:t>
            </w:r>
            <w:r>
              <w:rPr>
                <w:rFonts w:ascii="Times New Roman" w:hAnsi="Times New Roman" w:eastAsia="Times New Roman"/>
                <w:position w:val="7"/>
                <w:sz w:val="13"/>
              </w:rPr>
              <w:t>2</w:t>
            </w:r>
            <w:r>
              <w:rPr>
                <w:sz w:val="21"/>
              </w:rPr>
              <w:t xml:space="preserve">，地埋式，污水处理站设计处理规模为 </w:t>
            </w:r>
            <w:r>
              <w:rPr>
                <w:rFonts w:ascii="Times New Roman" w:hAnsi="Times New Roman" w:eastAsia="Times New Roman"/>
                <w:sz w:val="21"/>
              </w:rPr>
              <w:t>800m</w:t>
            </w:r>
            <w:r>
              <w:rPr>
                <w:rFonts w:ascii="Times New Roman" w:hAnsi="Times New Roman" w:eastAsia="Times New Roman"/>
                <w:position w:val="7"/>
                <w:sz w:val="13"/>
              </w:rPr>
              <w:t>3</w:t>
            </w:r>
            <w:r>
              <w:rPr>
                <w:rFonts w:ascii="Times New Roman" w:hAnsi="Times New Roman" w:eastAsia="Times New Roman"/>
                <w:sz w:val="21"/>
              </w:rPr>
              <w:t>/d</w:t>
            </w:r>
            <w:r>
              <w:rPr>
                <w:sz w:val="21"/>
              </w:rPr>
              <w:t>；</w:t>
            </w:r>
          </w:p>
          <w:p w14:paraId="2B26B009">
            <w:pPr>
              <w:pStyle w:val="14"/>
              <w:spacing w:before="3" w:line="252" w:lineRule="exact"/>
              <w:ind w:left="55"/>
              <w:rPr>
                <w:sz w:val="21"/>
              </w:rPr>
            </w:pPr>
            <w:r>
              <w:rPr>
                <w:sz w:val="21"/>
              </w:rPr>
              <w:t>③生产废水收集至污水处理站的处理工艺为“预处理</w:t>
            </w:r>
            <w:r>
              <w:rPr>
                <w:rFonts w:ascii="Times New Roman" w:hAnsi="Times New Roman" w:eastAsia="Times New Roman"/>
                <w:sz w:val="21"/>
              </w:rPr>
              <w:t>+</w:t>
            </w:r>
            <w:r>
              <w:rPr>
                <w:sz w:val="21"/>
              </w:rPr>
              <w:t>水解酸化</w:t>
            </w:r>
            <w:r>
              <w:rPr>
                <w:rFonts w:ascii="Times New Roman" w:hAnsi="Times New Roman" w:eastAsia="Times New Roman"/>
                <w:sz w:val="21"/>
              </w:rPr>
              <w:t>+A/O+</w:t>
            </w:r>
            <w:r>
              <w:rPr>
                <w:sz w:val="21"/>
              </w:rPr>
              <w:t>混凝沉淀</w:t>
            </w:r>
            <w:r>
              <w:rPr>
                <w:rFonts w:ascii="Times New Roman" w:hAnsi="Times New Roman" w:eastAsia="Times New Roman"/>
                <w:sz w:val="21"/>
              </w:rPr>
              <w:t>+</w:t>
            </w:r>
            <w:r>
              <w:rPr>
                <w:sz w:val="21"/>
              </w:rPr>
              <w:t>消毒”</w:t>
            </w:r>
          </w:p>
        </w:tc>
        <w:tc>
          <w:tcPr>
            <w:tcW w:w="975" w:type="dxa"/>
          </w:tcPr>
          <w:p w14:paraId="52E02BD4">
            <w:pPr>
              <w:pStyle w:val="14"/>
              <w:rPr>
                <w:rFonts w:ascii="Times New Roman"/>
                <w:sz w:val="25"/>
              </w:rPr>
            </w:pPr>
          </w:p>
          <w:p w14:paraId="5681FD84">
            <w:pPr>
              <w:pStyle w:val="14"/>
              <w:ind w:left="45" w:right="34"/>
              <w:jc w:val="center"/>
              <w:rPr>
                <w:rFonts w:ascii="Times New Roman"/>
                <w:sz w:val="21"/>
              </w:rPr>
            </w:pPr>
            <w:r>
              <w:rPr>
                <w:rFonts w:ascii="Times New Roman"/>
                <w:sz w:val="21"/>
              </w:rPr>
              <w:t>620</w:t>
            </w:r>
          </w:p>
        </w:tc>
      </w:tr>
      <w:tr w14:paraId="373C6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743" w:type="dxa"/>
            <w:vMerge w:val="continue"/>
            <w:tcBorders>
              <w:top w:val="nil"/>
            </w:tcBorders>
          </w:tcPr>
          <w:p w14:paraId="281EFBCC">
            <w:pPr>
              <w:rPr>
                <w:sz w:val="2"/>
                <w:szCs w:val="2"/>
              </w:rPr>
            </w:pPr>
          </w:p>
        </w:tc>
        <w:tc>
          <w:tcPr>
            <w:tcW w:w="588" w:type="dxa"/>
            <w:vMerge w:val="restart"/>
          </w:tcPr>
          <w:p w14:paraId="7CF9C4B0">
            <w:pPr>
              <w:pStyle w:val="14"/>
              <w:rPr>
                <w:rFonts w:ascii="Times New Roman"/>
                <w:sz w:val="27"/>
              </w:rPr>
            </w:pPr>
          </w:p>
          <w:p w14:paraId="7BCF977D">
            <w:pPr>
              <w:pStyle w:val="14"/>
              <w:ind w:left="84"/>
              <w:rPr>
                <w:sz w:val="21"/>
              </w:rPr>
            </w:pPr>
            <w:r>
              <w:rPr>
                <w:sz w:val="21"/>
              </w:rPr>
              <w:t>噪声</w:t>
            </w:r>
          </w:p>
        </w:tc>
        <w:tc>
          <w:tcPr>
            <w:tcW w:w="1449" w:type="dxa"/>
          </w:tcPr>
          <w:p w14:paraId="14CEDA0C">
            <w:pPr>
              <w:pStyle w:val="14"/>
              <w:spacing w:before="1"/>
              <w:ind w:left="72" w:right="66"/>
              <w:jc w:val="center"/>
              <w:rPr>
                <w:sz w:val="21"/>
              </w:rPr>
            </w:pPr>
            <w:r>
              <w:rPr>
                <w:sz w:val="21"/>
              </w:rPr>
              <w:t>生产及辅助设</w:t>
            </w:r>
          </w:p>
          <w:p w14:paraId="43A42EA5">
            <w:pPr>
              <w:pStyle w:val="14"/>
              <w:spacing w:before="2" w:line="253" w:lineRule="exact"/>
              <w:ind w:left="8"/>
              <w:jc w:val="center"/>
              <w:rPr>
                <w:sz w:val="21"/>
              </w:rPr>
            </w:pPr>
            <w:r>
              <w:rPr>
                <w:w w:val="99"/>
                <w:sz w:val="21"/>
              </w:rPr>
              <w:t>备</w:t>
            </w:r>
          </w:p>
        </w:tc>
        <w:tc>
          <w:tcPr>
            <w:tcW w:w="1812" w:type="dxa"/>
          </w:tcPr>
          <w:p w14:paraId="4BCC2079">
            <w:pPr>
              <w:pStyle w:val="14"/>
              <w:spacing w:before="135"/>
              <w:ind w:left="62" w:right="53"/>
              <w:jc w:val="center"/>
              <w:rPr>
                <w:sz w:val="21"/>
              </w:rPr>
            </w:pPr>
            <w:r>
              <w:rPr>
                <w:sz w:val="21"/>
              </w:rPr>
              <w:t>噪声</w:t>
            </w:r>
          </w:p>
        </w:tc>
        <w:tc>
          <w:tcPr>
            <w:tcW w:w="8505" w:type="dxa"/>
          </w:tcPr>
          <w:p w14:paraId="647A66B9">
            <w:pPr>
              <w:pStyle w:val="14"/>
              <w:spacing w:before="135"/>
              <w:ind w:left="55"/>
              <w:rPr>
                <w:sz w:val="21"/>
              </w:rPr>
            </w:pPr>
            <w:r>
              <w:rPr>
                <w:sz w:val="21"/>
              </w:rPr>
              <w:t>震动设备加装减震基座，源强较大设备置于室内</w:t>
            </w:r>
          </w:p>
        </w:tc>
        <w:tc>
          <w:tcPr>
            <w:tcW w:w="975" w:type="dxa"/>
          </w:tcPr>
          <w:p w14:paraId="6096F90C">
            <w:pPr>
              <w:pStyle w:val="14"/>
              <w:spacing w:before="152"/>
              <w:ind w:left="11"/>
              <w:jc w:val="center"/>
              <w:rPr>
                <w:rFonts w:ascii="Times New Roman"/>
                <w:sz w:val="21"/>
              </w:rPr>
            </w:pPr>
            <w:r>
              <w:rPr>
                <w:rFonts w:ascii="Times New Roman"/>
                <w:w w:val="99"/>
                <w:sz w:val="21"/>
              </w:rPr>
              <w:t>7</w:t>
            </w:r>
          </w:p>
        </w:tc>
      </w:tr>
      <w:tr w14:paraId="29289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617E919A">
            <w:pPr>
              <w:rPr>
                <w:sz w:val="2"/>
                <w:szCs w:val="2"/>
              </w:rPr>
            </w:pPr>
          </w:p>
        </w:tc>
        <w:tc>
          <w:tcPr>
            <w:tcW w:w="588" w:type="dxa"/>
            <w:vMerge w:val="continue"/>
            <w:tcBorders>
              <w:top w:val="nil"/>
            </w:tcBorders>
          </w:tcPr>
          <w:p w14:paraId="067C1688">
            <w:pPr>
              <w:rPr>
                <w:sz w:val="2"/>
                <w:szCs w:val="2"/>
              </w:rPr>
            </w:pPr>
          </w:p>
        </w:tc>
        <w:tc>
          <w:tcPr>
            <w:tcW w:w="1449" w:type="dxa"/>
          </w:tcPr>
          <w:p w14:paraId="2BEE1F8B">
            <w:pPr>
              <w:pStyle w:val="14"/>
              <w:spacing w:before="34"/>
              <w:ind w:left="69" w:right="66"/>
              <w:jc w:val="center"/>
              <w:rPr>
                <w:sz w:val="21"/>
              </w:rPr>
            </w:pPr>
            <w:r>
              <w:rPr>
                <w:sz w:val="21"/>
              </w:rPr>
              <w:t>运输车辆</w:t>
            </w:r>
          </w:p>
        </w:tc>
        <w:tc>
          <w:tcPr>
            <w:tcW w:w="1812" w:type="dxa"/>
          </w:tcPr>
          <w:p w14:paraId="680C2FB5">
            <w:pPr>
              <w:pStyle w:val="14"/>
              <w:spacing w:before="34"/>
              <w:ind w:left="62" w:right="53"/>
              <w:jc w:val="center"/>
              <w:rPr>
                <w:sz w:val="21"/>
              </w:rPr>
            </w:pPr>
            <w:r>
              <w:rPr>
                <w:sz w:val="21"/>
              </w:rPr>
              <w:t>噪声</w:t>
            </w:r>
          </w:p>
        </w:tc>
        <w:tc>
          <w:tcPr>
            <w:tcW w:w="8505" w:type="dxa"/>
          </w:tcPr>
          <w:p w14:paraId="2B963B11">
            <w:pPr>
              <w:pStyle w:val="14"/>
              <w:spacing w:before="34"/>
              <w:ind w:left="55"/>
              <w:rPr>
                <w:sz w:val="21"/>
              </w:rPr>
            </w:pPr>
            <w:r>
              <w:rPr>
                <w:sz w:val="21"/>
              </w:rPr>
              <w:t>控制车速、禁止鸣笛</w:t>
            </w:r>
          </w:p>
        </w:tc>
        <w:tc>
          <w:tcPr>
            <w:tcW w:w="975" w:type="dxa"/>
          </w:tcPr>
          <w:p w14:paraId="7A0D7E7F">
            <w:pPr>
              <w:pStyle w:val="14"/>
              <w:spacing w:before="48"/>
              <w:ind w:left="11"/>
              <w:jc w:val="center"/>
              <w:rPr>
                <w:rFonts w:ascii="Times New Roman"/>
                <w:sz w:val="21"/>
              </w:rPr>
            </w:pPr>
            <w:r>
              <w:rPr>
                <w:rFonts w:ascii="Times New Roman"/>
                <w:w w:val="99"/>
                <w:sz w:val="21"/>
              </w:rPr>
              <w:t>2</w:t>
            </w:r>
          </w:p>
        </w:tc>
      </w:tr>
      <w:tr w14:paraId="03984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743" w:type="dxa"/>
            <w:vMerge w:val="continue"/>
            <w:tcBorders>
              <w:top w:val="nil"/>
            </w:tcBorders>
          </w:tcPr>
          <w:p w14:paraId="4588CF47">
            <w:pPr>
              <w:rPr>
                <w:sz w:val="2"/>
                <w:szCs w:val="2"/>
              </w:rPr>
            </w:pPr>
          </w:p>
        </w:tc>
        <w:tc>
          <w:tcPr>
            <w:tcW w:w="588" w:type="dxa"/>
            <w:vMerge w:val="restart"/>
          </w:tcPr>
          <w:p w14:paraId="61E5CF3F">
            <w:pPr>
              <w:pStyle w:val="14"/>
              <w:rPr>
                <w:rFonts w:ascii="Times New Roman"/>
                <w:sz w:val="20"/>
              </w:rPr>
            </w:pPr>
          </w:p>
          <w:p w14:paraId="60A16818">
            <w:pPr>
              <w:pStyle w:val="14"/>
              <w:rPr>
                <w:rFonts w:ascii="Times New Roman"/>
                <w:sz w:val="20"/>
              </w:rPr>
            </w:pPr>
          </w:p>
          <w:p w14:paraId="55C1D4A2">
            <w:pPr>
              <w:pStyle w:val="14"/>
              <w:rPr>
                <w:rFonts w:ascii="Times New Roman"/>
                <w:sz w:val="20"/>
              </w:rPr>
            </w:pPr>
          </w:p>
          <w:p w14:paraId="136B62E6">
            <w:pPr>
              <w:pStyle w:val="14"/>
              <w:spacing w:before="8"/>
              <w:rPr>
                <w:rFonts w:ascii="Times New Roman"/>
                <w:sz w:val="26"/>
              </w:rPr>
            </w:pPr>
          </w:p>
          <w:p w14:paraId="5E4B95BD">
            <w:pPr>
              <w:pStyle w:val="14"/>
              <w:ind w:left="84"/>
              <w:rPr>
                <w:sz w:val="21"/>
              </w:rPr>
            </w:pPr>
            <w:r>
              <w:rPr>
                <w:sz w:val="21"/>
              </w:rPr>
              <w:t>固废</w:t>
            </w:r>
          </w:p>
        </w:tc>
        <w:tc>
          <w:tcPr>
            <w:tcW w:w="1449" w:type="dxa"/>
            <w:vMerge w:val="restart"/>
          </w:tcPr>
          <w:p w14:paraId="5EB2180D">
            <w:pPr>
              <w:pStyle w:val="14"/>
              <w:rPr>
                <w:rFonts w:ascii="Times New Roman"/>
                <w:sz w:val="20"/>
              </w:rPr>
            </w:pPr>
          </w:p>
          <w:p w14:paraId="07B649F6">
            <w:pPr>
              <w:pStyle w:val="14"/>
              <w:rPr>
                <w:rFonts w:ascii="Times New Roman"/>
                <w:sz w:val="20"/>
              </w:rPr>
            </w:pPr>
          </w:p>
          <w:p w14:paraId="506C2EC4">
            <w:pPr>
              <w:pStyle w:val="14"/>
              <w:rPr>
                <w:rFonts w:ascii="Times New Roman"/>
                <w:sz w:val="20"/>
              </w:rPr>
            </w:pPr>
          </w:p>
          <w:p w14:paraId="513DE538">
            <w:pPr>
              <w:pStyle w:val="14"/>
              <w:spacing w:before="132"/>
              <w:ind w:left="302"/>
              <w:rPr>
                <w:sz w:val="21"/>
              </w:rPr>
            </w:pPr>
            <w:r>
              <w:rPr>
                <w:sz w:val="21"/>
              </w:rPr>
              <w:t>生产过程</w:t>
            </w:r>
          </w:p>
        </w:tc>
        <w:tc>
          <w:tcPr>
            <w:tcW w:w="1812" w:type="dxa"/>
          </w:tcPr>
          <w:p w14:paraId="3935854F">
            <w:pPr>
              <w:pStyle w:val="14"/>
              <w:rPr>
                <w:rFonts w:ascii="Times New Roman"/>
                <w:sz w:val="20"/>
              </w:rPr>
            </w:pPr>
          </w:p>
          <w:p w14:paraId="0B628E36">
            <w:pPr>
              <w:pStyle w:val="14"/>
              <w:spacing w:before="179"/>
              <w:ind w:right="476"/>
              <w:jc w:val="right"/>
              <w:rPr>
                <w:sz w:val="21"/>
              </w:rPr>
            </w:pPr>
            <w:r>
              <w:rPr>
                <w:w w:val="95"/>
                <w:sz w:val="21"/>
              </w:rPr>
              <w:t>一般废物</w:t>
            </w:r>
          </w:p>
        </w:tc>
        <w:tc>
          <w:tcPr>
            <w:tcW w:w="8505" w:type="dxa"/>
          </w:tcPr>
          <w:p w14:paraId="2CF58450">
            <w:pPr>
              <w:pStyle w:val="14"/>
              <w:spacing w:before="1"/>
              <w:ind w:left="55"/>
              <w:rPr>
                <w:sz w:val="21"/>
              </w:rPr>
            </w:pPr>
            <w:r>
              <w:rPr>
                <w:sz w:val="21"/>
              </w:rPr>
              <w:t>①分类收集、安全暂存；</w:t>
            </w:r>
          </w:p>
          <w:p w14:paraId="4E9AE22F">
            <w:pPr>
              <w:pStyle w:val="14"/>
              <w:spacing w:before="2" w:line="242" w:lineRule="auto"/>
              <w:ind w:left="55" w:right="290"/>
              <w:rPr>
                <w:sz w:val="21"/>
              </w:rPr>
            </w:pPr>
            <w:r>
              <w:rPr>
                <w:sz w:val="21"/>
              </w:rPr>
              <w:t xml:space="preserve">②设置一间建筑面积 </w:t>
            </w:r>
            <w:r>
              <w:rPr>
                <w:rFonts w:ascii="Times New Roman" w:hAnsi="Times New Roman" w:eastAsia="Times New Roman"/>
                <w:sz w:val="21"/>
              </w:rPr>
              <w:t>50m</w:t>
            </w:r>
            <w:r>
              <w:rPr>
                <w:rFonts w:ascii="Times New Roman" w:hAnsi="Times New Roman" w:eastAsia="Times New Roman"/>
                <w:position w:val="7"/>
                <w:sz w:val="13"/>
              </w:rPr>
              <w:t xml:space="preserve">2 </w:t>
            </w:r>
            <w:r>
              <w:rPr>
                <w:sz w:val="21"/>
              </w:rPr>
              <w:t xml:space="preserve">的无害化暂存间，收集暂存屠宰过程中产生的毛及猪肠胃内容物，内设 </w:t>
            </w:r>
            <w:r>
              <w:rPr>
                <w:rFonts w:ascii="Times New Roman" w:hAnsi="Times New Roman" w:eastAsia="Times New Roman"/>
                <w:sz w:val="21"/>
              </w:rPr>
              <w:t xml:space="preserve">1 </w:t>
            </w:r>
            <w:r>
              <w:rPr>
                <w:sz w:val="21"/>
              </w:rPr>
              <w:t>台冷柜，定期交由无害化处理中心处置，不在厂区内填埋或焚烧；</w:t>
            </w:r>
          </w:p>
          <w:p w14:paraId="589EF2C6">
            <w:pPr>
              <w:pStyle w:val="14"/>
              <w:spacing w:before="1" w:line="252" w:lineRule="exact"/>
              <w:ind w:left="55"/>
              <w:rPr>
                <w:rFonts w:ascii="Times New Roman" w:hAnsi="Times New Roman" w:eastAsia="Times New Roman"/>
                <w:sz w:val="13"/>
              </w:rPr>
            </w:pPr>
            <w:r>
              <w:rPr>
                <w:sz w:val="21"/>
              </w:rPr>
              <w:t xml:space="preserve">③屠宰加工间设有 </w:t>
            </w:r>
            <w:r>
              <w:rPr>
                <w:rFonts w:ascii="Times New Roman" w:hAnsi="Times New Roman" w:eastAsia="Times New Roman"/>
                <w:sz w:val="21"/>
              </w:rPr>
              <w:t xml:space="preserve">1 </w:t>
            </w:r>
            <w:r>
              <w:rPr>
                <w:sz w:val="21"/>
              </w:rPr>
              <w:t xml:space="preserve">处一般固废暂存间，占地面积 </w:t>
            </w:r>
            <w:r>
              <w:rPr>
                <w:rFonts w:ascii="Times New Roman" w:hAnsi="Times New Roman" w:eastAsia="Times New Roman"/>
                <w:sz w:val="21"/>
              </w:rPr>
              <w:t>50m</w:t>
            </w:r>
            <w:r>
              <w:rPr>
                <w:rFonts w:ascii="Times New Roman" w:hAnsi="Times New Roman" w:eastAsia="Times New Roman"/>
                <w:position w:val="7"/>
                <w:sz w:val="13"/>
              </w:rPr>
              <w:t>2</w:t>
            </w:r>
          </w:p>
        </w:tc>
        <w:tc>
          <w:tcPr>
            <w:tcW w:w="975" w:type="dxa"/>
          </w:tcPr>
          <w:p w14:paraId="1839294D">
            <w:pPr>
              <w:pStyle w:val="14"/>
              <w:rPr>
                <w:rFonts w:ascii="Times New Roman"/>
                <w:sz w:val="22"/>
              </w:rPr>
            </w:pPr>
          </w:p>
          <w:p w14:paraId="18E6FE87">
            <w:pPr>
              <w:pStyle w:val="14"/>
              <w:spacing w:before="170"/>
              <w:ind w:left="42" w:right="36"/>
              <w:jc w:val="center"/>
              <w:rPr>
                <w:rFonts w:ascii="Times New Roman"/>
                <w:sz w:val="21"/>
              </w:rPr>
            </w:pPr>
            <w:r>
              <w:rPr>
                <w:rFonts w:ascii="Times New Roman"/>
                <w:sz w:val="21"/>
              </w:rPr>
              <w:t>50</w:t>
            </w:r>
          </w:p>
        </w:tc>
      </w:tr>
      <w:tr w14:paraId="7BE42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743" w:type="dxa"/>
            <w:vMerge w:val="continue"/>
            <w:tcBorders>
              <w:top w:val="nil"/>
            </w:tcBorders>
          </w:tcPr>
          <w:p w14:paraId="1229D4C9">
            <w:pPr>
              <w:rPr>
                <w:sz w:val="2"/>
                <w:szCs w:val="2"/>
              </w:rPr>
            </w:pPr>
          </w:p>
        </w:tc>
        <w:tc>
          <w:tcPr>
            <w:tcW w:w="588" w:type="dxa"/>
            <w:vMerge w:val="continue"/>
            <w:tcBorders>
              <w:top w:val="nil"/>
            </w:tcBorders>
          </w:tcPr>
          <w:p w14:paraId="35D43A93">
            <w:pPr>
              <w:rPr>
                <w:sz w:val="2"/>
                <w:szCs w:val="2"/>
              </w:rPr>
            </w:pPr>
          </w:p>
        </w:tc>
        <w:tc>
          <w:tcPr>
            <w:tcW w:w="1449" w:type="dxa"/>
            <w:vMerge w:val="continue"/>
            <w:tcBorders>
              <w:top w:val="nil"/>
            </w:tcBorders>
          </w:tcPr>
          <w:p w14:paraId="4F5E9878">
            <w:pPr>
              <w:rPr>
                <w:sz w:val="2"/>
                <w:szCs w:val="2"/>
              </w:rPr>
            </w:pPr>
          </w:p>
        </w:tc>
        <w:tc>
          <w:tcPr>
            <w:tcW w:w="1812" w:type="dxa"/>
          </w:tcPr>
          <w:p w14:paraId="35FA4C9C">
            <w:pPr>
              <w:pStyle w:val="14"/>
              <w:spacing w:before="7"/>
              <w:rPr>
                <w:rFonts w:ascii="Times New Roman"/>
                <w:sz w:val="23"/>
              </w:rPr>
            </w:pPr>
          </w:p>
          <w:p w14:paraId="7300CB30">
            <w:pPr>
              <w:pStyle w:val="14"/>
              <w:spacing w:before="1"/>
              <w:ind w:right="476"/>
              <w:jc w:val="right"/>
              <w:rPr>
                <w:sz w:val="21"/>
              </w:rPr>
            </w:pPr>
            <w:r>
              <w:rPr>
                <w:w w:val="95"/>
                <w:sz w:val="21"/>
              </w:rPr>
              <w:t>危险废物</w:t>
            </w:r>
          </w:p>
        </w:tc>
        <w:tc>
          <w:tcPr>
            <w:tcW w:w="8505" w:type="dxa"/>
          </w:tcPr>
          <w:p w14:paraId="2906AA95">
            <w:pPr>
              <w:pStyle w:val="14"/>
              <w:spacing w:before="1"/>
              <w:ind w:left="55"/>
              <w:rPr>
                <w:sz w:val="21"/>
              </w:rPr>
            </w:pPr>
            <w:r>
              <w:rPr>
                <w:sz w:val="21"/>
              </w:rPr>
              <w:t>①分类收集、安全暂存；</w:t>
            </w:r>
          </w:p>
          <w:p w14:paraId="5D1C53C3">
            <w:pPr>
              <w:pStyle w:val="14"/>
              <w:spacing w:before="2"/>
              <w:ind w:left="55"/>
              <w:rPr>
                <w:sz w:val="21"/>
              </w:rPr>
            </w:pPr>
            <w:r>
              <w:rPr>
                <w:sz w:val="21"/>
              </w:rPr>
              <w:t xml:space="preserve">②设置危险废物暂存间，占面积约 </w:t>
            </w:r>
            <w:r>
              <w:rPr>
                <w:rFonts w:ascii="Times New Roman" w:hAnsi="Times New Roman" w:eastAsia="Times New Roman"/>
                <w:sz w:val="21"/>
              </w:rPr>
              <w:t>100m</w:t>
            </w:r>
            <w:r>
              <w:rPr>
                <w:rFonts w:ascii="Times New Roman" w:hAnsi="Times New Roman" w:eastAsia="Times New Roman"/>
                <w:position w:val="7"/>
                <w:sz w:val="13"/>
              </w:rPr>
              <w:t>2</w:t>
            </w:r>
            <w:r>
              <w:rPr>
                <w:sz w:val="21"/>
              </w:rPr>
              <w:t xml:space="preserve">，其中无害化暂存间 </w:t>
            </w:r>
            <w:r>
              <w:rPr>
                <w:rFonts w:ascii="Times New Roman" w:hAnsi="Times New Roman" w:eastAsia="Times New Roman"/>
                <w:sz w:val="21"/>
              </w:rPr>
              <w:t>80m</w:t>
            </w:r>
            <w:r>
              <w:rPr>
                <w:rFonts w:ascii="Times New Roman" w:hAnsi="Times New Roman" w:eastAsia="Times New Roman"/>
                <w:position w:val="7"/>
                <w:sz w:val="13"/>
              </w:rPr>
              <w:t>2</w:t>
            </w:r>
            <w:r>
              <w:rPr>
                <w:sz w:val="21"/>
              </w:rPr>
              <w:t>；</w:t>
            </w:r>
          </w:p>
          <w:p w14:paraId="69890583">
            <w:pPr>
              <w:pStyle w:val="14"/>
              <w:spacing w:before="5" w:line="251" w:lineRule="exact"/>
              <w:ind w:left="55"/>
              <w:rPr>
                <w:sz w:val="21"/>
              </w:rPr>
            </w:pPr>
            <w:r>
              <w:rPr>
                <w:sz w:val="21"/>
              </w:rPr>
              <w:t>③集中收集后交由有资质的单位处理处置。</w:t>
            </w:r>
          </w:p>
        </w:tc>
        <w:tc>
          <w:tcPr>
            <w:tcW w:w="975" w:type="dxa"/>
          </w:tcPr>
          <w:p w14:paraId="2F947EAD">
            <w:pPr>
              <w:pStyle w:val="14"/>
              <w:spacing w:before="10"/>
              <w:rPr>
                <w:rFonts w:ascii="Times New Roman"/>
                <w:sz w:val="24"/>
              </w:rPr>
            </w:pPr>
          </w:p>
          <w:p w14:paraId="2C3D3A35">
            <w:pPr>
              <w:pStyle w:val="14"/>
              <w:ind w:left="42" w:right="36"/>
              <w:jc w:val="center"/>
              <w:rPr>
                <w:rFonts w:ascii="Times New Roman"/>
                <w:sz w:val="21"/>
              </w:rPr>
            </w:pPr>
            <w:r>
              <w:rPr>
                <w:rFonts w:ascii="Times New Roman"/>
                <w:sz w:val="21"/>
              </w:rPr>
              <w:t>10</w:t>
            </w:r>
          </w:p>
        </w:tc>
      </w:tr>
      <w:tr w14:paraId="3AD98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3" w:type="dxa"/>
            <w:vMerge w:val="continue"/>
            <w:tcBorders>
              <w:top w:val="nil"/>
            </w:tcBorders>
          </w:tcPr>
          <w:p w14:paraId="3C4E9DB5">
            <w:pPr>
              <w:rPr>
                <w:sz w:val="2"/>
                <w:szCs w:val="2"/>
              </w:rPr>
            </w:pPr>
          </w:p>
        </w:tc>
        <w:tc>
          <w:tcPr>
            <w:tcW w:w="588" w:type="dxa"/>
            <w:vMerge w:val="continue"/>
            <w:tcBorders>
              <w:top w:val="nil"/>
            </w:tcBorders>
          </w:tcPr>
          <w:p w14:paraId="6D0B318B">
            <w:pPr>
              <w:rPr>
                <w:sz w:val="2"/>
                <w:szCs w:val="2"/>
              </w:rPr>
            </w:pPr>
          </w:p>
        </w:tc>
        <w:tc>
          <w:tcPr>
            <w:tcW w:w="1449" w:type="dxa"/>
          </w:tcPr>
          <w:p w14:paraId="1BB4E4D2">
            <w:pPr>
              <w:pStyle w:val="14"/>
              <w:spacing w:before="33"/>
              <w:ind w:left="72" w:right="64"/>
              <w:jc w:val="center"/>
              <w:rPr>
                <w:sz w:val="21"/>
              </w:rPr>
            </w:pPr>
            <w:r>
              <w:rPr>
                <w:sz w:val="21"/>
              </w:rPr>
              <w:t>办公、生活</w:t>
            </w:r>
          </w:p>
        </w:tc>
        <w:tc>
          <w:tcPr>
            <w:tcW w:w="1812" w:type="dxa"/>
          </w:tcPr>
          <w:p w14:paraId="47BC7C27">
            <w:pPr>
              <w:pStyle w:val="14"/>
              <w:spacing w:before="33"/>
              <w:ind w:right="476"/>
              <w:jc w:val="right"/>
              <w:rPr>
                <w:sz w:val="21"/>
              </w:rPr>
            </w:pPr>
            <w:r>
              <w:rPr>
                <w:w w:val="95"/>
                <w:sz w:val="21"/>
              </w:rPr>
              <w:t>生活垃圾</w:t>
            </w:r>
          </w:p>
        </w:tc>
        <w:tc>
          <w:tcPr>
            <w:tcW w:w="8505" w:type="dxa"/>
          </w:tcPr>
          <w:p w14:paraId="498ECAE7">
            <w:pPr>
              <w:pStyle w:val="14"/>
              <w:spacing w:before="33"/>
              <w:ind w:left="55"/>
              <w:rPr>
                <w:sz w:val="21"/>
              </w:rPr>
            </w:pPr>
            <w:r>
              <w:rPr>
                <w:sz w:val="21"/>
              </w:rPr>
              <w:t>加强管理，设临时垃圾箱，统一送环卫部门处理</w:t>
            </w:r>
          </w:p>
        </w:tc>
        <w:tc>
          <w:tcPr>
            <w:tcW w:w="975" w:type="dxa"/>
          </w:tcPr>
          <w:p w14:paraId="0AF32CD5">
            <w:pPr>
              <w:pStyle w:val="14"/>
              <w:spacing w:before="49"/>
              <w:ind w:left="11"/>
              <w:jc w:val="center"/>
              <w:rPr>
                <w:rFonts w:ascii="Times New Roman"/>
                <w:sz w:val="21"/>
              </w:rPr>
            </w:pPr>
            <w:r>
              <w:rPr>
                <w:rFonts w:ascii="Times New Roman"/>
                <w:w w:val="99"/>
                <w:sz w:val="21"/>
              </w:rPr>
              <w:t>1</w:t>
            </w:r>
          </w:p>
        </w:tc>
      </w:tr>
      <w:tr w14:paraId="32002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331" w:type="dxa"/>
            <w:gridSpan w:val="2"/>
          </w:tcPr>
          <w:p w14:paraId="54BE2F22">
            <w:pPr>
              <w:pStyle w:val="14"/>
              <w:spacing w:before="137" w:line="242" w:lineRule="auto"/>
              <w:ind w:left="140" w:right="129"/>
              <w:rPr>
                <w:sz w:val="21"/>
              </w:rPr>
            </w:pPr>
            <w:r>
              <w:rPr>
                <w:sz w:val="21"/>
              </w:rPr>
              <w:t>地下水及土壤防治措施</w:t>
            </w:r>
          </w:p>
        </w:tc>
        <w:tc>
          <w:tcPr>
            <w:tcW w:w="11766" w:type="dxa"/>
            <w:gridSpan w:val="3"/>
          </w:tcPr>
          <w:p w14:paraId="33F3BA3E">
            <w:pPr>
              <w:pStyle w:val="14"/>
              <w:spacing w:line="244" w:lineRule="auto"/>
              <w:ind w:left="57" w:right="104"/>
              <w:rPr>
                <w:sz w:val="21"/>
              </w:rPr>
            </w:pPr>
            <w:r>
              <w:rPr>
                <w:spacing w:val="-4"/>
                <w:w w:val="99"/>
                <w:sz w:val="21"/>
              </w:rPr>
              <w:t>①对污水处理站、屠宰车间、待宰车间等作为重点防渗区，防渗要求依据《危险废物贮存污染控制标准》</w:t>
            </w:r>
            <w:r>
              <w:rPr>
                <w:spacing w:val="-1"/>
                <w:w w:val="99"/>
                <w:sz w:val="21"/>
              </w:rPr>
              <w:t>（</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0"/>
                <w:w w:val="99"/>
                <w:sz w:val="21"/>
              </w:rPr>
              <w:t>18597</w:t>
            </w:r>
            <w:r>
              <w:rPr>
                <w:rFonts w:ascii="Times New Roman" w:hAnsi="Times New Roman" w:eastAsia="Times New Roman"/>
                <w:spacing w:val="-3"/>
                <w:w w:val="99"/>
                <w:sz w:val="21"/>
              </w:rPr>
              <w:t>-</w:t>
            </w:r>
            <w:r>
              <w:rPr>
                <w:rFonts w:ascii="Times New Roman" w:hAnsi="Times New Roman" w:eastAsia="Times New Roman"/>
                <w:spacing w:val="0"/>
                <w:w w:val="99"/>
                <w:sz w:val="21"/>
              </w:rPr>
              <w:t>202</w:t>
            </w:r>
            <w:r>
              <w:rPr>
                <w:rFonts w:ascii="Times New Roman" w:hAnsi="Times New Roman" w:eastAsia="Times New Roman"/>
                <w:spacing w:val="-2"/>
                <w:w w:val="99"/>
                <w:sz w:val="21"/>
              </w:rPr>
              <w:t>3</w:t>
            </w:r>
            <w:r>
              <w:rPr>
                <w:spacing w:val="-104"/>
                <w:w w:val="99"/>
                <w:sz w:val="21"/>
              </w:rPr>
              <w:t>）</w:t>
            </w:r>
            <w:r>
              <w:rPr>
                <w:spacing w:val="-1"/>
                <w:w w:val="99"/>
                <w:sz w:val="21"/>
              </w:rPr>
              <w:t>，要</w:t>
            </w:r>
            <w:r>
              <w:rPr>
                <w:spacing w:val="-1"/>
                <w:sz w:val="21"/>
              </w:rPr>
              <w:t>求渗透系数</w:t>
            </w:r>
            <w:r>
              <w:rPr>
                <w:rFonts w:ascii="Times New Roman" w:hAnsi="Times New Roman" w:eastAsia="Times New Roman"/>
                <w:spacing w:val="-1"/>
                <w:sz w:val="21"/>
              </w:rPr>
              <w:t>≤10</w:t>
            </w:r>
            <w:r>
              <w:rPr>
                <w:rFonts w:ascii="Times New Roman" w:hAnsi="Times New Roman" w:eastAsia="Times New Roman"/>
                <w:spacing w:val="-1"/>
                <w:position w:val="7"/>
                <w:sz w:val="13"/>
              </w:rPr>
              <w:t>-10</w:t>
            </w:r>
            <w:r>
              <w:rPr>
                <w:rFonts w:ascii="Times New Roman" w:hAnsi="Times New Roman" w:eastAsia="Times New Roman"/>
                <w:spacing w:val="-1"/>
                <w:sz w:val="21"/>
              </w:rPr>
              <w:t>cm/s</w:t>
            </w:r>
            <w:r>
              <w:rPr>
                <w:spacing w:val="-4"/>
                <w:sz w:val="21"/>
              </w:rPr>
              <w:t xml:space="preserve">；其余工作区防渗要求为：防渗层等效黏土 </w:t>
            </w:r>
            <w:r>
              <w:rPr>
                <w:rFonts w:ascii="Times New Roman" w:hAnsi="Times New Roman" w:eastAsia="Times New Roman"/>
                <w:sz w:val="21"/>
              </w:rPr>
              <w:t>Mb≥1.5m</w:t>
            </w:r>
            <w:r>
              <w:rPr>
                <w:sz w:val="21"/>
              </w:rPr>
              <w:t>，要求渗透系</w:t>
            </w:r>
            <w:r>
              <w:rPr>
                <w:rFonts w:ascii="Times New Roman" w:hAnsi="Times New Roman" w:eastAsia="Times New Roman"/>
                <w:sz w:val="21"/>
              </w:rPr>
              <w:t>≤1.0×10</w:t>
            </w:r>
            <w:r>
              <w:rPr>
                <w:rFonts w:ascii="Times New Roman" w:hAnsi="Times New Roman" w:eastAsia="Times New Roman"/>
                <w:position w:val="7"/>
                <w:sz w:val="13"/>
              </w:rPr>
              <w:t>-7</w:t>
            </w:r>
            <w:r>
              <w:rPr>
                <w:rFonts w:ascii="Times New Roman" w:hAnsi="Times New Roman" w:eastAsia="Times New Roman"/>
                <w:sz w:val="21"/>
              </w:rPr>
              <w:t>cm/s</w:t>
            </w:r>
            <w:r>
              <w:rPr>
                <w:sz w:val="21"/>
              </w:rPr>
              <w:t>。</w:t>
            </w:r>
          </w:p>
          <w:p w14:paraId="5BE16CAA">
            <w:pPr>
              <w:pStyle w:val="14"/>
              <w:spacing w:line="248" w:lineRule="exact"/>
              <w:ind w:left="57"/>
              <w:rPr>
                <w:sz w:val="21"/>
              </w:rPr>
            </w:pPr>
            <w:r>
              <w:rPr>
                <w:sz w:val="21"/>
              </w:rPr>
              <w:t xml:space="preserve">②设置 </w:t>
            </w:r>
            <w:r>
              <w:rPr>
                <w:rFonts w:ascii="Times New Roman" w:hAnsi="Times New Roman" w:eastAsia="Times New Roman"/>
                <w:sz w:val="21"/>
              </w:rPr>
              <w:t xml:space="preserve">1 </w:t>
            </w:r>
            <w:r>
              <w:rPr>
                <w:sz w:val="21"/>
              </w:rPr>
              <w:t>个地下水监测井。</w:t>
            </w:r>
          </w:p>
        </w:tc>
        <w:tc>
          <w:tcPr>
            <w:tcW w:w="975" w:type="dxa"/>
          </w:tcPr>
          <w:p w14:paraId="2099B3B9">
            <w:pPr>
              <w:pStyle w:val="14"/>
              <w:rPr>
                <w:rFonts w:ascii="Times New Roman"/>
                <w:sz w:val="25"/>
              </w:rPr>
            </w:pPr>
          </w:p>
          <w:p w14:paraId="4B7BB0DF">
            <w:pPr>
              <w:pStyle w:val="14"/>
              <w:ind w:left="11"/>
              <w:jc w:val="center"/>
              <w:rPr>
                <w:rFonts w:ascii="Times New Roman"/>
                <w:sz w:val="21"/>
              </w:rPr>
            </w:pPr>
            <w:r>
              <w:rPr>
                <w:rFonts w:ascii="Times New Roman"/>
                <w:w w:val="99"/>
                <w:sz w:val="21"/>
              </w:rPr>
              <w:t>2</w:t>
            </w:r>
          </w:p>
        </w:tc>
      </w:tr>
      <w:tr w14:paraId="61B57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331" w:type="dxa"/>
            <w:gridSpan w:val="2"/>
            <w:vMerge w:val="restart"/>
          </w:tcPr>
          <w:p w14:paraId="580A1578">
            <w:pPr>
              <w:pStyle w:val="14"/>
              <w:rPr>
                <w:rFonts w:ascii="Times New Roman"/>
                <w:sz w:val="20"/>
              </w:rPr>
            </w:pPr>
          </w:p>
          <w:p w14:paraId="54476E4B">
            <w:pPr>
              <w:pStyle w:val="14"/>
              <w:spacing w:before="10"/>
              <w:rPr>
                <w:rFonts w:ascii="Times New Roman"/>
                <w:sz w:val="27"/>
              </w:rPr>
            </w:pPr>
          </w:p>
          <w:p w14:paraId="197359D4">
            <w:pPr>
              <w:pStyle w:val="14"/>
              <w:ind w:left="243"/>
              <w:rPr>
                <w:sz w:val="21"/>
              </w:rPr>
            </w:pPr>
            <w:r>
              <w:rPr>
                <w:sz w:val="21"/>
              </w:rPr>
              <w:t>环境风险</w:t>
            </w:r>
          </w:p>
        </w:tc>
        <w:tc>
          <w:tcPr>
            <w:tcW w:w="11766" w:type="dxa"/>
            <w:gridSpan w:val="3"/>
          </w:tcPr>
          <w:p w14:paraId="67D64013">
            <w:pPr>
              <w:pStyle w:val="14"/>
              <w:spacing w:before="1"/>
              <w:ind w:left="57"/>
              <w:rPr>
                <w:sz w:val="21"/>
              </w:rPr>
            </w:pPr>
            <w:r>
              <w:rPr>
                <w:sz w:val="21"/>
              </w:rPr>
              <w:t>①设置地下水监测井及监测计划；</w:t>
            </w:r>
          </w:p>
          <w:p w14:paraId="7E39EE37">
            <w:pPr>
              <w:pStyle w:val="14"/>
              <w:spacing w:before="2"/>
              <w:ind w:left="57"/>
              <w:rPr>
                <w:sz w:val="21"/>
              </w:rPr>
            </w:pPr>
            <w:r>
              <w:rPr>
                <w:sz w:val="21"/>
              </w:rPr>
              <w:t>②雨水排口及废水排放口需设置转换阀门；</w:t>
            </w:r>
          </w:p>
          <w:p w14:paraId="7A017467">
            <w:pPr>
              <w:pStyle w:val="14"/>
              <w:spacing w:before="5" w:line="251" w:lineRule="exact"/>
              <w:ind w:left="57"/>
              <w:rPr>
                <w:sz w:val="21"/>
              </w:rPr>
            </w:pPr>
            <w:r>
              <w:rPr>
                <w:sz w:val="21"/>
              </w:rPr>
              <w:t>③采取完善、有效的厂区防渗处理措施。</w:t>
            </w:r>
          </w:p>
        </w:tc>
        <w:tc>
          <w:tcPr>
            <w:tcW w:w="975" w:type="dxa"/>
          </w:tcPr>
          <w:p w14:paraId="298D11C9">
            <w:pPr>
              <w:pStyle w:val="14"/>
              <w:spacing w:before="10"/>
              <w:rPr>
                <w:rFonts w:ascii="Times New Roman"/>
                <w:sz w:val="24"/>
              </w:rPr>
            </w:pPr>
          </w:p>
          <w:p w14:paraId="1088531C">
            <w:pPr>
              <w:pStyle w:val="14"/>
              <w:ind w:left="11"/>
              <w:jc w:val="center"/>
              <w:rPr>
                <w:rFonts w:ascii="Times New Roman"/>
                <w:sz w:val="21"/>
              </w:rPr>
            </w:pPr>
            <w:r>
              <w:rPr>
                <w:rFonts w:ascii="Times New Roman"/>
                <w:w w:val="99"/>
                <w:sz w:val="21"/>
              </w:rPr>
              <w:t>1</w:t>
            </w:r>
          </w:p>
        </w:tc>
      </w:tr>
      <w:tr w14:paraId="49CF1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331" w:type="dxa"/>
            <w:gridSpan w:val="2"/>
            <w:vMerge w:val="continue"/>
            <w:tcBorders>
              <w:top w:val="nil"/>
            </w:tcBorders>
          </w:tcPr>
          <w:p w14:paraId="7C8F7A79">
            <w:pPr>
              <w:rPr>
                <w:sz w:val="2"/>
                <w:szCs w:val="2"/>
              </w:rPr>
            </w:pPr>
          </w:p>
        </w:tc>
        <w:tc>
          <w:tcPr>
            <w:tcW w:w="11766" w:type="dxa"/>
            <w:gridSpan w:val="3"/>
          </w:tcPr>
          <w:p w14:paraId="1A02FF2E">
            <w:pPr>
              <w:pStyle w:val="14"/>
              <w:spacing w:before="1" w:line="270" w:lineRule="atLeast"/>
              <w:ind w:left="57" w:right="84"/>
              <w:rPr>
                <w:sz w:val="21"/>
              </w:rPr>
            </w:pPr>
            <w:r>
              <w:rPr>
                <w:sz w:val="21"/>
              </w:rPr>
              <w:t>拟将污水处理站调节池（</w:t>
            </w:r>
            <w:r>
              <w:rPr>
                <w:spacing w:val="-7"/>
                <w:sz w:val="21"/>
              </w:rPr>
              <w:t xml:space="preserve">调节池建设容积为 </w:t>
            </w:r>
            <w:r>
              <w:rPr>
                <w:rFonts w:ascii="Times New Roman" w:eastAsia="Times New Roman"/>
                <w:sz w:val="21"/>
              </w:rPr>
              <w:t>1500m</w:t>
            </w:r>
            <w:r>
              <w:rPr>
                <w:rFonts w:ascii="Times New Roman" w:eastAsia="Times New Roman"/>
                <w:position w:val="7"/>
                <w:sz w:val="13"/>
              </w:rPr>
              <w:t>3</w:t>
            </w:r>
            <w:r>
              <w:rPr>
                <w:spacing w:val="-3"/>
                <w:sz w:val="21"/>
              </w:rPr>
              <w:t xml:space="preserve">，项目污水处理站应急池池容按照至少能容纳 </w:t>
            </w:r>
            <w:r>
              <w:rPr>
                <w:rFonts w:ascii="Times New Roman" w:eastAsia="Times New Roman"/>
                <w:sz w:val="21"/>
              </w:rPr>
              <w:t xml:space="preserve">24h </w:t>
            </w:r>
            <w:r>
              <w:rPr>
                <w:sz w:val="21"/>
              </w:rPr>
              <w:t>废水量来设计。主要用于废水处理系统发生故障，设备更换、检修及大量消毒水进入系统前的临时储存）作为应急池，不单独设置应急事故池；</w:t>
            </w:r>
          </w:p>
        </w:tc>
        <w:tc>
          <w:tcPr>
            <w:tcW w:w="975" w:type="dxa"/>
          </w:tcPr>
          <w:p w14:paraId="5AEE2D28">
            <w:pPr>
              <w:pStyle w:val="14"/>
              <w:spacing w:before="150"/>
              <w:ind w:left="11"/>
              <w:jc w:val="center"/>
              <w:rPr>
                <w:rFonts w:ascii="Times New Roman"/>
                <w:sz w:val="21"/>
              </w:rPr>
            </w:pPr>
            <w:r>
              <w:rPr>
                <w:rFonts w:ascii="Times New Roman"/>
                <w:w w:val="99"/>
                <w:sz w:val="21"/>
              </w:rPr>
              <w:t>4</w:t>
            </w:r>
          </w:p>
        </w:tc>
      </w:tr>
      <w:tr w14:paraId="30808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31" w:type="dxa"/>
            <w:gridSpan w:val="2"/>
          </w:tcPr>
          <w:p w14:paraId="39663DA3">
            <w:pPr>
              <w:pStyle w:val="14"/>
              <w:spacing w:before="33"/>
              <w:ind w:left="137" w:right="130"/>
              <w:jc w:val="center"/>
              <w:rPr>
                <w:sz w:val="21"/>
              </w:rPr>
            </w:pPr>
            <w:r>
              <w:rPr>
                <w:sz w:val="21"/>
              </w:rPr>
              <w:t>绿化</w:t>
            </w:r>
          </w:p>
        </w:tc>
        <w:tc>
          <w:tcPr>
            <w:tcW w:w="11766" w:type="dxa"/>
            <w:gridSpan w:val="3"/>
          </w:tcPr>
          <w:p w14:paraId="08CA4A6D">
            <w:pPr>
              <w:pStyle w:val="14"/>
              <w:spacing w:before="33"/>
              <w:ind w:left="57"/>
              <w:rPr>
                <w:rFonts w:ascii="Times New Roman" w:eastAsia="Times New Roman"/>
                <w:sz w:val="21"/>
              </w:rPr>
            </w:pPr>
            <w:r>
              <w:rPr>
                <w:sz w:val="21"/>
              </w:rPr>
              <w:t xml:space="preserve">植树、植被。绿地率 </w:t>
            </w:r>
            <w:r>
              <w:rPr>
                <w:rFonts w:ascii="Times New Roman" w:eastAsia="Times New Roman"/>
                <w:sz w:val="21"/>
              </w:rPr>
              <w:t>11.08%</w:t>
            </w:r>
          </w:p>
        </w:tc>
        <w:tc>
          <w:tcPr>
            <w:tcW w:w="975" w:type="dxa"/>
          </w:tcPr>
          <w:p w14:paraId="13AA3555">
            <w:pPr>
              <w:pStyle w:val="14"/>
              <w:spacing w:before="49"/>
              <w:ind w:left="11"/>
              <w:jc w:val="center"/>
              <w:rPr>
                <w:rFonts w:ascii="Times New Roman"/>
                <w:sz w:val="21"/>
              </w:rPr>
            </w:pPr>
            <w:r>
              <w:rPr>
                <w:rFonts w:ascii="Times New Roman"/>
                <w:w w:val="99"/>
                <w:sz w:val="21"/>
              </w:rPr>
              <w:t>4</w:t>
            </w:r>
          </w:p>
        </w:tc>
      </w:tr>
      <w:tr w14:paraId="1B7D5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97" w:type="dxa"/>
            <w:gridSpan w:val="5"/>
          </w:tcPr>
          <w:p w14:paraId="14CA5BD5">
            <w:pPr>
              <w:pStyle w:val="14"/>
              <w:spacing w:before="33"/>
              <w:ind w:left="6316" w:right="6311"/>
              <w:jc w:val="center"/>
              <w:rPr>
                <w:sz w:val="21"/>
              </w:rPr>
            </w:pPr>
            <w:r>
              <w:rPr>
                <w:sz w:val="21"/>
              </w:rPr>
              <w:t>合计</w:t>
            </w:r>
          </w:p>
        </w:tc>
        <w:tc>
          <w:tcPr>
            <w:tcW w:w="975" w:type="dxa"/>
          </w:tcPr>
          <w:p w14:paraId="1E4B5A66">
            <w:pPr>
              <w:pStyle w:val="14"/>
              <w:spacing w:before="33"/>
              <w:ind w:left="43" w:right="36"/>
              <w:jc w:val="center"/>
              <w:rPr>
                <w:sz w:val="21"/>
              </w:rPr>
            </w:pPr>
            <w:r>
              <w:rPr>
                <w:rFonts w:ascii="Times New Roman" w:eastAsia="Times New Roman"/>
                <w:sz w:val="21"/>
              </w:rPr>
              <w:t xml:space="preserve">791 </w:t>
            </w:r>
            <w:r>
              <w:rPr>
                <w:sz w:val="21"/>
              </w:rPr>
              <w:t>万元</w:t>
            </w:r>
          </w:p>
        </w:tc>
      </w:tr>
    </w:tbl>
    <w:p w14:paraId="1EFE5059">
      <w:pPr>
        <w:spacing w:after="0"/>
        <w:jc w:val="center"/>
        <w:rPr>
          <w:sz w:val="21"/>
        </w:rPr>
        <w:sectPr>
          <w:pgSz w:w="16840" w:h="11910" w:orient="landscape"/>
          <w:pgMar w:top="1180" w:right="1260" w:bottom="1400" w:left="1260" w:header="878" w:footer="1204" w:gutter="0"/>
          <w:cols w:space="720" w:num="1"/>
        </w:sectPr>
      </w:pPr>
    </w:p>
    <w:p w14:paraId="6F2810FF">
      <w:pPr>
        <w:pStyle w:val="6"/>
        <w:numPr>
          <w:ilvl w:val="2"/>
          <w:numId w:val="33"/>
        </w:numPr>
        <w:tabs>
          <w:tab w:val="left" w:pos="813"/>
        </w:tabs>
        <w:spacing w:before="64" w:after="0" w:line="240" w:lineRule="auto"/>
        <w:ind w:left="812" w:right="0" w:hanging="530"/>
        <w:jc w:val="left"/>
      </w:pPr>
      <w:r>
        <w:t>环境效益分析</w:t>
      </w:r>
    </w:p>
    <w:p w14:paraId="36ADC34B">
      <w:pPr>
        <w:pStyle w:val="7"/>
        <w:spacing w:before="160" w:line="364" w:lineRule="auto"/>
        <w:ind w:left="282" w:right="282" w:firstLine="480"/>
        <w:jc w:val="both"/>
      </w:pPr>
      <w:r>
        <w:t>本项目通过投入环保资金，采取各项废水、废气、噪声和固废污染防治措施，使项目对环境的影响降至最小，对环境起到较好的保护作用。通过各项废气治理的采取，大大减少了恶臭污染物的排放，保护周边空气环境质量；通过废水处理后减少了废水排放对水环境的污染；项目产生的固体废物大部分可以综合利用，不合格内脏及病死无害化处理有限公司委托处理；在设备选型时， 选用低噪声设备，并采取消声措施，减少噪声对环境的影响。绿化的实施，对区域生态环境起到较好的恢复和补偿作用。</w:t>
      </w:r>
    </w:p>
    <w:p w14:paraId="7BA35550">
      <w:pPr>
        <w:pStyle w:val="7"/>
        <w:spacing w:line="362" w:lineRule="auto"/>
        <w:ind w:left="282" w:right="282" w:firstLine="480"/>
        <w:jc w:val="both"/>
      </w:pPr>
      <w:r>
        <w:t>总之，通过采取环保措施，本项目的环境效益明显，满足达标排放和总量控制要求，并为现有环境所接受。</w:t>
      </w:r>
    </w:p>
    <w:p w14:paraId="5C1A3C60">
      <w:pPr>
        <w:pStyle w:val="3"/>
        <w:numPr>
          <w:ilvl w:val="1"/>
          <w:numId w:val="33"/>
        </w:numPr>
        <w:tabs>
          <w:tab w:val="left" w:pos="693"/>
        </w:tabs>
        <w:spacing w:before="0" w:after="0" w:line="240" w:lineRule="auto"/>
        <w:ind w:left="692" w:right="0" w:hanging="410"/>
        <w:jc w:val="left"/>
      </w:pPr>
      <w:bookmarkStart w:id="312" w:name="8.3经济效益分析"/>
      <w:bookmarkEnd w:id="312"/>
      <w:bookmarkStart w:id="313" w:name="_bookmark42"/>
      <w:bookmarkEnd w:id="313"/>
      <w:bookmarkStart w:id="314" w:name="_bookmark42"/>
      <w:bookmarkEnd w:id="314"/>
      <w:r>
        <w:t>经济效益分析</w:t>
      </w:r>
    </w:p>
    <w:p w14:paraId="670D0E4C">
      <w:pPr>
        <w:pStyle w:val="7"/>
        <w:spacing w:before="186" w:line="364" w:lineRule="auto"/>
        <w:ind w:left="282" w:right="282" w:firstLine="480"/>
        <w:jc w:val="both"/>
      </w:pPr>
      <w:r>
        <w:t>项目的实施，本身可以带来较好的经济效益和税收，同时，还能带来间接经济效益。本项目建设有利于调整区域农业结构，带动周边地区种植业、运输业及相关产业的发展，加快农业产业化进程，有效解决“三农”问题，增加当地农民的收入。</w:t>
      </w:r>
    </w:p>
    <w:p w14:paraId="229D0730">
      <w:pPr>
        <w:pStyle w:val="3"/>
        <w:numPr>
          <w:ilvl w:val="1"/>
          <w:numId w:val="33"/>
        </w:numPr>
        <w:tabs>
          <w:tab w:val="left" w:pos="693"/>
        </w:tabs>
        <w:spacing w:before="0" w:after="0" w:line="357" w:lineRule="exact"/>
        <w:ind w:left="692" w:right="0" w:hanging="410"/>
        <w:jc w:val="left"/>
      </w:pPr>
      <w:bookmarkStart w:id="315" w:name="_bookmark43"/>
      <w:bookmarkEnd w:id="315"/>
      <w:bookmarkStart w:id="316" w:name="_bookmark43"/>
      <w:bookmarkEnd w:id="316"/>
      <w:bookmarkStart w:id="317" w:name="8.4社会效益分析"/>
      <w:bookmarkEnd w:id="317"/>
      <w:r>
        <w:t>社会效益分析</w:t>
      </w:r>
    </w:p>
    <w:p w14:paraId="0E599801">
      <w:pPr>
        <w:pStyle w:val="7"/>
        <w:spacing w:before="185"/>
        <w:ind w:left="762"/>
      </w:pPr>
      <w:r>
        <w:t>项目生产在取得直接经济效益的同时，带来了一系列的间接社会效益。</w:t>
      </w:r>
    </w:p>
    <w:p w14:paraId="4D1347C0">
      <w:pPr>
        <w:pStyle w:val="7"/>
        <w:spacing w:before="160" w:line="364" w:lineRule="auto"/>
        <w:ind w:left="282" w:right="282" w:firstLine="480"/>
        <w:jc w:val="both"/>
      </w:pPr>
      <w:r>
        <w:t>（</w:t>
      </w:r>
      <w:r>
        <w:rPr>
          <w:rFonts w:ascii="Times New Roman" w:eastAsia="Times New Roman"/>
        </w:rPr>
        <w:t>1</w:t>
      </w:r>
      <w:r>
        <w:t>）</w:t>
      </w:r>
      <w:r>
        <w:rPr>
          <w:spacing w:val="-5"/>
        </w:rPr>
        <w:t xml:space="preserve">本项目运营期员工总数 </w:t>
      </w:r>
      <w:r>
        <w:rPr>
          <w:rFonts w:ascii="Times New Roman" w:eastAsia="Times New Roman"/>
        </w:rPr>
        <w:t xml:space="preserve">240 </w:t>
      </w:r>
      <w:r>
        <w:t>人，可增加当地的就业岗位和就业机会， 缓解就业压力；本项目生产设备及原辅材料的采购，将扩大市场需求，带动相关产业的快速发展，为上游行业提供发展机遇，并带来间接经济效益；</w:t>
      </w:r>
    </w:p>
    <w:p w14:paraId="2FEC30A2">
      <w:pPr>
        <w:pStyle w:val="7"/>
        <w:spacing w:line="364" w:lineRule="auto"/>
        <w:ind w:left="282" w:right="282" w:firstLine="480"/>
        <w:jc w:val="both"/>
      </w:pPr>
      <w:r>
        <w:t>（</w:t>
      </w:r>
      <w:r>
        <w:rPr>
          <w:rFonts w:ascii="Times New Roman" w:eastAsia="Times New Roman"/>
        </w:rPr>
        <w:t>2</w:t>
      </w:r>
      <w:r>
        <w:t xml:space="preserve">）项目建设属于岳阳县首个 </w:t>
      </w:r>
      <w:r>
        <w:rPr>
          <w:rFonts w:ascii="Times New Roman" w:eastAsia="Times New Roman"/>
        </w:rPr>
        <w:t xml:space="preserve">A </w:t>
      </w:r>
      <w:r>
        <w:t>类屠宰场，将增加区域经济的竞争力。本项目建成后所在区域的城市基础设施会更完善，会刺激和带来相关产业（如第三产业）的发展，整个区域的社会经济竞争力会更进一步得到明显提升。</w:t>
      </w:r>
    </w:p>
    <w:p w14:paraId="31E82F2E">
      <w:pPr>
        <w:pStyle w:val="3"/>
        <w:numPr>
          <w:ilvl w:val="1"/>
          <w:numId w:val="33"/>
        </w:numPr>
        <w:tabs>
          <w:tab w:val="left" w:pos="693"/>
        </w:tabs>
        <w:spacing w:before="0" w:after="0" w:line="357" w:lineRule="exact"/>
        <w:ind w:left="692" w:right="0" w:hanging="410"/>
        <w:jc w:val="left"/>
      </w:pPr>
      <w:bookmarkStart w:id="318" w:name="8.5小结"/>
      <w:bookmarkEnd w:id="318"/>
      <w:bookmarkStart w:id="319" w:name="_bookmark44"/>
      <w:bookmarkEnd w:id="319"/>
      <w:bookmarkStart w:id="320" w:name="_bookmark44"/>
      <w:bookmarkEnd w:id="320"/>
      <w:r>
        <w:t>小结</w:t>
      </w:r>
    </w:p>
    <w:p w14:paraId="2A6249DC">
      <w:pPr>
        <w:pStyle w:val="7"/>
        <w:spacing w:before="185" w:line="364" w:lineRule="auto"/>
        <w:ind w:left="282" w:right="282" w:firstLine="480"/>
        <w:jc w:val="both"/>
      </w:pPr>
      <w:r>
        <w:t>综上所述，本项目较好地做到环境效益、经济效益和社会效益的统一。项目环保措施的落实既有效地减轻项目对周边环境的影响，降低对环境的污染， 又减少突发环境事件对环境的严重破坏，营造良好的环境效益。在项目各类环保措施落实、环保设施正常运行的条件下，项目各类污染物排放可达到相关标准及环保部门的管理要求，从环保措施的经济损益效果来看该项目是可行的。</w:t>
      </w:r>
    </w:p>
    <w:p w14:paraId="3EE7515B">
      <w:pPr>
        <w:spacing w:after="0" w:line="364" w:lineRule="auto"/>
        <w:jc w:val="both"/>
        <w:sectPr>
          <w:headerReference r:id="rId41" w:type="default"/>
          <w:footerReference r:id="rId42" w:type="default"/>
          <w:pgSz w:w="11910" w:h="16840"/>
          <w:pgMar w:top="1360" w:right="1520" w:bottom="1400" w:left="1520" w:header="878" w:footer="1204" w:gutter="0"/>
          <w:pgNumType w:start="162"/>
          <w:cols w:space="720" w:num="1"/>
        </w:sectPr>
      </w:pPr>
    </w:p>
    <w:p w14:paraId="09D99BC8">
      <w:pPr>
        <w:pStyle w:val="7"/>
        <w:spacing w:before="5"/>
        <w:rPr>
          <w:sz w:val="9"/>
        </w:rPr>
      </w:pPr>
    </w:p>
    <w:p w14:paraId="4435DBA2">
      <w:pPr>
        <w:pStyle w:val="2"/>
        <w:numPr>
          <w:ilvl w:val="0"/>
          <w:numId w:val="33"/>
        </w:numPr>
        <w:tabs>
          <w:tab w:val="left" w:pos="3100"/>
        </w:tabs>
        <w:spacing w:before="65" w:after="0" w:line="240" w:lineRule="auto"/>
        <w:ind w:left="3100" w:right="0" w:hanging="228"/>
        <w:jc w:val="left"/>
        <w:rPr>
          <w:rFonts w:ascii="Times New Roman" w:eastAsia="Times New Roman"/>
        </w:rPr>
      </w:pPr>
      <w:bookmarkStart w:id="321" w:name="9环境管理与监测计划"/>
      <w:bookmarkEnd w:id="321"/>
      <w:bookmarkStart w:id="322" w:name="_bookmark45"/>
      <w:bookmarkEnd w:id="322"/>
      <w:bookmarkStart w:id="323" w:name="_bookmark45"/>
      <w:bookmarkEnd w:id="323"/>
      <w:r>
        <w:t>环境管理与监测计划</w:t>
      </w:r>
    </w:p>
    <w:p w14:paraId="1AF28A10">
      <w:pPr>
        <w:pStyle w:val="7"/>
        <w:rPr>
          <w:b/>
          <w:sz w:val="26"/>
        </w:rPr>
      </w:pPr>
    </w:p>
    <w:p w14:paraId="2292FB1D">
      <w:pPr>
        <w:pStyle w:val="3"/>
        <w:numPr>
          <w:ilvl w:val="1"/>
          <w:numId w:val="34"/>
        </w:numPr>
        <w:tabs>
          <w:tab w:val="left" w:pos="693"/>
        </w:tabs>
        <w:spacing w:before="0" w:after="0" w:line="240" w:lineRule="auto"/>
        <w:ind w:left="692" w:right="0" w:hanging="410"/>
        <w:jc w:val="left"/>
      </w:pPr>
      <w:bookmarkStart w:id="324" w:name="9.1环境管理"/>
      <w:bookmarkEnd w:id="324"/>
      <w:bookmarkStart w:id="325" w:name="_bookmark46"/>
      <w:bookmarkEnd w:id="325"/>
      <w:bookmarkStart w:id="326" w:name="_bookmark46"/>
      <w:bookmarkEnd w:id="326"/>
      <w:r>
        <w:t>环境管理</w:t>
      </w:r>
    </w:p>
    <w:p w14:paraId="646C8952">
      <w:pPr>
        <w:pStyle w:val="7"/>
        <w:spacing w:before="185" w:line="364" w:lineRule="auto"/>
        <w:ind w:left="282" w:right="282" w:firstLine="480"/>
        <w:jc w:val="both"/>
      </w:pPr>
      <w:r>
        <w:t>环境管理和污染源监测是建设单位内部污染源监督管理的重要组成部分。在企业中，建立健全环保机构，加强环保管理工作，开展厂内环境监测、监督，并把环保工作纳入生产管理，有助于控制和减少污染物的排放、促进资源的合理回用，对减轻环境污染、保护环境有着重要的意义。</w:t>
      </w:r>
    </w:p>
    <w:p w14:paraId="5037EB8D">
      <w:pPr>
        <w:pStyle w:val="6"/>
        <w:numPr>
          <w:ilvl w:val="2"/>
          <w:numId w:val="34"/>
        </w:numPr>
        <w:tabs>
          <w:tab w:val="left" w:pos="813"/>
        </w:tabs>
        <w:spacing w:before="0" w:after="0" w:line="305" w:lineRule="exact"/>
        <w:ind w:left="812" w:right="0" w:hanging="530"/>
        <w:jc w:val="left"/>
      </w:pPr>
      <w:bookmarkStart w:id="327" w:name="9.1.1环境管理机构设置"/>
      <w:bookmarkEnd w:id="327"/>
      <w:bookmarkStart w:id="328" w:name="9.1.1环境管理机构设置"/>
      <w:bookmarkEnd w:id="328"/>
      <w:r>
        <w:t>环境管理机构设置</w:t>
      </w:r>
    </w:p>
    <w:p w14:paraId="2D84A36D">
      <w:pPr>
        <w:pStyle w:val="7"/>
        <w:spacing w:before="158" w:line="364" w:lineRule="auto"/>
        <w:ind w:left="282" w:right="282" w:firstLine="480"/>
        <w:jc w:val="both"/>
      </w:pPr>
      <w:r>
        <w:t>企业应成立环境管理机构，设置环保安全部门，制定和完善有关环境管理和风险管理制度，统筹全公司的环保管理工作。该机构应由公司董事长亲自负责，成员由厂长和各生产车间负责人组成，配备专职技术人员及环保管理人员，担负企业日常环保管理与监测的具体工作，确保各项环保措施、风险防范措施和环保制度的贯彻落实。并应实行有效的目标责任制，把能耗、物耗、污染物排放情况作为考核指标，落实到生产岗位，纳入奖罚制度。</w:t>
      </w:r>
    </w:p>
    <w:p w14:paraId="29DD00E5">
      <w:pPr>
        <w:pStyle w:val="7"/>
        <w:spacing w:line="304" w:lineRule="exact"/>
        <w:ind w:left="762"/>
      </w:pPr>
      <w:r>
        <w:t>（</w:t>
      </w:r>
      <w:r>
        <w:rPr>
          <w:rFonts w:ascii="Times New Roman" w:eastAsia="Times New Roman"/>
        </w:rPr>
        <w:t>1</w:t>
      </w:r>
      <w:r>
        <w:t>）组织机构</w:t>
      </w:r>
    </w:p>
    <w:p w14:paraId="5657AC3C">
      <w:pPr>
        <w:pStyle w:val="7"/>
        <w:spacing w:before="161" w:line="362" w:lineRule="auto"/>
        <w:ind w:left="282" w:right="282" w:firstLine="480"/>
      </w:pPr>
      <w:r>
        <w:t xml:space="preserve">设置专门环保科，由 </w:t>
      </w:r>
      <w:r>
        <w:rPr>
          <w:rFonts w:ascii="Times New Roman" w:eastAsia="Times New Roman"/>
        </w:rPr>
        <w:t xml:space="preserve">1 </w:t>
      </w:r>
      <w:r>
        <w:t xml:space="preserve">名厂级负责人分管，设专职环保管理人员 </w:t>
      </w:r>
      <w:r>
        <w:rPr>
          <w:rFonts w:ascii="Times New Roman" w:eastAsia="Times New Roman"/>
        </w:rPr>
        <w:t xml:space="preserve">2 </w:t>
      </w:r>
      <w:r>
        <w:t>人，负责全厂的环境管理和环境教育等工作。</w:t>
      </w:r>
    </w:p>
    <w:p w14:paraId="7CBD65D2">
      <w:pPr>
        <w:pStyle w:val="7"/>
        <w:spacing w:before="5"/>
        <w:ind w:left="762"/>
      </w:pPr>
      <w:r>
        <w:t>（</w:t>
      </w:r>
      <w:r>
        <w:rPr>
          <w:rFonts w:ascii="Times New Roman" w:eastAsia="Times New Roman"/>
        </w:rPr>
        <w:t>2</w:t>
      </w:r>
      <w:r>
        <w:t>）职责分工</w:t>
      </w:r>
    </w:p>
    <w:p w14:paraId="5538A17E">
      <w:pPr>
        <w:pStyle w:val="7"/>
        <w:spacing w:before="160"/>
        <w:ind w:left="762"/>
      </w:pPr>
      <w:r>
        <w:t>①分管负责人</w:t>
      </w:r>
    </w:p>
    <w:p w14:paraId="7FD527F7">
      <w:pPr>
        <w:pStyle w:val="7"/>
        <w:spacing w:before="158" w:line="364" w:lineRule="auto"/>
        <w:ind w:left="282" w:right="282" w:firstLine="480"/>
        <w:jc w:val="both"/>
      </w:pPr>
      <w:r>
        <w:t xml:space="preserve">设 </w:t>
      </w:r>
      <w:r>
        <w:rPr>
          <w:rFonts w:ascii="Times New Roman" w:eastAsia="Times New Roman"/>
        </w:rPr>
        <w:t xml:space="preserve">1 </w:t>
      </w:r>
      <w:r>
        <w:t>名分管负责人，分管负责人应掌握生产和环保工作的全面动态情况： 负责组织制定全厂环保岗位制度、工作和年度计划；指挥全厂环保工作的实施；协调厂内外各有关部门和组织间的关系。</w:t>
      </w:r>
    </w:p>
    <w:p w14:paraId="2F35ADB8">
      <w:pPr>
        <w:pStyle w:val="7"/>
        <w:spacing w:line="305" w:lineRule="exact"/>
        <w:ind w:left="762"/>
      </w:pPr>
      <w:r>
        <w:t>②专职环保管理人员</w:t>
      </w:r>
    </w:p>
    <w:p w14:paraId="7E913887">
      <w:pPr>
        <w:pStyle w:val="7"/>
        <w:spacing w:before="161"/>
        <w:ind w:left="762"/>
      </w:pPr>
      <w:r>
        <w:t xml:space="preserve">设 </w:t>
      </w:r>
      <w:r>
        <w:rPr>
          <w:rFonts w:ascii="Times New Roman" w:eastAsia="Times New Roman"/>
        </w:rPr>
        <w:t xml:space="preserve">2 </w:t>
      </w:r>
      <w:r>
        <w:t>名专职环保管理人员，由熟悉生产工艺和污染防治措施系统的管理、</w:t>
      </w:r>
    </w:p>
    <w:p w14:paraId="1FB8B9A8">
      <w:pPr>
        <w:pStyle w:val="7"/>
        <w:spacing w:before="160" w:line="364" w:lineRule="auto"/>
        <w:ind w:left="282" w:right="280"/>
        <w:jc w:val="both"/>
      </w:pPr>
      <w:r>
        <w:t xml:space="preserve">技术人员组成，其主要职责包括 </w:t>
      </w:r>
      <w:r>
        <w:rPr>
          <w:rFonts w:ascii="Times New Roman" w:eastAsia="Times New Roman"/>
        </w:rPr>
        <w:t xml:space="preserve">1 </w:t>
      </w:r>
      <w:r>
        <w:t>名废气、废水管理人员，负责厂内废气、废水治理设施的运行维护情况；</w:t>
      </w:r>
      <w:r>
        <w:rPr>
          <w:rFonts w:ascii="Times New Roman" w:eastAsia="Times New Roman"/>
        </w:rPr>
        <w:t xml:space="preserve">1 </w:t>
      </w:r>
      <w:r>
        <w:t>名噪声、固体废物管理人员，负责厂内各种固体废物分类收集与外售，并做好台帐记录。</w:t>
      </w:r>
    </w:p>
    <w:p w14:paraId="2C3CC84F">
      <w:pPr>
        <w:pStyle w:val="7"/>
        <w:spacing w:line="305" w:lineRule="exact"/>
        <w:ind w:left="762"/>
      </w:pPr>
      <w:r>
        <w:t>（</w:t>
      </w:r>
      <w:r>
        <w:rPr>
          <w:rFonts w:ascii="Times New Roman" w:eastAsia="Times New Roman"/>
        </w:rPr>
        <w:t>3</w:t>
      </w:r>
      <w:r>
        <w:t>）运行管理</w:t>
      </w:r>
    </w:p>
    <w:p w14:paraId="11EF41B5">
      <w:pPr>
        <w:pStyle w:val="7"/>
        <w:spacing w:before="161" w:line="362" w:lineRule="auto"/>
        <w:ind w:left="282" w:right="282" w:firstLine="480"/>
      </w:pPr>
      <w:r>
        <w:t>运行期间，应设置建立运行情况记录制度，汇总全厂产排污情况，如实记载运行管理情况，提出环保设施运营管理计划及改进建议。</w:t>
      </w:r>
    </w:p>
    <w:p w14:paraId="08D95AD7">
      <w:pPr>
        <w:spacing w:after="0" w:line="362" w:lineRule="auto"/>
        <w:sectPr>
          <w:pgSz w:w="11910" w:h="16840"/>
          <w:pgMar w:top="1360" w:right="1520" w:bottom="1400" w:left="1520" w:header="878" w:footer="1204" w:gutter="0"/>
          <w:cols w:space="720" w:num="1"/>
        </w:sectPr>
      </w:pPr>
    </w:p>
    <w:p w14:paraId="65EA3E57">
      <w:pPr>
        <w:pStyle w:val="6"/>
        <w:numPr>
          <w:ilvl w:val="2"/>
          <w:numId w:val="34"/>
        </w:numPr>
        <w:tabs>
          <w:tab w:val="left" w:pos="813"/>
        </w:tabs>
        <w:spacing w:before="64" w:after="0" w:line="240" w:lineRule="auto"/>
        <w:ind w:left="812" w:right="0" w:hanging="530"/>
        <w:jc w:val="left"/>
      </w:pPr>
      <w:bookmarkStart w:id="329" w:name="9.1.2环境管理机构职责和工作计划"/>
      <w:bookmarkEnd w:id="329"/>
      <w:bookmarkStart w:id="330" w:name="9.1.2环境管理机构职责和工作计划"/>
      <w:bookmarkEnd w:id="330"/>
      <w:r>
        <w:t>环境管理机构职责和工作计划</w:t>
      </w:r>
    </w:p>
    <w:p w14:paraId="75A74050">
      <w:pPr>
        <w:pStyle w:val="7"/>
        <w:spacing w:before="160" w:line="364" w:lineRule="auto"/>
        <w:ind w:left="282" w:right="280" w:firstLine="480"/>
        <w:jc w:val="both"/>
      </w:pPr>
      <w:r>
        <w:t>企业成立环境管理机构，担负企业日常环保管理与监测的具体工作，确保各项环保措施、风险防范措施和环保制度的贯彻落实。并应实行有效的目标责任制，把能耗、物耗、污染物排放情况作为考核指标，落实到生产岗位，纳入奖罚制度。要求做到：</w:t>
      </w:r>
    </w:p>
    <w:p w14:paraId="785A2FBD">
      <w:pPr>
        <w:pStyle w:val="7"/>
        <w:spacing w:line="364" w:lineRule="auto"/>
        <w:ind w:left="282" w:right="281" w:firstLine="480"/>
        <w:jc w:val="both"/>
      </w:pPr>
      <w:r>
        <w:t>①全面贯彻落实</w:t>
      </w:r>
      <w:r>
        <w:rPr>
          <w:rFonts w:ascii="Times New Roman" w:hAnsi="Times New Roman" w:eastAsia="Times New Roman"/>
        </w:rPr>
        <w:t>“</w:t>
      </w:r>
      <w:r>
        <w:t>保护和改善生产环境与生态环境，防治污染和其它公害</w:t>
      </w:r>
      <w:r>
        <w:rPr>
          <w:rFonts w:ascii="Times New Roman" w:hAnsi="Times New Roman" w:eastAsia="Times New Roman"/>
        </w:rPr>
        <w:t xml:space="preserve">” </w:t>
      </w:r>
      <w:r>
        <w:t>等环境保护基本国策的要求，做好工程项目环境污染防治和生态环境保护的工作。</w:t>
      </w:r>
    </w:p>
    <w:p w14:paraId="326D83D9">
      <w:pPr>
        <w:pStyle w:val="7"/>
        <w:spacing w:line="362" w:lineRule="auto"/>
        <w:ind w:left="282" w:right="282" w:firstLine="480"/>
        <w:jc w:val="both"/>
      </w:pPr>
      <w:r>
        <w:t>②按照地方政府给本企业下达的环境保护目标责任书，结合企业实际情况，制定出本企业环境保护目标和实施措施，落实到企业年度计划，并作为评定企业指标完成情况的依据之一。</w:t>
      </w:r>
    </w:p>
    <w:p w14:paraId="1E26FD60">
      <w:pPr>
        <w:pStyle w:val="7"/>
        <w:spacing w:before="3" w:line="364" w:lineRule="auto"/>
        <w:ind w:left="282" w:right="282" w:firstLine="480"/>
        <w:jc w:val="both"/>
      </w:pPr>
      <w:r>
        <w:t>③做好环保与风险防范设施的运行管理和维护工作，保证各项环保设施正常运行，确保治理效果。建立并管理好环境和风险防范设施的档案资料。</w:t>
      </w:r>
    </w:p>
    <w:p w14:paraId="764EA185">
      <w:pPr>
        <w:pStyle w:val="7"/>
        <w:spacing w:line="364" w:lineRule="auto"/>
        <w:ind w:left="282" w:right="282" w:firstLine="480"/>
        <w:jc w:val="both"/>
      </w:pPr>
      <w:r>
        <w:t>④负责建立和健全企业内部环境保护目标责任制度和考核制度，严格考核环保处理设施的处理效果，要有相应的奖惩制度。建立与工资、奖金挂钩的环保管理制度，环保工作搞好的有奖励，出现环境事故要追究当事人责任，并予处罚。</w:t>
      </w:r>
    </w:p>
    <w:p w14:paraId="03A34401">
      <w:pPr>
        <w:pStyle w:val="7"/>
        <w:spacing w:line="364" w:lineRule="auto"/>
        <w:ind w:left="282" w:right="282" w:firstLine="480"/>
        <w:jc w:val="both"/>
      </w:pPr>
      <w:r>
        <w:t>⑤协助并监督生产部门搞好废水、废气、噪声污染治理和固体废弃物的综合利用工作。</w:t>
      </w:r>
    </w:p>
    <w:p w14:paraId="0BE73B24">
      <w:pPr>
        <w:pStyle w:val="7"/>
        <w:spacing w:line="364" w:lineRule="auto"/>
        <w:ind w:left="282" w:right="282" w:firstLine="480"/>
        <w:jc w:val="both"/>
      </w:pPr>
      <w:r>
        <w:t>⑥定期委托当地或上级环境监测部门开展厂区环境监测；对环境监测结果进行统计分析，了解掌握污染动态，发现异常要及时查找原因，并反馈给生产部门，防止污染事故发生。</w:t>
      </w:r>
    </w:p>
    <w:p w14:paraId="1F33CF31">
      <w:pPr>
        <w:pStyle w:val="7"/>
        <w:spacing w:line="364" w:lineRule="auto"/>
        <w:ind w:left="282" w:right="282" w:firstLine="480"/>
        <w:jc w:val="both"/>
      </w:pPr>
      <w:r>
        <w:t>⑦加强企业所属区域的绿化工作，认真贯彻</w:t>
      </w:r>
      <w:r>
        <w:rPr>
          <w:rFonts w:ascii="Times New Roman" w:hAnsi="Times New Roman" w:eastAsia="Times New Roman"/>
        </w:rPr>
        <w:t>“</w:t>
      </w:r>
      <w:r>
        <w:t>谁开发谁保护，谁破坏谁恢复，谁利用谁补偿</w:t>
      </w:r>
      <w:r>
        <w:rPr>
          <w:rFonts w:ascii="Times New Roman" w:hAnsi="Times New Roman" w:eastAsia="Times New Roman"/>
        </w:rPr>
        <w:t>”</w:t>
      </w:r>
      <w:r>
        <w:t>和</w:t>
      </w:r>
      <w:r>
        <w:rPr>
          <w:rFonts w:ascii="Times New Roman" w:hAnsi="Times New Roman" w:eastAsia="Times New Roman"/>
        </w:rPr>
        <w:t>“</w:t>
      </w:r>
      <w:r>
        <w:t>开发利用与保护并重</w:t>
      </w:r>
      <w:r>
        <w:rPr>
          <w:rFonts w:ascii="Times New Roman" w:hAnsi="Times New Roman" w:eastAsia="Times New Roman"/>
        </w:rPr>
        <w:t>”</w:t>
      </w:r>
      <w:r>
        <w:t>的环境保护方针。</w:t>
      </w:r>
    </w:p>
    <w:p w14:paraId="0BCC0AF4">
      <w:pPr>
        <w:pStyle w:val="7"/>
        <w:spacing w:line="364" w:lineRule="auto"/>
        <w:ind w:left="282" w:right="282" w:firstLine="480"/>
        <w:jc w:val="both"/>
      </w:pPr>
      <w:r>
        <w:t>⑧加强环境教育工作，提高全体员工环保意识；有计划地做好普及环境保护知识和环境法律知识的宣传教育工作，组织企业内各类人员进行环保知识的培训和环保知识竞赛，做到人人、事事、时时都注意环保工作，使环境管理工作落到实处。</w:t>
      </w:r>
    </w:p>
    <w:p w14:paraId="003B37B8">
      <w:pPr>
        <w:pStyle w:val="7"/>
        <w:spacing w:line="305" w:lineRule="exact"/>
        <w:ind w:left="762"/>
      </w:pPr>
      <w:r>
        <w:t>企业环境管理工作计划主要见下表。</w:t>
      </w:r>
    </w:p>
    <w:p w14:paraId="7F86D01B">
      <w:pPr>
        <w:spacing w:before="153"/>
        <w:ind w:left="2869" w:right="0" w:firstLine="0"/>
        <w:jc w:val="left"/>
        <w:rPr>
          <w:b/>
          <w:sz w:val="21"/>
        </w:rPr>
      </w:pPr>
      <w:r>
        <w:rPr>
          <w:b/>
          <w:sz w:val="21"/>
        </w:rPr>
        <w:t xml:space="preserve">表 </w:t>
      </w:r>
      <w:r>
        <w:rPr>
          <w:rFonts w:ascii="Times New Roman" w:eastAsia="Times New Roman"/>
          <w:b/>
          <w:sz w:val="21"/>
        </w:rPr>
        <w:t xml:space="preserve">9.1-1 </w:t>
      </w:r>
      <w:r>
        <w:rPr>
          <w:b/>
          <w:sz w:val="21"/>
        </w:rPr>
        <w:t>环境管理工作计划一览表</w:t>
      </w:r>
    </w:p>
    <w:p w14:paraId="33B2D8F3">
      <w:pPr>
        <w:spacing w:after="0"/>
        <w:jc w:val="left"/>
        <w:rPr>
          <w:sz w:val="21"/>
        </w:rPr>
        <w:sectPr>
          <w:pgSz w:w="11910" w:h="16840"/>
          <w:pgMar w:top="1360" w:right="1520" w:bottom="1400" w:left="1520" w:header="878" w:footer="1204" w:gutter="0"/>
          <w:cols w:space="720" w:num="1"/>
        </w:sectPr>
      </w:pPr>
    </w:p>
    <w:p w14:paraId="58A41A2B">
      <w:pPr>
        <w:pStyle w:val="7"/>
        <w:spacing w:before="11"/>
        <w:rPr>
          <w:b/>
          <w:sz w:val="4"/>
        </w:rPr>
      </w:pPr>
    </w:p>
    <w:tbl>
      <w:tblPr>
        <w:tblStyle w:val="10"/>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707"/>
        <w:gridCol w:w="7190"/>
      </w:tblGrid>
      <w:tr w14:paraId="4E43A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427" w:type="dxa"/>
            <w:gridSpan w:val="2"/>
          </w:tcPr>
          <w:p w14:paraId="399E85E2">
            <w:pPr>
              <w:pStyle w:val="14"/>
              <w:spacing w:before="66"/>
              <w:ind w:left="395"/>
              <w:rPr>
                <w:b/>
                <w:sz w:val="21"/>
              </w:rPr>
            </w:pPr>
            <w:r>
              <w:rPr>
                <w:b/>
                <w:sz w:val="21"/>
              </w:rPr>
              <w:t>各阶段</w:t>
            </w:r>
          </w:p>
        </w:tc>
        <w:tc>
          <w:tcPr>
            <w:tcW w:w="7190" w:type="dxa"/>
          </w:tcPr>
          <w:p w14:paraId="00462844">
            <w:pPr>
              <w:pStyle w:val="14"/>
              <w:spacing w:before="66"/>
              <w:ind w:left="2223"/>
              <w:rPr>
                <w:b/>
                <w:sz w:val="21"/>
              </w:rPr>
            </w:pPr>
            <w:r>
              <w:rPr>
                <w:b/>
                <w:sz w:val="21"/>
              </w:rPr>
              <w:t>环境管理工作计划的具体内容</w:t>
            </w:r>
          </w:p>
        </w:tc>
      </w:tr>
      <w:tr w14:paraId="42268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427" w:type="dxa"/>
            <w:gridSpan w:val="2"/>
            <w:tcBorders>
              <w:bottom w:val="nil"/>
            </w:tcBorders>
          </w:tcPr>
          <w:p w14:paraId="1CF2AC7C">
            <w:pPr>
              <w:pStyle w:val="14"/>
              <w:rPr>
                <w:rFonts w:ascii="Times New Roman"/>
                <w:sz w:val="20"/>
              </w:rPr>
            </w:pPr>
          </w:p>
        </w:tc>
        <w:tc>
          <w:tcPr>
            <w:tcW w:w="7190" w:type="dxa"/>
            <w:tcBorders>
              <w:bottom w:val="nil"/>
            </w:tcBorders>
          </w:tcPr>
          <w:p w14:paraId="5B0A4C7F">
            <w:pPr>
              <w:pStyle w:val="14"/>
              <w:spacing w:before="21" w:line="250" w:lineRule="exact"/>
              <w:ind w:left="22"/>
              <w:rPr>
                <w:sz w:val="21"/>
              </w:rPr>
            </w:pPr>
            <w:r>
              <w:rPr>
                <w:sz w:val="21"/>
              </w:rPr>
              <w:t>根据国家建设项目环境保护管理规定，认真落实各项环保手续：</w:t>
            </w:r>
          </w:p>
        </w:tc>
      </w:tr>
      <w:tr w14:paraId="1E745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427" w:type="dxa"/>
            <w:gridSpan w:val="2"/>
            <w:tcBorders>
              <w:top w:val="nil"/>
              <w:bottom w:val="nil"/>
            </w:tcBorders>
          </w:tcPr>
          <w:p w14:paraId="7BD27659">
            <w:pPr>
              <w:pStyle w:val="14"/>
              <w:rPr>
                <w:b/>
                <w:sz w:val="20"/>
              </w:rPr>
            </w:pPr>
          </w:p>
          <w:p w14:paraId="3CBCB016">
            <w:pPr>
              <w:pStyle w:val="14"/>
              <w:spacing w:before="7"/>
              <w:rPr>
                <w:b/>
                <w:sz w:val="22"/>
              </w:rPr>
            </w:pPr>
          </w:p>
          <w:p w14:paraId="6D5F1B86">
            <w:pPr>
              <w:pStyle w:val="14"/>
              <w:spacing w:line="252" w:lineRule="exact"/>
              <w:ind w:left="83"/>
              <w:rPr>
                <w:sz w:val="21"/>
              </w:rPr>
            </w:pPr>
            <w:r>
              <w:rPr>
                <w:sz w:val="21"/>
              </w:rPr>
              <w:t>企业环境管理</w:t>
            </w:r>
          </w:p>
        </w:tc>
        <w:tc>
          <w:tcPr>
            <w:tcW w:w="7190" w:type="dxa"/>
            <w:tcBorders>
              <w:top w:val="nil"/>
              <w:bottom w:val="nil"/>
            </w:tcBorders>
          </w:tcPr>
          <w:p w14:paraId="05FBA1FF">
            <w:pPr>
              <w:pStyle w:val="14"/>
              <w:ind w:left="22"/>
              <w:rPr>
                <w:sz w:val="21"/>
              </w:rPr>
            </w:pPr>
            <w:r>
              <w:rPr>
                <w:sz w:val="21"/>
              </w:rPr>
              <w:t>①委托评价单位进行环境影响评价工作。</w:t>
            </w:r>
          </w:p>
          <w:p w14:paraId="5AD90B98">
            <w:pPr>
              <w:pStyle w:val="14"/>
              <w:spacing w:before="5"/>
              <w:ind w:left="22"/>
              <w:rPr>
                <w:sz w:val="21"/>
              </w:rPr>
            </w:pPr>
            <w:r>
              <w:rPr>
                <w:sz w:val="21"/>
              </w:rPr>
              <w:t>②正式投产前，履行</w:t>
            </w:r>
            <w:r>
              <w:rPr>
                <w:rFonts w:ascii="Times New Roman" w:hAnsi="Times New Roman" w:eastAsia="Times New Roman"/>
                <w:sz w:val="21"/>
              </w:rPr>
              <w:t>“</w:t>
            </w:r>
            <w:r>
              <w:rPr>
                <w:sz w:val="21"/>
              </w:rPr>
              <w:t>三同时</w:t>
            </w:r>
            <w:r>
              <w:rPr>
                <w:rFonts w:ascii="Times New Roman" w:hAnsi="Times New Roman" w:eastAsia="Times New Roman"/>
                <w:sz w:val="21"/>
              </w:rPr>
              <w:t>”</w:t>
            </w:r>
            <w:r>
              <w:rPr>
                <w:sz w:val="21"/>
              </w:rPr>
              <w:t>手续。</w:t>
            </w:r>
          </w:p>
          <w:p w14:paraId="4A83F7C2">
            <w:pPr>
              <w:pStyle w:val="14"/>
              <w:spacing w:before="4" w:line="249" w:lineRule="exact"/>
              <w:ind w:left="22"/>
              <w:rPr>
                <w:sz w:val="21"/>
              </w:rPr>
            </w:pPr>
            <w:r>
              <w:rPr>
                <w:sz w:val="21"/>
              </w:rPr>
              <w:t>③生产装置投产后试生产三个月内，进行环保设施竣工验收。</w:t>
            </w:r>
          </w:p>
        </w:tc>
      </w:tr>
      <w:tr w14:paraId="566EF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7" w:type="dxa"/>
            <w:gridSpan w:val="2"/>
            <w:tcBorders>
              <w:top w:val="nil"/>
              <w:bottom w:val="nil"/>
            </w:tcBorders>
          </w:tcPr>
          <w:p w14:paraId="228FBE32">
            <w:pPr>
              <w:pStyle w:val="14"/>
              <w:spacing w:line="252" w:lineRule="exact"/>
              <w:ind w:left="398"/>
              <w:rPr>
                <w:sz w:val="21"/>
              </w:rPr>
            </w:pPr>
            <w:r>
              <w:rPr>
                <w:sz w:val="21"/>
              </w:rPr>
              <w:t>总要求</w:t>
            </w:r>
          </w:p>
        </w:tc>
        <w:tc>
          <w:tcPr>
            <w:tcW w:w="7190" w:type="dxa"/>
            <w:tcBorders>
              <w:top w:val="nil"/>
              <w:bottom w:val="nil"/>
            </w:tcBorders>
          </w:tcPr>
          <w:p w14:paraId="4E770662">
            <w:pPr>
              <w:pStyle w:val="14"/>
              <w:spacing w:before="2" w:line="251" w:lineRule="exact"/>
              <w:ind w:left="22"/>
              <w:rPr>
                <w:sz w:val="21"/>
              </w:rPr>
            </w:pPr>
            <w:r>
              <w:rPr>
                <w:sz w:val="21"/>
              </w:rPr>
              <w:t>④生产中，定期请当地环保部门监督、检查，协助主管部门做好环境管理工</w:t>
            </w:r>
          </w:p>
        </w:tc>
      </w:tr>
      <w:tr w14:paraId="25499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7" w:type="dxa"/>
            <w:gridSpan w:val="2"/>
            <w:tcBorders>
              <w:top w:val="nil"/>
              <w:bottom w:val="nil"/>
            </w:tcBorders>
          </w:tcPr>
          <w:p w14:paraId="55E3C5A0">
            <w:pPr>
              <w:pStyle w:val="14"/>
              <w:rPr>
                <w:rFonts w:ascii="Times New Roman"/>
                <w:sz w:val="20"/>
              </w:rPr>
            </w:pPr>
          </w:p>
        </w:tc>
        <w:tc>
          <w:tcPr>
            <w:tcW w:w="7190" w:type="dxa"/>
            <w:tcBorders>
              <w:top w:val="nil"/>
              <w:bottom w:val="nil"/>
            </w:tcBorders>
          </w:tcPr>
          <w:p w14:paraId="0EBF9356">
            <w:pPr>
              <w:pStyle w:val="14"/>
              <w:spacing w:line="252" w:lineRule="exact"/>
              <w:ind w:left="22"/>
              <w:rPr>
                <w:sz w:val="21"/>
              </w:rPr>
            </w:pPr>
            <w:r>
              <w:rPr>
                <w:sz w:val="21"/>
              </w:rPr>
              <w:t>作，对不达标装置及时整改。</w:t>
            </w:r>
          </w:p>
        </w:tc>
      </w:tr>
      <w:tr w14:paraId="389BA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27" w:type="dxa"/>
            <w:gridSpan w:val="2"/>
            <w:tcBorders>
              <w:top w:val="nil"/>
              <w:bottom w:val="nil"/>
            </w:tcBorders>
          </w:tcPr>
          <w:p w14:paraId="628F982D">
            <w:pPr>
              <w:pStyle w:val="14"/>
              <w:rPr>
                <w:rFonts w:ascii="Times New Roman"/>
                <w:sz w:val="20"/>
              </w:rPr>
            </w:pPr>
          </w:p>
        </w:tc>
        <w:tc>
          <w:tcPr>
            <w:tcW w:w="7190" w:type="dxa"/>
            <w:tcBorders>
              <w:top w:val="nil"/>
              <w:bottom w:val="nil"/>
            </w:tcBorders>
          </w:tcPr>
          <w:p w14:paraId="1FAE7B1B">
            <w:pPr>
              <w:pStyle w:val="14"/>
              <w:spacing w:before="2" w:line="250" w:lineRule="exact"/>
              <w:ind w:left="22"/>
              <w:rPr>
                <w:sz w:val="21"/>
              </w:rPr>
            </w:pPr>
            <w:r>
              <w:rPr>
                <w:sz w:val="21"/>
              </w:rPr>
              <w:t>⑤配合做好环境监测工作。</w:t>
            </w:r>
          </w:p>
        </w:tc>
      </w:tr>
      <w:tr w14:paraId="5336B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427" w:type="dxa"/>
            <w:gridSpan w:val="2"/>
            <w:tcBorders>
              <w:top w:val="nil"/>
            </w:tcBorders>
          </w:tcPr>
          <w:p w14:paraId="2D56DBAF">
            <w:pPr>
              <w:pStyle w:val="14"/>
              <w:rPr>
                <w:rFonts w:ascii="Times New Roman"/>
                <w:sz w:val="20"/>
              </w:rPr>
            </w:pPr>
          </w:p>
        </w:tc>
        <w:tc>
          <w:tcPr>
            <w:tcW w:w="7190" w:type="dxa"/>
            <w:tcBorders>
              <w:top w:val="nil"/>
            </w:tcBorders>
          </w:tcPr>
          <w:p w14:paraId="467D2E65">
            <w:pPr>
              <w:pStyle w:val="14"/>
              <w:ind w:left="22"/>
              <w:rPr>
                <w:sz w:val="21"/>
              </w:rPr>
            </w:pPr>
            <w:r>
              <w:rPr>
                <w:sz w:val="21"/>
              </w:rPr>
              <w:t>⑥及时缴纳排污费。</w:t>
            </w:r>
          </w:p>
        </w:tc>
      </w:tr>
      <w:tr w14:paraId="1C951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1427" w:type="dxa"/>
            <w:gridSpan w:val="2"/>
          </w:tcPr>
          <w:p w14:paraId="22FC6D8E">
            <w:pPr>
              <w:pStyle w:val="14"/>
              <w:rPr>
                <w:b/>
                <w:sz w:val="20"/>
              </w:rPr>
            </w:pPr>
          </w:p>
          <w:p w14:paraId="13745CAA">
            <w:pPr>
              <w:pStyle w:val="14"/>
              <w:rPr>
                <w:b/>
                <w:sz w:val="20"/>
              </w:rPr>
            </w:pPr>
          </w:p>
          <w:p w14:paraId="2F36B11A">
            <w:pPr>
              <w:pStyle w:val="14"/>
              <w:spacing w:before="6"/>
              <w:rPr>
                <w:b/>
                <w:sz w:val="25"/>
              </w:rPr>
            </w:pPr>
          </w:p>
          <w:p w14:paraId="2EE1C834">
            <w:pPr>
              <w:pStyle w:val="14"/>
              <w:spacing w:before="1"/>
              <w:ind w:left="292"/>
              <w:rPr>
                <w:sz w:val="21"/>
              </w:rPr>
            </w:pPr>
            <w:r>
              <w:rPr>
                <w:sz w:val="21"/>
              </w:rPr>
              <w:t>设计阶段</w:t>
            </w:r>
          </w:p>
        </w:tc>
        <w:tc>
          <w:tcPr>
            <w:tcW w:w="7190" w:type="dxa"/>
          </w:tcPr>
          <w:p w14:paraId="6E7D1C9F">
            <w:pPr>
              <w:pStyle w:val="14"/>
              <w:spacing w:before="45"/>
              <w:ind w:left="22"/>
              <w:rPr>
                <w:sz w:val="21"/>
              </w:rPr>
            </w:pPr>
            <w:r>
              <w:rPr>
                <w:sz w:val="21"/>
              </w:rPr>
              <w:t>对设计单位提出下述要求并督促其实施：</w:t>
            </w:r>
          </w:p>
          <w:p w14:paraId="0E994DA7">
            <w:pPr>
              <w:pStyle w:val="14"/>
              <w:spacing w:before="48" w:line="285" w:lineRule="auto"/>
              <w:ind w:left="22" w:right="15"/>
              <w:rPr>
                <w:sz w:val="21"/>
              </w:rPr>
            </w:pPr>
            <w:r>
              <w:rPr>
                <w:w w:val="95"/>
                <w:sz w:val="21"/>
              </w:rPr>
              <w:t>①本项目总图布置，在满足主体工程需要的前提下，宜将污染较大的设施布置  在远离非污染设施的地段，避免互相影响和污染，具体按照环评的要求实施；</w:t>
            </w:r>
          </w:p>
          <w:p w14:paraId="2E4EB151">
            <w:pPr>
              <w:pStyle w:val="14"/>
              <w:spacing w:line="265" w:lineRule="exact"/>
              <w:ind w:left="22"/>
              <w:rPr>
                <w:sz w:val="21"/>
              </w:rPr>
            </w:pPr>
            <w:r>
              <w:rPr>
                <w:sz w:val="21"/>
              </w:rPr>
              <w:t>②设计中应采取绿化隔声等防护措施；</w:t>
            </w:r>
          </w:p>
          <w:p w14:paraId="7146D98B">
            <w:pPr>
              <w:pStyle w:val="14"/>
              <w:spacing w:before="9" w:line="310" w:lineRule="atLeast"/>
              <w:ind w:left="22" w:right="15"/>
              <w:rPr>
                <w:sz w:val="21"/>
              </w:rPr>
            </w:pPr>
            <w:r>
              <w:rPr>
                <w:w w:val="95"/>
                <w:sz w:val="21"/>
              </w:rPr>
              <w:t xml:space="preserve">③设计应尽量采用新工艺、新设备，采用节约资源、能源的生产工艺和设备，  </w:t>
            </w:r>
            <w:r>
              <w:rPr>
                <w:sz w:val="21"/>
              </w:rPr>
              <w:t>选用低噪声设备，使生产过程中污染物的产生减少到最低限度。</w:t>
            </w:r>
          </w:p>
        </w:tc>
      </w:tr>
      <w:tr w14:paraId="4AEC1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720" w:type="dxa"/>
            <w:tcBorders>
              <w:bottom w:val="nil"/>
            </w:tcBorders>
          </w:tcPr>
          <w:p w14:paraId="36050CA7">
            <w:pPr>
              <w:pStyle w:val="14"/>
              <w:rPr>
                <w:rFonts w:ascii="Times New Roman"/>
                <w:sz w:val="20"/>
              </w:rPr>
            </w:pPr>
          </w:p>
        </w:tc>
        <w:tc>
          <w:tcPr>
            <w:tcW w:w="707" w:type="dxa"/>
          </w:tcPr>
          <w:p w14:paraId="05C9A086">
            <w:pPr>
              <w:pStyle w:val="14"/>
              <w:spacing w:before="11"/>
              <w:rPr>
                <w:b/>
                <w:sz w:val="15"/>
              </w:rPr>
            </w:pPr>
          </w:p>
          <w:p w14:paraId="104DBA2B">
            <w:pPr>
              <w:pStyle w:val="14"/>
              <w:spacing w:line="285" w:lineRule="auto"/>
              <w:ind w:left="143" w:right="133"/>
              <w:rPr>
                <w:sz w:val="21"/>
              </w:rPr>
            </w:pPr>
            <w:r>
              <w:rPr>
                <w:w w:val="95"/>
                <w:sz w:val="21"/>
              </w:rPr>
              <w:t>自检阶段</w:t>
            </w:r>
          </w:p>
        </w:tc>
        <w:tc>
          <w:tcPr>
            <w:tcW w:w="7190" w:type="dxa"/>
          </w:tcPr>
          <w:p w14:paraId="41702A71">
            <w:pPr>
              <w:pStyle w:val="14"/>
              <w:spacing w:before="45"/>
              <w:ind w:left="22"/>
              <w:rPr>
                <w:sz w:val="21"/>
              </w:rPr>
            </w:pPr>
            <w:r>
              <w:rPr>
                <w:w w:val="95"/>
                <w:sz w:val="21"/>
              </w:rPr>
              <w:t>①检查施工项目是否按设计规定全部完工；②向环保部门申请试运转；</w:t>
            </w:r>
          </w:p>
          <w:p w14:paraId="07AA13A9">
            <w:pPr>
              <w:pStyle w:val="14"/>
              <w:spacing w:before="50"/>
              <w:ind w:left="22"/>
              <w:rPr>
                <w:sz w:val="21"/>
              </w:rPr>
            </w:pPr>
            <w:r>
              <w:rPr>
                <w:w w:val="95"/>
                <w:sz w:val="21"/>
              </w:rPr>
              <w:t>③检查操作技术文件和管理制度是否健全；④整理技术文件资料档案；</w:t>
            </w:r>
          </w:p>
          <w:p w14:paraId="35EAC508">
            <w:pPr>
              <w:pStyle w:val="14"/>
              <w:spacing w:before="48" w:line="253" w:lineRule="exact"/>
              <w:ind w:left="22"/>
              <w:rPr>
                <w:sz w:val="21"/>
              </w:rPr>
            </w:pPr>
            <w:r>
              <w:rPr>
                <w:sz w:val="21"/>
              </w:rPr>
              <w:t>⑤建立环保档案。</w:t>
            </w:r>
          </w:p>
        </w:tc>
      </w:tr>
      <w:tr w14:paraId="5576E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20" w:type="dxa"/>
            <w:tcBorders>
              <w:top w:val="nil"/>
              <w:bottom w:val="nil"/>
            </w:tcBorders>
          </w:tcPr>
          <w:p w14:paraId="4C1941A5">
            <w:pPr>
              <w:pStyle w:val="14"/>
              <w:rPr>
                <w:rFonts w:ascii="Times New Roman"/>
                <w:sz w:val="20"/>
              </w:rPr>
            </w:pPr>
          </w:p>
        </w:tc>
        <w:tc>
          <w:tcPr>
            <w:tcW w:w="707" w:type="dxa"/>
            <w:tcBorders>
              <w:bottom w:val="nil"/>
            </w:tcBorders>
          </w:tcPr>
          <w:p w14:paraId="0EDFA7A3">
            <w:pPr>
              <w:pStyle w:val="14"/>
              <w:rPr>
                <w:rFonts w:ascii="Times New Roman"/>
                <w:sz w:val="20"/>
              </w:rPr>
            </w:pPr>
          </w:p>
        </w:tc>
        <w:tc>
          <w:tcPr>
            <w:tcW w:w="7190" w:type="dxa"/>
            <w:tcBorders>
              <w:bottom w:val="nil"/>
            </w:tcBorders>
          </w:tcPr>
          <w:p w14:paraId="1EE26046">
            <w:pPr>
              <w:pStyle w:val="14"/>
              <w:spacing w:before="45"/>
              <w:ind w:left="22"/>
              <w:rPr>
                <w:sz w:val="21"/>
              </w:rPr>
            </w:pPr>
            <w:r>
              <w:rPr>
                <w:sz w:val="21"/>
              </w:rPr>
              <w:t>①检查污染治理效果和各污染源污染物排放情况；</w:t>
            </w:r>
          </w:p>
        </w:tc>
      </w:tr>
      <w:tr w14:paraId="3B8D7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20" w:type="dxa"/>
            <w:tcBorders>
              <w:top w:val="nil"/>
              <w:bottom w:val="nil"/>
            </w:tcBorders>
          </w:tcPr>
          <w:p w14:paraId="23B82686">
            <w:pPr>
              <w:pStyle w:val="14"/>
              <w:rPr>
                <w:rFonts w:ascii="Times New Roman"/>
                <w:sz w:val="20"/>
              </w:rPr>
            </w:pPr>
          </w:p>
        </w:tc>
        <w:tc>
          <w:tcPr>
            <w:tcW w:w="707" w:type="dxa"/>
            <w:tcBorders>
              <w:top w:val="nil"/>
              <w:bottom w:val="nil"/>
            </w:tcBorders>
          </w:tcPr>
          <w:p w14:paraId="6637D649">
            <w:pPr>
              <w:pStyle w:val="14"/>
              <w:rPr>
                <w:rFonts w:ascii="Times New Roman"/>
                <w:sz w:val="20"/>
              </w:rPr>
            </w:pPr>
          </w:p>
        </w:tc>
        <w:tc>
          <w:tcPr>
            <w:tcW w:w="7190" w:type="dxa"/>
            <w:tcBorders>
              <w:top w:val="nil"/>
              <w:bottom w:val="nil"/>
            </w:tcBorders>
          </w:tcPr>
          <w:p w14:paraId="5D1C9CC3">
            <w:pPr>
              <w:pStyle w:val="14"/>
              <w:spacing w:before="23"/>
              <w:ind w:left="22"/>
              <w:rPr>
                <w:sz w:val="21"/>
              </w:rPr>
            </w:pPr>
            <w:r>
              <w:rPr>
                <w:sz w:val="21"/>
              </w:rPr>
              <w:t>②对检查出来的问题，要提出解决或补救措施，落实投资，确保完成期限；</w:t>
            </w:r>
          </w:p>
        </w:tc>
      </w:tr>
      <w:tr w14:paraId="0362F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20" w:type="dxa"/>
            <w:tcBorders>
              <w:top w:val="nil"/>
              <w:bottom w:val="nil"/>
            </w:tcBorders>
          </w:tcPr>
          <w:p w14:paraId="32E5E2D0">
            <w:pPr>
              <w:pStyle w:val="14"/>
              <w:rPr>
                <w:rFonts w:ascii="Times New Roman"/>
                <w:sz w:val="20"/>
              </w:rPr>
            </w:pPr>
          </w:p>
        </w:tc>
        <w:tc>
          <w:tcPr>
            <w:tcW w:w="707" w:type="dxa"/>
            <w:tcBorders>
              <w:top w:val="nil"/>
              <w:bottom w:val="nil"/>
            </w:tcBorders>
          </w:tcPr>
          <w:p w14:paraId="3DAEEAF7">
            <w:pPr>
              <w:pStyle w:val="14"/>
              <w:spacing w:before="24"/>
              <w:ind w:left="17" w:right="9"/>
              <w:jc w:val="center"/>
              <w:rPr>
                <w:sz w:val="21"/>
              </w:rPr>
            </w:pPr>
            <w:r>
              <w:rPr>
                <w:sz w:val="21"/>
              </w:rPr>
              <w:t>预验收</w:t>
            </w:r>
          </w:p>
        </w:tc>
        <w:tc>
          <w:tcPr>
            <w:tcW w:w="7190" w:type="dxa"/>
            <w:tcBorders>
              <w:top w:val="nil"/>
              <w:bottom w:val="nil"/>
            </w:tcBorders>
          </w:tcPr>
          <w:p w14:paraId="6C42B6ED">
            <w:pPr>
              <w:pStyle w:val="14"/>
              <w:spacing w:before="24"/>
              <w:ind w:left="22"/>
              <w:rPr>
                <w:sz w:val="21"/>
              </w:rPr>
            </w:pPr>
            <w:r>
              <w:rPr>
                <w:sz w:val="21"/>
              </w:rPr>
              <w:t>③邀请环境监测站按环评选定的监测点或断面，有重点地考核生产设施、环保</w:t>
            </w:r>
          </w:p>
        </w:tc>
      </w:tr>
      <w:tr w14:paraId="39D8A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20" w:type="dxa"/>
            <w:tcBorders>
              <w:top w:val="nil"/>
              <w:bottom w:val="nil"/>
            </w:tcBorders>
          </w:tcPr>
          <w:p w14:paraId="15CA26F2">
            <w:pPr>
              <w:pStyle w:val="14"/>
              <w:spacing w:before="23"/>
              <w:ind w:left="148"/>
              <w:rPr>
                <w:sz w:val="21"/>
              </w:rPr>
            </w:pPr>
            <w:r>
              <w:rPr>
                <w:sz w:val="21"/>
              </w:rPr>
              <w:t>竣工</w:t>
            </w:r>
          </w:p>
        </w:tc>
        <w:tc>
          <w:tcPr>
            <w:tcW w:w="707" w:type="dxa"/>
            <w:tcBorders>
              <w:top w:val="nil"/>
              <w:bottom w:val="nil"/>
            </w:tcBorders>
          </w:tcPr>
          <w:p w14:paraId="0E4890E0">
            <w:pPr>
              <w:pStyle w:val="14"/>
              <w:spacing w:before="23"/>
              <w:ind w:left="17" w:right="9"/>
              <w:jc w:val="center"/>
              <w:rPr>
                <w:sz w:val="21"/>
              </w:rPr>
            </w:pPr>
            <w:r>
              <w:rPr>
                <w:sz w:val="21"/>
              </w:rPr>
              <w:t>阶段</w:t>
            </w:r>
          </w:p>
        </w:tc>
        <w:tc>
          <w:tcPr>
            <w:tcW w:w="7190" w:type="dxa"/>
            <w:tcBorders>
              <w:top w:val="nil"/>
              <w:bottom w:val="nil"/>
            </w:tcBorders>
          </w:tcPr>
          <w:p w14:paraId="279BB5EA">
            <w:pPr>
              <w:pStyle w:val="14"/>
              <w:spacing w:before="23"/>
              <w:ind w:left="22"/>
              <w:rPr>
                <w:sz w:val="21"/>
              </w:rPr>
            </w:pPr>
            <w:r>
              <w:rPr>
                <w:sz w:val="21"/>
              </w:rPr>
              <w:t>设施运行情况，污染物产生、治理和排污情况以及环境污染水平，并提交本项</w:t>
            </w:r>
          </w:p>
        </w:tc>
      </w:tr>
      <w:tr w14:paraId="7987A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20" w:type="dxa"/>
            <w:tcBorders>
              <w:top w:val="nil"/>
              <w:bottom w:val="nil"/>
            </w:tcBorders>
          </w:tcPr>
          <w:p w14:paraId="071F26E8">
            <w:pPr>
              <w:pStyle w:val="14"/>
              <w:spacing w:before="24"/>
              <w:ind w:left="148"/>
              <w:rPr>
                <w:sz w:val="21"/>
              </w:rPr>
            </w:pPr>
            <w:r>
              <w:rPr>
                <w:sz w:val="21"/>
              </w:rPr>
              <w:t>验收</w:t>
            </w:r>
          </w:p>
        </w:tc>
        <w:tc>
          <w:tcPr>
            <w:tcW w:w="707" w:type="dxa"/>
            <w:tcBorders>
              <w:top w:val="nil"/>
              <w:bottom w:val="nil"/>
            </w:tcBorders>
          </w:tcPr>
          <w:p w14:paraId="618BA7E1">
            <w:pPr>
              <w:pStyle w:val="14"/>
              <w:rPr>
                <w:rFonts w:ascii="Times New Roman"/>
                <w:sz w:val="20"/>
              </w:rPr>
            </w:pPr>
          </w:p>
        </w:tc>
        <w:tc>
          <w:tcPr>
            <w:tcW w:w="7190" w:type="dxa"/>
            <w:tcBorders>
              <w:top w:val="nil"/>
              <w:bottom w:val="nil"/>
            </w:tcBorders>
          </w:tcPr>
          <w:p w14:paraId="7B1A0794">
            <w:pPr>
              <w:pStyle w:val="14"/>
              <w:spacing w:before="24"/>
              <w:ind w:left="22"/>
              <w:rPr>
                <w:sz w:val="21"/>
              </w:rPr>
            </w:pPr>
            <w:r>
              <w:rPr>
                <w:sz w:val="21"/>
              </w:rPr>
              <w:t>目《环境保护竣工验收监测报告》，回答环保工程是否满足竣工验收要求和具</w:t>
            </w:r>
          </w:p>
        </w:tc>
      </w:tr>
      <w:tr w14:paraId="102CD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720" w:type="dxa"/>
            <w:tcBorders>
              <w:top w:val="nil"/>
              <w:bottom w:val="nil"/>
            </w:tcBorders>
          </w:tcPr>
          <w:p w14:paraId="136B9C86">
            <w:pPr>
              <w:pStyle w:val="14"/>
              <w:spacing w:before="23" w:line="253" w:lineRule="exact"/>
              <w:ind w:left="148"/>
              <w:rPr>
                <w:sz w:val="21"/>
              </w:rPr>
            </w:pPr>
            <w:r>
              <w:rPr>
                <w:sz w:val="21"/>
              </w:rPr>
              <w:t>阶段</w:t>
            </w:r>
          </w:p>
        </w:tc>
        <w:tc>
          <w:tcPr>
            <w:tcW w:w="707" w:type="dxa"/>
            <w:tcBorders>
              <w:top w:val="nil"/>
            </w:tcBorders>
          </w:tcPr>
          <w:p w14:paraId="6D48BB87">
            <w:pPr>
              <w:pStyle w:val="14"/>
              <w:rPr>
                <w:rFonts w:ascii="Times New Roman"/>
                <w:sz w:val="20"/>
              </w:rPr>
            </w:pPr>
          </w:p>
        </w:tc>
        <w:tc>
          <w:tcPr>
            <w:tcW w:w="7190" w:type="dxa"/>
            <w:tcBorders>
              <w:top w:val="nil"/>
            </w:tcBorders>
          </w:tcPr>
          <w:p w14:paraId="3542D2CF">
            <w:pPr>
              <w:pStyle w:val="14"/>
              <w:spacing w:before="23" w:line="253" w:lineRule="exact"/>
              <w:ind w:left="22"/>
              <w:rPr>
                <w:sz w:val="21"/>
              </w:rPr>
            </w:pPr>
            <w:r>
              <w:rPr>
                <w:sz w:val="21"/>
              </w:rPr>
              <w:t>备验收条件。</w:t>
            </w:r>
          </w:p>
        </w:tc>
      </w:tr>
      <w:tr w14:paraId="4D292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720" w:type="dxa"/>
            <w:tcBorders>
              <w:top w:val="nil"/>
              <w:bottom w:val="nil"/>
            </w:tcBorders>
          </w:tcPr>
          <w:p w14:paraId="06613C29">
            <w:pPr>
              <w:pStyle w:val="14"/>
              <w:rPr>
                <w:rFonts w:ascii="Times New Roman"/>
                <w:sz w:val="20"/>
              </w:rPr>
            </w:pPr>
          </w:p>
        </w:tc>
        <w:tc>
          <w:tcPr>
            <w:tcW w:w="707" w:type="dxa"/>
            <w:tcBorders>
              <w:bottom w:val="nil"/>
            </w:tcBorders>
          </w:tcPr>
          <w:p w14:paraId="5165821F">
            <w:pPr>
              <w:pStyle w:val="14"/>
              <w:rPr>
                <w:rFonts w:ascii="Times New Roman"/>
                <w:sz w:val="20"/>
              </w:rPr>
            </w:pPr>
          </w:p>
        </w:tc>
        <w:tc>
          <w:tcPr>
            <w:tcW w:w="7190" w:type="dxa"/>
            <w:tcBorders>
              <w:bottom w:val="nil"/>
            </w:tcBorders>
          </w:tcPr>
          <w:p w14:paraId="21EB1071">
            <w:pPr>
              <w:pStyle w:val="14"/>
              <w:spacing w:before="45"/>
              <w:ind w:left="22"/>
              <w:rPr>
                <w:sz w:val="21"/>
              </w:rPr>
            </w:pPr>
            <w:r>
              <w:rPr>
                <w:sz w:val="21"/>
              </w:rPr>
              <w:t>①建设单位组织对配套建设的环境保护设施进行验收，编制验收报告，公开相</w:t>
            </w:r>
          </w:p>
        </w:tc>
      </w:tr>
      <w:tr w14:paraId="340B3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720" w:type="dxa"/>
            <w:tcBorders>
              <w:top w:val="nil"/>
              <w:bottom w:val="nil"/>
            </w:tcBorders>
          </w:tcPr>
          <w:p w14:paraId="3E9B847E">
            <w:pPr>
              <w:pStyle w:val="14"/>
              <w:rPr>
                <w:rFonts w:ascii="Times New Roman"/>
                <w:sz w:val="20"/>
              </w:rPr>
            </w:pPr>
          </w:p>
        </w:tc>
        <w:tc>
          <w:tcPr>
            <w:tcW w:w="707" w:type="dxa"/>
            <w:tcBorders>
              <w:top w:val="nil"/>
              <w:bottom w:val="nil"/>
            </w:tcBorders>
          </w:tcPr>
          <w:p w14:paraId="06E24097">
            <w:pPr>
              <w:pStyle w:val="14"/>
              <w:spacing w:before="4"/>
              <w:rPr>
                <w:b/>
                <w:sz w:val="14"/>
              </w:rPr>
            </w:pPr>
          </w:p>
          <w:p w14:paraId="1D28784B">
            <w:pPr>
              <w:pStyle w:val="14"/>
              <w:spacing w:before="1" w:line="283" w:lineRule="auto"/>
              <w:ind w:left="143" w:right="133"/>
              <w:jc w:val="both"/>
              <w:rPr>
                <w:sz w:val="21"/>
              </w:rPr>
            </w:pPr>
            <w:r>
              <w:rPr>
                <w:w w:val="95"/>
                <w:sz w:val="21"/>
              </w:rPr>
              <w:t>正式验收阶段</w:t>
            </w:r>
          </w:p>
        </w:tc>
        <w:tc>
          <w:tcPr>
            <w:tcW w:w="7190" w:type="dxa"/>
            <w:tcBorders>
              <w:top w:val="nil"/>
              <w:bottom w:val="nil"/>
            </w:tcBorders>
          </w:tcPr>
          <w:p w14:paraId="5431DF71">
            <w:pPr>
              <w:pStyle w:val="14"/>
              <w:spacing w:before="23" w:line="283" w:lineRule="auto"/>
              <w:ind w:left="22" w:right="18"/>
              <w:jc w:val="both"/>
              <w:rPr>
                <w:sz w:val="21"/>
              </w:rPr>
            </w:pPr>
            <w:r>
              <w:rPr>
                <w:w w:val="95"/>
                <w:sz w:val="21"/>
              </w:rPr>
              <w:t xml:space="preserve">关信息，接受社会监督，确保建设项目需要配套建设的环境保护设施与主体工  程同时投产或者使用，并对验收内容、结论和所公开信息的真实性、准确性和  </w:t>
            </w:r>
            <w:r>
              <w:rPr>
                <w:sz w:val="21"/>
              </w:rPr>
              <w:t>完整性负责，不得在验收过程中弄虚作假。</w:t>
            </w:r>
          </w:p>
          <w:p w14:paraId="4749550A">
            <w:pPr>
              <w:pStyle w:val="14"/>
              <w:spacing w:before="3"/>
              <w:ind w:left="22"/>
              <w:jc w:val="both"/>
              <w:rPr>
                <w:sz w:val="21"/>
              </w:rPr>
            </w:pPr>
            <w:r>
              <w:rPr>
                <w:sz w:val="21"/>
              </w:rPr>
              <w:t>②建设单位向岳阳市生态环境局申请办理《排污许可证》，转入日常环境保护</w:t>
            </w:r>
          </w:p>
        </w:tc>
      </w:tr>
      <w:tr w14:paraId="59F64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20" w:type="dxa"/>
            <w:tcBorders>
              <w:top w:val="nil"/>
            </w:tcBorders>
          </w:tcPr>
          <w:p w14:paraId="08B291A5">
            <w:pPr>
              <w:pStyle w:val="14"/>
              <w:rPr>
                <w:rFonts w:ascii="Times New Roman"/>
                <w:sz w:val="20"/>
              </w:rPr>
            </w:pPr>
          </w:p>
        </w:tc>
        <w:tc>
          <w:tcPr>
            <w:tcW w:w="707" w:type="dxa"/>
            <w:tcBorders>
              <w:top w:val="nil"/>
            </w:tcBorders>
          </w:tcPr>
          <w:p w14:paraId="0AA2F0DF">
            <w:pPr>
              <w:pStyle w:val="14"/>
              <w:rPr>
                <w:rFonts w:ascii="Times New Roman"/>
                <w:sz w:val="20"/>
              </w:rPr>
            </w:pPr>
          </w:p>
        </w:tc>
        <w:tc>
          <w:tcPr>
            <w:tcW w:w="7190" w:type="dxa"/>
            <w:tcBorders>
              <w:top w:val="nil"/>
            </w:tcBorders>
          </w:tcPr>
          <w:p w14:paraId="55AF9E07">
            <w:pPr>
              <w:pStyle w:val="14"/>
              <w:spacing w:before="23" w:line="254" w:lineRule="exact"/>
              <w:ind w:left="22"/>
              <w:rPr>
                <w:sz w:val="21"/>
              </w:rPr>
            </w:pPr>
            <w:r>
              <w:rPr>
                <w:sz w:val="21"/>
              </w:rPr>
              <w:t>监督管理。</w:t>
            </w:r>
          </w:p>
        </w:tc>
      </w:tr>
      <w:tr w14:paraId="1B315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7" w:hRule="atLeast"/>
        </w:trPr>
        <w:tc>
          <w:tcPr>
            <w:tcW w:w="1427" w:type="dxa"/>
            <w:gridSpan w:val="2"/>
          </w:tcPr>
          <w:p w14:paraId="559C5FB0">
            <w:pPr>
              <w:pStyle w:val="14"/>
              <w:rPr>
                <w:b/>
                <w:sz w:val="20"/>
              </w:rPr>
            </w:pPr>
          </w:p>
          <w:p w14:paraId="5EC22155">
            <w:pPr>
              <w:pStyle w:val="14"/>
              <w:rPr>
                <w:b/>
                <w:sz w:val="20"/>
              </w:rPr>
            </w:pPr>
          </w:p>
          <w:p w14:paraId="2242902C">
            <w:pPr>
              <w:pStyle w:val="14"/>
              <w:rPr>
                <w:b/>
                <w:sz w:val="20"/>
              </w:rPr>
            </w:pPr>
          </w:p>
          <w:p w14:paraId="045A0747">
            <w:pPr>
              <w:pStyle w:val="14"/>
              <w:rPr>
                <w:b/>
                <w:sz w:val="20"/>
              </w:rPr>
            </w:pPr>
          </w:p>
          <w:p w14:paraId="254FD793">
            <w:pPr>
              <w:pStyle w:val="14"/>
              <w:rPr>
                <w:b/>
                <w:sz w:val="20"/>
              </w:rPr>
            </w:pPr>
          </w:p>
          <w:p w14:paraId="091878B5">
            <w:pPr>
              <w:pStyle w:val="14"/>
              <w:spacing w:before="9"/>
              <w:rPr>
                <w:b/>
                <w:sz w:val="27"/>
              </w:rPr>
            </w:pPr>
          </w:p>
          <w:p w14:paraId="16233C81">
            <w:pPr>
              <w:pStyle w:val="14"/>
              <w:ind w:left="292"/>
              <w:rPr>
                <w:sz w:val="21"/>
              </w:rPr>
            </w:pPr>
            <w:r>
              <w:rPr>
                <w:sz w:val="21"/>
              </w:rPr>
              <w:t>生产阶段</w:t>
            </w:r>
          </w:p>
        </w:tc>
        <w:tc>
          <w:tcPr>
            <w:tcW w:w="7190" w:type="dxa"/>
          </w:tcPr>
          <w:p w14:paraId="299B8FAE">
            <w:pPr>
              <w:pStyle w:val="14"/>
              <w:spacing w:before="45" w:line="283" w:lineRule="auto"/>
              <w:ind w:left="22" w:right="18"/>
              <w:rPr>
                <w:sz w:val="21"/>
              </w:rPr>
            </w:pPr>
            <w:r>
              <w:rPr>
                <w:sz w:val="21"/>
              </w:rPr>
              <w:t xml:space="preserve">①把污染防治和环境管理纳入企业日常经营管理活动，从计划管理、生产管 </w:t>
            </w:r>
            <w:r>
              <w:rPr>
                <w:w w:val="95"/>
                <w:sz w:val="21"/>
              </w:rPr>
              <w:t xml:space="preserve">理、技术管理、设备管理到经济成本核算都要有控制污染的内容和指标，并要  </w:t>
            </w:r>
            <w:r>
              <w:rPr>
                <w:sz w:val="21"/>
              </w:rPr>
              <w:t>落实到岗位；</w:t>
            </w:r>
          </w:p>
          <w:p w14:paraId="50758FAA">
            <w:pPr>
              <w:pStyle w:val="14"/>
              <w:spacing w:before="2"/>
              <w:ind w:left="22"/>
              <w:rPr>
                <w:sz w:val="21"/>
              </w:rPr>
            </w:pPr>
            <w:r>
              <w:rPr>
                <w:sz w:val="21"/>
              </w:rPr>
              <w:t>②企业主要领导负责实行环保责任制，指标逐级分解，做到奖罚分明；</w:t>
            </w:r>
          </w:p>
          <w:p w14:paraId="66F3807B">
            <w:pPr>
              <w:pStyle w:val="14"/>
              <w:spacing w:before="48"/>
              <w:ind w:left="22"/>
              <w:rPr>
                <w:sz w:val="21"/>
              </w:rPr>
            </w:pPr>
            <w:r>
              <w:rPr>
                <w:sz w:val="21"/>
              </w:rPr>
              <w:t>③建立健全企业的污染监测系统，为企业环境管理提供依据；</w:t>
            </w:r>
          </w:p>
          <w:p w14:paraId="3C6E14A6">
            <w:pPr>
              <w:pStyle w:val="14"/>
              <w:spacing w:before="50" w:line="283" w:lineRule="auto"/>
              <w:ind w:left="22" w:right="15"/>
              <w:rPr>
                <w:sz w:val="21"/>
              </w:rPr>
            </w:pPr>
            <w:r>
              <w:rPr>
                <w:w w:val="95"/>
                <w:sz w:val="21"/>
              </w:rPr>
              <w:t xml:space="preserve">④建立环境保护信息反馈和群众监督制度，监察企业生产和管理活动违背环保  </w:t>
            </w:r>
            <w:r>
              <w:rPr>
                <w:sz w:val="21"/>
              </w:rPr>
              <w:t>法规和制度的行为；</w:t>
            </w:r>
          </w:p>
          <w:p w14:paraId="3EAFDC37">
            <w:pPr>
              <w:pStyle w:val="14"/>
              <w:spacing w:before="1" w:line="283" w:lineRule="auto"/>
              <w:ind w:left="22" w:right="226"/>
              <w:rPr>
                <w:sz w:val="21"/>
              </w:rPr>
            </w:pPr>
            <w:r>
              <w:rPr>
                <w:w w:val="95"/>
                <w:sz w:val="21"/>
              </w:rPr>
              <w:t xml:space="preserve">⑤建立健全各项环保设施的运行操作规则，并有效监督实施，严防跑、冒、  </w:t>
            </w:r>
            <w:r>
              <w:rPr>
                <w:sz w:val="21"/>
              </w:rPr>
              <w:t>滴、漏；</w:t>
            </w:r>
          </w:p>
          <w:p w14:paraId="4BDE3CFD">
            <w:pPr>
              <w:pStyle w:val="14"/>
              <w:spacing w:before="1"/>
              <w:ind w:left="22"/>
              <w:rPr>
                <w:sz w:val="21"/>
              </w:rPr>
            </w:pPr>
            <w:r>
              <w:rPr>
                <w:sz w:val="21"/>
              </w:rPr>
              <w:t>⑥定期向环保部门汇报情况配合环保部门的监督、检查；</w:t>
            </w:r>
          </w:p>
          <w:p w14:paraId="7BFFBC93">
            <w:pPr>
              <w:pStyle w:val="14"/>
              <w:spacing w:before="48" w:line="253" w:lineRule="exact"/>
              <w:ind w:left="22"/>
              <w:rPr>
                <w:sz w:val="21"/>
              </w:rPr>
            </w:pPr>
            <w:r>
              <w:rPr>
                <w:sz w:val="21"/>
              </w:rPr>
              <w:t>⑦特别重视环境污染事故的调查处理和应急响应工作。</w:t>
            </w:r>
          </w:p>
        </w:tc>
      </w:tr>
    </w:tbl>
    <w:p w14:paraId="06A44F33">
      <w:pPr>
        <w:pStyle w:val="6"/>
        <w:numPr>
          <w:ilvl w:val="2"/>
          <w:numId w:val="34"/>
        </w:numPr>
        <w:tabs>
          <w:tab w:val="left" w:pos="813"/>
        </w:tabs>
        <w:spacing w:before="2" w:after="0" w:line="240" w:lineRule="auto"/>
        <w:ind w:left="812" w:right="0" w:hanging="530"/>
        <w:jc w:val="left"/>
      </w:pPr>
      <w:bookmarkStart w:id="331" w:name="9.1.3环境管理台账"/>
      <w:bookmarkEnd w:id="331"/>
      <w:bookmarkStart w:id="332" w:name="9.1.3环境管理台账"/>
      <w:bookmarkEnd w:id="332"/>
      <w:r>
        <w:t>环境管理台账</w:t>
      </w:r>
    </w:p>
    <w:p w14:paraId="47636D41">
      <w:pPr>
        <w:pStyle w:val="7"/>
        <w:spacing w:before="158"/>
        <w:ind w:left="762"/>
      </w:pPr>
      <w:r>
        <w:t>屠宰及肉类加工工业排污单位应建立环境管理台账记录制度，落实环境管</w:t>
      </w:r>
    </w:p>
    <w:p w14:paraId="5213DC63">
      <w:pPr>
        <w:spacing w:after="0"/>
        <w:sectPr>
          <w:pgSz w:w="11910" w:h="16840"/>
          <w:pgMar w:top="1360" w:right="1520" w:bottom="1400" w:left="1520" w:header="878" w:footer="1204" w:gutter="0"/>
          <w:cols w:space="720" w:num="1"/>
        </w:sectPr>
      </w:pPr>
    </w:p>
    <w:p w14:paraId="4940F1AB">
      <w:pPr>
        <w:pStyle w:val="7"/>
        <w:spacing w:before="64" w:line="364" w:lineRule="auto"/>
        <w:ind w:left="282" w:right="282"/>
      </w:pPr>
      <w:r>
        <w:t>理台账记录的责任部门和责任人，明确工作职责，包括台账的记录、整理、维护和管理等，并对环境管理台账的真实性、完整性和规范性负责。</w:t>
      </w:r>
    </w:p>
    <w:p w14:paraId="29CBDC9C">
      <w:pPr>
        <w:pStyle w:val="7"/>
        <w:spacing w:line="306" w:lineRule="exact"/>
        <w:ind w:left="762"/>
      </w:pPr>
      <w:r>
        <w:t>建设项目环境管理台账明细工作具体可参考下表。</w:t>
      </w:r>
    </w:p>
    <w:p w14:paraId="5A1C323A">
      <w:pPr>
        <w:spacing w:before="159" w:after="3"/>
        <w:ind w:left="2816" w:right="0" w:firstLine="0"/>
        <w:jc w:val="left"/>
        <w:rPr>
          <w:b/>
          <w:sz w:val="21"/>
        </w:rPr>
      </w:pPr>
      <w:r>
        <w:rPr>
          <w:b/>
          <w:sz w:val="21"/>
        </w:rPr>
        <w:t xml:space="preserve">表 </w:t>
      </w:r>
      <w:r>
        <w:rPr>
          <w:rFonts w:ascii="Times New Roman" w:eastAsia="Times New Roman"/>
          <w:b/>
          <w:sz w:val="21"/>
        </w:rPr>
        <w:t xml:space="preserve">9.1-12 </w:t>
      </w:r>
      <w:r>
        <w:rPr>
          <w:b/>
          <w:sz w:val="21"/>
        </w:rPr>
        <w:t>环境管理台账要求一览表</w:t>
      </w: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
        <w:gridCol w:w="836"/>
        <w:gridCol w:w="3626"/>
        <w:gridCol w:w="2270"/>
        <w:gridCol w:w="707"/>
        <w:gridCol w:w="610"/>
      </w:tblGrid>
      <w:tr w14:paraId="47C0E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467" w:type="dxa"/>
          </w:tcPr>
          <w:p w14:paraId="69E233E6">
            <w:pPr>
              <w:pStyle w:val="14"/>
              <w:spacing w:before="10"/>
              <w:rPr>
                <w:b/>
                <w:sz w:val="22"/>
              </w:rPr>
            </w:pPr>
          </w:p>
          <w:p w14:paraId="13F726BE">
            <w:pPr>
              <w:pStyle w:val="14"/>
              <w:spacing w:line="242" w:lineRule="auto"/>
              <w:ind w:left="128" w:right="117"/>
              <w:rPr>
                <w:b/>
                <w:sz w:val="21"/>
              </w:rPr>
            </w:pPr>
            <w:r>
              <w:rPr>
                <w:b/>
                <w:sz w:val="21"/>
              </w:rPr>
              <w:t>序号</w:t>
            </w:r>
          </w:p>
        </w:tc>
        <w:tc>
          <w:tcPr>
            <w:tcW w:w="836" w:type="dxa"/>
          </w:tcPr>
          <w:p w14:paraId="3E7CE719">
            <w:pPr>
              <w:pStyle w:val="14"/>
              <w:rPr>
                <w:b/>
                <w:sz w:val="20"/>
              </w:rPr>
            </w:pPr>
          </w:p>
          <w:p w14:paraId="6889BE1E">
            <w:pPr>
              <w:pStyle w:val="14"/>
              <w:spacing w:before="172"/>
              <w:ind w:left="206"/>
              <w:rPr>
                <w:b/>
                <w:sz w:val="21"/>
              </w:rPr>
            </w:pPr>
            <w:r>
              <w:rPr>
                <w:b/>
                <w:sz w:val="21"/>
              </w:rPr>
              <w:t>类别</w:t>
            </w:r>
          </w:p>
        </w:tc>
        <w:tc>
          <w:tcPr>
            <w:tcW w:w="3626" w:type="dxa"/>
          </w:tcPr>
          <w:p w14:paraId="3BEC3C35">
            <w:pPr>
              <w:pStyle w:val="14"/>
              <w:rPr>
                <w:b/>
                <w:sz w:val="20"/>
              </w:rPr>
            </w:pPr>
          </w:p>
          <w:p w14:paraId="20690DB3">
            <w:pPr>
              <w:pStyle w:val="14"/>
              <w:spacing w:before="172"/>
              <w:ind w:left="1370" w:right="1361"/>
              <w:jc w:val="center"/>
              <w:rPr>
                <w:b/>
                <w:sz w:val="21"/>
              </w:rPr>
            </w:pPr>
            <w:r>
              <w:rPr>
                <w:b/>
                <w:sz w:val="21"/>
              </w:rPr>
              <w:t>记录内容</w:t>
            </w:r>
          </w:p>
        </w:tc>
        <w:tc>
          <w:tcPr>
            <w:tcW w:w="2270" w:type="dxa"/>
          </w:tcPr>
          <w:p w14:paraId="46C875BB">
            <w:pPr>
              <w:pStyle w:val="14"/>
              <w:rPr>
                <w:b/>
                <w:sz w:val="20"/>
              </w:rPr>
            </w:pPr>
          </w:p>
          <w:p w14:paraId="27C6C356">
            <w:pPr>
              <w:pStyle w:val="14"/>
              <w:spacing w:before="172"/>
              <w:ind w:left="691" w:right="684"/>
              <w:jc w:val="center"/>
              <w:rPr>
                <w:b/>
                <w:sz w:val="21"/>
              </w:rPr>
            </w:pPr>
            <w:r>
              <w:rPr>
                <w:b/>
                <w:sz w:val="21"/>
              </w:rPr>
              <w:t>记录频次</w:t>
            </w:r>
          </w:p>
        </w:tc>
        <w:tc>
          <w:tcPr>
            <w:tcW w:w="707" w:type="dxa"/>
          </w:tcPr>
          <w:p w14:paraId="73C7AAA0">
            <w:pPr>
              <w:pStyle w:val="14"/>
              <w:spacing w:before="10"/>
              <w:rPr>
                <w:b/>
                <w:sz w:val="22"/>
              </w:rPr>
            </w:pPr>
          </w:p>
          <w:p w14:paraId="659C2F71">
            <w:pPr>
              <w:pStyle w:val="14"/>
              <w:spacing w:line="242" w:lineRule="auto"/>
              <w:ind w:left="141" w:right="133"/>
              <w:rPr>
                <w:b/>
                <w:sz w:val="21"/>
              </w:rPr>
            </w:pPr>
            <w:r>
              <w:rPr>
                <w:b/>
                <w:sz w:val="21"/>
              </w:rPr>
              <w:t>记录形式</w:t>
            </w:r>
          </w:p>
        </w:tc>
        <w:tc>
          <w:tcPr>
            <w:tcW w:w="610" w:type="dxa"/>
          </w:tcPr>
          <w:p w14:paraId="37CE32EE">
            <w:pPr>
              <w:pStyle w:val="14"/>
              <w:spacing w:before="21" w:line="242" w:lineRule="auto"/>
              <w:ind w:left="197" w:right="191"/>
              <w:jc w:val="both"/>
              <w:rPr>
                <w:b/>
                <w:sz w:val="21"/>
              </w:rPr>
            </w:pPr>
            <w:r>
              <w:rPr>
                <w:b/>
                <w:sz w:val="21"/>
              </w:rPr>
              <w:t>其他信息</w:t>
            </w:r>
          </w:p>
        </w:tc>
      </w:tr>
      <w:tr w14:paraId="4C718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467" w:type="dxa"/>
          </w:tcPr>
          <w:p w14:paraId="6D283FA1">
            <w:pPr>
              <w:pStyle w:val="14"/>
              <w:rPr>
                <w:b/>
                <w:sz w:val="22"/>
              </w:rPr>
            </w:pPr>
          </w:p>
          <w:p w14:paraId="69625B91">
            <w:pPr>
              <w:pStyle w:val="14"/>
              <w:rPr>
                <w:b/>
                <w:sz w:val="22"/>
              </w:rPr>
            </w:pPr>
          </w:p>
          <w:p w14:paraId="2327911C">
            <w:pPr>
              <w:pStyle w:val="14"/>
              <w:spacing w:before="151"/>
              <w:ind w:left="10"/>
              <w:jc w:val="center"/>
              <w:rPr>
                <w:rFonts w:ascii="Times New Roman"/>
                <w:sz w:val="21"/>
              </w:rPr>
            </w:pPr>
            <w:r>
              <w:rPr>
                <w:rFonts w:ascii="Times New Roman"/>
                <w:w w:val="99"/>
                <w:sz w:val="21"/>
              </w:rPr>
              <w:t>1</w:t>
            </w:r>
          </w:p>
        </w:tc>
        <w:tc>
          <w:tcPr>
            <w:tcW w:w="836" w:type="dxa"/>
          </w:tcPr>
          <w:p w14:paraId="3F33A993">
            <w:pPr>
              <w:pStyle w:val="14"/>
              <w:rPr>
                <w:b/>
                <w:sz w:val="20"/>
              </w:rPr>
            </w:pPr>
          </w:p>
          <w:p w14:paraId="2E7C4063">
            <w:pPr>
              <w:pStyle w:val="14"/>
              <w:rPr>
                <w:b/>
                <w:sz w:val="24"/>
              </w:rPr>
            </w:pPr>
          </w:p>
          <w:p w14:paraId="61AFEB7E">
            <w:pPr>
              <w:pStyle w:val="14"/>
              <w:spacing w:line="244" w:lineRule="auto"/>
              <w:ind w:left="206" w:right="199"/>
              <w:rPr>
                <w:sz w:val="21"/>
              </w:rPr>
            </w:pPr>
            <w:r>
              <w:rPr>
                <w:w w:val="95"/>
                <w:sz w:val="21"/>
              </w:rPr>
              <w:t>基本信息</w:t>
            </w:r>
          </w:p>
        </w:tc>
        <w:tc>
          <w:tcPr>
            <w:tcW w:w="3626" w:type="dxa"/>
          </w:tcPr>
          <w:p w14:paraId="75F75649">
            <w:pPr>
              <w:pStyle w:val="14"/>
              <w:spacing w:before="22" w:line="242" w:lineRule="auto"/>
              <w:ind w:left="107" w:right="148"/>
              <w:rPr>
                <w:sz w:val="21"/>
              </w:rPr>
            </w:pPr>
            <w:r>
              <w:rPr>
                <w:w w:val="95"/>
                <w:sz w:val="21"/>
              </w:rPr>
              <w:t>生产设施基本信息、污染防治设施基</w:t>
            </w:r>
            <w:r>
              <w:rPr>
                <w:sz w:val="21"/>
              </w:rPr>
              <w:t>本信息。</w:t>
            </w:r>
          </w:p>
          <w:p w14:paraId="76150E1C">
            <w:pPr>
              <w:pStyle w:val="14"/>
              <w:spacing w:line="244" w:lineRule="auto"/>
              <w:ind w:left="107" w:right="264"/>
              <w:rPr>
                <w:sz w:val="21"/>
              </w:rPr>
            </w:pPr>
            <w:r>
              <w:rPr>
                <w:rFonts w:ascii="Times New Roman" w:eastAsia="Times New Roman"/>
                <w:w w:val="95"/>
                <w:sz w:val="21"/>
              </w:rPr>
              <w:t>a</w:t>
            </w:r>
            <w:r>
              <w:rPr>
                <w:w w:val="95"/>
                <w:sz w:val="21"/>
              </w:rPr>
              <w:t>）生产设施基本信息：主要技术参</w:t>
            </w:r>
            <w:r>
              <w:rPr>
                <w:sz w:val="21"/>
              </w:rPr>
              <w:t>数及设计值等。</w:t>
            </w:r>
          </w:p>
          <w:p w14:paraId="1AFCD5D3">
            <w:pPr>
              <w:pStyle w:val="14"/>
              <w:spacing w:line="265" w:lineRule="exact"/>
              <w:ind w:left="107"/>
              <w:rPr>
                <w:sz w:val="21"/>
              </w:rPr>
            </w:pPr>
            <w:r>
              <w:rPr>
                <w:rFonts w:ascii="Times New Roman" w:eastAsia="Times New Roman"/>
                <w:sz w:val="21"/>
              </w:rPr>
              <w:t>b</w:t>
            </w:r>
            <w:r>
              <w:rPr>
                <w:sz w:val="21"/>
              </w:rPr>
              <w:t>）污染防治设施基本信息：主要技</w:t>
            </w:r>
          </w:p>
          <w:p w14:paraId="5EE0ED19">
            <w:pPr>
              <w:pStyle w:val="14"/>
              <w:spacing w:before="3"/>
              <w:ind w:left="107"/>
              <w:rPr>
                <w:sz w:val="21"/>
              </w:rPr>
            </w:pPr>
            <w:r>
              <w:rPr>
                <w:sz w:val="21"/>
              </w:rPr>
              <w:t>术参数及设计值。</w:t>
            </w:r>
          </w:p>
        </w:tc>
        <w:tc>
          <w:tcPr>
            <w:tcW w:w="2270" w:type="dxa"/>
          </w:tcPr>
          <w:p w14:paraId="64EA62A1">
            <w:pPr>
              <w:pStyle w:val="14"/>
              <w:spacing w:before="156" w:line="242" w:lineRule="auto"/>
              <w:ind w:left="107" w:right="156"/>
              <w:rPr>
                <w:sz w:val="21"/>
              </w:rPr>
            </w:pPr>
            <w:r>
              <w:rPr>
                <w:sz w:val="21"/>
              </w:rPr>
              <w:t>对于未发生变化的基</w:t>
            </w:r>
            <w:r>
              <w:rPr>
                <w:w w:val="95"/>
                <w:sz w:val="21"/>
              </w:rPr>
              <w:t>本信息，按年记录，</w:t>
            </w:r>
            <w:r>
              <w:rPr>
                <w:rFonts w:ascii="Times New Roman" w:eastAsia="Times New Roman"/>
                <w:w w:val="95"/>
                <w:sz w:val="21"/>
              </w:rPr>
              <w:t xml:space="preserve">1 </w:t>
            </w:r>
            <w:r>
              <w:rPr>
                <w:sz w:val="21"/>
              </w:rPr>
              <w:t>次</w:t>
            </w:r>
            <w:r>
              <w:rPr>
                <w:rFonts w:ascii="Times New Roman" w:eastAsia="Times New Roman"/>
                <w:sz w:val="21"/>
              </w:rPr>
              <w:t>/</w:t>
            </w:r>
            <w:r>
              <w:rPr>
                <w:sz w:val="21"/>
              </w:rPr>
              <w:t xml:space="preserve">年；对于发生变化的基本信息，在发生变化时记录 </w:t>
            </w:r>
            <w:r>
              <w:rPr>
                <w:rFonts w:ascii="Times New Roman" w:eastAsia="Times New Roman"/>
                <w:sz w:val="21"/>
              </w:rPr>
              <w:t xml:space="preserve">1 </w:t>
            </w:r>
            <w:r>
              <w:rPr>
                <w:sz w:val="21"/>
              </w:rPr>
              <w:t>次。</w:t>
            </w:r>
          </w:p>
        </w:tc>
        <w:tc>
          <w:tcPr>
            <w:tcW w:w="707" w:type="dxa"/>
          </w:tcPr>
          <w:p w14:paraId="61C6C014">
            <w:pPr>
              <w:pStyle w:val="14"/>
              <w:spacing w:before="156" w:line="244" w:lineRule="auto"/>
              <w:ind w:left="141" w:right="135"/>
              <w:jc w:val="both"/>
              <w:rPr>
                <w:sz w:val="21"/>
              </w:rPr>
            </w:pPr>
            <w:r>
              <w:rPr>
                <w:w w:val="95"/>
                <w:sz w:val="21"/>
              </w:rPr>
              <w:t>电子台账</w:t>
            </w:r>
          </w:p>
          <w:p w14:paraId="024FB7EE">
            <w:pPr>
              <w:pStyle w:val="14"/>
              <w:spacing w:line="242" w:lineRule="auto"/>
              <w:ind w:left="141" w:right="135" w:firstLine="48"/>
              <w:jc w:val="both"/>
              <w:rPr>
                <w:sz w:val="21"/>
              </w:rPr>
            </w:pPr>
            <w:r>
              <w:rPr>
                <w:rFonts w:ascii="Times New Roman" w:eastAsia="Times New Roman"/>
                <w:sz w:val="21"/>
              </w:rPr>
              <w:t>+</w:t>
            </w:r>
            <w:r>
              <w:rPr>
                <w:sz w:val="21"/>
              </w:rPr>
              <w:t>纸</w:t>
            </w:r>
            <w:r>
              <w:rPr>
                <w:w w:val="95"/>
                <w:sz w:val="21"/>
              </w:rPr>
              <w:t>质台</w:t>
            </w:r>
            <w:r>
              <w:rPr>
                <w:sz w:val="21"/>
              </w:rPr>
              <w:t>账</w:t>
            </w:r>
          </w:p>
        </w:tc>
        <w:tc>
          <w:tcPr>
            <w:tcW w:w="610" w:type="dxa"/>
          </w:tcPr>
          <w:p w14:paraId="7BC199F8">
            <w:pPr>
              <w:pStyle w:val="14"/>
              <w:spacing w:before="22" w:line="242" w:lineRule="auto"/>
              <w:ind w:left="200" w:right="188"/>
              <w:jc w:val="both"/>
              <w:rPr>
                <w:sz w:val="21"/>
              </w:rPr>
            </w:pPr>
            <w:r>
              <w:rPr>
                <w:sz w:val="21"/>
              </w:rPr>
              <w:t>至少保存五年</w:t>
            </w:r>
          </w:p>
        </w:tc>
      </w:tr>
      <w:tr w14:paraId="26515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6" w:hRule="atLeast"/>
        </w:trPr>
        <w:tc>
          <w:tcPr>
            <w:tcW w:w="467" w:type="dxa"/>
          </w:tcPr>
          <w:p w14:paraId="03BBBE1C">
            <w:pPr>
              <w:pStyle w:val="14"/>
              <w:rPr>
                <w:b/>
                <w:sz w:val="22"/>
              </w:rPr>
            </w:pPr>
          </w:p>
          <w:p w14:paraId="0D65CC25">
            <w:pPr>
              <w:pStyle w:val="14"/>
              <w:rPr>
                <w:b/>
                <w:sz w:val="22"/>
              </w:rPr>
            </w:pPr>
          </w:p>
          <w:p w14:paraId="5458A5E2">
            <w:pPr>
              <w:pStyle w:val="14"/>
              <w:spacing w:before="7"/>
              <w:rPr>
                <w:b/>
                <w:sz w:val="22"/>
              </w:rPr>
            </w:pPr>
          </w:p>
          <w:p w14:paraId="77952671">
            <w:pPr>
              <w:pStyle w:val="14"/>
              <w:ind w:left="10"/>
              <w:jc w:val="center"/>
              <w:rPr>
                <w:rFonts w:ascii="Times New Roman"/>
                <w:sz w:val="21"/>
              </w:rPr>
            </w:pPr>
            <w:r>
              <w:rPr>
                <w:rFonts w:ascii="Times New Roman"/>
                <w:w w:val="99"/>
                <w:sz w:val="21"/>
              </w:rPr>
              <w:t>2</w:t>
            </w:r>
          </w:p>
        </w:tc>
        <w:tc>
          <w:tcPr>
            <w:tcW w:w="836" w:type="dxa"/>
          </w:tcPr>
          <w:p w14:paraId="7488D842">
            <w:pPr>
              <w:pStyle w:val="14"/>
              <w:rPr>
                <w:b/>
                <w:sz w:val="20"/>
              </w:rPr>
            </w:pPr>
          </w:p>
          <w:p w14:paraId="1D5BCFB9">
            <w:pPr>
              <w:pStyle w:val="14"/>
              <w:spacing w:before="1"/>
              <w:rPr>
                <w:b/>
                <w:sz w:val="24"/>
              </w:rPr>
            </w:pPr>
          </w:p>
          <w:p w14:paraId="0235ED2B">
            <w:pPr>
              <w:pStyle w:val="14"/>
              <w:spacing w:line="242" w:lineRule="auto"/>
              <w:ind w:left="206" w:right="199"/>
              <w:jc w:val="both"/>
              <w:rPr>
                <w:sz w:val="21"/>
              </w:rPr>
            </w:pPr>
            <w:r>
              <w:rPr>
                <w:w w:val="95"/>
                <w:sz w:val="21"/>
              </w:rPr>
              <w:t>监测记录信息</w:t>
            </w:r>
          </w:p>
        </w:tc>
        <w:tc>
          <w:tcPr>
            <w:tcW w:w="3626" w:type="dxa"/>
          </w:tcPr>
          <w:p w14:paraId="0F05E6EB">
            <w:pPr>
              <w:pStyle w:val="14"/>
              <w:spacing w:before="20" w:line="244" w:lineRule="auto"/>
              <w:ind w:left="107" w:right="148"/>
              <w:rPr>
                <w:sz w:val="21"/>
              </w:rPr>
            </w:pPr>
            <w:r>
              <w:rPr>
                <w:w w:val="95"/>
                <w:sz w:val="21"/>
              </w:rPr>
              <w:t>监测期间生产及污染治理设施运行状</w:t>
            </w:r>
            <w:r>
              <w:rPr>
                <w:sz w:val="21"/>
              </w:rPr>
              <w:t>况信息；</w:t>
            </w:r>
          </w:p>
          <w:p w14:paraId="1003EBF4">
            <w:pPr>
              <w:pStyle w:val="14"/>
              <w:spacing w:line="242" w:lineRule="auto"/>
              <w:ind w:left="107" w:right="148"/>
              <w:rPr>
                <w:sz w:val="21"/>
              </w:rPr>
            </w:pPr>
            <w:r>
              <w:rPr>
                <w:w w:val="95"/>
                <w:sz w:val="21"/>
              </w:rPr>
              <w:t>手工监测的日期、时间、污染物排放</w:t>
            </w:r>
            <w:r>
              <w:rPr>
                <w:sz w:val="21"/>
              </w:rPr>
              <w:t xml:space="preserve">口和监测点位、监测方法、监测频 </w:t>
            </w:r>
            <w:r>
              <w:rPr>
                <w:w w:val="95"/>
                <w:sz w:val="21"/>
              </w:rPr>
              <w:t>次、监测仪器及型号、采样方法和采样个数、监测内容、计量单位、监测</w:t>
            </w:r>
            <w:r>
              <w:rPr>
                <w:sz w:val="21"/>
              </w:rPr>
              <w:t>结果等。</w:t>
            </w:r>
          </w:p>
        </w:tc>
        <w:tc>
          <w:tcPr>
            <w:tcW w:w="2270" w:type="dxa"/>
          </w:tcPr>
          <w:p w14:paraId="6913BD66">
            <w:pPr>
              <w:pStyle w:val="14"/>
              <w:rPr>
                <w:b/>
                <w:sz w:val="22"/>
              </w:rPr>
            </w:pPr>
          </w:p>
          <w:p w14:paraId="6F53A904">
            <w:pPr>
              <w:pStyle w:val="14"/>
              <w:rPr>
                <w:b/>
                <w:sz w:val="22"/>
              </w:rPr>
            </w:pPr>
          </w:p>
          <w:p w14:paraId="5A61ED9B">
            <w:pPr>
              <w:pStyle w:val="14"/>
              <w:spacing w:before="3"/>
              <w:rPr>
                <w:b/>
                <w:sz w:val="21"/>
              </w:rPr>
            </w:pPr>
          </w:p>
          <w:p w14:paraId="249DAF17">
            <w:pPr>
              <w:pStyle w:val="14"/>
              <w:ind w:left="689" w:right="684"/>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707" w:type="dxa"/>
          </w:tcPr>
          <w:p w14:paraId="5BFC54C2">
            <w:pPr>
              <w:pStyle w:val="14"/>
              <w:spacing w:before="12"/>
              <w:rPr>
                <w:b/>
                <w:sz w:val="22"/>
              </w:rPr>
            </w:pPr>
          </w:p>
          <w:p w14:paraId="783E8023">
            <w:pPr>
              <w:pStyle w:val="14"/>
              <w:spacing w:line="242" w:lineRule="auto"/>
              <w:ind w:left="141" w:right="135"/>
              <w:jc w:val="both"/>
              <w:rPr>
                <w:sz w:val="21"/>
              </w:rPr>
            </w:pPr>
            <w:r>
              <w:rPr>
                <w:w w:val="95"/>
                <w:sz w:val="21"/>
              </w:rPr>
              <w:t>电子台账</w:t>
            </w:r>
          </w:p>
          <w:p w14:paraId="12EA1FF4">
            <w:pPr>
              <w:pStyle w:val="14"/>
              <w:spacing w:line="242" w:lineRule="auto"/>
              <w:ind w:left="141" w:right="135" w:firstLine="48"/>
              <w:jc w:val="both"/>
              <w:rPr>
                <w:sz w:val="21"/>
              </w:rPr>
            </w:pPr>
            <w:r>
              <w:rPr>
                <w:rFonts w:ascii="Times New Roman" w:eastAsia="Times New Roman"/>
                <w:sz w:val="21"/>
              </w:rPr>
              <w:t>+</w:t>
            </w:r>
            <w:r>
              <w:rPr>
                <w:sz w:val="21"/>
              </w:rPr>
              <w:t>纸</w:t>
            </w:r>
            <w:r>
              <w:rPr>
                <w:w w:val="95"/>
                <w:sz w:val="21"/>
              </w:rPr>
              <w:t>质台</w:t>
            </w:r>
            <w:r>
              <w:rPr>
                <w:sz w:val="21"/>
              </w:rPr>
              <w:t>账</w:t>
            </w:r>
          </w:p>
        </w:tc>
        <w:tc>
          <w:tcPr>
            <w:tcW w:w="610" w:type="dxa"/>
          </w:tcPr>
          <w:p w14:paraId="47CB192C">
            <w:pPr>
              <w:pStyle w:val="14"/>
              <w:spacing w:before="157" w:line="242" w:lineRule="auto"/>
              <w:ind w:left="200" w:right="188"/>
              <w:jc w:val="both"/>
              <w:rPr>
                <w:sz w:val="21"/>
              </w:rPr>
            </w:pPr>
            <w:r>
              <w:rPr>
                <w:sz w:val="21"/>
              </w:rPr>
              <w:t>至少保存五年</w:t>
            </w:r>
          </w:p>
        </w:tc>
      </w:tr>
      <w:tr w14:paraId="2814C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3" w:hRule="atLeast"/>
        </w:trPr>
        <w:tc>
          <w:tcPr>
            <w:tcW w:w="467" w:type="dxa"/>
          </w:tcPr>
          <w:p w14:paraId="7D2E35B5">
            <w:pPr>
              <w:pStyle w:val="14"/>
              <w:rPr>
                <w:b/>
                <w:sz w:val="22"/>
              </w:rPr>
            </w:pPr>
          </w:p>
          <w:p w14:paraId="19A93AAB">
            <w:pPr>
              <w:pStyle w:val="14"/>
              <w:rPr>
                <w:b/>
                <w:sz w:val="22"/>
              </w:rPr>
            </w:pPr>
          </w:p>
          <w:p w14:paraId="7352A1E6">
            <w:pPr>
              <w:pStyle w:val="14"/>
              <w:spacing w:before="151"/>
              <w:ind w:left="10"/>
              <w:jc w:val="center"/>
              <w:rPr>
                <w:rFonts w:ascii="Times New Roman"/>
                <w:sz w:val="21"/>
              </w:rPr>
            </w:pPr>
            <w:r>
              <w:rPr>
                <w:rFonts w:ascii="Times New Roman"/>
                <w:w w:val="99"/>
                <w:sz w:val="21"/>
              </w:rPr>
              <w:t>3</w:t>
            </w:r>
          </w:p>
        </w:tc>
        <w:tc>
          <w:tcPr>
            <w:tcW w:w="836" w:type="dxa"/>
          </w:tcPr>
          <w:p w14:paraId="30C215B1">
            <w:pPr>
              <w:pStyle w:val="14"/>
              <w:spacing w:before="11"/>
              <w:rPr>
                <w:b/>
                <w:sz w:val="22"/>
              </w:rPr>
            </w:pPr>
          </w:p>
          <w:p w14:paraId="623A217F">
            <w:pPr>
              <w:pStyle w:val="14"/>
              <w:spacing w:line="242" w:lineRule="auto"/>
              <w:ind w:left="206" w:right="199"/>
              <w:jc w:val="both"/>
              <w:rPr>
                <w:sz w:val="21"/>
              </w:rPr>
            </w:pPr>
            <w:r>
              <w:rPr>
                <w:w w:val="95"/>
                <w:sz w:val="21"/>
              </w:rPr>
              <w:t>其他环境管理信息</w:t>
            </w:r>
          </w:p>
        </w:tc>
        <w:tc>
          <w:tcPr>
            <w:tcW w:w="3626" w:type="dxa"/>
          </w:tcPr>
          <w:p w14:paraId="3D866DF7">
            <w:pPr>
              <w:pStyle w:val="14"/>
              <w:spacing w:before="156" w:line="242" w:lineRule="auto"/>
              <w:ind w:left="107" w:right="148"/>
              <w:jc w:val="both"/>
              <w:rPr>
                <w:sz w:val="21"/>
              </w:rPr>
            </w:pPr>
            <w:r>
              <w:rPr>
                <w:w w:val="95"/>
                <w:sz w:val="21"/>
              </w:rPr>
              <w:t>特殊时段环境管理信息：具体管理要</w:t>
            </w:r>
            <w:r>
              <w:rPr>
                <w:sz w:val="21"/>
              </w:rPr>
              <w:t>求及其执行情况。</w:t>
            </w:r>
          </w:p>
          <w:p w14:paraId="072A1B53">
            <w:pPr>
              <w:pStyle w:val="14"/>
              <w:spacing w:before="1" w:line="242" w:lineRule="auto"/>
              <w:ind w:left="107" w:right="148"/>
              <w:jc w:val="both"/>
              <w:rPr>
                <w:sz w:val="21"/>
              </w:rPr>
            </w:pPr>
            <w:r>
              <w:rPr>
                <w:w w:val="95"/>
                <w:sz w:val="21"/>
              </w:rPr>
              <w:t>其他信息：法律法规、标准规范确定的其他信息，企业自主记录的环境管</w:t>
            </w:r>
            <w:r>
              <w:rPr>
                <w:sz w:val="21"/>
              </w:rPr>
              <w:t>理信息。</w:t>
            </w:r>
          </w:p>
        </w:tc>
        <w:tc>
          <w:tcPr>
            <w:tcW w:w="2270" w:type="dxa"/>
          </w:tcPr>
          <w:p w14:paraId="7C38CF2E">
            <w:pPr>
              <w:pStyle w:val="14"/>
              <w:spacing w:before="19" w:line="242" w:lineRule="auto"/>
              <w:ind w:left="107" w:right="261"/>
              <w:jc w:val="both"/>
              <w:rPr>
                <w:sz w:val="21"/>
              </w:rPr>
            </w:pPr>
            <w:r>
              <w:rPr>
                <w:w w:val="95"/>
                <w:sz w:val="21"/>
              </w:rPr>
              <w:t>特殊时段环境管理信息：按照规定频次记录；对于停产或错峰生产的，原则上仅对停产或错峰生产的起</w:t>
            </w:r>
            <w:r>
              <w:rPr>
                <w:spacing w:val="-8"/>
                <w:sz w:val="21"/>
              </w:rPr>
              <w:t xml:space="preserve">止日期各记录 </w:t>
            </w:r>
            <w:r>
              <w:rPr>
                <w:rFonts w:ascii="Times New Roman" w:eastAsia="Times New Roman"/>
                <w:sz w:val="21"/>
              </w:rPr>
              <w:t xml:space="preserve">1 </w:t>
            </w:r>
            <w:r>
              <w:rPr>
                <w:sz w:val="21"/>
              </w:rPr>
              <w:t>次。</w:t>
            </w:r>
          </w:p>
        </w:tc>
        <w:tc>
          <w:tcPr>
            <w:tcW w:w="707" w:type="dxa"/>
          </w:tcPr>
          <w:p w14:paraId="1D4F3B9D">
            <w:pPr>
              <w:pStyle w:val="14"/>
              <w:spacing w:before="156" w:line="242" w:lineRule="auto"/>
              <w:ind w:left="141" w:right="135"/>
              <w:jc w:val="both"/>
              <w:rPr>
                <w:sz w:val="21"/>
              </w:rPr>
            </w:pPr>
            <w:r>
              <w:rPr>
                <w:w w:val="95"/>
                <w:sz w:val="21"/>
              </w:rPr>
              <w:t>电子台账</w:t>
            </w:r>
          </w:p>
          <w:p w14:paraId="03E0CCD2">
            <w:pPr>
              <w:pStyle w:val="14"/>
              <w:spacing w:before="1" w:line="242" w:lineRule="auto"/>
              <w:ind w:left="141" w:right="135" w:firstLine="48"/>
              <w:jc w:val="both"/>
              <w:rPr>
                <w:sz w:val="21"/>
              </w:rPr>
            </w:pPr>
            <w:r>
              <w:rPr>
                <w:rFonts w:ascii="Times New Roman" w:eastAsia="Times New Roman"/>
                <w:sz w:val="21"/>
              </w:rPr>
              <w:t>+</w:t>
            </w:r>
            <w:r>
              <w:rPr>
                <w:sz w:val="21"/>
              </w:rPr>
              <w:t>纸</w:t>
            </w:r>
            <w:r>
              <w:rPr>
                <w:w w:val="95"/>
                <w:sz w:val="21"/>
              </w:rPr>
              <w:t>质台</w:t>
            </w:r>
            <w:r>
              <w:rPr>
                <w:sz w:val="21"/>
              </w:rPr>
              <w:t>账</w:t>
            </w:r>
          </w:p>
        </w:tc>
        <w:tc>
          <w:tcPr>
            <w:tcW w:w="610" w:type="dxa"/>
          </w:tcPr>
          <w:p w14:paraId="3D774935">
            <w:pPr>
              <w:pStyle w:val="14"/>
              <w:spacing w:before="19" w:line="242" w:lineRule="auto"/>
              <w:ind w:left="200" w:right="188"/>
              <w:jc w:val="both"/>
              <w:rPr>
                <w:sz w:val="21"/>
              </w:rPr>
            </w:pPr>
            <w:r>
              <w:rPr>
                <w:sz w:val="21"/>
              </w:rPr>
              <w:t>至少保存五年</w:t>
            </w:r>
          </w:p>
        </w:tc>
      </w:tr>
      <w:tr w14:paraId="11A98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7" w:hRule="atLeast"/>
        </w:trPr>
        <w:tc>
          <w:tcPr>
            <w:tcW w:w="467" w:type="dxa"/>
          </w:tcPr>
          <w:p w14:paraId="53B83E45">
            <w:pPr>
              <w:pStyle w:val="14"/>
              <w:rPr>
                <w:b/>
                <w:sz w:val="22"/>
              </w:rPr>
            </w:pPr>
          </w:p>
          <w:p w14:paraId="270C44A7">
            <w:pPr>
              <w:pStyle w:val="14"/>
              <w:rPr>
                <w:b/>
                <w:sz w:val="22"/>
              </w:rPr>
            </w:pPr>
          </w:p>
          <w:p w14:paraId="7E9A2AA6">
            <w:pPr>
              <w:pStyle w:val="14"/>
              <w:rPr>
                <w:b/>
                <w:sz w:val="22"/>
              </w:rPr>
            </w:pPr>
          </w:p>
          <w:p w14:paraId="53BD3124">
            <w:pPr>
              <w:pStyle w:val="14"/>
              <w:rPr>
                <w:b/>
                <w:sz w:val="22"/>
              </w:rPr>
            </w:pPr>
          </w:p>
          <w:p w14:paraId="4D970BFD">
            <w:pPr>
              <w:pStyle w:val="14"/>
              <w:rPr>
                <w:b/>
                <w:sz w:val="22"/>
              </w:rPr>
            </w:pPr>
          </w:p>
          <w:p w14:paraId="238C1368">
            <w:pPr>
              <w:pStyle w:val="14"/>
              <w:rPr>
                <w:b/>
                <w:sz w:val="22"/>
              </w:rPr>
            </w:pPr>
          </w:p>
          <w:p w14:paraId="0A3B1CB8">
            <w:pPr>
              <w:pStyle w:val="14"/>
              <w:rPr>
                <w:b/>
                <w:sz w:val="22"/>
              </w:rPr>
            </w:pPr>
          </w:p>
          <w:p w14:paraId="4C117F87">
            <w:pPr>
              <w:pStyle w:val="14"/>
              <w:rPr>
                <w:b/>
                <w:sz w:val="22"/>
              </w:rPr>
            </w:pPr>
          </w:p>
          <w:p w14:paraId="46F5D296">
            <w:pPr>
              <w:pStyle w:val="14"/>
              <w:rPr>
                <w:b/>
                <w:sz w:val="22"/>
              </w:rPr>
            </w:pPr>
          </w:p>
          <w:p w14:paraId="4AAAC7B2">
            <w:pPr>
              <w:pStyle w:val="14"/>
              <w:spacing w:before="3"/>
              <w:rPr>
                <w:b/>
                <w:sz w:val="17"/>
              </w:rPr>
            </w:pPr>
          </w:p>
          <w:p w14:paraId="3202BE77">
            <w:pPr>
              <w:pStyle w:val="14"/>
              <w:ind w:left="10"/>
              <w:jc w:val="center"/>
              <w:rPr>
                <w:rFonts w:ascii="Times New Roman"/>
                <w:sz w:val="21"/>
              </w:rPr>
            </w:pPr>
            <w:r>
              <w:rPr>
                <w:rFonts w:ascii="Times New Roman"/>
                <w:w w:val="99"/>
                <w:sz w:val="21"/>
              </w:rPr>
              <w:t>4</w:t>
            </w:r>
          </w:p>
        </w:tc>
        <w:tc>
          <w:tcPr>
            <w:tcW w:w="836" w:type="dxa"/>
          </w:tcPr>
          <w:p w14:paraId="7E65C2EE">
            <w:pPr>
              <w:pStyle w:val="14"/>
              <w:rPr>
                <w:b/>
                <w:sz w:val="20"/>
              </w:rPr>
            </w:pPr>
          </w:p>
          <w:p w14:paraId="6796F8D6">
            <w:pPr>
              <w:pStyle w:val="14"/>
              <w:rPr>
                <w:b/>
                <w:sz w:val="20"/>
              </w:rPr>
            </w:pPr>
          </w:p>
          <w:p w14:paraId="370AFFD7">
            <w:pPr>
              <w:pStyle w:val="14"/>
              <w:rPr>
                <w:b/>
                <w:sz w:val="20"/>
              </w:rPr>
            </w:pPr>
          </w:p>
          <w:p w14:paraId="447C76B1">
            <w:pPr>
              <w:pStyle w:val="14"/>
              <w:rPr>
                <w:b/>
                <w:sz w:val="20"/>
              </w:rPr>
            </w:pPr>
          </w:p>
          <w:p w14:paraId="47BE73A8">
            <w:pPr>
              <w:pStyle w:val="14"/>
              <w:rPr>
                <w:b/>
                <w:sz w:val="20"/>
              </w:rPr>
            </w:pPr>
          </w:p>
          <w:p w14:paraId="36D79254">
            <w:pPr>
              <w:pStyle w:val="14"/>
              <w:rPr>
                <w:b/>
                <w:sz w:val="20"/>
              </w:rPr>
            </w:pPr>
          </w:p>
          <w:p w14:paraId="78DF47F2">
            <w:pPr>
              <w:pStyle w:val="14"/>
              <w:rPr>
                <w:b/>
                <w:sz w:val="20"/>
              </w:rPr>
            </w:pPr>
          </w:p>
          <w:p w14:paraId="306BE808">
            <w:pPr>
              <w:pStyle w:val="14"/>
              <w:rPr>
                <w:b/>
                <w:sz w:val="20"/>
              </w:rPr>
            </w:pPr>
          </w:p>
          <w:p w14:paraId="387DE6C8">
            <w:pPr>
              <w:pStyle w:val="14"/>
              <w:spacing w:before="147" w:line="242" w:lineRule="auto"/>
              <w:ind w:left="206" w:right="199"/>
              <w:jc w:val="both"/>
              <w:rPr>
                <w:sz w:val="21"/>
              </w:rPr>
            </w:pPr>
            <w:r>
              <w:rPr>
                <w:w w:val="95"/>
                <w:sz w:val="21"/>
              </w:rPr>
              <w:t>生产设施运行管理信息</w:t>
            </w:r>
          </w:p>
        </w:tc>
        <w:tc>
          <w:tcPr>
            <w:tcW w:w="3626" w:type="dxa"/>
          </w:tcPr>
          <w:p w14:paraId="09697026">
            <w:pPr>
              <w:pStyle w:val="14"/>
              <w:spacing w:before="20" w:line="242" w:lineRule="auto"/>
              <w:ind w:left="107" w:right="148"/>
              <w:rPr>
                <w:sz w:val="21"/>
              </w:rPr>
            </w:pPr>
            <w:r>
              <w:rPr>
                <w:sz w:val="21"/>
              </w:rPr>
              <w:t xml:space="preserve">包括主体工程、公用工程、辅助工 </w:t>
            </w:r>
            <w:r>
              <w:rPr>
                <w:w w:val="95"/>
                <w:sz w:val="21"/>
              </w:rPr>
              <w:t>程、储运工程等单元的生产设施运行</w:t>
            </w:r>
            <w:r>
              <w:rPr>
                <w:sz w:val="21"/>
              </w:rPr>
              <w:t>管理信息。</w:t>
            </w:r>
          </w:p>
          <w:p w14:paraId="1E019E7C">
            <w:pPr>
              <w:pStyle w:val="14"/>
              <w:spacing w:before="1" w:line="244" w:lineRule="auto"/>
              <w:ind w:left="107" w:right="475"/>
              <w:rPr>
                <w:sz w:val="21"/>
              </w:rPr>
            </w:pPr>
            <w:r>
              <w:rPr>
                <w:rFonts w:ascii="Times New Roman" w:eastAsia="Times New Roman"/>
                <w:w w:val="95"/>
                <w:sz w:val="21"/>
              </w:rPr>
              <w:t>a</w:t>
            </w:r>
            <w:r>
              <w:rPr>
                <w:w w:val="95"/>
                <w:sz w:val="21"/>
              </w:rPr>
              <w:t>）正常工况：运行状态、生产负</w:t>
            </w:r>
            <w:r>
              <w:rPr>
                <w:sz w:val="21"/>
              </w:rPr>
              <w:t>荷、主要产品产量、原辅料等。</w:t>
            </w:r>
          </w:p>
          <w:p w14:paraId="7CC38E3A">
            <w:pPr>
              <w:pStyle w:val="14"/>
              <w:spacing w:line="244" w:lineRule="auto"/>
              <w:ind w:left="107" w:right="252"/>
              <w:rPr>
                <w:sz w:val="21"/>
              </w:rPr>
            </w:pPr>
            <w:r>
              <w:rPr>
                <w:rFonts w:ascii="Times New Roman" w:eastAsia="Times New Roman"/>
                <w:w w:val="95"/>
                <w:sz w:val="21"/>
              </w:rPr>
              <w:t>1</w:t>
            </w:r>
            <w:r>
              <w:rPr>
                <w:w w:val="95"/>
                <w:sz w:val="21"/>
              </w:rPr>
              <w:t>）运行状态：是否正常运行，主要</w:t>
            </w:r>
            <w:r>
              <w:rPr>
                <w:sz w:val="21"/>
              </w:rPr>
              <w:t>参数名称及数值。</w:t>
            </w:r>
          </w:p>
          <w:p w14:paraId="532A1FAA">
            <w:pPr>
              <w:pStyle w:val="14"/>
              <w:spacing w:line="242" w:lineRule="auto"/>
              <w:ind w:left="107" w:right="252"/>
              <w:rPr>
                <w:sz w:val="21"/>
              </w:rPr>
            </w:pPr>
            <w:r>
              <w:rPr>
                <w:rFonts w:ascii="Times New Roman" w:eastAsia="Times New Roman"/>
                <w:w w:val="95"/>
                <w:sz w:val="21"/>
              </w:rPr>
              <w:t>2</w:t>
            </w:r>
            <w:r>
              <w:rPr>
                <w:w w:val="95"/>
                <w:sz w:val="21"/>
              </w:rPr>
              <w:t>）生产负荷：主要产品产量与设计</w:t>
            </w:r>
            <w:r>
              <w:rPr>
                <w:sz w:val="21"/>
              </w:rPr>
              <w:t>生产能力之比。</w:t>
            </w:r>
          </w:p>
          <w:p w14:paraId="71FF0FC4">
            <w:pPr>
              <w:pStyle w:val="14"/>
              <w:ind w:left="107"/>
              <w:rPr>
                <w:sz w:val="21"/>
              </w:rPr>
            </w:pPr>
            <w:r>
              <w:rPr>
                <w:rFonts w:ascii="Times New Roman" w:eastAsia="Times New Roman"/>
                <w:sz w:val="21"/>
              </w:rPr>
              <w:t>3</w:t>
            </w:r>
            <w:r>
              <w:rPr>
                <w:sz w:val="21"/>
              </w:rPr>
              <w:t>）主要产品产量：名称、产量。</w:t>
            </w:r>
          </w:p>
          <w:p w14:paraId="1F1CA43A">
            <w:pPr>
              <w:pStyle w:val="14"/>
              <w:spacing w:line="242" w:lineRule="auto"/>
              <w:ind w:left="107" w:right="252"/>
              <w:rPr>
                <w:sz w:val="21"/>
              </w:rPr>
            </w:pPr>
            <w:r>
              <w:rPr>
                <w:rFonts w:ascii="Times New Roman" w:eastAsia="Times New Roman"/>
                <w:w w:val="95"/>
                <w:sz w:val="21"/>
              </w:rPr>
              <w:t>4</w:t>
            </w:r>
            <w:r>
              <w:rPr>
                <w:w w:val="95"/>
                <w:sz w:val="21"/>
              </w:rPr>
              <w:t>）原辅料：名称、用量、硫元素占</w:t>
            </w:r>
            <w:r>
              <w:rPr>
                <w:sz w:val="21"/>
              </w:rPr>
              <w:t>比、有毒有害物质及成分占比（如有</w:t>
            </w:r>
            <w:r>
              <w:rPr>
                <w:spacing w:val="-106"/>
                <w:sz w:val="21"/>
              </w:rPr>
              <w:t>）</w:t>
            </w:r>
            <w:r>
              <w:rPr>
                <w:sz w:val="21"/>
              </w:rPr>
              <w:t>。</w:t>
            </w:r>
          </w:p>
          <w:p w14:paraId="065ED010">
            <w:pPr>
              <w:pStyle w:val="14"/>
              <w:ind w:left="107"/>
              <w:rPr>
                <w:sz w:val="21"/>
              </w:rPr>
            </w:pPr>
            <w:r>
              <w:rPr>
                <w:rFonts w:ascii="Times New Roman" w:eastAsia="Times New Roman"/>
                <w:sz w:val="21"/>
              </w:rPr>
              <w:t>5</w:t>
            </w:r>
            <w:r>
              <w:rPr>
                <w:sz w:val="21"/>
              </w:rPr>
              <w:t>）其他：用电量等。</w:t>
            </w:r>
          </w:p>
          <w:p w14:paraId="7165F411">
            <w:pPr>
              <w:pStyle w:val="14"/>
              <w:spacing w:line="242" w:lineRule="auto"/>
              <w:ind w:left="107" w:right="148"/>
              <w:rPr>
                <w:sz w:val="21"/>
              </w:rPr>
            </w:pPr>
            <w:r>
              <w:rPr>
                <w:rFonts w:ascii="Times New Roman" w:eastAsia="Times New Roman"/>
                <w:sz w:val="21"/>
              </w:rPr>
              <w:t>b</w:t>
            </w:r>
            <w:r>
              <w:rPr>
                <w:sz w:val="21"/>
              </w:rPr>
              <w:t>）非正常工况：起止时间、产品产</w:t>
            </w:r>
            <w:r>
              <w:rPr>
                <w:w w:val="95"/>
                <w:sz w:val="21"/>
              </w:rPr>
              <w:t>量、原辅料消耗量、事件原因、应对</w:t>
            </w:r>
            <w:r>
              <w:rPr>
                <w:sz w:val="21"/>
              </w:rPr>
              <w:t>措施、是否报告等。</w:t>
            </w:r>
          </w:p>
          <w:p w14:paraId="6B388AEE">
            <w:pPr>
              <w:pStyle w:val="14"/>
              <w:spacing w:before="3" w:line="242" w:lineRule="auto"/>
              <w:ind w:left="107" w:right="148"/>
              <w:jc w:val="both"/>
              <w:rPr>
                <w:sz w:val="21"/>
              </w:rPr>
            </w:pPr>
            <w:r>
              <w:rPr>
                <w:w w:val="95"/>
                <w:sz w:val="21"/>
              </w:rPr>
              <w:t>对于无实际产品、燃料消耗、非正常工况的辅助工程及储运工程的相关生产设施，仅记录正常工况下的运行状</w:t>
            </w:r>
            <w:r>
              <w:rPr>
                <w:sz w:val="21"/>
              </w:rPr>
              <w:t>态和生产负荷信息。</w:t>
            </w:r>
          </w:p>
        </w:tc>
        <w:tc>
          <w:tcPr>
            <w:tcW w:w="2270" w:type="dxa"/>
          </w:tcPr>
          <w:p w14:paraId="2D374447">
            <w:pPr>
              <w:pStyle w:val="14"/>
              <w:rPr>
                <w:b/>
                <w:sz w:val="22"/>
              </w:rPr>
            </w:pPr>
          </w:p>
          <w:p w14:paraId="19132308">
            <w:pPr>
              <w:pStyle w:val="14"/>
              <w:spacing w:before="1"/>
              <w:rPr>
                <w:b/>
                <w:sz w:val="22"/>
              </w:rPr>
            </w:pPr>
          </w:p>
          <w:p w14:paraId="771A908B">
            <w:pPr>
              <w:pStyle w:val="14"/>
              <w:ind w:left="107"/>
              <w:rPr>
                <w:sz w:val="21"/>
              </w:rPr>
            </w:pPr>
            <w:r>
              <w:rPr>
                <w:rFonts w:ascii="Times New Roman" w:eastAsia="Times New Roman"/>
                <w:sz w:val="21"/>
              </w:rPr>
              <w:t>a</w:t>
            </w:r>
            <w:r>
              <w:rPr>
                <w:sz w:val="21"/>
              </w:rPr>
              <w:t>）正常工况：</w:t>
            </w:r>
          </w:p>
          <w:p w14:paraId="00F089D6">
            <w:pPr>
              <w:pStyle w:val="14"/>
              <w:spacing w:before="2" w:line="242" w:lineRule="auto"/>
              <w:ind w:left="107" w:right="155"/>
              <w:rPr>
                <w:sz w:val="21"/>
              </w:rPr>
            </w:pPr>
            <w:r>
              <w:rPr>
                <w:rFonts w:ascii="Times New Roman" w:eastAsia="Times New Roman"/>
                <w:sz w:val="21"/>
              </w:rPr>
              <w:t>1</w:t>
            </w:r>
            <w:r>
              <w:rPr>
                <w:sz w:val="21"/>
              </w:rPr>
              <w:t>）运行状态：一般按日或批次记录，</w:t>
            </w:r>
            <w:r>
              <w:rPr>
                <w:rFonts w:ascii="Times New Roman" w:eastAsia="Times New Roman"/>
                <w:sz w:val="21"/>
              </w:rPr>
              <w:t xml:space="preserve">1 </w:t>
            </w:r>
            <w:r>
              <w:rPr>
                <w:sz w:val="21"/>
              </w:rPr>
              <w:t>次</w:t>
            </w:r>
            <w:r>
              <w:rPr>
                <w:rFonts w:ascii="Times New Roman" w:eastAsia="Times New Roman"/>
                <w:sz w:val="21"/>
              </w:rPr>
              <w:t xml:space="preserve">/ </w:t>
            </w:r>
            <w:r>
              <w:rPr>
                <w:sz w:val="21"/>
              </w:rPr>
              <w:t>日或批次。</w:t>
            </w:r>
          </w:p>
          <w:p w14:paraId="474FE715">
            <w:pPr>
              <w:pStyle w:val="14"/>
              <w:spacing w:before="1" w:line="242" w:lineRule="auto"/>
              <w:ind w:left="107" w:right="155"/>
              <w:rPr>
                <w:sz w:val="21"/>
              </w:rPr>
            </w:pPr>
            <w:r>
              <w:rPr>
                <w:rFonts w:ascii="Times New Roman" w:eastAsia="Times New Roman"/>
                <w:sz w:val="21"/>
              </w:rPr>
              <w:t>2</w:t>
            </w:r>
            <w:r>
              <w:rPr>
                <w:sz w:val="21"/>
              </w:rPr>
              <w:t>）生产负荷：一般按日或批次记录，</w:t>
            </w:r>
            <w:r>
              <w:rPr>
                <w:rFonts w:ascii="Times New Roman" w:eastAsia="Times New Roman"/>
                <w:sz w:val="21"/>
              </w:rPr>
              <w:t xml:space="preserve">1 </w:t>
            </w:r>
            <w:r>
              <w:rPr>
                <w:sz w:val="21"/>
              </w:rPr>
              <w:t>次</w:t>
            </w:r>
            <w:r>
              <w:rPr>
                <w:rFonts w:ascii="Times New Roman" w:eastAsia="Times New Roman"/>
                <w:sz w:val="21"/>
              </w:rPr>
              <w:t xml:space="preserve">/ </w:t>
            </w:r>
            <w:r>
              <w:rPr>
                <w:sz w:val="21"/>
              </w:rPr>
              <w:t>日或批次。</w:t>
            </w:r>
          </w:p>
          <w:p w14:paraId="6E38A163">
            <w:pPr>
              <w:pStyle w:val="14"/>
              <w:spacing w:before="3" w:line="242" w:lineRule="auto"/>
              <w:ind w:left="107" w:right="69"/>
              <w:rPr>
                <w:sz w:val="21"/>
              </w:rPr>
            </w:pPr>
            <w:r>
              <w:rPr>
                <w:rFonts w:ascii="Times New Roman" w:eastAsia="Times New Roman"/>
                <w:sz w:val="21"/>
              </w:rPr>
              <w:t>3</w:t>
            </w:r>
            <w:r>
              <w:rPr>
                <w:sz w:val="21"/>
              </w:rPr>
              <w:t>）产品产量：连续生产的，按日记录，</w:t>
            </w:r>
            <w:r>
              <w:rPr>
                <w:rFonts w:ascii="Times New Roman" w:eastAsia="Times New Roman"/>
                <w:sz w:val="21"/>
              </w:rPr>
              <w:t xml:space="preserve">1 </w:t>
            </w:r>
            <w:r>
              <w:rPr>
                <w:sz w:val="21"/>
              </w:rPr>
              <w:t>次</w:t>
            </w:r>
          </w:p>
          <w:p w14:paraId="3E47B927">
            <w:pPr>
              <w:pStyle w:val="14"/>
              <w:spacing w:before="1" w:line="242" w:lineRule="auto"/>
              <w:ind w:left="107" w:right="77"/>
              <w:rPr>
                <w:sz w:val="21"/>
              </w:rPr>
            </w:pPr>
            <w:r>
              <w:rPr>
                <w:rFonts w:ascii="Times New Roman" w:eastAsia="Times New Roman"/>
                <w:sz w:val="21"/>
              </w:rPr>
              <w:t>/</w:t>
            </w:r>
            <w:r>
              <w:rPr>
                <w:sz w:val="21"/>
              </w:rPr>
              <w:t>日。非连续生产的， 按照生产周期记录，</w:t>
            </w:r>
            <w:r>
              <w:rPr>
                <w:rFonts w:ascii="Times New Roman" w:eastAsia="Times New Roman"/>
                <w:sz w:val="21"/>
              </w:rPr>
              <w:t xml:space="preserve">1 </w:t>
            </w:r>
            <w:r>
              <w:rPr>
                <w:sz w:val="21"/>
              </w:rPr>
              <w:t>次</w:t>
            </w:r>
            <w:r>
              <w:rPr>
                <w:rFonts w:ascii="Times New Roman" w:eastAsia="Times New Roman"/>
                <w:sz w:val="21"/>
              </w:rPr>
              <w:t>/</w:t>
            </w:r>
            <w:r>
              <w:rPr>
                <w:sz w:val="21"/>
              </w:rPr>
              <w:t xml:space="preserve">周期；周期小于 </w:t>
            </w:r>
            <w:r>
              <w:rPr>
                <w:rFonts w:ascii="Times New Roman" w:eastAsia="Times New Roman"/>
                <w:sz w:val="21"/>
              </w:rPr>
              <w:t xml:space="preserve">1 </w:t>
            </w:r>
            <w:r>
              <w:rPr>
                <w:sz w:val="21"/>
              </w:rPr>
              <w:t>天的，按日记录，</w:t>
            </w:r>
            <w:r>
              <w:rPr>
                <w:rFonts w:ascii="Times New Roman" w:eastAsia="Times New Roman"/>
                <w:sz w:val="21"/>
              </w:rPr>
              <w:t xml:space="preserve">1 </w:t>
            </w:r>
            <w:r>
              <w:rPr>
                <w:sz w:val="21"/>
              </w:rPr>
              <w:t>次</w:t>
            </w:r>
          </w:p>
          <w:p w14:paraId="3612BA86">
            <w:pPr>
              <w:pStyle w:val="14"/>
              <w:spacing w:before="3"/>
              <w:ind w:left="107"/>
              <w:rPr>
                <w:sz w:val="21"/>
              </w:rPr>
            </w:pPr>
            <w:r>
              <w:rPr>
                <w:rFonts w:ascii="Times New Roman" w:eastAsia="Times New Roman"/>
                <w:sz w:val="21"/>
              </w:rPr>
              <w:t>/</w:t>
            </w:r>
            <w:r>
              <w:rPr>
                <w:sz w:val="21"/>
              </w:rPr>
              <w:t>日。</w:t>
            </w:r>
          </w:p>
          <w:p w14:paraId="15DC51BF">
            <w:pPr>
              <w:pStyle w:val="14"/>
              <w:spacing w:before="2" w:line="242" w:lineRule="auto"/>
              <w:ind w:left="107" w:right="155"/>
              <w:jc w:val="both"/>
              <w:rPr>
                <w:sz w:val="21"/>
              </w:rPr>
            </w:pPr>
            <w:r>
              <w:rPr>
                <w:rFonts w:ascii="Times New Roman" w:eastAsia="Times New Roman"/>
                <w:sz w:val="21"/>
              </w:rPr>
              <w:t>b</w:t>
            </w:r>
            <w:r>
              <w:rPr>
                <w:sz w:val="21"/>
              </w:rPr>
              <w:t>）非正常工况：按照</w:t>
            </w:r>
            <w:r>
              <w:rPr>
                <w:w w:val="95"/>
                <w:sz w:val="21"/>
              </w:rPr>
              <w:t>非正常情况期记录，</w:t>
            </w:r>
            <w:r>
              <w:rPr>
                <w:rFonts w:ascii="Times New Roman" w:eastAsia="Times New Roman"/>
                <w:w w:val="95"/>
                <w:sz w:val="21"/>
              </w:rPr>
              <w:t xml:space="preserve">1 </w:t>
            </w:r>
            <w:r>
              <w:rPr>
                <w:sz w:val="21"/>
              </w:rPr>
              <w:t>次</w:t>
            </w:r>
            <w:r>
              <w:rPr>
                <w:rFonts w:ascii="Times New Roman" w:eastAsia="Times New Roman"/>
                <w:sz w:val="21"/>
              </w:rPr>
              <w:t>/</w:t>
            </w:r>
            <w:r>
              <w:rPr>
                <w:sz w:val="21"/>
              </w:rPr>
              <w:t>非正常情况期。</w:t>
            </w:r>
          </w:p>
        </w:tc>
        <w:tc>
          <w:tcPr>
            <w:tcW w:w="707" w:type="dxa"/>
          </w:tcPr>
          <w:p w14:paraId="7E7B92A0">
            <w:pPr>
              <w:pStyle w:val="14"/>
              <w:rPr>
                <w:b/>
                <w:sz w:val="20"/>
              </w:rPr>
            </w:pPr>
          </w:p>
          <w:p w14:paraId="0AFF3598">
            <w:pPr>
              <w:pStyle w:val="14"/>
              <w:rPr>
                <w:b/>
                <w:sz w:val="20"/>
              </w:rPr>
            </w:pPr>
          </w:p>
          <w:p w14:paraId="4B6055C2">
            <w:pPr>
              <w:pStyle w:val="14"/>
              <w:rPr>
                <w:b/>
                <w:sz w:val="20"/>
              </w:rPr>
            </w:pPr>
          </w:p>
          <w:p w14:paraId="3D709BF1">
            <w:pPr>
              <w:pStyle w:val="14"/>
              <w:rPr>
                <w:b/>
                <w:sz w:val="20"/>
              </w:rPr>
            </w:pPr>
          </w:p>
          <w:p w14:paraId="361AE256">
            <w:pPr>
              <w:pStyle w:val="14"/>
              <w:rPr>
                <w:b/>
                <w:sz w:val="20"/>
              </w:rPr>
            </w:pPr>
          </w:p>
          <w:p w14:paraId="0FBA32B3">
            <w:pPr>
              <w:pStyle w:val="14"/>
              <w:rPr>
                <w:b/>
                <w:sz w:val="20"/>
              </w:rPr>
            </w:pPr>
          </w:p>
          <w:p w14:paraId="4B16F5CB">
            <w:pPr>
              <w:pStyle w:val="14"/>
              <w:rPr>
                <w:b/>
                <w:sz w:val="20"/>
              </w:rPr>
            </w:pPr>
          </w:p>
          <w:p w14:paraId="610D08F1">
            <w:pPr>
              <w:pStyle w:val="14"/>
              <w:rPr>
                <w:b/>
                <w:sz w:val="20"/>
              </w:rPr>
            </w:pPr>
          </w:p>
          <w:p w14:paraId="0391BD05">
            <w:pPr>
              <w:pStyle w:val="14"/>
              <w:spacing w:before="147" w:line="244" w:lineRule="auto"/>
              <w:ind w:left="141" w:right="135"/>
              <w:jc w:val="both"/>
              <w:rPr>
                <w:sz w:val="21"/>
              </w:rPr>
            </w:pPr>
            <w:r>
              <w:rPr>
                <w:w w:val="95"/>
                <w:sz w:val="21"/>
              </w:rPr>
              <w:t>电子台账</w:t>
            </w:r>
          </w:p>
          <w:p w14:paraId="4B3D3F05">
            <w:pPr>
              <w:pStyle w:val="14"/>
              <w:spacing w:line="242" w:lineRule="auto"/>
              <w:ind w:left="141" w:right="135" w:firstLine="48"/>
              <w:jc w:val="both"/>
              <w:rPr>
                <w:sz w:val="21"/>
              </w:rPr>
            </w:pPr>
            <w:r>
              <w:rPr>
                <w:rFonts w:ascii="Times New Roman" w:eastAsia="Times New Roman"/>
                <w:sz w:val="21"/>
              </w:rPr>
              <w:t>+</w:t>
            </w:r>
            <w:r>
              <w:rPr>
                <w:sz w:val="21"/>
              </w:rPr>
              <w:t>纸</w:t>
            </w:r>
            <w:r>
              <w:rPr>
                <w:w w:val="95"/>
                <w:sz w:val="21"/>
              </w:rPr>
              <w:t>质台</w:t>
            </w:r>
            <w:r>
              <w:rPr>
                <w:sz w:val="21"/>
              </w:rPr>
              <w:t>账</w:t>
            </w:r>
          </w:p>
        </w:tc>
        <w:tc>
          <w:tcPr>
            <w:tcW w:w="610" w:type="dxa"/>
          </w:tcPr>
          <w:p w14:paraId="6A672B6E">
            <w:pPr>
              <w:pStyle w:val="14"/>
              <w:rPr>
                <w:b/>
                <w:sz w:val="20"/>
              </w:rPr>
            </w:pPr>
          </w:p>
          <w:p w14:paraId="1694D030">
            <w:pPr>
              <w:pStyle w:val="14"/>
              <w:rPr>
                <w:b/>
                <w:sz w:val="20"/>
              </w:rPr>
            </w:pPr>
          </w:p>
          <w:p w14:paraId="2AE1431C">
            <w:pPr>
              <w:pStyle w:val="14"/>
              <w:rPr>
                <w:b/>
                <w:sz w:val="20"/>
              </w:rPr>
            </w:pPr>
          </w:p>
          <w:p w14:paraId="794448F6">
            <w:pPr>
              <w:pStyle w:val="14"/>
              <w:rPr>
                <w:b/>
                <w:sz w:val="20"/>
              </w:rPr>
            </w:pPr>
          </w:p>
          <w:p w14:paraId="266E5799">
            <w:pPr>
              <w:pStyle w:val="14"/>
              <w:rPr>
                <w:b/>
                <w:sz w:val="20"/>
              </w:rPr>
            </w:pPr>
          </w:p>
          <w:p w14:paraId="1BD98E89">
            <w:pPr>
              <w:pStyle w:val="14"/>
              <w:rPr>
                <w:b/>
                <w:sz w:val="20"/>
              </w:rPr>
            </w:pPr>
          </w:p>
          <w:p w14:paraId="20519D38">
            <w:pPr>
              <w:pStyle w:val="14"/>
              <w:rPr>
                <w:b/>
                <w:sz w:val="20"/>
              </w:rPr>
            </w:pPr>
          </w:p>
          <w:p w14:paraId="1C05B7C7">
            <w:pPr>
              <w:pStyle w:val="14"/>
              <w:spacing w:before="12"/>
              <w:rPr>
                <w:b/>
                <w:sz w:val="20"/>
              </w:rPr>
            </w:pPr>
          </w:p>
          <w:p w14:paraId="318F2DFB">
            <w:pPr>
              <w:pStyle w:val="14"/>
              <w:spacing w:line="242" w:lineRule="auto"/>
              <w:ind w:left="200" w:right="188"/>
              <w:jc w:val="both"/>
              <w:rPr>
                <w:sz w:val="21"/>
              </w:rPr>
            </w:pPr>
            <w:r>
              <w:rPr>
                <w:sz w:val="21"/>
              </w:rPr>
              <w:t>至少保存五年</w:t>
            </w:r>
          </w:p>
        </w:tc>
      </w:tr>
    </w:tbl>
    <w:p w14:paraId="405FBE5B">
      <w:pPr>
        <w:spacing w:after="0" w:line="242" w:lineRule="auto"/>
        <w:jc w:val="both"/>
        <w:rPr>
          <w:sz w:val="21"/>
        </w:rPr>
        <w:sectPr>
          <w:pgSz w:w="11910" w:h="16840"/>
          <w:pgMar w:top="1360" w:right="1520" w:bottom="1400" w:left="1520" w:header="878" w:footer="1204" w:gutter="0"/>
          <w:cols w:space="720" w:num="1"/>
        </w:sectPr>
      </w:pPr>
    </w:p>
    <w:p w14:paraId="778BA33D">
      <w:pPr>
        <w:pStyle w:val="7"/>
        <w:spacing w:before="11"/>
        <w:rPr>
          <w:b/>
          <w:sz w:val="4"/>
        </w:rPr>
      </w:pP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
        <w:gridCol w:w="836"/>
        <w:gridCol w:w="3626"/>
        <w:gridCol w:w="2270"/>
        <w:gridCol w:w="707"/>
        <w:gridCol w:w="610"/>
      </w:tblGrid>
      <w:tr w14:paraId="14C64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467" w:type="dxa"/>
          </w:tcPr>
          <w:p w14:paraId="50FB6572">
            <w:pPr>
              <w:pStyle w:val="14"/>
              <w:spacing w:before="10"/>
              <w:rPr>
                <w:b/>
                <w:sz w:val="22"/>
              </w:rPr>
            </w:pPr>
          </w:p>
          <w:p w14:paraId="6EA38121">
            <w:pPr>
              <w:pStyle w:val="14"/>
              <w:spacing w:line="244" w:lineRule="auto"/>
              <w:ind w:left="128" w:right="117"/>
              <w:rPr>
                <w:b/>
                <w:sz w:val="21"/>
              </w:rPr>
            </w:pPr>
            <w:r>
              <w:rPr>
                <w:b/>
                <w:sz w:val="21"/>
              </w:rPr>
              <w:t>序号</w:t>
            </w:r>
          </w:p>
        </w:tc>
        <w:tc>
          <w:tcPr>
            <w:tcW w:w="836" w:type="dxa"/>
          </w:tcPr>
          <w:p w14:paraId="4166E3B1">
            <w:pPr>
              <w:pStyle w:val="14"/>
              <w:rPr>
                <w:b/>
                <w:sz w:val="20"/>
              </w:rPr>
            </w:pPr>
          </w:p>
          <w:p w14:paraId="7C3A3C48">
            <w:pPr>
              <w:pStyle w:val="14"/>
              <w:spacing w:before="173"/>
              <w:ind w:left="206"/>
              <w:rPr>
                <w:b/>
                <w:sz w:val="21"/>
              </w:rPr>
            </w:pPr>
            <w:r>
              <w:rPr>
                <w:b/>
                <w:sz w:val="21"/>
              </w:rPr>
              <w:t>类别</w:t>
            </w:r>
          </w:p>
        </w:tc>
        <w:tc>
          <w:tcPr>
            <w:tcW w:w="3626" w:type="dxa"/>
          </w:tcPr>
          <w:p w14:paraId="26CD3454">
            <w:pPr>
              <w:pStyle w:val="14"/>
              <w:rPr>
                <w:b/>
                <w:sz w:val="20"/>
              </w:rPr>
            </w:pPr>
          </w:p>
          <w:p w14:paraId="30BF9365">
            <w:pPr>
              <w:pStyle w:val="14"/>
              <w:spacing w:before="173"/>
              <w:ind w:left="1370" w:right="1361"/>
              <w:jc w:val="center"/>
              <w:rPr>
                <w:b/>
                <w:sz w:val="21"/>
              </w:rPr>
            </w:pPr>
            <w:r>
              <w:rPr>
                <w:b/>
                <w:sz w:val="21"/>
              </w:rPr>
              <w:t>记录内容</w:t>
            </w:r>
          </w:p>
        </w:tc>
        <w:tc>
          <w:tcPr>
            <w:tcW w:w="2270" w:type="dxa"/>
          </w:tcPr>
          <w:p w14:paraId="1C44E7ED">
            <w:pPr>
              <w:pStyle w:val="14"/>
              <w:rPr>
                <w:b/>
                <w:sz w:val="20"/>
              </w:rPr>
            </w:pPr>
          </w:p>
          <w:p w14:paraId="18C02ACF">
            <w:pPr>
              <w:pStyle w:val="14"/>
              <w:spacing w:before="173"/>
              <w:ind w:left="712"/>
              <w:rPr>
                <w:b/>
                <w:sz w:val="21"/>
              </w:rPr>
            </w:pPr>
            <w:r>
              <w:rPr>
                <w:b/>
                <w:sz w:val="21"/>
              </w:rPr>
              <w:t>记录频次</w:t>
            </w:r>
          </w:p>
        </w:tc>
        <w:tc>
          <w:tcPr>
            <w:tcW w:w="707" w:type="dxa"/>
          </w:tcPr>
          <w:p w14:paraId="4EA6D145">
            <w:pPr>
              <w:pStyle w:val="14"/>
              <w:spacing w:before="10"/>
              <w:rPr>
                <w:b/>
                <w:sz w:val="22"/>
              </w:rPr>
            </w:pPr>
          </w:p>
          <w:p w14:paraId="5067F0E6">
            <w:pPr>
              <w:pStyle w:val="14"/>
              <w:spacing w:line="244" w:lineRule="auto"/>
              <w:ind w:left="141" w:right="133"/>
              <w:rPr>
                <w:b/>
                <w:sz w:val="21"/>
              </w:rPr>
            </w:pPr>
            <w:r>
              <w:rPr>
                <w:b/>
                <w:sz w:val="21"/>
              </w:rPr>
              <w:t>记录形式</w:t>
            </w:r>
          </w:p>
        </w:tc>
        <w:tc>
          <w:tcPr>
            <w:tcW w:w="610" w:type="dxa"/>
          </w:tcPr>
          <w:p w14:paraId="2E160C39">
            <w:pPr>
              <w:pStyle w:val="14"/>
              <w:spacing w:before="21" w:line="242" w:lineRule="auto"/>
              <w:ind w:left="197" w:right="191"/>
              <w:jc w:val="both"/>
              <w:rPr>
                <w:b/>
                <w:sz w:val="21"/>
              </w:rPr>
            </w:pPr>
            <w:r>
              <w:rPr>
                <w:b/>
                <w:sz w:val="21"/>
              </w:rPr>
              <w:t>其他信息</w:t>
            </w:r>
          </w:p>
        </w:tc>
      </w:tr>
      <w:tr w14:paraId="4A9DC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467" w:type="dxa"/>
          </w:tcPr>
          <w:p w14:paraId="504D0C14">
            <w:pPr>
              <w:pStyle w:val="14"/>
              <w:rPr>
                <w:b/>
                <w:sz w:val="22"/>
              </w:rPr>
            </w:pPr>
          </w:p>
          <w:p w14:paraId="007AEAFF">
            <w:pPr>
              <w:pStyle w:val="14"/>
              <w:rPr>
                <w:b/>
                <w:sz w:val="22"/>
              </w:rPr>
            </w:pPr>
          </w:p>
          <w:p w14:paraId="01F6ED6E">
            <w:pPr>
              <w:pStyle w:val="14"/>
              <w:spacing w:before="151"/>
              <w:ind w:left="10"/>
              <w:jc w:val="center"/>
              <w:rPr>
                <w:rFonts w:ascii="Times New Roman"/>
                <w:sz w:val="21"/>
              </w:rPr>
            </w:pPr>
            <w:r>
              <w:rPr>
                <w:rFonts w:ascii="Times New Roman"/>
                <w:w w:val="99"/>
                <w:sz w:val="21"/>
              </w:rPr>
              <w:t>5</w:t>
            </w:r>
          </w:p>
        </w:tc>
        <w:tc>
          <w:tcPr>
            <w:tcW w:w="836" w:type="dxa"/>
          </w:tcPr>
          <w:p w14:paraId="4D93D9E1">
            <w:pPr>
              <w:pStyle w:val="14"/>
              <w:spacing w:before="22" w:line="242" w:lineRule="auto"/>
              <w:ind w:left="206" w:right="199"/>
              <w:jc w:val="both"/>
              <w:rPr>
                <w:sz w:val="21"/>
              </w:rPr>
            </w:pPr>
            <w:r>
              <w:rPr>
                <w:w w:val="95"/>
                <w:sz w:val="21"/>
              </w:rPr>
              <w:t>污染防治设施运行管理信息</w:t>
            </w:r>
          </w:p>
        </w:tc>
        <w:tc>
          <w:tcPr>
            <w:tcW w:w="3626" w:type="dxa"/>
          </w:tcPr>
          <w:p w14:paraId="35F029DA">
            <w:pPr>
              <w:pStyle w:val="14"/>
              <w:spacing w:before="22"/>
              <w:ind w:left="107"/>
              <w:rPr>
                <w:sz w:val="21"/>
              </w:rPr>
            </w:pPr>
            <w:r>
              <w:rPr>
                <w:rFonts w:ascii="Times New Roman" w:eastAsia="Times New Roman"/>
                <w:sz w:val="21"/>
              </w:rPr>
              <w:t>a</w:t>
            </w:r>
            <w:r>
              <w:rPr>
                <w:sz w:val="21"/>
              </w:rPr>
              <w:t>）正常情况：运行情况等。</w:t>
            </w:r>
          </w:p>
          <w:p w14:paraId="67DC7A75">
            <w:pPr>
              <w:pStyle w:val="14"/>
              <w:spacing w:before="2" w:line="242" w:lineRule="auto"/>
              <w:ind w:left="107" w:right="252"/>
              <w:rPr>
                <w:sz w:val="21"/>
              </w:rPr>
            </w:pPr>
            <w:r>
              <w:rPr>
                <w:rFonts w:ascii="Times New Roman" w:eastAsia="Times New Roman"/>
                <w:w w:val="95"/>
                <w:sz w:val="21"/>
              </w:rPr>
              <w:t>1</w:t>
            </w:r>
            <w:r>
              <w:rPr>
                <w:w w:val="95"/>
                <w:sz w:val="21"/>
              </w:rPr>
              <w:t>）运行情况：是否正常运行；治理</w:t>
            </w:r>
            <w:r>
              <w:rPr>
                <w:sz w:val="21"/>
              </w:rPr>
              <w:t>效率、副产物产生量等。</w:t>
            </w:r>
          </w:p>
          <w:p w14:paraId="0931E143">
            <w:pPr>
              <w:pStyle w:val="14"/>
              <w:spacing w:before="1" w:line="242" w:lineRule="auto"/>
              <w:ind w:left="107" w:right="148"/>
              <w:rPr>
                <w:sz w:val="21"/>
              </w:rPr>
            </w:pPr>
            <w:r>
              <w:rPr>
                <w:rFonts w:ascii="Times New Roman" w:eastAsia="Times New Roman"/>
                <w:sz w:val="21"/>
              </w:rPr>
              <w:t>b</w:t>
            </w:r>
            <w:r>
              <w:rPr>
                <w:sz w:val="21"/>
              </w:rPr>
              <w:t>）异常情况：起止时间、污染物排</w:t>
            </w:r>
            <w:r>
              <w:rPr>
                <w:w w:val="95"/>
                <w:sz w:val="21"/>
              </w:rPr>
              <w:t>放浓度、异常原因、应对措施、是否</w:t>
            </w:r>
            <w:r>
              <w:rPr>
                <w:sz w:val="21"/>
              </w:rPr>
              <w:t>报告等。</w:t>
            </w:r>
          </w:p>
        </w:tc>
        <w:tc>
          <w:tcPr>
            <w:tcW w:w="2270" w:type="dxa"/>
          </w:tcPr>
          <w:p w14:paraId="5FF8D0F1">
            <w:pPr>
              <w:pStyle w:val="14"/>
              <w:spacing w:before="22"/>
              <w:ind w:left="107"/>
              <w:rPr>
                <w:sz w:val="21"/>
              </w:rPr>
            </w:pPr>
            <w:r>
              <w:rPr>
                <w:rFonts w:ascii="Times New Roman" w:eastAsia="Times New Roman"/>
                <w:sz w:val="21"/>
              </w:rPr>
              <w:t>a</w:t>
            </w:r>
            <w:r>
              <w:rPr>
                <w:sz w:val="21"/>
              </w:rPr>
              <w:t>）正常情况：</w:t>
            </w:r>
          </w:p>
          <w:p w14:paraId="63088A53">
            <w:pPr>
              <w:pStyle w:val="14"/>
              <w:spacing w:before="2" w:line="242" w:lineRule="auto"/>
              <w:ind w:left="107" w:right="155"/>
              <w:rPr>
                <w:sz w:val="21"/>
              </w:rPr>
            </w:pPr>
            <w:r>
              <w:rPr>
                <w:rFonts w:ascii="Times New Roman" w:eastAsia="Times New Roman"/>
                <w:sz w:val="21"/>
              </w:rPr>
              <w:t>1</w:t>
            </w:r>
            <w:r>
              <w:rPr>
                <w:sz w:val="21"/>
              </w:rPr>
              <w:t>）运行情况：按日记录，</w:t>
            </w:r>
            <w:r>
              <w:rPr>
                <w:rFonts w:ascii="Times New Roman" w:eastAsia="Times New Roman"/>
                <w:sz w:val="21"/>
              </w:rPr>
              <w:t xml:space="preserve">1 </w:t>
            </w:r>
            <w:r>
              <w:rPr>
                <w:sz w:val="21"/>
              </w:rPr>
              <w:t>次</w:t>
            </w:r>
            <w:r>
              <w:rPr>
                <w:rFonts w:ascii="Times New Roman" w:eastAsia="Times New Roman"/>
                <w:sz w:val="21"/>
              </w:rPr>
              <w:t>/</w:t>
            </w:r>
            <w:r>
              <w:rPr>
                <w:sz w:val="21"/>
              </w:rPr>
              <w:t>日。</w:t>
            </w:r>
          </w:p>
          <w:p w14:paraId="044CCD88">
            <w:pPr>
              <w:pStyle w:val="14"/>
              <w:spacing w:before="1" w:line="242" w:lineRule="auto"/>
              <w:ind w:left="107" w:right="155"/>
              <w:rPr>
                <w:sz w:val="21"/>
              </w:rPr>
            </w:pPr>
            <w:r>
              <w:rPr>
                <w:rFonts w:ascii="Times New Roman" w:eastAsia="Times New Roman"/>
                <w:sz w:val="21"/>
              </w:rPr>
              <w:t>b</w:t>
            </w:r>
            <w:r>
              <w:rPr>
                <w:sz w:val="21"/>
              </w:rPr>
              <w:t>）异常情况：按照异常情况期记录，</w:t>
            </w:r>
            <w:r>
              <w:rPr>
                <w:rFonts w:ascii="Times New Roman" w:eastAsia="Times New Roman"/>
                <w:sz w:val="21"/>
              </w:rPr>
              <w:t xml:space="preserve">1 </w:t>
            </w:r>
            <w:r>
              <w:rPr>
                <w:sz w:val="21"/>
              </w:rPr>
              <w:t>次</w:t>
            </w:r>
            <w:r>
              <w:rPr>
                <w:rFonts w:ascii="Times New Roman" w:eastAsia="Times New Roman"/>
                <w:sz w:val="21"/>
              </w:rPr>
              <w:t xml:space="preserve">/ </w:t>
            </w:r>
            <w:r>
              <w:rPr>
                <w:sz w:val="21"/>
              </w:rPr>
              <w:t>异常情况期。</w:t>
            </w:r>
          </w:p>
        </w:tc>
        <w:tc>
          <w:tcPr>
            <w:tcW w:w="707" w:type="dxa"/>
          </w:tcPr>
          <w:p w14:paraId="26B4B016">
            <w:pPr>
              <w:pStyle w:val="14"/>
              <w:spacing w:before="156" w:line="244" w:lineRule="auto"/>
              <w:ind w:left="141" w:right="135"/>
              <w:jc w:val="both"/>
              <w:rPr>
                <w:sz w:val="21"/>
              </w:rPr>
            </w:pPr>
            <w:r>
              <w:rPr>
                <w:w w:val="95"/>
                <w:sz w:val="21"/>
              </w:rPr>
              <w:t>电子台账</w:t>
            </w:r>
          </w:p>
          <w:p w14:paraId="2800361C">
            <w:pPr>
              <w:pStyle w:val="14"/>
              <w:spacing w:line="242" w:lineRule="auto"/>
              <w:ind w:left="141" w:right="135" w:firstLine="48"/>
              <w:jc w:val="both"/>
              <w:rPr>
                <w:sz w:val="21"/>
              </w:rPr>
            </w:pPr>
            <w:r>
              <w:rPr>
                <w:rFonts w:ascii="Times New Roman" w:eastAsia="Times New Roman"/>
                <w:sz w:val="21"/>
              </w:rPr>
              <w:t>+</w:t>
            </w:r>
            <w:r>
              <w:rPr>
                <w:sz w:val="21"/>
              </w:rPr>
              <w:t>纸</w:t>
            </w:r>
            <w:r>
              <w:rPr>
                <w:w w:val="95"/>
                <w:sz w:val="21"/>
              </w:rPr>
              <w:t>质台</w:t>
            </w:r>
            <w:r>
              <w:rPr>
                <w:sz w:val="21"/>
              </w:rPr>
              <w:t>账</w:t>
            </w:r>
          </w:p>
        </w:tc>
        <w:tc>
          <w:tcPr>
            <w:tcW w:w="610" w:type="dxa"/>
          </w:tcPr>
          <w:p w14:paraId="71E53750">
            <w:pPr>
              <w:pStyle w:val="14"/>
              <w:spacing w:before="22" w:line="242" w:lineRule="auto"/>
              <w:ind w:left="200" w:right="188"/>
              <w:jc w:val="both"/>
              <w:rPr>
                <w:sz w:val="21"/>
              </w:rPr>
            </w:pPr>
            <w:r>
              <w:rPr>
                <w:sz w:val="21"/>
              </w:rPr>
              <w:t>至少保存五年</w:t>
            </w:r>
          </w:p>
        </w:tc>
      </w:tr>
    </w:tbl>
    <w:p w14:paraId="1F70C354">
      <w:pPr>
        <w:pStyle w:val="6"/>
        <w:numPr>
          <w:ilvl w:val="2"/>
          <w:numId w:val="34"/>
        </w:numPr>
        <w:tabs>
          <w:tab w:val="left" w:pos="813"/>
        </w:tabs>
        <w:spacing w:before="3" w:after="0" w:line="240" w:lineRule="auto"/>
        <w:ind w:left="812" w:right="0" w:hanging="530"/>
        <w:jc w:val="left"/>
      </w:pPr>
      <w:bookmarkStart w:id="333" w:name="9.1.4培训教育"/>
      <w:bookmarkEnd w:id="333"/>
      <w:bookmarkStart w:id="334" w:name="9.1.4培训教育"/>
      <w:bookmarkEnd w:id="334"/>
      <w:r>
        <w:t>培训教育</w:t>
      </w:r>
    </w:p>
    <w:p w14:paraId="44BBE12B">
      <w:pPr>
        <w:pStyle w:val="7"/>
        <w:spacing w:before="158" w:line="364" w:lineRule="auto"/>
        <w:ind w:left="282" w:right="282" w:firstLine="480"/>
        <w:jc w:val="both"/>
      </w:pPr>
      <w:r>
        <w:t>培训教育的目的是为了提高全体员工的环境保护意识，使全体员工主动参与到环境保护工作中来。</w:t>
      </w:r>
    </w:p>
    <w:p w14:paraId="7FC9934F">
      <w:pPr>
        <w:pStyle w:val="7"/>
        <w:spacing w:before="1" w:line="362" w:lineRule="auto"/>
        <w:ind w:left="282" w:right="282" w:firstLine="480"/>
        <w:jc w:val="both"/>
      </w:pPr>
      <w:r>
        <w:t>企业的环境管理工作，促进企业环境管理工作正常而有效的进行。培训的对象是企业的全体员工，包括各级领导。对于不同部门的人员，由于工作性质、职责的不同，要根据不同需要制定不同的培训内容。</w:t>
      </w:r>
    </w:p>
    <w:p w14:paraId="5F87E097">
      <w:pPr>
        <w:pStyle w:val="6"/>
        <w:numPr>
          <w:ilvl w:val="2"/>
          <w:numId w:val="34"/>
        </w:numPr>
        <w:tabs>
          <w:tab w:val="left" w:pos="813"/>
        </w:tabs>
        <w:spacing w:before="7" w:after="0" w:line="240" w:lineRule="auto"/>
        <w:ind w:left="812" w:right="0" w:hanging="530"/>
        <w:jc w:val="left"/>
      </w:pPr>
      <w:bookmarkStart w:id="335" w:name="9.1.5环境记录与信息交流"/>
      <w:bookmarkEnd w:id="335"/>
      <w:bookmarkStart w:id="336" w:name="9.1.5环境记录与信息交流"/>
      <w:bookmarkEnd w:id="336"/>
      <w:r>
        <w:t>环境记录与信息交流</w:t>
      </w:r>
    </w:p>
    <w:p w14:paraId="096CF48D">
      <w:pPr>
        <w:pStyle w:val="7"/>
        <w:spacing w:before="158" w:line="364" w:lineRule="auto"/>
        <w:ind w:left="282" w:right="282" w:firstLine="480"/>
        <w:jc w:val="both"/>
      </w:pPr>
      <w:r>
        <w:t>环境记录包括环境污染监测记录、设备检修校准记录、污染事故的调查与处理记录、培训与培训结果记录等。环境记录是环境管理工作中不可缺少的部分，是环境管理的重要信息资源。</w:t>
      </w:r>
    </w:p>
    <w:p w14:paraId="7800C3E6">
      <w:pPr>
        <w:pStyle w:val="7"/>
        <w:spacing w:line="364" w:lineRule="auto"/>
        <w:ind w:left="282" w:right="282" w:firstLine="480"/>
        <w:jc w:val="both"/>
      </w:pPr>
      <w:r>
        <w:t>本项目环保科必须有如实详细的监测记录、仪器设备校准和维护记录，并有专人保管。有关科室也要有详细的环境记录，包括操作记录、紧急情况的发生和所采取的应急措施以及最后结果的记录等，并且要及时向园区内环境保护委员会和环保科汇报。同时要建立健全环境记录的管理规定，做到日有记录， 月有报表和检查，年有总结和评比。</w:t>
      </w:r>
    </w:p>
    <w:p w14:paraId="12ECF6F7">
      <w:pPr>
        <w:pStyle w:val="7"/>
        <w:spacing w:line="362" w:lineRule="auto"/>
        <w:ind w:left="282" w:right="282" w:firstLine="480"/>
        <w:jc w:val="both"/>
      </w:pPr>
      <w:r>
        <w:t>环境保护与环境管理信息交流包括两个方面的内容：一是厂区内部的信息交流，二是厂区与外部的信息交流。</w:t>
      </w:r>
    </w:p>
    <w:p w14:paraId="26EEA450">
      <w:pPr>
        <w:pStyle w:val="7"/>
        <w:spacing w:before="2"/>
        <w:ind w:left="762"/>
      </w:pPr>
      <w:r>
        <w:t>（</w:t>
      </w:r>
      <w:r>
        <w:rPr>
          <w:rFonts w:ascii="Times New Roman" w:eastAsia="Times New Roman"/>
        </w:rPr>
        <w:t>1</w:t>
      </w:r>
      <w:r>
        <w:t>）本项目内部信息交流的主要内容：</w:t>
      </w:r>
    </w:p>
    <w:p w14:paraId="06CEF634">
      <w:pPr>
        <w:pStyle w:val="7"/>
        <w:spacing w:before="158"/>
        <w:ind w:left="762"/>
      </w:pPr>
      <w:r>
        <w:t>①该场的环境管理制度要传达到全体员工；</w:t>
      </w:r>
    </w:p>
    <w:p w14:paraId="4757BB35">
      <w:pPr>
        <w:pStyle w:val="7"/>
        <w:spacing w:before="161"/>
        <w:ind w:left="762"/>
      </w:pPr>
      <w:r>
        <w:t>②环境保护任务、职责、权利、义务的信息；</w:t>
      </w:r>
    </w:p>
    <w:p w14:paraId="2800C1E9">
      <w:pPr>
        <w:pStyle w:val="7"/>
        <w:spacing w:before="158"/>
        <w:ind w:left="762"/>
      </w:pPr>
      <w:r>
        <w:t>③监测计划执行与监测结果的传达和反馈信息；</w:t>
      </w:r>
    </w:p>
    <w:p w14:paraId="0EF25430">
      <w:pPr>
        <w:pStyle w:val="7"/>
        <w:spacing w:before="160"/>
        <w:ind w:left="762"/>
      </w:pPr>
      <w:r>
        <w:t>④培训与教育的信息。</w:t>
      </w:r>
    </w:p>
    <w:p w14:paraId="5FCA0972">
      <w:pPr>
        <w:pStyle w:val="7"/>
        <w:spacing w:before="159"/>
        <w:ind w:left="762"/>
      </w:pPr>
      <w:r>
        <w:t>（</w:t>
      </w:r>
      <w:r>
        <w:rPr>
          <w:rFonts w:ascii="Times New Roman" w:eastAsia="Times New Roman"/>
        </w:rPr>
        <w:t>2</w:t>
      </w:r>
      <w:r>
        <w:t>）本项目与外部信息交流的主要内容是：</w:t>
      </w:r>
    </w:p>
    <w:p w14:paraId="2B112A6A">
      <w:pPr>
        <w:pStyle w:val="7"/>
        <w:spacing w:before="160"/>
        <w:ind w:left="762"/>
      </w:pPr>
      <w:r>
        <w:t>①国家与地区环保法律法规的获取；</w:t>
      </w:r>
    </w:p>
    <w:p w14:paraId="5C6666D4">
      <w:pPr>
        <w:spacing w:after="0"/>
        <w:sectPr>
          <w:pgSz w:w="11910" w:h="16840"/>
          <w:pgMar w:top="1360" w:right="1520" w:bottom="1400" w:left="1520" w:header="878" w:footer="1204" w:gutter="0"/>
          <w:cols w:space="720" w:num="1"/>
        </w:sectPr>
      </w:pPr>
    </w:p>
    <w:p w14:paraId="20E22E01">
      <w:pPr>
        <w:pStyle w:val="7"/>
        <w:spacing w:before="64"/>
        <w:ind w:left="762"/>
      </w:pPr>
      <w:r>
        <w:t>②向地方环保部门和环境保护组织的信息交流；</w:t>
      </w:r>
    </w:p>
    <w:p w14:paraId="3DD9688F">
      <w:pPr>
        <w:pStyle w:val="7"/>
        <w:spacing w:before="160"/>
        <w:ind w:left="762"/>
      </w:pPr>
      <w:r>
        <w:t>③定期向附近企业与公众发布和收集环境保护信息。</w:t>
      </w:r>
    </w:p>
    <w:p w14:paraId="37A9C8F0">
      <w:pPr>
        <w:pStyle w:val="3"/>
        <w:numPr>
          <w:ilvl w:val="1"/>
          <w:numId w:val="35"/>
        </w:numPr>
        <w:tabs>
          <w:tab w:val="left" w:pos="693"/>
        </w:tabs>
        <w:spacing w:before="159" w:after="0" w:line="240" w:lineRule="auto"/>
        <w:ind w:left="692" w:right="0" w:hanging="410"/>
        <w:jc w:val="left"/>
      </w:pPr>
      <w:bookmarkStart w:id="337" w:name="_bookmark47"/>
      <w:bookmarkEnd w:id="337"/>
      <w:bookmarkStart w:id="338" w:name="_bookmark47"/>
      <w:bookmarkEnd w:id="338"/>
      <w:bookmarkStart w:id="339" w:name="9.2环境监测"/>
      <w:bookmarkEnd w:id="339"/>
      <w:r>
        <w:t>环境监测</w:t>
      </w:r>
    </w:p>
    <w:p w14:paraId="44F5890D">
      <w:pPr>
        <w:pStyle w:val="7"/>
        <w:spacing w:before="185" w:line="364" w:lineRule="auto"/>
        <w:ind w:left="282" w:right="282" w:firstLine="480"/>
        <w:jc w:val="both"/>
      </w:pPr>
      <w:r>
        <w:t>环境监测是企业环境管理的一个重要组成部分，通过监测掌握生产装置污染物排放规律，评价净化设施性能，制定控制和治理污染的方案，为贯彻国家和地方有关环保政策、法律、规定、标准等情况提供依据。</w:t>
      </w:r>
    </w:p>
    <w:p w14:paraId="1D41DF48">
      <w:pPr>
        <w:pStyle w:val="7"/>
        <w:spacing w:line="364" w:lineRule="auto"/>
        <w:ind w:left="282" w:right="282" w:firstLine="480"/>
        <w:jc w:val="both"/>
      </w:pPr>
      <w:r>
        <w:t>环境监测是项目环境保护的“眼睛”，是基本的手段和信息基础，环境监测的特点是以样品的监测结果来推断总体环境质量。因此，必须把握好各个技术环节，包括确定环境监测的项目的范围，采样的位置和数量，采样的时间和方法，样品的分析和数据处理等及其质量保证工作。保证监测数据具有完整的质量特征，准确性、精密性、完整性、代表性和可比性。</w:t>
      </w:r>
    </w:p>
    <w:p w14:paraId="39CEFA68">
      <w:pPr>
        <w:pStyle w:val="6"/>
        <w:numPr>
          <w:ilvl w:val="2"/>
          <w:numId w:val="35"/>
        </w:numPr>
        <w:tabs>
          <w:tab w:val="left" w:pos="813"/>
        </w:tabs>
        <w:spacing w:before="0" w:after="0" w:line="303" w:lineRule="exact"/>
        <w:ind w:left="812" w:right="0" w:hanging="530"/>
        <w:jc w:val="left"/>
      </w:pPr>
      <w:bookmarkStart w:id="340" w:name="9.2.1环境监测机构及职责"/>
      <w:bookmarkEnd w:id="340"/>
      <w:bookmarkStart w:id="341" w:name="9.2.1环境监测机构及职责"/>
      <w:bookmarkEnd w:id="341"/>
      <w:r>
        <w:t>环境监测机构及职责</w:t>
      </w:r>
    </w:p>
    <w:p w14:paraId="6FE3DB34">
      <w:pPr>
        <w:pStyle w:val="7"/>
        <w:spacing w:before="160" w:line="364" w:lineRule="auto"/>
        <w:ind w:left="282" w:right="282" w:firstLine="480"/>
        <w:jc w:val="both"/>
      </w:pPr>
      <w:r>
        <w:t>为了及时准确地了解项目的污染物排放情况和污染物治理设施的运行状况，企业应进行常规监测。根据公司的实际情况，可不设独立的环境监测机构，其监测工作可委托具有资质的监测单位承担。</w:t>
      </w:r>
    </w:p>
    <w:p w14:paraId="48EABDDC">
      <w:pPr>
        <w:pStyle w:val="7"/>
        <w:spacing w:line="304" w:lineRule="exact"/>
        <w:ind w:left="762"/>
      </w:pPr>
      <w:r>
        <w:t>公司环境管理机构的监测职责主要为：</w:t>
      </w:r>
    </w:p>
    <w:p w14:paraId="3ABFA51C">
      <w:pPr>
        <w:pStyle w:val="7"/>
        <w:spacing w:before="161"/>
        <w:ind w:left="762"/>
      </w:pPr>
      <w:r>
        <w:t>制定本企业环境监测的规章制度与年度监测计划；</w:t>
      </w:r>
    </w:p>
    <w:p w14:paraId="69362845">
      <w:pPr>
        <w:pStyle w:val="7"/>
        <w:spacing w:before="160" w:line="362" w:lineRule="auto"/>
        <w:ind w:left="282" w:right="282" w:firstLine="480"/>
        <w:jc w:val="both"/>
      </w:pPr>
      <w:r>
        <w:t>定期监测建设项目运营期排放的污染物是否符合规定的排放标准，并对主要污染源建立监测档案，给全厂环保规划提供依据；</w:t>
      </w:r>
    </w:p>
    <w:p w14:paraId="49700713">
      <w:pPr>
        <w:pStyle w:val="7"/>
        <w:spacing w:before="5" w:line="362" w:lineRule="auto"/>
        <w:ind w:left="762" w:right="901"/>
      </w:pPr>
      <w:r>
        <w:t>分析所排放的污染物的排放规律，为制定污染物控制措施提供依据； 配合生产车间，参加“三废”的治理工作；</w:t>
      </w:r>
    </w:p>
    <w:p w14:paraId="53FD61B3">
      <w:pPr>
        <w:pStyle w:val="7"/>
        <w:spacing w:before="5"/>
        <w:ind w:left="762"/>
      </w:pPr>
      <w:r>
        <w:t>负责企业污染事故调查监测，及时将调查监测结果上报有关主管部门。</w:t>
      </w:r>
    </w:p>
    <w:p w14:paraId="2B381EBA">
      <w:pPr>
        <w:pStyle w:val="6"/>
        <w:numPr>
          <w:ilvl w:val="2"/>
          <w:numId w:val="35"/>
        </w:numPr>
        <w:tabs>
          <w:tab w:val="left" w:pos="813"/>
        </w:tabs>
        <w:spacing w:before="158" w:after="0" w:line="240" w:lineRule="auto"/>
        <w:ind w:left="812" w:right="0" w:hanging="530"/>
        <w:jc w:val="left"/>
      </w:pPr>
      <w:bookmarkStart w:id="342" w:name="9.2.2监测计划"/>
      <w:bookmarkEnd w:id="342"/>
      <w:bookmarkStart w:id="343" w:name="9.2.2监测计划"/>
      <w:bookmarkEnd w:id="343"/>
      <w:r>
        <w:t>监测计划</w:t>
      </w:r>
    </w:p>
    <w:p w14:paraId="759F2D88">
      <w:pPr>
        <w:pStyle w:val="7"/>
        <w:spacing w:before="161" w:line="364" w:lineRule="auto"/>
        <w:ind w:left="282" w:right="280" w:firstLine="480"/>
        <w:jc w:val="both"/>
      </w:pPr>
      <w:r>
        <w:t>根据《排污单位自行监测技术指南 农副食品加工业》</w:t>
      </w:r>
      <w:r>
        <w:rPr>
          <w:rFonts w:ascii="Times New Roman" w:hAnsi="Times New Roman" w:eastAsia="Times New Roman"/>
        </w:rPr>
        <w:t>(HJ 986</w:t>
      </w:r>
      <w:r>
        <w:t>—</w:t>
      </w:r>
      <w:r>
        <w:rPr>
          <w:rFonts w:ascii="Times New Roman" w:hAnsi="Times New Roman" w:eastAsia="Times New Roman"/>
        </w:rPr>
        <w:t>2018)</w:t>
      </w:r>
      <w:r>
        <w:t>，并结合本项目的污染特征，以及项目评价范围内环境保护敏感目标的分布情况， 对建设项目的环境监测计划如下：</w:t>
      </w:r>
    </w:p>
    <w:p w14:paraId="6C7FC8B6">
      <w:pPr>
        <w:spacing w:after="0" w:line="364" w:lineRule="auto"/>
        <w:jc w:val="both"/>
        <w:sectPr>
          <w:pgSz w:w="11910" w:h="16840"/>
          <w:pgMar w:top="1360" w:right="1520" w:bottom="1400" w:left="1520" w:header="878" w:footer="1204" w:gutter="0"/>
          <w:cols w:space="720" w:num="1"/>
        </w:sectPr>
      </w:pPr>
    </w:p>
    <w:p w14:paraId="166CCD67">
      <w:pPr>
        <w:pStyle w:val="7"/>
        <w:rPr>
          <w:sz w:val="20"/>
        </w:rPr>
      </w:pPr>
    </w:p>
    <w:p w14:paraId="585C3372">
      <w:pPr>
        <w:pStyle w:val="7"/>
        <w:spacing w:before="3"/>
        <w:rPr>
          <w:sz w:val="17"/>
        </w:rPr>
      </w:pPr>
    </w:p>
    <w:p w14:paraId="4F872035">
      <w:pPr>
        <w:spacing w:before="1"/>
        <w:ind w:left="2537" w:right="2538" w:firstLine="0"/>
        <w:jc w:val="center"/>
        <w:rPr>
          <w:b/>
          <w:sz w:val="21"/>
        </w:rPr>
      </w:pPr>
      <w:r>
        <w:rPr>
          <w:b/>
          <w:spacing w:val="-28"/>
          <w:sz w:val="21"/>
        </w:rPr>
        <w:t xml:space="preserve">表 </w:t>
      </w:r>
      <w:r>
        <w:rPr>
          <w:rFonts w:ascii="Times New Roman" w:eastAsia="Times New Roman"/>
          <w:b/>
          <w:sz w:val="21"/>
        </w:rPr>
        <w:t>9.2-1</w:t>
      </w:r>
      <w:r>
        <w:rPr>
          <w:rFonts w:ascii="Times New Roman" w:eastAsia="Times New Roman"/>
          <w:b/>
          <w:spacing w:val="50"/>
          <w:sz w:val="21"/>
        </w:rPr>
        <w:t xml:space="preserve"> </w:t>
      </w:r>
      <w:r>
        <w:rPr>
          <w:b/>
          <w:sz w:val="21"/>
        </w:rPr>
        <w:t>项目所在区域环境质量监测方案</w:t>
      </w: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1353"/>
        <w:gridCol w:w="3104"/>
        <w:gridCol w:w="823"/>
        <w:gridCol w:w="2545"/>
      </w:tblGrid>
      <w:tr w14:paraId="022EE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91" w:type="dxa"/>
          </w:tcPr>
          <w:p w14:paraId="0498CAC2">
            <w:pPr>
              <w:pStyle w:val="14"/>
              <w:spacing w:before="115"/>
              <w:ind w:left="133"/>
              <w:rPr>
                <w:b/>
                <w:sz w:val="21"/>
              </w:rPr>
            </w:pPr>
            <w:r>
              <w:rPr>
                <w:b/>
                <w:sz w:val="21"/>
              </w:rPr>
              <w:t>项目</w:t>
            </w:r>
          </w:p>
        </w:tc>
        <w:tc>
          <w:tcPr>
            <w:tcW w:w="1353" w:type="dxa"/>
          </w:tcPr>
          <w:p w14:paraId="0D807B0E">
            <w:pPr>
              <w:pStyle w:val="14"/>
              <w:spacing w:before="115"/>
              <w:ind w:left="359"/>
              <w:rPr>
                <w:b/>
                <w:sz w:val="21"/>
              </w:rPr>
            </w:pPr>
            <w:r>
              <w:rPr>
                <w:b/>
                <w:sz w:val="21"/>
              </w:rPr>
              <w:t>监测点</w:t>
            </w:r>
          </w:p>
        </w:tc>
        <w:tc>
          <w:tcPr>
            <w:tcW w:w="3104" w:type="dxa"/>
          </w:tcPr>
          <w:p w14:paraId="6ECF1C74">
            <w:pPr>
              <w:pStyle w:val="14"/>
              <w:spacing w:before="115"/>
              <w:ind w:left="1130"/>
              <w:rPr>
                <w:b/>
                <w:sz w:val="21"/>
              </w:rPr>
            </w:pPr>
            <w:r>
              <w:rPr>
                <w:b/>
                <w:sz w:val="21"/>
              </w:rPr>
              <w:t>监测项目</w:t>
            </w:r>
          </w:p>
        </w:tc>
        <w:tc>
          <w:tcPr>
            <w:tcW w:w="823" w:type="dxa"/>
          </w:tcPr>
          <w:p w14:paraId="166C9198">
            <w:pPr>
              <w:pStyle w:val="14"/>
              <w:spacing w:before="115"/>
              <w:ind w:left="200"/>
              <w:rPr>
                <w:b/>
                <w:sz w:val="21"/>
              </w:rPr>
            </w:pPr>
            <w:r>
              <w:rPr>
                <w:b/>
                <w:sz w:val="21"/>
              </w:rPr>
              <w:t>频次</w:t>
            </w:r>
          </w:p>
        </w:tc>
        <w:tc>
          <w:tcPr>
            <w:tcW w:w="2545" w:type="dxa"/>
          </w:tcPr>
          <w:p w14:paraId="10046D23">
            <w:pPr>
              <w:pStyle w:val="14"/>
              <w:spacing w:before="115"/>
              <w:ind w:left="1039" w:right="1034"/>
              <w:jc w:val="center"/>
              <w:rPr>
                <w:b/>
                <w:sz w:val="21"/>
              </w:rPr>
            </w:pPr>
            <w:r>
              <w:rPr>
                <w:b/>
                <w:sz w:val="21"/>
              </w:rPr>
              <w:t>备注</w:t>
            </w:r>
          </w:p>
        </w:tc>
      </w:tr>
      <w:tr w14:paraId="69895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91" w:type="dxa"/>
          </w:tcPr>
          <w:p w14:paraId="7E1E202D">
            <w:pPr>
              <w:pStyle w:val="14"/>
              <w:spacing w:before="21" w:line="242" w:lineRule="auto"/>
              <w:ind w:left="239" w:right="127" w:hanging="106"/>
              <w:rPr>
                <w:sz w:val="21"/>
              </w:rPr>
            </w:pPr>
            <w:r>
              <w:rPr>
                <w:w w:val="95"/>
                <w:sz w:val="21"/>
              </w:rPr>
              <w:t>地下</w:t>
            </w:r>
            <w:r>
              <w:rPr>
                <w:sz w:val="21"/>
              </w:rPr>
              <w:t>水</w:t>
            </w:r>
          </w:p>
        </w:tc>
        <w:tc>
          <w:tcPr>
            <w:tcW w:w="1353" w:type="dxa"/>
          </w:tcPr>
          <w:p w14:paraId="13030603">
            <w:pPr>
              <w:pStyle w:val="14"/>
              <w:spacing w:before="21" w:line="242" w:lineRule="auto"/>
              <w:ind w:left="361" w:right="141" w:hanging="212"/>
              <w:rPr>
                <w:sz w:val="21"/>
              </w:rPr>
            </w:pPr>
            <w:r>
              <w:rPr>
                <w:sz w:val="21"/>
              </w:rPr>
              <w:t>厂区东北面监控井</w:t>
            </w:r>
          </w:p>
        </w:tc>
        <w:tc>
          <w:tcPr>
            <w:tcW w:w="3104" w:type="dxa"/>
          </w:tcPr>
          <w:p w14:paraId="7F1A8DC3">
            <w:pPr>
              <w:pStyle w:val="14"/>
              <w:spacing w:before="21" w:line="242" w:lineRule="auto"/>
              <w:ind w:left="815" w:right="154" w:hanging="653"/>
              <w:rPr>
                <w:sz w:val="21"/>
              </w:rPr>
            </w:pPr>
            <w:r>
              <w:rPr>
                <w:rFonts w:ascii="Times New Roman" w:eastAsia="Times New Roman"/>
                <w:w w:val="95"/>
                <w:sz w:val="21"/>
              </w:rPr>
              <w:t>pH</w:t>
            </w:r>
            <w:r>
              <w:rPr>
                <w:w w:val="95"/>
                <w:sz w:val="21"/>
              </w:rPr>
              <w:t>、耗氧量、氨氮、总磷、总</w:t>
            </w:r>
            <w:r>
              <w:rPr>
                <w:sz w:val="21"/>
              </w:rPr>
              <w:t>氮、总大肠菌群</w:t>
            </w:r>
          </w:p>
        </w:tc>
        <w:tc>
          <w:tcPr>
            <w:tcW w:w="823" w:type="dxa"/>
          </w:tcPr>
          <w:p w14:paraId="646DDA72">
            <w:pPr>
              <w:pStyle w:val="14"/>
              <w:spacing w:before="21" w:line="242" w:lineRule="auto"/>
              <w:ind w:left="200" w:right="192"/>
              <w:rPr>
                <w:sz w:val="21"/>
              </w:rPr>
            </w:pPr>
            <w:r>
              <w:rPr>
                <w:w w:val="95"/>
                <w:sz w:val="21"/>
              </w:rPr>
              <w:t>每年两次</w:t>
            </w:r>
          </w:p>
        </w:tc>
        <w:tc>
          <w:tcPr>
            <w:tcW w:w="2545" w:type="dxa"/>
            <w:vMerge w:val="restart"/>
          </w:tcPr>
          <w:p w14:paraId="0D7D9F1B">
            <w:pPr>
              <w:pStyle w:val="14"/>
              <w:rPr>
                <w:b/>
                <w:sz w:val="20"/>
              </w:rPr>
            </w:pPr>
          </w:p>
          <w:p w14:paraId="2747BB46">
            <w:pPr>
              <w:pStyle w:val="14"/>
              <w:spacing w:before="1"/>
              <w:rPr>
                <w:b/>
                <w:sz w:val="28"/>
              </w:rPr>
            </w:pPr>
          </w:p>
          <w:p w14:paraId="65ED136B">
            <w:pPr>
              <w:pStyle w:val="14"/>
              <w:spacing w:line="242" w:lineRule="auto"/>
              <w:ind w:left="642" w:right="109" w:hanging="526"/>
              <w:rPr>
                <w:sz w:val="21"/>
              </w:rPr>
            </w:pPr>
            <w:r>
              <w:rPr>
                <w:w w:val="95"/>
                <w:sz w:val="21"/>
              </w:rPr>
              <w:t>自行监测或委托有资质的</w:t>
            </w:r>
            <w:r>
              <w:rPr>
                <w:sz w:val="21"/>
              </w:rPr>
              <w:t>单位进行监测</w:t>
            </w:r>
          </w:p>
        </w:tc>
      </w:tr>
      <w:tr w14:paraId="590A1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91" w:type="dxa"/>
            <w:vMerge w:val="restart"/>
          </w:tcPr>
          <w:p w14:paraId="0D286204">
            <w:pPr>
              <w:pStyle w:val="14"/>
              <w:spacing w:before="8"/>
              <w:rPr>
                <w:b/>
                <w:sz w:val="24"/>
              </w:rPr>
            </w:pPr>
          </w:p>
          <w:p w14:paraId="77BD9C0B">
            <w:pPr>
              <w:pStyle w:val="14"/>
              <w:spacing w:line="244" w:lineRule="auto"/>
              <w:ind w:left="239" w:right="127" w:hanging="106"/>
              <w:rPr>
                <w:sz w:val="21"/>
              </w:rPr>
            </w:pPr>
            <w:r>
              <w:rPr>
                <w:w w:val="95"/>
                <w:sz w:val="21"/>
              </w:rPr>
              <w:t>声环</w:t>
            </w:r>
            <w:r>
              <w:rPr>
                <w:sz w:val="21"/>
              </w:rPr>
              <w:t>境</w:t>
            </w:r>
          </w:p>
        </w:tc>
        <w:tc>
          <w:tcPr>
            <w:tcW w:w="1353" w:type="dxa"/>
          </w:tcPr>
          <w:p w14:paraId="7ECC2ED9">
            <w:pPr>
              <w:pStyle w:val="14"/>
              <w:spacing w:before="21" w:line="242" w:lineRule="auto"/>
              <w:ind w:left="570" w:right="141" w:hanging="420"/>
              <w:rPr>
                <w:sz w:val="21"/>
              </w:rPr>
            </w:pPr>
            <w:r>
              <w:rPr>
                <w:sz w:val="21"/>
              </w:rPr>
              <w:t>西侧居民散户</w:t>
            </w:r>
          </w:p>
        </w:tc>
        <w:tc>
          <w:tcPr>
            <w:tcW w:w="3104" w:type="dxa"/>
          </w:tcPr>
          <w:p w14:paraId="0782EC38">
            <w:pPr>
              <w:pStyle w:val="14"/>
              <w:spacing w:before="155"/>
              <w:ind w:left="1101"/>
              <w:rPr>
                <w:sz w:val="21"/>
              </w:rPr>
            </w:pPr>
            <w:r>
              <w:rPr>
                <w:rFonts w:ascii="Times New Roman" w:eastAsia="Times New Roman"/>
                <w:sz w:val="21"/>
              </w:rPr>
              <w:t>Leq</w:t>
            </w:r>
            <w:r>
              <w:rPr>
                <w:sz w:val="21"/>
              </w:rPr>
              <w:t>（</w:t>
            </w:r>
            <w:r>
              <w:rPr>
                <w:rFonts w:ascii="Times New Roman" w:eastAsia="Times New Roman"/>
                <w:sz w:val="21"/>
              </w:rPr>
              <w:t>A</w:t>
            </w:r>
            <w:r>
              <w:rPr>
                <w:sz w:val="21"/>
              </w:rPr>
              <w:t>）</w:t>
            </w:r>
          </w:p>
        </w:tc>
        <w:tc>
          <w:tcPr>
            <w:tcW w:w="823" w:type="dxa"/>
          </w:tcPr>
          <w:p w14:paraId="636F523E">
            <w:pPr>
              <w:pStyle w:val="14"/>
              <w:spacing w:before="21" w:line="242" w:lineRule="auto"/>
              <w:ind w:left="200" w:right="192"/>
              <w:rPr>
                <w:sz w:val="21"/>
              </w:rPr>
            </w:pPr>
            <w:r>
              <w:rPr>
                <w:w w:val="95"/>
                <w:sz w:val="21"/>
              </w:rPr>
              <w:t>每年一次</w:t>
            </w:r>
          </w:p>
        </w:tc>
        <w:tc>
          <w:tcPr>
            <w:tcW w:w="2545" w:type="dxa"/>
            <w:vMerge w:val="continue"/>
            <w:tcBorders>
              <w:top w:val="nil"/>
            </w:tcBorders>
          </w:tcPr>
          <w:p w14:paraId="09B8DDEA">
            <w:pPr>
              <w:rPr>
                <w:sz w:val="2"/>
                <w:szCs w:val="2"/>
              </w:rPr>
            </w:pPr>
          </w:p>
        </w:tc>
      </w:tr>
      <w:tr w14:paraId="2220C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91" w:type="dxa"/>
            <w:vMerge w:val="continue"/>
            <w:tcBorders>
              <w:top w:val="nil"/>
            </w:tcBorders>
          </w:tcPr>
          <w:p w14:paraId="3CBB476B">
            <w:pPr>
              <w:rPr>
                <w:sz w:val="2"/>
                <w:szCs w:val="2"/>
              </w:rPr>
            </w:pPr>
          </w:p>
        </w:tc>
        <w:tc>
          <w:tcPr>
            <w:tcW w:w="1353" w:type="dxa"/>
          </w:tcPr>
          <w:p w14:paraId="5FFDF787">
            <w:pPr>
              <w:pStyle w:val="14"/>
              <w:spacing w:before="155"/>
              <w:ind w:left="361"/>
              <w:rPr>
                <w:sz w:val="21"/>
              </w:rPr>
            </w:pPr>
            <w:r>
              <w:rPr>
                <w:sz w:val="21"/>
              </w:rPr>
              <w:t>东南侧</w:t>
            </w:r>
          </w:p>
        </w:tc>
        <w:tc>
          <w:tcPr>
            <w:tcW w:w="3104" w:type="dxa"/>
          </w:tcPr>
          <w:p w14:paraId="3E130A44">
            <w:pPr>
              <w:pStyle w:val="14"/>
              <w:spacing w:before="155"/>
              <w:ind w:left="1101"/>
              <w:rPr>
                <w:sz w:val="21"/>
              </w:rPr>
            </w:pPr>
            <w:r>
              <w:rPr>
                <w:rFonts w:ascii="Times New Roman" w:eastAsia="Times New Roman"/>
                <w:sz w:val="21"/>
              </w:rPr>
              <w:t>Leq</w:t>
            </w:r>
            <w:r>
              <w:rPr>
                <w:sz w:val="21"/>
              </w:rPr>
              <w:t>（</w:t>
            </w:r>
            <w:r>
              <w:rPr>
                <w:rFonts w:ascii="Times New Roman" w:eastAsia="Times New Roman"/>
                <w:sz w:val="21"/>
              </w:rPr>
              <w:t>A</w:t>
            </w:r>
            <w:r>
              <w:rPr>
                <w:sz w:val="21"/>
              </w:rPr>
              <w:t>）</w:t>
            </w:r>
          </w:p>
        </w:tc>
        <w:tc>
          <w:tcPr>
            <w:tcW w:w="823" w:type="dxa"/>
          </w:tcPr>
          <w:p w14:paraId="206727D4">
            <w:pPr>
              <w:pStyle w:val="14"/>
              <w:spacing w:before="20" w:line="270" w:lineRule="atLeast"/>
              <w:ind w:left="200" w:right="192"/>
              <w:rPr>
                <w:sz w:val="21"/>
              </w:rPr>
            </w:pPr>
            <w:r>
              <w:rPr>
                <w:w w:val="95"/>
                <w:sz w:val="21"/>
              </w:rPr>
              <w:t>每年一次</w:t>
            </w:r>
          </w:p>
        </w:tc>
        <w:tc>
          <w:tcPr>
            <w:tcW w:w="2545" w:type="dxa"/>
            <w:vMerge w:val="continue"/>
            <w:tcBorders>
              <w:top w:val="nil"/>
            </w:tcBorders>
          </w:tcPr>
          <w:p w14:paraId="4CCB066D">
            <w:pPr>
              <w:rPr>
                <w:sz w:val="2"/>
                <w:szCs w:val="2"/>
              </w:rPr>
            </w:pPr>
          </w:p>
        </w:tc>
      </w:tr>
    </w:tbl>
    <w:p w14:paraId="3E00F079">
      <w:pPr>
        <w:spacing w:before="1" w:after="3"/>
        <w:ind w:left="2536" w:right="2538" w:firstLine="0"/>
        <w:jc w:val="center"/>
        <w:rPr>
          <w:b/>
          <w:sz w:val="21"/>
        </w:rPr>
      </w:pPr>
      <w:r>
        <w:rPr>
          <w:b/>
          <w:sz w:val="21"/>
        </w:rPr>
        <w:t xml:space="preserve">表 </w:t>
      </w:r>
      <w:r>
        <w:rPr>
          <w:rFonts w:ascii="Times New Roman" w:eastAsia="Times New Roman"/>
          <w:b/>
          <w:sz w:val="21"/>
        </w:rPr>
        <w:t xml:space="preserve">9.2-1   </w:t>
      </w:r>
      <w:r>
        <w:rPr>
          <w:b/>
          <w:sz w:val="21"/>
        </w:rPr>
        <w:t>项目污染源监测方案</w:t>
      </w:r>
    </w:p>
    <w:tbl>
      <w:tblPr>
        <w:tblStyle w:val="10"/>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
        <w:gridCol w:w="2185"/>
        <w:gridCol w:w="2132"/>
        <w:gridCol w:w="1448"/>
        <w:gridCol w:w="2213"/>
      </w:tblGrid>
      <w:tr w14:paraId="3A203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38" w:type="dxa"/>
          </w:tcPr>
          <w:p w14:paraId="72A1740D">
            <w:pPr>
              <w:pStyle w:val="14"/>
              <w:spacing w:before="44"/>
              <w:ind w:left="162"/>
              <w:rPr>
                <w:b/>
                <w:sz w:val="21"/>
              </w:rPr>
            </w:pPr>
            <w:r>
              <w:rPr>
                <w:b/>
                <w:w w:val="99"/>
                <w:sz w:val="21"/>
              </w:rPr>
              <w:t>项</w:t>
            </w:r>
          </w:p>
          <w:p w14:paraId="5B19E86B">
            <w:pPr>
              <w:pStyle w:val="14"/>
              <w:spacing w:before="50" w:line="253" w:lineRule="exact"/>
              <w:ind w:left="162"/>
              <w:rPr>
                <w:b/>
                <w:sz w:val="21"/>
              </w:rPr>
            </w:pPr>
            <w:r>
              <w:rPr>
                <w:b/>
                <w:w w:val="99"/>
                <w:sz w:val="21"/>
              </w:rPr>
              <w:t>目</w:t>
            </w:r>
          </w:p>
        </w:tc>
        <w:tc>
          <w:tcPr>
            <w:tcW w:w="2185" w:type="dxa"/>
          </w:tcPr>
          <w:p w14:paraId="077E0B21">
            <w:pPr>
              <w:pStyle w:val="14"/>
              <w:rPr>
                <w:b/>
                <w:sz w:val="16"/>
              </w:rPr>
            </w:pPr>
          </w:p>
          <w:p w14:paraId="7C323BD1">
            <w:pPr>
              <w:pStyle w:val="14"/>
              <w:ind w:left="109" w:right="100"/>
              <w:jc w:val="center"/>
              <w:rPr>
                <w:b/>
                <w:sz w:val="21"/>
              </w:rPr>
            </w:pPr>
            <w:r>
              <w:rPr>
                <w:b/>
                <w:sz w:val="21"/>
              </w:rPr>
              <w:t>监测点</w:t>
            </w:r>
          </w:p>
        </w:tc>
        <w:tc>
          <w:tcPr>
            <w:tcW w:w="2132" w:type="dxa"/>
          </w:tcPr>
          <w:p w14:paraId="3F4122A3">
            <w:pPr>
              <w:pStyle w:val="14"/>
              <w:rPr>
                <w:b/>
                <w:sz w:val="16"/>
              </w:rPr>
            </w:pPr>
          </w:p>
          <w:p w14:paraId="30394B5A">
            <w:pPr>
              <w:pStyle w:val="14"/>
              <w:ind w:left="99" w:right="92"/>
              <w:jc w:val="center"/>
              <w:rPr>
                <w:b/>
                <w:sz w:val="21"/>
              </w:rPr>
            </w:pPr>
            <w:r>
              <w:rPr>
                <w:b/>
                <w:sz w:val="21"/>
              </w:rPr>
              <w:t>监测项目</w:t>
            </w:r>
          </w:p>
        </w:tc>
        <w:tc>
          <w:tcPr>
            <w:tcW w:w="1448" w:type="dxa"/>
          </w:tcPr>
          <w:p w14:paraId="7B1ED26D">
            <w:pPr>
              <w:pStyle w:val="14"/>
              <w:rPr>
                <w:b/>
                <w:sz w:val="16"/>
              </w:rPr>
            </w:pPr>
          </w:p>
          <w:p w14:paraId="6AF79CFA">
            <w:pPr>
              <w:pStyle w:val="14"/>
              <w:ind w:left="178" w:right="170"/>
              <w:jc w:val="center"/>
              <w:rPr>
                <w:b/>
                <w:sz w:val="21"/>
              </w:rPr>
            </w:pPr>
            <w:r>
              <w:rPr>
                <w:b/>
                <w:sz w:val="21"/>
              </w:rPr>
              <w:t>频次</w:t>
            </w:r>
          </w:p>
        </w:tc>
        <w:tc>
          <w:tcPr>
            <w:tcW w:w="2213" w:type="dxa"/>
          </w:tcPr>
          <w:p w14:paraId="0D0AD808">
            <w:pPr>
              <w:pStyle w:val="14"/>
              <w:rPr>
                <w:b/>
                <w:sz w:val="16"/>
              </w:rPr>
            </w:pPr>
          </w:p>
          <w:p w14:paraId="49C32828">
            <w:pPr>
              <w:pStyle w:val="14"/>
              <w:ind w:left="136" w:right="132"/>
              <w:jc w:val="center"/>
              <w:rPr>
                <w:b/>
                <w:sz w:val="21"/>
              </w:rPr>
            </w:pPr>
            <w:r>
              <w:rPr>
                <w:b/>
                <w:sz w:val="21"/>
              </w:rPr>
              <w:t>备注</w:t>
            </w:r>
          </w:p>
        </w:tc>
      </w:tr>
      <w:tr w14:paraId="1E016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538" w:type="dxa"/>
            <w:vMerge w:val="restart"/>
          </w:tcPr>
          <w:p w14:paraId="24980042">
            <w:pPr>
              <w:pStyle w:val="14"/>
              <w:spacing w:before="7"/>
              <w:rPr>
                <w:b/>
                <w:sz w:val="18"/>
              </w:rPr>
            </w:pPr>
          </w:p>
          <w:p w14:paraId="7BCEAE72">
            <w:pPr>
              <w:pStyle w:val="14"/>
              <w:spacing w:line="283" w:lineRule="auto"/>
              <w:ind w:left="164" w:right="152"/>
              <w:rPr>
                <w:sz w:val="21"/>
              </w:rPr>
            </w:pPr>
            <w:r>
              <w:rPr>
                <w:sz w:val="21"/>
              </w:rPr>
              <w:t>废气</w:t>
            </w:r>
          </w:p>
        </w:tc>
        <w:tc>
          <w:tcPr>
            <w:tcW w:w="2185" w:type="dxa"/>
          </w:tcPr>
          <w:p w14:paraId="0374520C">
            <w:pPr>
              <w:pStyle w:val="14"/>
              <w:spacing w:before="103"/>
              <w:ind w:left="107" w:right="100"/>
              <w:jc w:val="center"/>
              <w:rPr>
                <w:rFonts w:ascii="Times New Roman"/>
                <w:sz w:val="21"/>
              </w:rPr>
            </w:pPr>
            <w:r>
              <w:rPr>
                <w:rFonts w:ascii="Times New Roman"/>
                <w:sz w:val="21"/>
              </w:rPr>
              <w:t>DA004</w:t>
            </w:r>
          </w:p>
        </w:tc>
        <w:tc>
          <w:tcPr>
            <w:tcW w:w="2132" w:type="dxa"/>
          </w:tcPr>
          <w:p w14:paraId="6415CD5F">
            <w:pPr>
              <w:pStyle w:val="14"/>
              <w:spacing w:before="72"/>
              <w:ind w:left="99" w:right="92"/>
              <w:jc w:val="center"/>
              <w:rPr>
                <w:sz w:val="21"/>
              </w:rPr>
            </w:pPr>
            <w:r>
              <w:rPr>
                <w:sz w:val="21"/>
              </w:rPr>
              <w:t>二氧化硫、氮氧化物</w:t>
            </w:r>
          </w:p>
        </w:tc>
        <w:tc>
          <w:tcPr>
            <w:tcW w:w="1448" w:type="dxa"/>
            <w:tcBorders>
              <w:bottom w:val="nil"/>
            </w:tcBorders>
          </w:tcPr>
          <w:p w14:paraId="597D2E06">
            <w:pPr>
              <w:pStyle w:val="14"/>
              <w:rPr>
                <w:rFonts w:ascii="Times New Roman"/>
                <w:sz w:val="20"/>
              </w:rPr>
            </w:pPr>
          </w:p>
        </w:tc>
        <w:tc>
          <w:tcPr>
            <w:tcW w:w="2213" w:type="dxa"/>
            <w:tcBorders>
              <w:bottom w:val="nil"/>
            </w:tcBorders>
          </w:tcPr>
          <w:p w14:paraId="344F9358">
            <w:pPr>
              <w:pStyle w:val="14"/>
              <w:rPr>
                <w:rFonts w:ascii="Times New Roman"/>
                <w:sz w:val="20"/>
              </w:rPr>
            </w:pPr>
          </w:p>
        </w:tc>
      </w:tr>
      <w:tr w14:paraId="04C2F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38" w:type="dxa"/>
            <w:vMerge w:val="continue"/>
            <w:tcBorders>
              <w:top w:val="nil"/>
            </w:tcBorders>
          </w:tcPr>
          <w:p w14:paraId="478FC4B3">
            <w:pPr>
              <w:rPr>
                <w:sz w:val="2"/>
                <w:szCs w:val="2"/>
              </w:rPr>
            </w:pPr>
          </w:p>
        </w:tc>
        <w:tc>
          <w:tcPr>
            <w:tcW w:w="2185" w:type="dxa"/>
          </w:tcPr>
          <w:p w14:paraId="0EE8A5F5">
            <w:pPr>
              <w:pStyle w:val="14"/>
              <w:spacing w:before="3" w:line="316" w:lineRule="exact"/>
              <w:ind w:left="404" w:right="191" w:hanging="204"/>
              <w:rPr>
                <w:sz w:val="21"/>
              </w:rPr>
            </w:pPr>
            <w:r>
              <w:rPr>
                <w:w w:val="95"/>
                <w:sz w:val="21"/>
              </w:rPr>
              <w:t>厂界（上风向</w:t>
            </w:r>
            <w:r>
              <w:rPr>
                <w:rFonts w:ascii="Times New Roman" w:eastAsia="Times New Roman"/>
                <w:w w:val="95"/>
                <w:sz w:val="21"/>
              </w:rPr>
              <w:t>1</w:t>
            </w:r>
            <w:r>
              <w:rPr>
                <w:w w:val="95"/>
                <w:sz w:val="21"/>
              </w:rPr>
              <w:t>个、</w:t>
            </w:r>
            <w:r>
              <w:rPr>
                <w:sz w:val="21"/>
              </w:rPr>
              <w:t>下风向</w:t>
            </w:r>
            <w:r>
              <w:rPr>
                <w:rFonts w:ascii="Times New Roman" w:eastAsia="Times New Roman"/>
                <w:sz w:val="21"/>
              </w:rPr>
              <w:t>2~3</w:t>
            </w:r>
            <w:r>
              <w:rPr>
                <w:sz w:val="21"/>
              </w:rPr>
              <w:t>个）</w:t>
            </w:r>
          </w:p>
        </w:tc>
        <w:tc>
          <w:tcPr>
            <w:tcW w:w="2132" w:type="dxa"/>
          </w:tcPr>
          <w:p w14:paraId="731980AF">
            <w:pPr>
              <w:pStyle w:val="14"/>
              <w:spacing w:before="3" w:line="316" w:lineRule="exact"/>
              <w:ind w:left="854" w:right="110" w:hanging="735"/>
              <w:rPr>
                <w:sz w:val="21"/>
              </w:rPr>
            </w:pPr>
            <w:r>
              <w:rPr>
                <w:sz w:val="21"/>
              </w:rPr>
              <w:t>硫化氢、氨气、臭气浓度</w:t>
            </w:r>
          </w:p>
        </w:tc>
        <w:tc>
          <w:tcPr>
            <w:tcW w:w="1448" w:type="dxa"/>
            <w:tcBorders>
              <w:top w:val="nil"/>
            </w:tcBorders>
          </w:tcPr>
          <w:p w14:paraId="3E2724E9">
            <w:pPr>
              <w:pStyle w:val="14"/>
              <w:spacing w:before="12"/>
              <w:ind w:left="178" w:right="170"/>
              <w:jc w:val="center"/>
              <w:rPr>
                <w:sz w:val="21"/>
              </w:rPr>
            </w:pPr>
            <w:r>
              <w:rPr>
                <w:sz w:val="21"/>
              </w:rPr>
              <w:t>每半年一次</w:t>
            </w:r>
          </w:p>
        </w:tc>
        <w:tc>
          <w:tcPr>
            <w:tcW w:w="2213" w:type="dxa"/>
            <w:vMerge w:val="restart"/>
            <w:tcBorders>
              <w:top w:val="nil"/>
              <w:bottom w:val="nil"/>
            </w:tcBorders>
          </w:tcPr>
          <w:p w14:paraId="780A8005">
            <w:pPr>
              <w:pStyle w:val="14"/>
              <w:rPr>
                <w:b/>
                <w:sz w:val="20"/>
              </w:rPr>
            </w:pPr>
          </w:p>
          <w:p w14:paraId="0F9F2382">
            <w:pPr>
              <w:pStyle w:val="14"/>
              <w:spacing w:before="6"/>
              <w:rPr>
                <w:b/>
                <w:sz w:val="17"/>
              </w:rPr>
            </w:pPr>
          </w:p>
          <w:p w14:paraId="05EE6FCF">
            <w:pPr>
              <w:pStyle w:val="14"/>
              <w:spacing w:line="283" w:lineRule="auto"/>
              <w:ind w:left="161" w:right="150"/>
              <w:rPr>
                <w:sz w:val="21"/>
              </w:rPr>
            </w:pPr>
            <w:r>
              <w:rPr>
                <w:w w:val="95"/>
                <w:sz w:val="21"/>
              </w:rPr>
              <w:t>在线监测或委托有资质的单位进行监测；</w:t>
            </w:r>
          </w:p>
          <w:p w14:paraId="2107017C">
            <w:pPr>
              <w:pStyle w:val="14"/>
              <w:spacing w:before="1" w:line="215" w:lineRule="exact"/>
              <w:ind w:left="161"/>
              <w:rPr>
                <w:sz w:val="21"/>
              </w:rPr>
            </w:pPr>
            <w:r>
              <w:rPr>
                <w:w w:val="95"/>
                <w:sz w:val="21"/>
              </w:rPr>
              <w:t>雨水排放口有流动水</w:t>
            </w:r>
          </w:p>
        </w:tc>
      </w:tr>
      <w:tr w14:paraId="70D0E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538" w:type="dxa"/>
            <w:vMerge w:val="restart"/>
          </w:tcPr>
          <w:p w14:paraId="402E90C9">
            <w:pPr>
              <w:pStyle w:val="14"/>
              <w:rPr>
                <w:b/>
                <w:sz w:val="20"/>
              </w:rPr>
            </w:pPr>
          </w:p>
          <w:p w14:paraId="2210AF28">
            <w:pPr>
              <w:pStyle w:val="14"/>
              <w:rPr>
                <w:b/>
                <w:sz w:val="20"/>
              </w:rPr>
            </w:pPr>
          </w:p>
          <w:p w14:paraId="317F4AB6">
            <w:pPr>
              <w:pStyle w:val="14"/>
              <w:spacing w:before="1"/>
              <w:rPr>
                <w:b/>
                <w:sz w:val="24"/>
              </w:rPr>
            </w:pPr>
          </w:p>
          <w:p w14:paraId="3EF1011C">
            <w:pPr>
              <w:pStyle w:val="14"/>
              <w:spacing w:line="285" w:lineRule="auto"/>
              <w:ind w:left="164" w:right="152"/>
              <w:rPr>
                <w:sz w:val="21"/>
              </w:rPr>
            </w:pPr>
            <w:r>
              <w:rPr>
                <w:sz w:val="21"/>
              </w:rPr>
              <w:t>废水</w:t>
            </w:r>
          </w:p>
        </w:tc>
        <w:tc>
          <w:tcPr>
            <w:tcW w:w="2185" w:type="dxa"/>
            <w:vMerge w:val="restart"/>
            <w:tcBorders>
              <w:bottom w:val="nil"/>
            </w:tcBorders>
          </w:tcPr>
          <w:p w14:paraId="2F35FA8E">
            <w:pPr>
              <w:pStyle w:val="14"/>
              <w:rPr>
                <w:rFonts w:ascii="Times New Roman"/>
                <w:sz w:val="20"/>
              </w:rPr>
            </w:pPr>
          </w:p>
        </w:tc>
        <w:tc>
          <w:tcPr>
            <w:tcW w:w="2132" w:type="dxa"/>
          </w:tcPr>
          <w:p w14:paraId="5250B540">
            <w:pPr>
              <w:pStyle w:val="14"/>
              <w:spacing w:before="45"/>
              <w:ind w:left="96" w:right="92"/>
              <w:jc w:val="center"/>
              <w:rPr>
                <w:sz w:val="21"/>
              </w:rPr>
            </w:pPr>
            <w:r>
              <w:rPr>
                <w:sz w:val="21"/>
              </w:rPr>
              <w:t>流量、</w:t>
            </w:r>
            <w:r>
              <w:rPr>
                <w:rFonts w:ascii="Times New Roman" w:eastAsia="Times New Roman"/>
                <w:sz w:val="21"/>
              </w:rPr>
              <w:t>pH</w:t>
            </w:r>
            <w:r>
              <w:rPr>
                <w:sz w:val="21"/>
              </w:rPr>
              <w:t>值、</w:t>
            </w:r>
          </w:p>
          <w:p w14:paraId="633DB12E">
            <w:pPr>
              <w:pStyle w:val="14"/>
              <w:spacing w:before="45" w:line="257" w:lineRule="exact"/>
              <w:ind w:left="99" w:right="92"/>
              <w:jc w:val="center"/>
              <w:rPr>
                <w:sz w:val="21"/>
              </w:rPr>
            </w:pPr>
            <w:r>
              <w:rPr>
                <w:rFonts w:ascii="Times New Roman" w:eastAsia="Times New Roman"/>
                <w:position w:val="1"/>
                <w:sz w:val="21"/>
              </w:rPr>
              <w:t>COD</w:t>
            </w:r>
            <w:r>
              <w:rPr>
                <w:rFonts w:ascii="Times New Roman" w:eastAsia="Times New Roman"/>
                <w:position w:val="1"/>
                <w:sz w:val="21"/>
                <w:vertAlign w:val="subscript"/>
              </w:rPr>
              <w:t>Cr</w:t>
            </w:r>
            <w:r>
              <w:rPr>
                <w:position w:val="2"/>
                <w:sz w:val="21"/>
                <w:vertAlign w:val="baseline"/>
              </w:rPr>
              <w:t>、</w:t>
            </w:r>
            <w:r>
              <w:rPr>
                <w:rFonts w:ascii="Times New Roman" w:eastAsia="Times New Roman"/>
                <w:position w:val="1"/>
                <w:sz w:val="21"/>
                <w:vertAlign w:val="baseline"/>
              </w:rPr>
              <w:t>NH</w:t>
            </w:r>
            <w:r>
              <w:rPr>
                <w:rFonts w:ascii="Times New Roman" w:eastAsia="Times New Roman"/>
                <w:position w:val="1"/>
                <w:sz w:val="21"/>
                <w:vertAlign w:val="subscript"/>
              </w:rPr>
              <w:t>3</w:t>
            </w:r>
            <w:r>
              <w:rPr>
                <w:rFonts w:ascii="Times New Roman" w:eastAsia="Times New Roman"/>
                <w:position w:val="1"/>
                <w:sz w:val="21"/>
                <w:vertAlign w:val="baseline"/>
              </w:rPr>
              <w:t>-N</w:t>
            </w:r>
            <w:r>
              <w:rPr>
                <w:position w:val="2"/>
                <w:sz w:val="21"/>
                <w:vertAlign w:val="baseline"/>
              </w:rPr>
              <w:t>、</w:t>
            </w:r>
          </w:p>
        </w:tc>
        <w:tc>
          <w:tcPr>
            <w:tcW w:w="1448" w:type="dxa"/>
          </w:tcPr>
          <w:p w14:paraId="79F07E2F">
            <w:pPr>
              <w:pStyle w:val="14"/>
              <w:spacing w:before="12"/>
              <w:rPr>
                <w:b/>
                <w:sz w:val="15"/>
              </w:rPr>
            </w:pPr>
          </w:p>
          <w:p w14:paraId="32A7B89E">
            <w:pPr>
              <w:pStyle w:val="14"/>
              <w:ind w:left="178" w:right="170"/>
              <w:jc w:val="center"/>
              <w:rPr>
                <w:sz w:val="21"/>
              </w:rPr>
            </w:pPr>
            <w:r>
              <w:rPr>
                <w:sz w:val="21"/>
              </w:rPr>
              <w:t>自动监测</w:t>
            </w:r>
          </w:p>
        </w:tc>
        <w:tc>
          <w:tcPr>
            <w:tcW w:w="2213" w:type="dxa"/>
            <w:vMerge w:val="continue"/>
            <w:tcBorders>
              <w:top w:val="nil"/>
              <w:bottom w:val="nil"/>
            </w:tcBorders>
          </w:tcPr>
          <w:p w14:paraId="1E8982C6">
            <w:pPr>
              <w:rPr>
                <w:sz w:val="2"/>
                <w:szCs w:val="2"/>
              </w:rPr>
            </w:pPr>
          </w:p>
        </w:tc>
      </w:tr>
      <w:tr w14:paraId="0C56A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 w:hRule="atLeast"/>
        </w:trPr>
        <w:tc>
          <w:tcPr>
            <w:tcW w:w="538" w:type="dxa"/>
            <w:vMerge w:val="continue"/>
            <w:tcBorders>
              <w:top w:val="nil"/>
            </w:tcBorders>
          </w:tcPr>
          <w:p w14:paraId="06FF275B">
            <w:pPr>
              <w:rPr>
                <w:sz w:val="2"/>
                <w:szCs w:val="2"/>
              </w:rPr>
            </w:pPr>
          </w:p>
        </w:tc>
        <w:tc>
          <w:tcPr>
            <w:tcW w:w="2185" w:type="dxa"/>
            <w:vMerge w:val="continue"/>
            <w:tcBorders>
              <w:top w:val="nil"/>
              <w:bottom w:val="nil"/>
            </w:tcBorders>
          </w:tcPr>
          <w:p w14:paraId="6CD6FEC5">
            <w:pPr>
              <w:rPr>
                <w:sz w:val="2"/>
                <w:szCs w:val="2"/>
              </w:rPr>
            </w:pPr>
          </w:p>
        </w:tc>
        <w:tc>
          <w:tcPr>
            <w:tcW w:w="2132" w:type="dxa"/>
            <w:tcBorders>
              <w:bottom w:val="nil"/>
            </w:tcBorders>
          </w:tcPr>
          <w:p w14:paraId="08E4FF01">
            <w:pPr>
              <w:pStyle w:val="14"/>
              <w:rPr>
                <w:rFonts w:ascii="Times New Roman"/>
                <w:sz w:val="2"/>
              </w:rPr>
            </w:pPr>
          </w:p>
        </w:tc>
        <w:tc>
          <w:tcPr>
            <w:tcW w:w="1448" w:type="dxa"/>
            <w:tcBorders>
              <w:bottom w:val="nil"/>
            </w:tcBorders>
          </w:tcPr>
          <w:p w14:paraId="163DC941">
            <w:pPr>
              <w:pStyle w:val="14"/>
              <w:rPr>
                <w:rFonts w:ascii="Times New Roman"/>
                <w:sz w:val="2"/>
              </w:rPr>
            </w:pPr>
          </w:p>
        </w:tc>
        <w:tc>
          <w:tcPr>
            <w:tcW w:w="2213" w:type="dxa"/>
            <w:vMerge w:val="continue"/>
            <w:tcBorders>
              <w:top w:val="nil"/>
              <w:bottom w:val="nil"/>
            </w:tcBorders>
          </w:tcPr>
          <w:p w14:paraId="0C6B9274">
            <w:pPr>
              <w:rPr>
                <w:sz w:val="2"/>
                <w:szCs w:val="2"/>
              </w:rPr>
            </w:pPr>
          </w:p>
        </w:tc>
      </w:tr>
      <w:tr w14:paraId="0116E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38" w:type="dxa"/>
            <w:vMerge w:val="continue"/>
            <w:tcBorders>
              <w:top w:val="nil"/>
            </w:tcBorders>
          </w:tcPr>
          <w:p w14:paraId="73E2BFD3">
            <w:pPr>
              <w:rPr>
                <w:sz w:val="2"/>
                <w:szCs w:val="2"/>
              </w:rPr>
            </w:pPr>
          </w:p>
        </w:tc>
        <w:tc>
          <w:tcPr>
            <w:tcW w:w="2185" w:type="dxa"/>
            <w:tcBorders>
              <w:top w:val="nil"/>
              <w:bottom w:val="nil"/>
            </w:tcBorders>
          </w:tcPr>
          <w:p w14:paraId="455E8AD5">
            <w:pPr>
              <w:pStyle w:val="14"/>
              <w:spacing w:line="240" w:lineRule="exact"/>
              <w:ind w:left="110" w:right="100"/>
              <w:jc w:val="center"/>
              <w:rPr>
                <w:rFonts w:ascii="Times New Roman" w:eastAsia="Times New Roman"/>
                <w:sz w:val="21"/>
              </w:rPr>
            </w:pPr>
            <w:r>
              <w:rPr>
                <w:sz w:val="21"/>
              </w:rPr>
              <w:t>废水总排放口</w:t>
            </w:r>
            <w:r>
              <w:rPr>
                <w:rFonts w:ascii="Times New Roman" w:eastAsia="Times New Roman"/>
                <w:sz w:val="21"/>
              </w:rPr>
              <w:t>DW001</w:t>
            </w:r>
          </w:p>
        </w:tc>
        <w:tc>
          <w:tcPr>
            <w:tcW w:w="2132" w:type="dxa"/>
            <w:tcBorders>
              <w:top w:val="nil"/>
              <w:bottom w:val="nil"/>
            </w:tcBorders>
          </w:tcPr>
          <w:p w14:paraId="2986B0F4">
            <w:pPr>
              <w:pStyle w:val="14"/>
              <w:spacing w:line="245" w:lineRule="exact"/>
              <w:ind w:left="99" w:right="92"/>
              <w:jc w:val="center"/>
              <w:rPr>
                <w:sz w:val="21"/>
              </w:rPr>
            </w:pPr>
            <w:r>
              <w:rPr>
                <w:sz w:val="21"/>
              </w:rPr>
              <w:t>总磷、总氮、</w:t>
            </w:r>
          </w:p>
        </w:tc>
        <w:tc>
          <w:tcPr>
            <w:tcW w:w="1448" w:type="dxa"/>
            <w:tcBorders>
              <w:top w:val="nil"/>
              <w:bottom w:val="nil"/>
            </w:tcBorders>
          </w:tcPr>
          <w:p w14:paraId="5C16ECC6">
            <w:pPr>
              <w:pStyle w:val="14"/>
              <w:rPr>
                <w:rFonts w:ascii="Times New Roman"/>
                <w:sz w:val="20"/>
              </w:rPr>
            </w:pPr>
          </w:p>
        </w:tc>
        <w:tc>
          <w:tcPr>
            <w:tcW w:w="2213" w:type="dxa"/>
            <w:tcBorders>
              <w:top w:val="nil"/>
              <w:bottom w:val="nil"/>
            </w:tcBorders>
          </w:tcPr>
          <w:p w14:paraId="2C940CE2">
            <w:pPr>
              <w:pStyle w:val="14"/>
              <w:spacing w:before="72" w:line="218" w:lineRule="exact"/>
              <w:ind w:left="141" w:right="132"/>
              <w:jc w:val="center"/>
              <w:rPr>
                <w:sz w:val="21"/>
              </w:rPr>
            </w:pPr>
            <w:r>
              <w:rPr>
                <w:sz w:val="21"/>
              </w:rPr>
              <w:t>排放时按日监测。若</w:t>
            </w:r>
          </w:p>
        </w:tc>
      </w:tr>
      <w:tr w14:paraId="5C606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38" w:type="dxa"/>
            <w:vMerge w:val="continue"/>
            <w:tcBorders>
              <w:top w:val="nil"/>
            </w:tcBorders>
          </w:tcPr>
          <w:p w14:paraId="1E661EB2">
            <w:pPr>
              <w:rPr>
                <w:sz w:val="2"/>
                <w:szCs w:val="2"/>
              </w:rPr>
            </w:pPr>
          </w:p>
        </w:tc>
        <w:tc>
          <w:tcPr>
            <w:tcW w:w="2185" w:type="dxa"/>
            <w:tcBorders>
              <w:top w:val="nil"/>
            </w:tcBorders>
          </w:tcPr>
          <w:p w14:paraId="43F2E53B">
            <w:pPr>
              <w:pStyle w:val="14"/>
              <w:rPr>
                <w:rFonts w:ascii="Times New Roman"/>
                <w:sz w:val="20"/>
              </w:rPr>
            </w:pPr>
          </w:p>
        </w:tc>
        <w:tc>
          <w:tcPr>
            <w:tcW w:w="2132" w:type="dxa"/>
            <w:tcBorders>
              <w:top w:val="nil"/>
            </w:tcBorders>
          </w:tcPr>
          <w:p w14:paraId="2CDBD29A">
            <w:pPr>
              <w:pStyle w:val="14"/>
              <w:spacing w:line="245" w:lineRule="exact"/>
              <w:ind w:left="99" w:right="92"/>
              <w:jc w:val="center"/>
              <w:rPr>
                <w:sz w:val="21"/>
              </w:rPr>
            </w:pPr>
            <w:r>
              <w:rPr>
                <w:rFonts w:ascii="Times New Roman" w:eastAsia="Times New Roman"/>
                <w:position w:val="1"/>
                <w:sz w:val="21"/>
              </w:rPr>
              <w:t>BOD</w:t>
            </w:r>
            <w:r>
              <w:rPr>
                <w:rFonts w:ascii="Times New Roman" w:eastAsia="Times New Roman"/>
                <w:position w:val="1"/>
                <w:sz w:val="21"/>
                <w:vertAlign w:val="subscript"/>
              </w:rPr>
              <w:t>5</w:t>
            </w:r>
            <w:r>
              <w:rPr>
                <w:position w:val="2"/>
                <w:sz w:val="21"/>
                <w:vertAlign w:val="baseline"/>
              </w:rPr>
              <w:t>、</w:t>
            </w:r>
            <w:r>
              <w:rPr>
                <w:rFonts w:ascii="Times New Roman" w:eastAsia="Times New Roman"/>
                <w:position w:val="1"/>
                <w:sz w:val="21"/>
                <w:vertAlign w:val="baseline"/>
              </w:rPr>
              <w:t>SS</w:t>
            </w:r>
            <w:r>
              <w:rPr>
                <w:position w:val="2"/>
                <w:sz w:val="21"/>
                <w:vertAlign w:val="baseline"/>
              </w:rPr>
              <w:t>、动植物</w:t>
            </w:r>
          </w:p>
          <w:p w14:paraId="764D3D7E">
            <w:pPr>
              <w:pStyle w:val="14"/>
              <w:spacing w:before="47" w:line="253" w:lineRule="exact"/>
              <w:ind w:left="99" w:right="92"/>
              <w:jc w:val="center"/>
              <w:rPr>
                <w:sz w:val="21"/>
              </w:rPr>
            </w:pPr>
            <w:r>
              <w:rPr>
                <w:sz w:val="21"/>
              </w:rPr>
              <w:t>油、大肠菌群数</w:t>
            </w:r>
          </w:p>
        </w:tc>
        <w:tc>
          <w:tcPr>
            <w:tcW w:w="1448" w:type="dxa"/>
            <w:tcBorders>
              <w:top w:val="nil"/>
            </w:tcBorders>
          </w:tcPr>
          <w:p w14:paraId="102A5289">
            <w:pPr>
              <w:pStyle w:val="14"/>
              <w:spacing w:line="242" w:lineRule="exact"/>
              <w:ind w:left="178" w:right="170"/>
              <w:jc w:val="center"/>
              <w:rPr>
                <w:sz w:val="21"/>
              </w:rPr>
            </w:pPr>
            <w:r>
              <w:rPr>
                <w:sz w:val="21"/>
              </w:rPr>
              <w:t>每季度一次</w:t>
            </w:r>
          </w:p>
        </w:tc>
        <w:tc>
          <w:tcPr>
            <w:tcW w:w="2213" w:type="dxa"/>
            <w:vMerge w:val="restart"/>
            <w:tcBorders>
              <w:top w:val="nil"/>
              <w:bottom w:val="nil"/>
            </w:tcBorders>
          </w:tcPr>
          <w:p w14:paraId="5FE8CA29">
            <w:pPr>
              <w:pStyle w:val="14"/>
              <w:spacing w:before="30" w:line="310" w:lineRule="atLeast"/>
              <w:ind w:left="161" w:right="150" w:firstLine="103"/>
              <w:rPr>
                <w:sz w:val="21"/>
              </w:rPr>
            </w:pPr>
            <w:r>
              <w:rPr>
                <w:sz w:val="21"/>
              </w:rPr>
              <w:t>监测一年无异常情</w:t>
            </w:r>
            <w:r>
              <w:rPr>
                <w:w w:val="95"/>
                <w:sz w:val="21"/>
              </w:rPr>
              <w:t>况，可放宽至每季度</w:t>
            </w:r>
          </w:p>
        </w:tc>
      </w:tr>
      <w:tr w14:paraId="21FF2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 w:hRule="atLeast"/>
        </w:trPr>
        <w:tc>
          <w:tcPr>
            <w:tcW w:w="538" w:type="dxa"/>
            <w:vMerge w:val="continue"/>
            <w:tcBorders>
              <w:top w:val="nil"/>
            </w:tcBorders>
          </w:tcPr>
          <w:p w14:paraId="326E50DA">
            <w:pPr>
              <w:rPr>
                <w:sz w:val="2"/>
                <w:szCs w:val="2"/>
              </w:rPr>
            </w:pPr>
          </w:p>
        </w:tc>
        <w:tc>
          <w:tcPr>
            <w:tcW w:w="2185" w:type="dxa"/>
            <w:vMerge w:val="restart"/>
          </w:tcPr>
          <w:p w14:paraId="0680F56D">
            <w:pPr>
              <w:pStyle w:val="14"/>
              <w:spacing w:before="175"/>
              <w:ind w:left="274"/>
              <w:rPr>
                <w:rFonts w:ascii="Times New Roman" w:eastAsia="Times New Roman"/>
                <w:sz w:val="21"/>
              </w:rPr>
            </w:pPr>
            <w:r>
              <w:rPr>
                <w:sz w:val="21"/>
              </w:rPr>
              <w:t>雨水排放口</w:t>
            </w:r>
            <w:r>
              <w:rPr>
                <w:rFonts w:ascii="Times New Roman" w:eastAsia="Times New Roman"/>
                <w:sz w:val="21"/>
              </w:rPr>
              <w:t>YS001</w:t>
            </w:r>
          </w:p>
        </w:tc>
        <w:tc>
          <w:tcPr>
            <w:tcW w:w="2132" w:type="dxa"/>
            <w:vMerge w:val="restart"/>
          </w:tcPr>
          <w:p w14:paraId="052B5291">
            <w:pPr>
              <w:pStyle w:val="14"/>
              <w:spacing w:before="172"/>
              <w:ind w:left="554"/>
              <w:rPr>
                <w:rFonts w:ascii="Times New Roman" w:eastAsia="Times New Roman"/>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SS</w:t>
            </w:r>
          </w:p>
        </w:tc>
        <w:tc>
          <w:tcPr>
            <w:tcW w:w="1448" w:type="dxa"/>
            <w:tcBorders>
              <w:bottom w:val="nil"/>
            </w:tcBorders>
          </w:tcPr>
          <w:p w14:paraId="31E0E811">
            <w:pPr>
              <w:pStyle w:val="14"/>
              <w:rPr>
                <w:rFonts w:ascii="Times New Roman"/>
                <w:sz w:val="4"/>
              </w:rPr>
            </w:pPr>
          </w:p>
        </w:tc>
        <w:tc>
          <w:tcPr>
            <w:tcW w:w="2213" w:type="dxa"/>
            <w:vMerge w:val="continue"/>
            <w:tcBorders>
              <w:top w:val="nil"/>
              <w:bottom w:val="nil"/>
            </w:tcBorders>
          </w:tcPr>
          <w:p w14:paraId="4E9BBFAE">
            <w:pPr>
              <w:rPr>
                <w:sz w:val="2"/>
                <w:szCs w:val="2"/>
              </w:rPr>
            </w:pPr>
          </w:p>
        </w:tc>
      </w:tr>
      <w:tr w14:paraId="4EF6B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38" w:type="dxa"/>
            <w:vMerge w:val="continue"/>
            <w:tcBorders>
              <w:top w:val="nil"/>
            </w:tcBorders>
          </w:tcPr>
          <w:p w14:paraId="7DEF7369">
            <w:pPr>
              <w:rPr>
                <w:sz w:val="2"/>
                <w:szCs w:val="2"/>
              </w:rPr>
            </w:pPr>
          </w:p>
        </w:tc>
        <w:tc>
          <w:tcPr>
            <w:tcW w:w="2185" w:type="dxa"/>
            <w:vMerge w:val="continue"/>
            <w:tcBorders>
              <w:top w:val="nil"/>
            </w:tcBorders>
          </w:tcPr>
          <w:p w14:paraId="1D5A8FE6">
            <w:pPr>
              <w:rPr>
                <w:sz w:val="2"/>
                <w:szCs w:val="2"/>
              </w:rPr>
            </w:pPr>
          </w:p>
        </w:tc>
        <w:tc>
          <w:tcPr>
            <w:tcW w:w="2132" w:type="dxa"/>
            <w:vMerge w:val="continue"/>
            <w:tcBorders>
              <w:top w:val="nil"/>
            </w:tcBorders>
          </w:tcPr>
          <w:p w14:paraId="4A9882CD">
            <w:pPr>
              <w:rPr>
                <w:sz w:val="2"/>
                <w:szCs w:val="2"/>
              </w:rPr>
            </w:pPr>
          </w:p>
        </w:tc>
        <w:tc>
          <w:tcPr>
            <w:tcW w:w="1448" w:type="dxa"/>
            <w:tcBorders>
              <w:top w:val="nil"/>
            </w:tcBorders>
          </w:tcPr>
          <w:p w14:paraId="54BF2CDD">
            <w:pPr>
              <w:pStyle w:val="14"/>
              <w:spacing w:before="63"/>
              <w:ind w:left="178" w:right="170"/>
              <w:jc w:val="center"/>
              <w:rPr>
                <w:sz w:val="21"/>
              </w:rPr>
            </w:pPr>
            <w:r>
              <w:rPr>
                <w:sz w:val="21"/>
              </w:rPr>
              <w:t>每日一次</w:t>
            </w:r>
          </w:p>
        </w:tc>
        <w:tc>
          <w:tcPr>
            <w:tcW w:w="2213" w:type="dxa"/>
            <w:tcBorders>
              <w:top w:val="nil"/>
              <w:bottom w:val="nil"/>
            </w:tcBorders>
          </w:tcPr>
          <w:p w14:paraId="60354F89">
            <w:pPr>
              <w:pStyle w:val="14"/>
              <w:spacing w:before="19"/>
              <w:ind w:left="139" w:right="132"/>
              <w:jc w:val="center"/>
              <w:rPr>
                <w:sz w:val="21"/>
              </w:rPr>
            </w:pPr>
            <w:r>
              <w:rPr>
                <w:sz w:val="21"/>
              </w:rPr>
              <w:t>开展一次监测</w:t>
            </w:r>
          </w:p>
        </w:tc>
      </w:tr>
      <w:tr w14:paraId="410DD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38" w:type="dxa"/>
          </w:tcPr>
          <w:p w14:paraId="2A73553A">
            <w:pPr>
              <w:pStyle w:val="14"/>
              <w:spacing w:before="3" w:line="316" w:lineRule="exact"/>
              <w:ind w:left="164" w:right="152"/>
              <w:rPr>
                <w:sz w:val="21"/>
              </w:rPr>
            </w:pPr>
            <w:r>
              <w:rPr>
                <w:sz w:val="21"/>
              </w:rPr>
              <w:t>噪声</w:t>
            </w:r>
          </w:p>
        </w:tc>
        <w:tc>
          <w:tcPr>
            <w:tcW w:w="2185" w:type="dxa"/>
          </w:tcPr>
          <w:p w14:paraId="7D79F106">
            <w:pPr>
              <w:pStyle w:val="14"/>
              <w:spacing w:before="12"/>
              <w:rPr>
                <w:b/>
                <w:sz w:val="15"/>
              </w:rPr>
            </w:pPr>
          </w:p>
          <w:p w14:paraId="3D435F09">
            <w:pPr>
              <w:pStyle w:val="14"/>
              <w:ind w:left="104" w:right="100"/>
              <w:jc w:val="center"/>
              <w:rPr>
                <w:sz w:val="21"/>
              </w:rPr>
            </w:pPr>
            <w:r>
              <w:rPr>
                <w:sz w:val="21"/>
              </w:rPr>
              <w:t>厂界四周</w:t>
            </w:r>
          </w:p>
        </w:tc>
        <w:tc>
          <w:tcPr>
            <w:tcW w:w="2132" w:type="dxa"/>
          </w:tcPr>
          <w:p w14:paraId="41D6FE7A">
            <w:pPr>
              <w:pStyle w:val="14"/>
              <w:spacing w:before="12"/>
              <w:rPr>
                <w:b/>
                <w:sz w:val="15"/>
              </w:rPr>
            </w:pPr>
          </w:p>
          <w:p w14:paraId="32C73588">
            <w:pPr>
              <w:pStyle w:val="14"/>
              <w:ind w:left="99" w:right="90"/>
              <w:jc w:val="center"/>
              <w:rPr>
                <w:sz w:val="21"/>
              </w:rPr>
            </w:pPr>
            <w:r>
              <w:rPr>
                <w:rFonts w:ascii="Times New Roman" w:eastAsia="Times New Roman"/>
                <w:sz w:val="21"/>
              </w:rPr>
              <w:t>Leq</w:t>
            </w:r>
            <w:r>
              <w:rPr>
                <w:sz w:val="21"/>
              </w:rPr>
              <w:t>（</w:t>
            </w:r>
            <w:r>
              <w:rPr>
                <w:rFonts w:ascii="Times New Roman" w:eastAsia="Times New Roman"/>
                <w:sz w:val="21"/>
              </w:rPr>
              <w:t>A</w:t>
            </w:r>
            <w:r>
              <w:rPr>
                <w:sz w:val="21"/>
              </w:rPr>
              <w:t>）</w:t>
            </w:r>
          </w:p>
        </w:tc>
        <w:tc>
          <w:tcPr>
            <w:tcW w:w="1448" w:type="dxa"/>
          </w:tcPr>
          <w:p w14:paraId="3533CDA1">
            <w:pPr>
              <w:pStyle w:val="14"/>
              <w:spacing w:before="12"/>
              <w:rPr>
                <w:b/>
                <w:sz w:val="15"/>
              </w:rPr>
            </w:pPr>
          </w:p>
          <w:p w14:paraId="25954FE0">
            <w:pPr>
              <w:pStyle w:val="14"/>
              <w:ind w:left="178" w:right="170"/>
              <w:jc w:val="center"/>
              <w:rPr>
                <w:sz w:val="21"/>
              </w:rPr>
            </w:pPr>
            <w:r>
              <w:rPr>
                <w:sz w:val="21"/>
              </w:rPr>
              <w:t>每季度一次</w:t>
            </w:r>
          </w:p>
        </w:tc>
        <w:tc>
          <w:tcPr>
            <w:tcW w:w="2213" w:type="dxa"/>
            <w:tcBorders>
              <w:top w:val="nil"/>
            </w:tcBorders>
          </w:tcPr>
          <w:p w14:paraId="3EB232DA">
            <w:pPr>
              <w:pStyle w:val="14"/>
              <w:rPr>
                <w:rFonts w:ascii="Times New Roman"/>
                <w:sz w:val="20"/>
              </w:rPr>
            </w:pPr>
          </w:p>
        </w:tc>
      </w:tr>
    </w:tbl>
    <w:p w14:paraId="40E98A32">
      <w:pPr>
        <w:pStyle w:val="6"/>
        <w:numPr>
          <w:ilvl w:val="2"/>
          <w:numId w:val="35"/>
        </w:numPr>
        <w:tabs>
          <w:tab w:val="left" w:pos="813"/>
        </w:tabs>
        <w:spacing w:before="1" w:after="0" w:line="240" w:lineRule="auto"/>
        <w:ind w:left="812" w:right="0" w:hanging="530"/>
        <w:jc w:val="left"/>
      </w:pPr>
      <w:bookmarkStart w:id="344" w:name="9.2.3监测报告制度"/>
      <w:bookmarkEnd w:id="344"/>
      <w:bookmarkStart w:id="345" w:name="9.2.3监测报告制度"/>
      <w:bookmarkEnd w:id="345"/>
      <w:r>
        <w:t>监测报告制度</w:t>
      </w:r>
    </w:p>
    <w:p w14:paraId="3527E3AA">
      <w:pPr>
        <w:pStyle w:val="7"/>
        <w:spacing w:before="158"/>
        <w:ind w:left="762"/>
      </w:pPr>
      <w:r>
        <w:t>在环境监测和管理中，应建立如下文件档案：</w:t>
      </w:r>
    </w:p>
    <w:p w14:paraId="7BEA1394">
      <w:pPr>
        <w:pStyle w:val="7"/>
        <w:spacing w:before="161"/>
        <w:ind w:left="762"/>
      </w:pPr>
      <w:r>
        <w:t>（</w:t>
      </w:r>
      <w:r>
        <w:rPr>
          <w:rFonts w:ascii="Times New Roman" w:eastAsia="Times New Roman"/>
        </w:rPr>
        <w:t>1</w:t>
      </w:r>
      <w:r>
        <w:t>）污染源的监测记录技术文件；</w:t>
      </w:r>
    </w:p>
    <w:p w14:paraId="5F6C76E7">
      <w:pPr>
        <w:pStyle w:val="7"/>
        <w:spacing w:before="160"/>
        <w:ind w:left="762"/>
      </w:pPr>
      <w:r>
        <w:t>（</w:t>
      </w:r>
      <w:r>
        <w:rPr>
          <w:rFonts w:ascii="Times New Roman" w:eastAsia="Times New Roman"/>
        </w:rPr>
        <w:t>2</w:t>
      </w:r>
      <w:r>
        <w:t>）污染控制、环境保护治理设施的设计和运行管理文件；</w:t>
      </w:r>
    </w:p>
    <w:p w14:paraId="4079AED1">
      <w:pPr>
        <w:pStyle w:val="7"/>
        <w:spacing w:before="158"/>
        <w:ind w:left="762"/>
      </w:pPr>
      <w:r>
        <w:t>（</w:t>
      </w:r>
      <w:r>
        <w:rPr>
          <w:rFonts w:ascii="Times New Roman" w:eastAsia="Times New Roman"/>
        </w:rPr>
        <w:t>3</w:t>
      </w:r>
      <w:r>
        <w:t>）所有导致污染事件的分析报告和监测数据资料；</w:t>
      </w:r>
    </w:p>
    <w:p w14:paraId="3626A9FB">
      <w:pPr>
        <w:pStyle w:val="7"/>
        <w:spacing w:before="161" w:line="364" w:lineRule="auto"/>
        <w:ind w:left="282" w:right="280" w:firstLine="480"/>
        <w:jc w:val="both"/>
      </w:pPr>
      <w:r>
        <w:t>（</w:t>
      </w:r>
      <w:r>
        <w:rPr>
          <w:rFonts w:ascii="Times New Roman" w:hAnsi="Times New Roman" w:eastAsia="Times New Roman"/>
        </w:rPr>
        <w:t>4</w:t>
      </w:r>
      <w:r>
        <w:t>）按规定建立健全下列技术资料档案及系统图表：当地气象资料；污染防治设施及技术改进资料；污染源调查等技术档案、环境监测及评价资料、污染指标考核资料；监测仪器使用说明书及校验证书；企业内部污染事故的记实材料；“三废”排放系统图；“三废”排放采样监测点及噪声监测点布置图； 企业内部污染物排放动态图表。</w:t>
      </w:r>
    </w:p>
    <w:p w14:paraId="6E225BED">
      <w:pPr>
        <w:pStyle w:val="7"/>
        <w:spacing w:line="364" w:lineRule="auto"/>
        <w:ind w:left="282" w:right="280" w:firstLine="480"/>
        <w:jc w:val="both"/>
      </w:pPr>
      <w:r>
        <w:t>（</w:t>
      </w:r>
      <w:r>
        <w:rPr>
          <w:rFonts w:ascii="Times New Roman" w:eastAsia="Times New Roman"/>
        </w:rPr>
        <w:t>5</w:t>
      </w:r>
      <w:r>
        <w:t>）每次监测完毕，应及时整理数据编写报告，作为企业环境监测档案， 并按上级主管部门的要求，按季、年分析报告及时上报岳阳市生态环境局岳阳县分局。</w:t>
      </w:r>
    </w:p>
    <w:p w14:paraId="19229A52">
      <w:pPr>
        <w:spacing w:after="0" w:line="364" w:lineRule="auto"/>
        <w:jc w:val="both"/>
        <w:sectPr>
          <w:pgSz w:w="11910" w:h="16840"/>
          <w:pgMar w:top="1360" w:right="1520" w:bottom="1400" w:left="1520" w:header="878" w:footer="1204" w:gutter="0"/>
          <w:cols w:space="720" w:num="1"/>
        </w:sectPr>
      </w:pPr>
    </w:p>
    <w:p w14:paraId="23F41717">
      <w:pPr>
        <w:pStyle w:val="3"/>
        <w:spacing w:before="64"/>
        <w:ind w:left="282" w:firstLine="0"/>
      </w:pPr>
      <w:bookmarkStart w:id="346" w:name="9.3污染物排放总量控制"/>
      <w:bookmarkEnd w:id="346"/>
      <w:bookmarkStart w:id="347" w:name="_bookmark48"/>
      <w:bookmarkEnd w:id="347"/>
      <w:r>
        <w:rPr>
          <w:rFonts w:ascii="Times New Roman" w:eastAsia="Times New Roman"/>
        </w:rPr>
        <w:t xml:space="preserve">9.3 </w:t>
      </w:r>
      <w:r>
        <w:t>污染物排放总量控制</w:t>
      </w:r>
    </w:p>
    <w:p w14:paraId="7D8BE690">
      <w:pPr>
        <w:pStyle w:val="7"/>
        <w:spacing w:before="186" w:line="364" w:lineRule="auto"/>
        <w:ind w:left="282" w:right="282" w:firstLine="480"/>
        <w:jc w:val="both"/>
      </w:pPr>
      <w:r>
        <w:t>《建设项目环境保护管理条例》中第三条规定：“建设产生污染的建设项目，必须遵守污染物排放的国家和地方标准；在实施重点污染物排放总量控制的区域内，还必须符合重点污染物排放总量控制的要求”。因此总量控制的目的就是为了有效地保护和改善环境质量，保证经济建设和环境保护协调发展， 使环境质量不因经济发展而随之恶化，并逐步改善。</w:t>
      </w:r>
    </w:p>
    <w:p w14:paraId="4E1A7BFE">
      <w:pPr>
        <w:pStyle w:val="7"/>
        <w:spacing w:line="364" w:lineRule="auto"/>
        <w:ind w:left="282" w:right="280" w:firstLine="480"/>
        <w:jc w:val="both"/>
      </w:pPr>
      <w:r>
        <w:t>根据湖南省人民政府办公厅关于印发《湖南省主要污染物排污权有偿使用和交易管理办法》的通知湘政办发〔</w:t>
      </w:r>
      <w:r>
        <w:rPr>
          <w:rFonts w:ascii="Times New Roman" w:eastAsia="Times New Roman"/>
        </w:rPr>
        <w:t>2022</w:t>
      </w:r>
      <w:r>
        <w:t>〕</w:t>
      </w:r>
      <w:r>
        <w:rPr>
          <w:rFonts w:ascii="Times New Roman" w:eastAsia="Times New Roman"/>
        </w:rPr>
        <w:t xml:space="preserve">23 </w:t>
      </w:r>
      <w:r>
        <w:t>号，目前湖南省主要对化学需氧量、氨氮、二氧化硫、氮氧化物、铅、镉、砷、汞、铬、挥发性有机物、总磷等十一项主要污染物实行排放总量控制计划管理。</w:t>
      </w:r>
    </w:p>
    <w:p w14:paraId="3A537395">
      <w:pPr>
        <w:spacing w:before="0" w:line="362" w:lineRule="auto"/>
        <w:ind w:left="282" w:right="281" w:firstLine="480"/>
        <w:jc w:val="both"/>
        <w:rPr>
          <w:b/>
          <w:sz w:val="24"/>
        </w:rPr>
      </w:pPr>
      <w:r>
        <w:rPr>
          <w:spacing w:val="-2"/>
          <w:sz w:val="24"/>
        </w:rPr>
        <w:t xml:space="preserve">本项目锅炉采用成型生物质颗粒作为燃料，年燃烧天然气量为 </w:t>
      </w:r>
      <w:r>
        <w:rPr>
          <w:rFonts w:ascii="Times New Roman" w:eastAsia="Times New Roman"/>
          <w:sz w:val="24"/>
        </w:rPr>
        <w:t xml:space="preserve">25 </w:t>
      </w:r>
      <w:r>
        <w:rPr>
          <w:spacing w:val="-28"/>
          <w:sz w:val="24"/>
        </w:rPr>
        <w:t xml:space="preserve">万 </w:t>
      </w:r>
      <w:r>
        <w:rPr>
          <w:rFonts w:ascii="Times New Roman" w:eastAsia="Times New Roman"/>
          <w:sz w:val="24"/>
        </w:rPr>
        <w:t>m</w:t>
      </w:r>
      <w:r>
        <w:rPr>
          <w:rFonts w:ascii="Times New Roman" w:eastAsia="Times New Roman"/>
          <w:position w:val="8"/>
          <w:sz w:val="15"/>
        </w:rPr>
        <w:t>3</w:t>
      </w:r>
      <w:r>
        <w:rPr>
          <w:rFonts w:ascii="Times New Roman" w:eastAsia="Times New Roman"/>
          <w:sz w:val="24"/>
        </w:rPr>
        <w:t>/a</w:t>
      </w:r>
      <w:r>
        <w:rPr>
          <w:sz w:val="24"/>
        </w:rPr>
        <w:t>， 天然气燃烧过程中会产生二氧化硫及氮氧化物，本项目营运期二氧化硫及氮氧</w:t>
      </w:r>
      <w:r>
        <w:rPr>
          <w:spacing w:val="2"/>
          <w:position w:val="2"/>
          <w:sz w:val="24"/>
        </w:rPr>
        <w:t xml:space="preserve">化物年排放量分别为 </w:t>
      </w:r>
      <w:r>
        <w:rPr>
          <w:rFonts w:ascii="Times New Roman" w:eastAsia="Times New Roman"/>
          <w:position w:val="2"/>
          <w:sz w:val="24"/>
        </w:rPr>
        <w:t>SO</w:t>
      </w:r>
      <w:r>
        <w:rPr>
          <w:rFonts w:ascii="Times New Roman" w:eastAsia="Times New Roman"/>
          <w:position w:val="2"/>
          <w:sz w:val="24"/>
          <w:vertAlign w:val="subscript"/>
        </w:rPr>
        <w:t>2</w:t>
      </w:r>
      <w:r>
        <w:rPr>
          <w:position w:val="2"/>
          <w:sz w:val="24"/>
          <w:vertAlign w:val="baseline"/>
        </w:rPr>
        <w:t>：</w:t>
      </w:r>
      <w:r>
        <w:rPr>
          <w:rFonts w:ascii="Times New Roman" w:eastAsia="Times New Roman"/>
          <w:position w:val="2"/>
          <w:sz w:val="24"/>
          <w:vertAlign w:val="baseline"/>
        </w:rPr>
        <w:t>0.01t/a</w:t>
      </w:r>
      <w:r>
        <w:rPr>
          <w:spacing w:val="5"/>
          <w:position w:val="2"/>
          <w:sz w:val="24"/>
          <w:vertAlign w:val="baseline"/>
        </w:rPr>
        <w:t>、</w:t>
      </w:r>
      <w:r>
        <w:rPr>
          <w:rFonts w:ascii="Times New Roman" w:eastAsia="Times New Roman"/>
          <w:position w:val="2"/>
          <w:sz w:val="24"/>
          <w:vertAlign w:val="baseline"/>
        </w:rPr>
        <w:t>NO</w:t>
      </w:r>
      <w:r>
        <w:rPr>
          <w:rFonts w:ascii="Times New Roman" w:eastAsia="Times New Roman"/>
          <w:position w:val="2"/>
          <w:sz w:val="24"/>
          <w:vertAlign w:val="subscript"/>
        </w:rPr>
        <w:t>X</w:t>
      </w:r>
      <w:r>
        <w:rPr>
          <w:position w:val="2"/>
          <w:sz w:val="24"/>
          <w:vertAlign w:val="baseline"/>
        </w:rPr>
        <w:t>：</w:t>
      </w:r>
      <w:r>
        <w:rPr>
          <w:rFonts w:ascii="Times New Roman" w:eastAsia="Times New Roman"/>
          <w:position w:val="2"/>
          <w:sz w:val="24"/>
          <w:vertAlign w:val="baseline"/>
        </w:rPr>
        <w:t>0.174t/a</w:t>
      </w:r>
      <w:r>
        <w:rPr>
          <w:spacing w:val="5"/>
          <w:position w:val="2"/>
          <w:sz w:val="24"/>
          <w:vertAlign w:val="baseline"/>
        </w:rPr>
        <w:t>。因此，</w:t>
      </w:r>
      <w:r>
        <w:rPr>
          <w:b/>
          <w:spacing w:val="5"/>
          <w:position w:val="2"/>
          <w:sz w:val="24"/>
          <w:vertAlign w:val="baseline"/>
        </w:rPr>
        <w:t>大气污染物总量控</w:t>
      </w:r>
      <w:r>
        <w:rPr>
          <w:b/>
          <w:spacing w:val="-9"/>
          <w:position w:val="2"/>
          <w:sz w:val="24"/>
          <w:vertAlign w:val="baseline"/>
        </w:rPr>
        <w:t xml:space="preserve">制指标为 </w:t>
      </w:r>
      <w:r>
        <w:rPr>
          <w:rFonts w:ascii="Times New Roman" w:eastAsia="Times New Roman"/>
          <w:b/>
          <w:position w:val="2"/>
          <w:sz w:val="24"/>
          <w:vertAlign w:val="baseline"/>
        </w:rPr>
        <w:t>SO</w:t>
      </w:r>
      <w:r>
        <w:rPr>
          <w:rFonts w:ascii="Times New Roman" w:eastAsia="Times New Roman"/>
          <w:b/>
          <w:position w:val="2"/>
          <w:sz w:val="24"/>
          <w:vertAlign w:val="subscript"/>
        </w:rPr>
        <w:t>2</w:t>
      </w:r>
      <w:r>
        <w:rPr>
          <w:b/>
          <w:position w:val="2"/>
          <w:sz w:val="24"/>
          <w:vertAlign w:val="baseline"/>
        </w:rPr>
        <w:t>：</w:t>
      </w:r>
      <w:r>
        <w:rPr>
          <w:rFonts w:ascii="Times New Roman" w:eastAsia="Times New Roman"/>
          <w:b/>
          <w:position w:val="2"/>
          <w:sz w:val="24"/>
          <w:vertAlign w:val="baseline"/>
        </w:rPr>
        <w:t>0.1t/a</w:t>
      </w:r>
      <w:r>
        <w:rPr>
          <w:b/>
          <w:position w:val="2"/>
          <w:sz w:val="24"/>
          <w:vertAlign w:val="baseline"/>
        </w:rPr>
        <w:t>、</w:t>
      </w:r>
      <w:r>
        <w:rPr>
          <w:rFonts w:ascii="Times New Roman" w:eastAsia="Times New Roman"/>
          <w:b/>
          <w:position w:val="2"/>
          <w:sz w:val="24"/>
          <w:vertAlign w:val="baseline"/>
        </w:rPr>
        <w:t>NO</w:t>
      </w:r>
      <w:r>
        <w:rPr>
          <w:rFonts w:ascii="Times New Roman" w:eastAsia="Times New Roman"/>
          <w:b/>
          <w:position w:val="2"/>
          <w:sz w:val="24"/>
          <w:vertAlign w:val="subscript"/>
        </w:rPr>
        <w:t>X</w:t>
      </w:r>
      <w:r>
        <w:rPr>
          <w:b/>
          <w:position w:val="2"/>
          <w:sz w:val="24"/>
          <w:vertAlign w:val="baseline"/>
        </w:rPr>
        <w:t>：</w:t>
      </w:r>
      <w:r>
        <w:rPr>
          <w:rFonts w:ascii="Times New Roman" w:eastAsia="Times New Roman"/>
          <w:b/>
          <w:position w:val="2"/>
          <w:sz w:val="24"/>
          <w:vertAlign w:val="baseline"/>
        </w:rPr>
        <w:t>0.2t/a</w:t>
      </w:r>
      <w:r>
        <w:rPr>
          <w:b/>
          <w:position w:val="2"/>
          <w:sz w:val="24"/>
          <w:vertAlign w:val="baseline"/>
        </w:rPr>
        <w:t>。</w:t>
      </w:r>
    </w:p>
    <w:p w14:paraId="7A9D653F">
      <w:pPr>
        <w:spacing w:before="0" w:line="364" w:lineRule="auto"/>
        <w:ind w:left="282" w:right="282" w:firstLine="480"/>
        <w:jc w:val="both"/>
        <w:rPr>
          <w:b/>
          <w:sz w:val="24"/>
        </w:rPr>
      </w:pPr>
      <w:r>
        <w:rPr>
          <w:sz w:val="24"/>
        </w:rPr>
        <w:t>项目排放废水，总量控制指标为化学需氧量、氨氮、总磷、总氮。根据项</w:t>
      </w:r>
      <w:r>
        <w:rPr>
          <w:spacing w:val="-4"/>
          <w:sz w:val="24"/>
        </w:rPr>
        <w:t xml:space="preserve">目外排废水总量为 </w:t>
      </w:r>
      <w:r>
        <w:rPr>
          <w:rFonts w:ascii="Times New Roman" w:eastAsia="Times New Roman"/>
          <w:sz w:val="24"/>
        </w:rPr>
        <w:t>196806m</w:t>
      </w:r>
      <w:r>
        <w:rPr>
          <w:rFonts w:ascii="Times New Roman" w:eastAsia="Times New Roman"/>
          <w:position w:val="8"/>
          <w:sz w:val="15"/>
        </w:rPr>
        <w:t>3</w:t>
      </w:r>
      <w:r>
        <w:rPr>
          <w:rFonts w:ascii="Times New Roman" w:eastAsia="Times New Roman"/>
          <w:sz w:val="24"/>
        </w:rPr>
        <w:t>/a</w:t>
      </w:r>
      <w:r>
        <w:rPr>
          <w:sz w:val="24"/>
        </w:rPr>
        <w:t>，排入岳阳县污水处理厂处理达标后再外排新墙</w:t>
      </w:r>
      <w:r>
        <w:rPr>
          <w:spacing w:val="11"/>
          <w:sz w:val="24"/>
        </w:rPr>
        <w:t>河， 最终排入环境的</w:t>
      </w:r>
      <w:r>
        <w:rPr>
          <w:b/>
          <w:spacing w:val="17"/>
          <w:sz w:val="24"/>
        </w:rPr>
        <w:t xml:space="preserve">废水污染物总量 </w:t>
      </w:r>
      <w:r>
        <w:rPr>
          <w:rFonts w:ascii="Times New Roman" w:eastAsia="Times New Roman"/>
          <w:b/>
          <w:sz w:val="24"/>
        </w:rPr>
        <w:t>COD</w:t>
      </w:r>
      <w:r>
        <w:rPr>
          <w:rFonts w:ascii="Times New Roman" w:eastAsia="Times New Roman"/>
          <w:b/>
          <w:spacing w:val="-31"/>
          <w:sz w:val="24"/>
        </w:rPr>
        <w:t xml:space="preserve"> </w:t>
      </w:r>
      <w:r>
        <w:rPr>
          <w:b/>
          <w:spacing w:val="-46"/>
          <w:sz w:val="24"/>
        </w:rPr>
        <w:t xml:space="preserve">： </w:t>
      </w:r>
      <w:r>
        <w:rPr>
          <w:rFonts w:ascii="Times New Roman" w:eastAsia="Times New Roman"/>
          <w:b/>
          <w:sz w:val="24"/>
        </w:rPr>
        <w:t>9.9t/a</w:t>
      </w:r>
      <w:r>
        <w:rPr>
          <w:rFonts w:ascii="Times New Roman" w:eastAsia="Times New Roman"/>
          <w:b/>
          <w:spacing w:val="-29"/>
          <w:sz w:val="24"/>
        </w:rPr>
        <w:t xml:space="preserve"> </w:t>
      </w:r>
      <w:r>
        <w:rPr>
          <w:b/>
          <w:spacing w:val="-22"/>
          <w:sz w:val="24"/>
        </w:rPr>
        <w:t xml:space="preserve">， 氨氮： </w:t>
      </w:r>
      <w:r>
        <w:rPr>
          <w:rFonts w:ascii="Times New Roman" w:eastAsia="Times New Roman"/>
          <w:b/>
          <w:sz w:val="24"/>
        </w:rPr>
        <w:t>1.6t/a</w:t>
      </w:r>
      <w:r>
        <w:rPr>
          <w:rFonts w:ascii="Times New Roman" w:eastAsia="Times New Roman"/>
          <w:b/>
          <w:spacing w:val="-29"/>
          <w:sz w:val="24"/>
        </w:rPr>
        <w:t xml:space="preserve"> </w:t>
      </w:r>
      <w:r>
        <w:rPr>
          <w:b/>
          <w:spacing w:val="-15"/>
          <w:sz w:val="24"/>
        </w:rPr>
        <w:t>， 总磷</w:t>
      </w:r>
    </w:p>
    <w:p w14:paraId="50223969">
      <w:pPr>
        <w:spacing w:before="0" w:line="362" w:lineRule="auto"/>
        <w:ind w:left="282" w:right="282" w:firstLine="0"/>
        <w:jc w:val="left"/>
        <w:rPr>
          <w:sz w:val="24"/>
        </w:rPr>
      </w:pPr>
      <w:r>
        <w:rPr>
          <w:rFonts w:ascii="Times New Roman" w:eastAsia="Times New Roman"/>
          <w:b/>
          <w:sz w:val="24"/>
        </w:rPr>
        <w:t>0.2t/a</w:t>
      </w:r>
      <w:r>
        <w:rPr>
          <w:b/>
          <w:sz w:val="24"/>
        </w:rPr>
        <w:t xml:space="preserve">，总氮 </w:t>
      </w:r>
      <w:r>
        <w:rPr>
          <w:rFonts w:ascii="Times New Roman" w:eastAsia="Times New Roman"/>
          <w:b/>
          <w:sz w:val="24"/>
        </w:rPr>
        <w:t>3t/a</w:t>
      </w:r>
      <w:r>
        <w:rPr>
          <w:b/>
          <w:sz w:val="24"/>
        </w:rPr>
        <w:t>（按污水处理厂达标排放浓度核算，余进一保留一位小数）。</w:t>
      </w:r>
      <w:r>
        <w:rPr>
          <w:sz w:val="24"/>
        </w:rPr>
        <w:t>本项目废水污染物的排放总量指标纳入岳阳县污水处理厂总量控制指标。</w:t>
      </w:r>
    </w:p>
    <w:p w14:paraId="30DCB74F">
      <w:pPr>
        <w:pStyle w:val="7"/>
        <w:spacing w:before="1"/>
        <w:ind w:left="762"/>
      </w:pPr>
      <w:r>
        <w:t>本项目废气、废水总量控制指标均需通过排污权交易购买。</w:t>
      </w:r>
    </w:p>
    <w:p w14:paraId="22AE8A05">
      <w:pPr>
        <w:pStyle w:val="3"/>
        <w:numPr>
          <w:ilvl w:val="1"/>
          <w:numId w:val="36"/>
        </w:numPr>
        <w:tabs>
          <w:tab w:val="left" w:pos="693"/>
        </w:tabs>
        <w:spacing w:before="159" w:after="0" w:line="240" w:lineRule="auto"/>
        <w:ind w:left="692" w:right="0" w:hanging="410"/>
        <w:jc w:val="left"/>
      </w:pPr>
      <w:bookmarkStart w:id="348" w:name="9.4排污口规范化管理"/>
      <w:bookmarkEnd w:id="348"/>
      <w:bookmarkStart w:id="349" w:name="_bookmark49"/>
      <w:bookmarkEnd w:id="349"/>
      <w:bookmarkStart w:id="350" w:name="_bookmark49"/>
      <w:bookmarkEnd w:id="350"/>
      <w:r>
        <w:t>排污口规范化管理</w:t>
      </w:r>
    </w:p>
    <w:p w14:paraId="26956766">
      <w:pPr>
        <w:pStyle w:val="6"/>
        <w:numPr>
          <w:ilvl w:val="2"/>
          <w:numId w:val="36"/>
        </w:numPr>
        <w:tabs>
          <w:tab w:val="left" w:pos="813"/>
        </w:tabs>
        <w:spacing w:before="185" w:after="0" w:line="240" w:lineRule="auto"/>
        <w:ind w:left="812" w:right="0" w:hanging="530"/>
        <w:jc w:val="left"/>
      </w:pPr>
      <w:bookmarkStart w:id="351" w:name="9.4.1排污口管理"/>
      <w:bookmarkEnd w:id="351"/>
      <w:bookmarkStart w:id="352" w:name="9.4.1排污口管理"/>
      <w:bookmarkEnd w:id="352"/>
      <w:r>
        <w:t>排污口管理</w:t>
      </w:r>
    </w:p>
    <w:p w14:paraId="34680AB8">
      <w:pPr>
        <w:pStyle w:val="7"/>
        <w:spacing w:before="160" w:line="364" w:lineRule="auto"/>
        <w:ind w:left="282" w:right="282" w:firstLine="480"/>
        <w:jc w:val="both"/>
      </w:pPr>
      <w:r>
        <w:t>排污口是企业污染物进入环境的通道，做好排污口管理是实施污染物总量控制和达标排放的基础工作之一，必须实行规范化管理。根据国家环境保护总局《关于开展排放口规范化整治工作的通知》环发</w:t>
      </w:r>
      <w:r>
        <w:rPr>
          <w:rFonts w:ascii="Times New Roman" w:hAnsi="Times New Roman" w:eastAsia="Times New Roman"/>
        </w:rPr>
        <w:t xml:space="preserve">[1999]24 </w:t>
      </w:r>
      <w:r>
        <w:t>号文件的规定，一切新建、扩建、改建的排污单位必须在建设污染治理设施的同时建设规范化排污口，作为落实环境保护“三同时”制度的必要组成和项目验收内容之一。具体管理原则如下：</w:t>
      </w:r>
    </w:p>
    <w:p w14:paraId="49F749D4">
      <w:pPr>
        <w:pStyle w:val="7"/>
        <w:spacing w:line="304" w:lineRule="exact"/>
        <w:ind w:left="762"/>
      </w:pPr>
      <w:r>
        <w:t>（</w:t>
      </w:r>
      <w:r>
        <w:rPr>
          <w:rFonts w:ascii="Times New Roman" w:eastAsia="Times New Roman"/>
        </w:rPr>
        <w:t>1</w:t>
      </w:r>
      <w:r>
        <w:t>）向环境排放的污染物的排放口必须规范化。</w:t>
      </w:r>
    </w:p>
    <w:p w14:paraId="139A6F11">
      <w:pPr>
        <w:spacing w:after="0" w:line="304" w:lineRule="exact"/>
        <w:sectPr>
          <w:footerReference r:id="rId43" w:type="default"/>
          <w:pgSz w:w="11910" w:h="16840"/>
          <w:pgMar w:top="1360" w:right="1520" w:bottom="1400" w:left="1520" w:header="878" w:footer="1204" w:gutter="0"/>
          <w:pgNumType w:start="170"/>
          <w:cols w:space="720" w:num="1"/>
        </w:sectPr>
      </w:pPr>
    </w:p>
    <w:p w14:paraId="4547F264">
      <w:pPr>
        <w:pStyle w:val="7"/>
        <w:spacing w:before="64"/>
        <w:ind w:left="762"/>
      </w:pPr>
      <w:r>
        <w:t>（</w:t>
      </w:r>
      <w:r>
        <w:rPr>
          <w:rFonts w:ascii="Times New Roman" w:eastAsia="Times New Roman"/>
        </w:rPr>
        <w:t>2</w:t>
      </w:r>
      <w:r>
        <w:t>）列入总量控制的污染物、排污口列为管理的重点。</w:t>
      </w:r>
    </w:p>
    <w:p w14:paraId="501CB00D">
      <w:pPr>
        <w:pStyle w:val="7"/>
        <w:spacing w:before="160"/>
        <w:ind w:left="762"/>
      </w:pPr>
      <w:r>
        <w:t>（</w:t>
      </w:r>
      <w:r>
        <w:rPr>
          <w:rFonts w:ascii="Times New Roman" w:eastAsia="Times New Roman"/>
        </w:rPr>
        <w:t>3</w:t>
      </w:r>
      <w:r>
        <w:t>）排污口应便于采样与计量监测，便于日常现场监督检查。</w:t>
      </w:r>
    </w:p>
    <w:p w14:paraId="722B4369">
      <w:pPr>
        <w:pStyle w:val="7"/>
        <w:spacing w:before="158" w:line="364" w:lineRule="auto"/>
        <w:ind w:left="282" w:right="280" w:firstLine="480"/>
      </w:pPr>
      <w:r>
        <w:t>（</w:t>
      </w:r>
      <w:r>
        <w:rPr>
          <w:rFonts w:ascii="Times New Roman" w:eastAsia="Times New Roman"/>
        </w:rPr>
        <w:t>4</w:t>
      </w:r>
      <w:r>
        <w:t>）如实向环保管理部门申报排污口数量、位置及所排放的主要污染物种类、数量、浓度、排放去向等情况。</w:t>
      </w:r>
    </w:p>
    <w:p w14:paraId="0D5F9CB1">
      <w:pPr>
        <w:pStyle w:val="7"/>
        <w:spacing w:line="364" w:lineRule="auto"/>
        <w:ind w:left="282" w:right="280" w:firstLine="480"/>
      </w:pPr>
      <w:r>
        <w:t>（</w:t>
      </w:r>
      <w:r>
        <w:rPr>
          <w:rFonts w:ascii="Times New Roman" w:eastAsia="Times New Roman"/>
        </w:rPr>
        <w:t>5</w:t>
      </w:r>
      <w:r>
        <w:t>）废气排气及废水排放口装置应设置便于采样、监测的采样孔和采样平台，设置应符合《污染源监测技术规范》。</w:t>
      </w:r>
    </w:p>
    <w:p w14:paraId="7C500B65">
      <w:pPr>
        <w:pStyle w:val="7"/>
        <w:spacing w:line="306" w:lineRule="exact"/>
        <w:ind w:left="762"/>
      </w:pPr>
      <w:r>
        <w:t>（</w:t>
      </w:r>
      <w:r>
        <w:rPr>
          <w:rFonts w:ascii="Times New Roman" w:eastAsia="Times New Roman"/>
        </w:rPr>
        <w:t>6</w:t>
      </w:r>
      <w:r>
        <w:t>）工程固废堆存时，专用堆放场应设有防扬散、防流失、防渗漏措施。</w:t>
      </w:r>
    </w:p>
    <w:p w14:paraId="1B25C37B">
      <w:pPr>
        <w:pStyle w:val="6"/>
        <w:numPr>
          <w:ilvl w:val="3"/>
          <w:numId w:val="36"/>
        </w:numPr>
        <w:tabs>
          <w:tab w:val="left" w:pos="993"/>
        </w:tabs>
        <w:spacing w:before="159" w:after="0" w:line="240" w:lineRule="auto"/>
        <w:ind w:left="992" w:right="0" w:hanging="710"/>
        <w:jc w:val="left"/>
      </w:pPr>
      <w:bookmarkStart w:id="353" w:name="9.4.1.1排污口立标管理"/>
      <w:bookmarkEnd w:id="353"/>
      <w:bookmarkStart w:id="354" w:name="9.4.1.1排污口立标管理"/>
      <w:bookmarkEnd w:id="354"/>
      <w:r>
        <w:t>排污口立标管理</w:t>
      </w:r>
    </w:p>
    <w:p w14:paraId="3C78736B">
      <w:pPr>
        <w:pStyle w:val="7"/>
        <w:spacing w:before="161" w:line="364" w:lineRule="auto"/>
        <w:ind w:left="282" w:right="280" w:firstLine="480"/>
        <w:jc w:val="both"/>
      </w:pPr>
      <w:r>
        <w:t>对高噪声排放源、废水排放口以及固体废物堆场，应按照国家《环境保护图形标志》（</w:t>
      </w:r>
      <w:r>
        <w:rPr>
          <w:rFonts w:ascii="Times New Roman" w:eastAsia="Times New Roman"/>
        </w:rPr>
        <w:t>GB15562.1-1995</w:t>
      </w:r>
      <w:r>
        <w:t>）与《环境保护图形标志固体废物贮存（处置） 场》（</w:t>
      </w:r>
      <w:r>
        <w:rPr>
          <w:rFonts w:ascii="Times New Roman" w:eastAsia="Times New Roman"/>
        </w:rPr>
        <w:t>GB1556.2-1995</w:t>
      </w:r>
      <w:r>
        <w:t>）规定，设置国家环保局统一制作的环境保护图形标志牌：</w:t>
      </w:r>
    </w:p>
    <w:p w14:paraId="647A7885">
      <w:pPr>
        <w:pStyle w:val="7"/>
        <w:spacing w:line="362" w:lineRule="auto"/>
        <w:ind w:left="282" w:right="280" w:firstLine="480"/>
      </w:pPr>
      <w:r>
        <w:t>（</w:t>
      </w:r>
      <w:r>
        <w:rPr>
          <w:rFonts w:ascii="Times New Roman" w:eastAsia="Times New Roman"/>
        </w:rPr>
        <w:t>1</w:t>
      </w:r>
      <w:r>
        <w:t xml:space="preserve">）污染物排放口的环保图形标志牌应设置在靠近采样点且醒目处，标志牌设置高度为其上边缘距离地面约 </w:t>
      </w:r>
      <w:r>
        <w:rPr>
          <w:rFonts w:ascii="Times New Roman" w:eastAsia="Times New Roman"/>
        </w:rPr>
        <w:t>2m</w:t>
      </w:r>
      <w:r>
        <w:t>；</w:t>
      </w:r>
    </w:p>
    <w:p w14:paraId="5B57798B">
      <w:pPr>
        <w:pStyle w:val="7"/>
        <w:spacing w:before="2" w:line="362" w:lineRule="auto"/>
        <w:ind w:left="282" w:right="280" w:firstLine="480"/>
      </w:pPr>
      <w:r>
        <w:t>（</w:t>
      </w:r>
      <w:r>
        <w:rPr>
          <w:rFonts w:ascii="Times New Roman" w:eastAsia="Times New Roman"/>
        </w:rPr>
        <w:t>2</w:t>
      </w:r>
      <w:r>
        <w:t>）重点排污单位的污染物排放口以设置立式标志牌为主，一般排污单位的污染物排放口，可根据情况设置立式或平面固定式标志牌。</w:t>
      </w:r>
    </w:p>
    <w:p w14:paraId="36EC2365">
      <w:pPr>
        <w:pStyle w:val="6"/>
        <w:numPr>
          <w:ilvl w:val="3"/>
          <w:numId w:val="36"/>
        </w:numPr>
        <w:tabs>
          <w:tab w:val="left" w:pos="993"/>
        </w:tabs>
        <w:spacing w:before="5" w:after="0" w:line="240" w:lineRule="auto"/>
        <w:ind w:left="992" w:right="0" w:hanging="710"/>
        <w:jc w:val="left"/>
      </w:pPr>
      <w:bookmarkStart w:id="355" w:name="9.4.1.2排污口建档管理"/>
      <w:bookmarkEnd w:id="355"/>
      <w:bookmarkStart w:id="356" w:name="9.4.1.2排污口建档管理"/>
      <w:bookmarkEnd w:id="356"/>
      <w:r>
        <w:t>排污口建档管理</w:t>
      </w:r>
    </w:p>
    <w:p w14:paraId="0E093692">
      <w:pPr>
        <w:pStyle w:val="7"/>
        <w:spacing w:before="159" w:line="364" w:lineRule="auto"/>
        <w:ind w:left="282" w:right="282" w:firstLine="480"/>
        <w:jc w:val="both"/>
      </w:pPr>
      <w:r>
        <w:t>应对所有污染物排放口的名称、位置、数量以及排放污染物名称、数量等内容进行统计，并登记上报生态环境主管部门，以便进行验收和排放口的规范化管理。</w:t>
      </w:r>
    </w:p>
    <w:p w14:paraId="2BD3E8B9">
      <w:pPr>
        <w:pStyle w:val="7"/>
        <w:spacing w:line="362" w:lineRule="auto"/>
        <w:ind w:left="282" w:right="280" w:firstLine="480"/>
      </w:pPr>
      <w:r>
        <w:t>（</w:t>
      </w:r>
      <w:r>
        <w:rPr>
          <w:rFonts w:ascii="Times New Roman" w:eastAsia="Times New Roman"/>
        </w:rPr>
        <w:t>1</w:t>
      </w:r>
      <w:r>
        <w:t>）本项目应使用国家环保局统一印制的《中华人民共和国规范化排污口标志登记证》，并按要求填写有关内容；</w:t>
      </w:r>
    </w:p>
    <w:p w14:paraId="13C3D677">
      <w:pPr>
        <w:pStyle w:val="7"/>
        <w:spacing w:before="4" w:line="364" w:lineRule="auto"/>
        <w:ind w:left="282" w:right="280" w:firstLine="480"/>
      </w:pPr>
      <w:r>
        <w:t>（</w:t>
      </w:r>
      <w:r>
        <w:rPr>
          <w:rFonts w:ascii="Times New Roman" w:eastAsia="Times New Roman"/>
        </w:rPr>
        <w:t>2</w:t>
      </w:r>
      <w:r>
        <w:t>）根据排污口管理内容要求，项目建成投产后，应将主要污染物种类、数量、浓度、排放去向，立标情况及设施运行情况记录于档案。</w:t>
      </w:r>
    </w:p>
    <w:p w14:paraId="14E73626">
      <w:pPr>
        <w:pStyle w:val="6"/>
        <w:spacing w:line="306" w:lineRule="exact"/>
        <w:ind w:left="282"/>
      </w:pPr>
      <w:bookmarkStart w:id="357" w:name="9.4.2排污口规范化设置要求"/>
      <w:bookmarkEnd w:id="357"/>
      <w:r>
        <w:rPr>
          <w:rFonts w:ascii="Times New Roman" w:eastAsia="Times New Roman"/>
        </w:rPr>
        <w:t xml:space="preserve">9.4.2 </w:t>
      </w:r>
      <w:r>
        <w:t>排污口规范化设置要求</w:t>
      </w:r>
    </w:p>
    <w:p w14:paraId="61ADEEA4">
      <w:pPr>
        <w:pStyle w:val="7"/>
        <w:spacing w:before="158"/>
        <w:ind w:left="762"/>
      </w:pPr>
      <w:r>
        <w:t>结合项目特征，项目排污口规范化设置情况如下：</w:t>
      </w:r>
    </w:p>
    <w:p w14:paraId="39490153">
      <w:pPr>
        <w:pStyle w:val="7"/>
        <w:spacing w:before="160"/>
        <w:ind w:left="762"/>
      </w:pPr>
      <w:r>
        <w:t>（</w:t>
      </w:r>
      <w:r>
        <w:rPr>
          <w:rFonts w:ascii="Times New Roman" w:eastAsia="Times New Roman"/>
        </w:rPr>
        <w:t>1</w:t>
      </w:r>
      <w:r>
        <w:t>）废水</w:t>
      </w:r>
    </w:p>
    <w:p w14:paraId="116DD8C9">
      <w:pPr>
        <w:pStyle w:val="7"/>
        <w:spacing w:before="159" w:line="364" w:lineRule="auto"/>
        <w:ind w:left="282" w:right="282" w:firstLine="480"/>
        <w:jc w:val="both"/>
      </w:pPr>
      <w:r>
        <w:t xml:space="preserve">项目废水排放口为废水总排放口（项目污水处理站排放口），废水排放口按相关规范要求设置环境保护图形标志牌。项目废水排放口必须具备采样和流量测定条件，且应在厂内或厂围墙（界）外不超过 </w:t>
      </w:r>
      <w:r>
        <w:rPr>
          <w:rFonts w:ascii="Times New Roman" w:eastAsia="Times New Roman"/>
        </w:rPr>
        <w:t xml:space="preserve">10m </w:t>
      </w:r>
      <w:r>
        <w:t>外。排污口一般采用矩</w:t>
      </w:r>
    </w:p>
    <w:p w14:paraId="4A287677">
      <w:pPr>
        <w:spacing w:after="0" w:line="364" w:lineRule="auto"/>
        <w:jc w:val="both"/>
        <w:sectPr>
          <w:pgSz w:w="11910" w:h="16840"/>
          <w:pgMar w:top="1360" w:right="1520" w:bottom="1400" w:left="1520" w:header="878" w:footer="1204" w:gutter="0"/>
          <w:cols w:space="720" w:num="1"/>
        </w:sectPr>
      </w:pPr>
    </w:p>
    <w:p w14:paraId="1303C223">
      <w:pPr>
        <w:pStyle w:val="7"/>
        <w:spacing w:before="64" w:line="364" w:lineRule="auto"/>
        <w:ind w:left="282" w:right="282"/>
        <w:jc w:val="both"/>
      </w:pPr>
      <w:r>
        <w:t>形渠道，且要设置平直的、便于测量流量、流速的测流段，测流段的污水水深</w:t>
      </w:r>
      <w:r>
        <w:rPr>
          <w:spacing w:val="-6"/>
        </w:rPr>
        <w:t xml:space="preserve">不得低于 </w:t>
      </w:r>
      <w:r>
        <w:rPr>
          <w:rFonts w:ascii="Times New Roman" w:eastAsia="Times New Roman"/>
          <w:spacing w:val="1"/>
        </w:rPr>
        <w:t>0.1m</w:t>
      </w:r>
      <w:r>
        <w:rPr>
          <w:spacing w:val="-5"/>
        </w:rPr>
        <w:t xml:space="preserve">，流速不小于 </w:t>
      </w:r>
      <w:r>
        <w:rPr>
          <w:rFonts w:ascii="Times New Roman" w:eastAsia="Times New Roman"/>
        </w:rPr>
        <w:t>0.05m/s</w:t>
      </w:r>
      <w:r>
        <w:rPr>
          <w:spacing w:val="-2"/>
        </w:rPr>
        <w:t xml:space="preserve">，测流段直线长度应有 </w:t>
      </w:r>
      <w:r>
        <w:rPr>
          <w:rFonts w:ascii="Times New Roman" w:eastAsia="Times New Roman"/>
        </w:rPr>
        <w:t>5~10m</w:t>
      </w:r>
      <w:r>
        <w:rPr>
          <w:spacing w:val="3"/>
        </w:rPr>
        <w:t>。污水面在</w:t>
      </w:r>
      <w:r>
        <w:rPr>
          <w:spacing w:val="-4"/>
        </w:rPr>
        <w:t xml:space="preserve">地下或距地面超过 </w:t>
      </w:r>
      <w:r>
        <w:rPr>
          <w:rFonts w:ascii="Times New Roman" w:eastAsia="Times New Roman"/>
        </w:rPr>
        <w:t xml:space="preserve">1m </w:t>
      </w:r>
      <w:r>
        <w:rPr>
          <w:spacing w:val="1"/>
        </w:rPr>
        <w:t>的，要配套建设取样台阶或梯架，测流段明渠四周应设</w:t>
      </w:r>
      <w:r>
        <w:rPr>
          <w:spacing w:val="-9"/>
        </w:rPr>
        <w:t xml:space="preserve">置不低于 </w:t>
      </w:r>
      <w:r>
        <w:rPr>
          <w:rFonts w:ascii="Times New Roman" w:eastAsia="Times New Roman"/>
        </w:rPr>
        <w:t xml:space="preserve">1.5m </w:t>
      </w:r>
      <w:r>
        <w:rPr>
          <w:spacing w:val="-4"/>
        </w:rPr>
        <w:t xml:space="preserve">高的护栏和不低于 </w:t>
      </w:r>
      <w:r>
        <w:rPr>
          <w:rFonts w:ascii="Times New Roman" w:eastAsia="Times New Roman"/>
        </w:rPr>
        <w:t xml:space="preserve">100mm </w:t>
      </w:r>
      <w:r>
        <w:rPr>
          <w:spacing w:val="1"/>
        </w:rPr>
        <w:t>的脚步挡板。根据项目实际情况，项</w:t>
      </w:r>
      <w:r>
        <w:rPr>
          <w:spacing w:val="7"/>
        </w:rPr>
        <w:t>目废水排污口可考虑设置明渠，明渠内部三面需统一贴瓷砖，便于计量和采样。</w:t>
      </w:r>
    </w:p>
    <w:p w14:paraId="2CD77367">
      <w:pPr>
        <w:pStyle w:val="7"/>
        <w:spacing w:line="304" w:lineRule="exact"/>
        <w:ind w:left="762"/>
      </w:pPr>
      <w:r>
        <w:t>（</w:t>
      </w:r>
      <w:r>
        <w:rPr>
          <w:rFonts w:ascii="Times New Roman" w:eastAsia="Times New Roman"/>
        </w:rPr>
        <w:t>2</w:t>
      </w:r>
      <w:r>
        <w:t>）废气</w:t>
      </w:r>
    </w:p>
    <w:p w14:paraId="72574305">
      <w:pPr>
        <w:pStyle w:val="7"/>
        <w:spacing w:before="160"/>
        <w:ind w:left="762"/>
      </w:pPr>
      <w:r>
        <w:t>各排气筒设置便于采样、监测， 安全可靠的采样口， 长度不应大于</w:t>
      </w:r>
    </w:p>
    <w:p w14:paraId="33E1BD19">
      <w:pPr>
        <w:pStyle w:val="7"/>
        <w:spacing w:before="161" w:line="362" w:lineRule="auto"/>
        <w:ind w:left="282" w:right="282"/>
        <w:jc w:val="both"/>
      </w:pPr>
      <w:r>
        <w:rPr>
          <w:rFonts w:ascii="Times New Roman" w:eastAsia="Times New Roman"/>
        </w:rPr>
        <w:t>50mm</w:t>
      </w:r>
      <w:r>
        <w:t>。按照《固定污染源废气监测技术规范》（</w:t>
      </w:r>
      <w:r>
        <w:rPr>
          <w:rFonts w:ascii="Times New Roman" w:eastAsia="Times New Roman"/>
        </w:rPr>
        <w:t>HJ/T397-2007</w:t>
      </w:r>
      <w:r>
        <w:t>）要求，采样口设置活动式盖子，防止气流涌出。污染物排放口设置废气排放环保标志牌。</w:t>
      </w:r>
    </w:p>
    <w:p w14:paraId="65F16C00">
      <w:pPr>
        <w:pStyle w:val="7"/>
        <w:spacing w:before="2" w:line="364" w:lineRule="auto"/>
        <w:ind w:left="282" w:right="280" w:firstLine="480"/>
      </w:pPr>
      <w:r>
        <w:t>（</w:t>
      </w:r>
      <w:r>
        <w:rPr>
          <w:rFonts w:ascii="Times New Roman" w:eastAsia="Times New Roman"/>
        </w:rPr>
        <w:t>3</w:t>
      </w:r>
      <w:r>
        <w:t>）项目固体废物分类收集、贮存和运输，在各类固体废物集中堆放点设置对应固体废物环保标志牌。</w:t>
      </w:r>
    </w:p>
    <w:p w14:paraId="7565596C">
      <w:pPr>
        <w:pStyle w:val="7"/>
        <w:spacing w:before="1"/>
        <w:ind w:left="762"/>
      </w:pPr>
      <w:r>
        <w:t>（</w:t>
      </w:r>
      <w:r>
        <w:rPr>
          <w:rFonts w:ascii="Times New Roman" w:eastAsia="Times New Roman"/>
        </w:rPr>
        <w:t>4</w:t>
      </w:r>
      <w:r>
        <w:t>）在固定噪声源附近设置噪声环境保护图形标志牌。</w:t>
      </w:r>
    </w:p>
    <w:p w14:paraId="2C5A9551">
      <w:pPr>
        <w:pStyle w:val="7"/>
        <w:spacing w:before="158"/>
        <w:ind w:left="762"/>
      </w:pPr>
      <w:r>
        <w:t>（</w:t>
      </w:r>
      <w:r>
        <w:rPr>
          <w:rFonts w:ascii="Times New Roman" w:eastAsia="Times New Roman"/>
        </w:rPr>
        <w:t>5</w:t>
      </w:r>
      <w:r>
        <w:t>）规范化排放口标志牌设置要求</w:t>
      </w:r>
    </w:p>
    <w:p w14:paraId="219A8E25">
      <w:pPr>
        <w:pStyle w:val="7"/>
        <w:spacing w:before="161"/>
        <w:ind w:left="762"/>
      </w:pPr>
      <w:r>
        <w:t>根据原国家环保总局《关于印发排放口标志牌技术规格的通知》环办</w:t>
      </w:r>
    </w:p>
    <w:p w14:paraId="41B88F9E">
      <w:pPr>
        <w:pStyle w:val="7"/>
        <w:spacing w:before="158"/>
        <w:ind w:left="282"/>
        <w:jc w:val="both"/>
        <w:rPr>
          <w:rFonts w:ascii="Times New Roman" w:eastAsia="Times New Roman"/>
        </w:rPr>
      </w:pPr>
      <w:r>
        <w:rPr>
          <w:rFonts w:ascii="Times New Roman" w:eastAsia="Times New Roman"/>
        </w:rPr>
        <w:t xml:space="preserve">[003]95 </w:t>
      </w:r>
      <w:r>
        <w:t>号</w:t>
      </w:r>
      <w:r>
        <w:rPr>
          <w:rFonts w:ascii="Times New Roman" w:eastAsia="Times New Roman"/>
        </w:rPr>
        <w:t>)</w:t>
      </w:r>
      <w:r>
        <w:t>，规范化排放口标志牌设置要求如下</w:t>
      </w:r>
      <w:r>
        <w:rPr>
          <w:rFonts w:ascii="Times New Roman" w:eastAsia="Times New Roman"/>
        </w:rPr>
        <w:t>:</w:t>
      </w:r>
    </w:p>
    <w:p w14:paraId="29ACD0E8">
      <w:pPr>
        <w:pStyle w:val="7"/>
        <w:spacing w:before="160"/>
        <w:ind w:left="762"/>
      </w:pPr>
      <w:r>
        <w:t>①平面标志牌</w:t>
      </w:r>
    </w:p>
    <w:p w14:paraId="25F05B63">
      <w:pPr>
        <w:pStyle w:val="7"/>
        <w:spacing w:before="159"/>
        <w:ind w:left="762"/>
      </w:pPr>
      <w:r>
        <w:t>排污口平面标志牌适用于室内外悬挂，尺寸：</w:t>
      </w:r>
      <w:r>
        <w:rPr>
          <w:rFonts w:ascii="Times New Roman" w:eastAsia="Times New Roman"/>
        </w:rPr>
        <w:t>480x300mm</w:t>
      </w:r>
      <w:r>
        <w:t>。</w:t>
      </w:r>
    </w:p>
    <w:p w14:paraId="093018DF">
      <w:pPr>
        <w:pStyle w:val="7"/>
        <w:spacing w:before="160"/>
        <w:ind w:left="762"/>
      </w:pPr>
      <w:r>
        <w:t>②立式标志牌</w:t>
      </w:r>
    </w:p>
    <w:p w14:paraId="79DB2A7E">
      <w:pPr>
        <w:pStyle w:val="7"/>
        <w:spacing w:before="158" w:line="364" w:lineRule="auto"/>
        <w:ind w:left="282" w:right="281" w:firstLine="480"/>
      </w:pPr>
      <w:r>
        <w:t>立式标志牌适用于室内外独立摆放或树立，正、背面尺寸</w:t>
      </w:r>
      <w:r>
        <w:rPr>
          <w:rFonts w:ascii="Times New Roman" w:eastAsia="Times New Roman"/>
        </w:rPr>
        <w:t>: 420x420mm</w:t>
      </w:r>
      <w:r>
        <w:t xml:space="preserve">， 立柱高度：标志牌最上端距地面 </w:t>
      </w:r>
      <w:r>
        <w:rPr>
          <w:rFonts w:ascii="Times New Roman" w:eastAsia="Times New Roman"/>
        </w:rPr>
        <w:t xml:space="preserve">2m </w:t>
      </w:r>
      <w:r>
        <w:t xml:space="preserve">地下 </w:t>
      </w:r>
      <w:r>
        <w:rPr>
          <w:rFonts w:ascii="Times New Roman" w:eastAsia="Times New Roman"/>
        </w:rPr>
        <w:t>0.3m</w:t>
      </w:r>
      <w:r>
        <w:t>。</w:t>
      </w:r>
    </w:p>
    <w:p w14:paraId="15BAED57">
      <w:pPr>
        <w:pStyle w:val="7"/>
        <w:spacing w:line="306" w:lineRule="exact"/>
        <w:ind w:left="762"/>
      </w:pPr>
      <w:r>
        <w:t>废气、废水、噪声、固废标志牌具体样式见下图。</w:t>
      </w:r>
    </w:p>
    <w:p w14:paraId="579A2866">
      <w:pPr>
        <w:spacing w:after="0" w:line="306" w:lineRule="exact"/>
        <w:sectPr>
          <w:pgSz w:w="11910" w:h="16840"/>
          <w:pgMar w:top="1360" w:right="1520" w:bottom="1400" w:left="1520" w:header="878" w:footer="1204" w:gutter="0"/>
          <w:cols w:space="720" w:num="1"/>
        </w:sectPr>
      </w:pPr>
    </w:p>
    <w:p w14:paraId="4FE4F69E">
      <w:pPr>
        <w:pStyle w:val="7"/>
        <w:spacing w:before="11"/>
        <w:rPr>
          <w:sz w:val="4"/>
        </w:rPr>
      </w:pPr>
    </w:p>
    <w:p w14:paraId="7ADF5835">
      <w:pPr>
        <w:pStyle w:val="7"/>
        <w:ind w:left="875"/>
        <w:rPr>
          <w:sz w:val="20"/>
        </w:rPr>
      </w:pPr>
      <w:r>
        <w:rPr>
          <w:sz w:val="20"/>
        </w:rPr>
        <w:drawing>
          <wp:inline distT="0" distB="0" distL="0" distR="0">
            <wp:extent cx="4494530" cy="3446145"/>
            <wp:effectExtent l="0" t="0" r="0" b="0"/>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2.jpeg"/>
                    <pic:cNvPicPr>
                      <a:picLocks noChangeAspect="1"/>
                    </pic:cNvPicPr>
                  </pic:nvPicPr>
                  <pic:blipFill>
                    <a:blip r:embed="rId89" cstate="print"/>
                    <a:stretch>
                      <a:fillRect/>
                    </a:stretch>
                  </pic:blipFill>
                  <pic:spPr>
                    <a:xfrm>
                      <a:off x="0" y="0"/>
                      <a:ext cx="4494900" cy="3446145"/>
                    </a:xfrm>
                    <a:prstGeom prst="rect">
                      <a:avLst/>
                    </a:prstGeom>
                  </pic:spPr>
                </pic:pic>
              </a:graphicData>
            </a:graphic>
          </wp:inline>
        </w:drawing>
      </w:r>
    </w:p>
    <w:p w14:paraId="634E4E10">
      <w:pPr>
        <w:spacing w:before="115"/>
        <w:ind w:left="2764" w:right="0" w:firstLine="0"/>
        <w:jc w:val="left"/>
        <w:rPr>
          <w:b/>
          <w:sz w:val="21"/>
        </w:rPr>
      </w:pPr>
      <w:r>
        <w:rPr>
          <w:b/>
          <w:sz w:val="21"/>
        </w:rPr>
        <w:t xml:space="preserve">图 </w:t>
      </w:r>
      <w:r>
        <w:rPr>
          <w:rFonts w:ascii="Times New Roman" w:eastAsia="Times New Roman"/>
          <w:b/>
          <w:sz w:val="21"/>
        </w:rPr>
        <w:t xml:space="preserve">9.4-1 </w:t>
      </w:r>
      <w:r>
        <w:rPr>
          <w:b/>
          <w:sz w:val="21"/>
        </w:rPr>
        <w:t>规范化排污口标识牌样式图</w:t>
      </w:r>
    </w:p>
    <w:p w14:paraId="09B13588">
      <w:pPr>
        <w:pStyle w:val="3"/>
        <w:numPr>
          <w:ilvl w:val="1"/>
          <w:numId w:val="37"/>
        </w:numPr>
        <w:tabs>
          <w:tab w:val="left" w:pos="693"/>
        </w:tabs>
        <w:spacing w:before="6" w:after="0" w:line="240" w:lineRule="auto"/>
        <w:ind w:left="692" w:right="0" w:hanging="410"/>
        <w:jc w:val="left"/>
      </w:pPr>
      <w:bookmarkStart w:id="358" w:name="_bookmark50"/>
      <w:bookmarkEnd w:id="358"/>
      <w:bookmarkStart w:id="359" w:name="_bookmark50"/>
      <w:bookmarkEnd w:id="359"/>
      <w:bookmarkStart w:id="360" w:name="9.5排污许可管理"/>
      <w:bookmarkEnd w:id="360"/>
      <w:r>
        <w:t>排污许可管理</w:t>
      </w:r>
    </w:p>
    <w:p w14:paraId="4FB8D85C">
      <w:pPr>
        <w:pStyle w:val="6"/>
        <w:numPr>
          <w:ilvl w:val="2"/>
          <w:numId w:val="37"/>
        </w:numPr>
        <w:tabs>
          <w:tab w:val="left" w:pos="813"/>
        </w:tabs>
        <w:spacing w:before="186" w:after="0" w:line="240" w:lineRule="auto"/>
        <w:ind w:left="812" w:right="0" w:hanging="530"/>
        <w:jc w:val="left"/>
      </w:pPr>
      <w:bookmarkStart w:id="361" w:name="9.5.1排污许可管理要求"/>
      <w:bookmarkEnd w:id="361"/>
      <w:bookmarkStart w:id="362" w:name="9.5.1排污许可管理要求"/>
      <w:bookmarkEnd w:id="362"/>
      <w:r>
        <w:t>排污许可管理要求</w:t>
      </w:r>
    </w:p>
    <w:p w14:paraId="25E26967">
      <w:pPr>
        <w:pStyle w:val="7"/>
        <w:spacing w:before="158" w:line="364" w:lineRule="auto"/>
        <w:ind w:left="282" w:right="282" w:firstLine="480"/>
        <w:jc w:val="both"/>
      </w:pPr>
      <w:r>
        <w:t>根据《排污许可管理条例》要求，依照法律规定实行排污许可管理的企业事业单位和其他生产经营者（以下称排污单位），应当依照本条例规定申请取得排污许可证；未取得排污许可证的，不得排放污染物。</w:t>
      </w:r>
    </w:p>
    <w:p w14:paraId="13147E64">
      <w:pPr>
        <w:pStyle w:val="7"/>
        <w:spacing w:line="364" w:lineRule="auto"/>
        <w:ind w:left="282" w:right="281" w:firstLine="480"/>
        <w:jc w:val="both"/>
      </w:pPr>
      <w:r>
        <w:rPr>
          <w:spacing w:val="2"/>
        </w:rPr>
        <w:t>根据《固定污染源排污许可分类管理名录</w:t>
      </w:r>
      <w:r>
        <w:rPr>
          <w:rFonts w:ascii="Times New Roman" w:hAnsi="Times New Roman" w:eastAsia="Times New Roman"/>
        </w:rPr>
        <w:t xml:space="preserve">(2019 </w:t>
      </w:r>
      <w:r>
        <w:rPr>
          <w:spacing w:val="3"/>
        </w:rPr>
        <w:t>年版</w:t>
      </w:r>
      <w:r>
        <w:rPr>
          <w:rFonts w:ascii="Times New Roman" w:hAnsi="Times New Roman" w:eastAsia="Times New Roman"/>
          <w:spacing w:val="2"/>
        </w:rPr>
        <w:t>)</w:t>
      </w:r>
      <w:r>
        <w:rPr>
          <w:spacing w:val="1"/>
        </w:rPr>
        <w:t>》，本项目属于该名</w:t>
      </w:r>
      <w:r>
        <w:rPr>
          <w:spacing w:val="-2"/>
        </w:rPr>
        <w:t xml:space="preserve">录中“八、农副产品加工业 </w:t>
      </w:r>
      <w:r>
        <w:rPr>
          <w:rFonts w:ascii="Times New Roman" w:hAnsi="Times New Roman" w:eastAsia="Times New Roman"/>
        </w:rPr>
        <w:t>13</w:t>
      </w:r>
      <w:r>
        <w:rPr>
          <w:spacing w:val="-5"/>
        </w:rPr>
        <w:t xml:space="preserve">—屠宰及肉类加工 </w:t>
      </w:r>
      <w:r>
        <w:rPr>
          <w:rFonts w:ascii="Times New Roman" w:hAnsi="Times New Roman" w:eastAsia="Times New Roman"/>
        </w:rPr>
        <w:t>135</w:t>
      </w:r>
      <w:r>
        <w:rPr>
          <w:spacing w:val="-4"/>
        </w:rPr>
        <w:t xml:space="preserve">”类别中“年屠宰生猪 </w:t>
      </w:r>
      <w:r>
        <w:rPr>
          <w:rFonts w:ascii="Times New Roman" w:hAnsi="Times New Roman" w:eastAsia="Times New Roman"/>
        </w:rPr>
        <w:t xml:space="preserve">10 </w:t>
      </w:r>
      <w:r>
        <w:t>万头及以上的”，实行排污许可重点管理。本项目依规定需办理排污许可证。</w:t>
      </w:r>
    </w:p>
    <w:p w14:paraId="60A150BF">
      <w:pPr>
        <w:pStyle w:val="7"/>
        <w:spacing w:line="364" w:lineRule="auto"/>
        <w:ind w:left="282" w:right="282" w:firstLine="480"/>
        <w:jc w:val="both"/>
      </w:pPr>
      <w:r>
        <w:t>排污单位依法按照《排污许可管理条例》和《排污许可证申请与核发技术规范 农副食品加工工业一屠宰及肉类加工工业》（</w:t>
      </w:r>
      <w:r>
        <w:rPr>
          <w:rFonts w:ascii="Times New Roman" w:hAnsi="Times New Roman" w:eastAsia="Times New Roman"/>
        </w:rPr>
        <w:t>HJ 860.3</w:t>
      </w:r>
      <w:r>
        <w:t>—</w:t>
      </w:r>
      <w:r>
        <w:rPr>
          <w:rFonts w:ascii="Times New Roman" w:hAnsi="Times New Roman" w:eastAsia="Times New Roman"/>
        </w:rPr>
        <w:t>2018</w:t>
      </w:r>
      <w:r>
        <w:t>）要求在全国排污许可管理信息平台填报并提交排污许可申请，同时向核发环保部门提交通过全国排污许可证管理信息平台印制的书面申请材料，申请材料应当包括：</w:t>
      </w:r>
    </w:p>
    <w:p w14:paraId="3FA1E297">
      <w:pPr>
        <w:pStyle w:val="7"/>
        <w:spacing w:line="364" w:lineRule="auto"/>
        <w:ind w:left="282" w:right="280" w:firstLine="480"/>
        <w:jc w:val="both"/>
      </w:pPr>
      <w:r>
        <w:t>（</w:t>
      </w:r>
      <w:r>
        <w:rPr>
          <w:rFonts w:ascii="Times New Roman" w:eastAsia="Times New Roman"/>
        </w:rPr>
        <w:t>1</w:t>
      </w:r>
      <w:r>
        <w:t>）排污许可证申请表，主要内容包括</w:t>
      </w:r>
      <w:r>
        <w:rPr>
          <w:rFonts w:ascii="Times New Roman" w:eastAsia="Times New Roman"/>
        </w:rPr>
        <w:t>:</w:t>
      </w:r>
      <w:r>
        <w:t>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234D2718">
      <w:pPr>
        <w:pStyle w:val="7"/>
        <w:spacing w:line="305" w:lineRule="exact"/>
        <w:ind w:left="762"/>
      </w:pPr>
      <w:r>
        <w:t>（</w:t>
      </w:r>
      <w:r>
        <w:rPr>
          <w:rFonts w:ascii="Times New Roman" w:eastAsia="Times New Roman"/>
        </w:rPr>
        <w:t>2</w:t>
      </w:r>
      <w:r>
        <w:t>）由排污单位法定代表人或者主要负责人签字或者盖章的承诺书；</w:t>
      </w:r>
    </w:p>
    <w:p w14:paraId="5FEEB8E1">
      <w:pPr>
        <w:spacing w:after="0" w:line="305" w:lineRule="exact"/>
        <w:sectPr>
          <w:pgSz w:w="11910" w:h="16840"/>
          <w:pgMar w:top="1360" w:right="1520" w:bottom="1400" w:left="1520" w:header="878" w:footer="1204" w:gutter="0"/>
          <w:cols w:space="720" w:num="1"/>
        </w:sectPr>
      </w:pPr>
    </w:p>
    <w:p w14:paraId="6332CFE3">
      <w:pPr>
        <w:pStyle w:val="7"/>
        <w:spacing w:before="64"/>
        <w:ind w:left="762"/>
      </w:pPr>
      <w:r>
        <w:t>（</w:t>
      </w:r>
      <w:r>
        <w:rPr>
          <w:rFonts w:ascii="Times New Roman" w:eastAsia="Times New Roman"/>
        </w:rPr>
        <w:t>3</w:t>
      </w:r>
      <w:r>
        <w:t>）排污单位有关排污口规范化的情况说明；</w:t>
      </w:r>
    </w:p>
    <w:p w14:paraId="2F4298F5">
      <w:pPr>
        <w:pStyle w:val="7"/>
        <w:spacing w:before="160"/>
        <w:ind w:left="762"/>
      </w:pPr>
      <w:r>
        <w:t>（</w:t>
      </w:r>
      <w:r>
        <w:rPr>
          <w:rFonts w:ascii="Times New Roman" w:eastAsia="Times New Roman"/>
        </w:rPr>
        <w:t>4</w:t>
      </w:r>
      <w:r>
        <w:t>）自行监测方案；</w:t>
      </w:r>
    </w:p>
    <w:p w14:paraId="7292296A">
      <w:pPr>
        <w:pStyle w:val="7"/>
        <w:spacing w:before="158" w:line="364" w:lineRule="auto"/>
        <w:ind w:left="282" w:right="280" w:firstLine="480"/>
        <w:jc w:val="both"/>
      </w:pPr>
      <w:r>
        <w:t>（</w:t>
      </w:r>
      <w:r>
        <w:rPr>
          <w:rFonts w:ascii="Times New Roman" w:eastAsia="Times New Roman"/>
        </w:rPr>
        <w:t>5</w:t>
      </w:r>
      <w:r>
        <w:t>）建设项目环境影响评价文件审批文号，或者按照有关国家规定经地方人民政府依法处理、整顿规范并符合要求的相关证明材料；</w:t>
      </w:r>
    </w:p>
    <w:p w14:paraId="11451463">
      <w:pPr>
        <w:pStyle w:val="7"/>
        <w:spacing w:line="306" w:lineRule="exact"/>
        <w:ind w:left="762"/>
      </w:pPr>
      <w:r>
        <w:t>（</w:t>
      </w:r>
      <w:r>
        <w:rPr>
          <w:rFonts w:ascii="Times New Roman" w:eastAsia="Times New Roman"/>
        </w:rPr>
        <w:t>6</w:t>
      </w:r>
      <w:r>
        <w:t>）排污许可证申请前信息公开情况说明表；</w:t>
      </w:r>
    </w:p>
    <w:p w14:paraId="10288905">
      <w:pPr>
        <w:pStyle w:val="7"/>
        <w:spacing w:before="161" w:line="362" w:lineRule="auto"/>
        <w:ind w:left="282" w:right="282" w:firstLine="480"/>
        <w:jc w:val="both"/>
      </w:pPr>
      <w:r>
        <w:t>（</w:t>
      </w:r>
      <w:r>
        <w:rPr>
          <w:rFonts w:ascii="Times New Roman" w:eastAsia="Times New Roman"/>
        </w:rPr>
        <w:t>7</w:t>
      </w:r>
      <w:r>
        <w:t>）污水集中处理设施的经营管理单位应当提供纳污范围、纳污单位名单、管网布置、最终排放去向等材料；</w:t>
      </w:r>
    </w:p>
    <w:p w14:paraId="0302D152">
      <w:pPr>
        <w:pStyle w:val="7"/>
        <w:spacing w:before="5" w:line="364" w:lineRule="auto"/>
        <w:ind w:left="282" w:right="280" w:firstLine="480"/>
        <w:jc w:val="both"/>
        <w:rPr>
          <w:rFonts w:ascii="Times New Roman" w:eastAsia="Times New Roman"/>
        </w:rPr>
      </w:pPr>
      <w:r>
        <w:t>（</w:t>
      </w:r>
      <w:r>
        <w:rPr>
          <w:rFonts w:ascii="Times New Roman" w:eastAsia="Times New Roman"/>
        </w:rPr>
        <w:t>8</w:t>
      </w:r>
      <w:r>
        <w:t>）新建、改建、扩建项目排污单位存在通过污染物排放等量或者减量替代削减获得重点污染物排放总量控制指标情况的，且出让重点污染物排放总量控制指标的排污单位已经取得排污许可证的，应当提供出让重点污染物排放总量控制指标的排污单位的排污许可证完成变更的相关材料</w:t>
      </w:r>
      <w:r>
        <w:rPr>
          <w:rFonts w:ascii="Times New Roman" w:eastAsia="Times New Roman"/>
        </w:rPr>
        <w:t>:</w:t>
      </w:r>
    </w:p>
    <w:p w14:paraId="77B29C3C">
      <w:pPr>
        <w:pStyle w:val="7"/>
        <w:spacing w:line="305" w:lineRule="exact"/>
        <w:ind w:left="762"/>
      </w:pPr>
      <w:r>
        <w:t>（</w:t>
      </w:r>
      <w:r>
        <w:rPr>
          <w:rFonts w:ascii="Times New Roman" w:eastAsia="Times New Roman"/>
        </w:rPr>
        <w:t>9</w:t>
      </w:r>
      <w:r>
        <w:t>）法律法规规章规定的其他材料。</w:t>
      </w:r>
    </w:p>
    <w:p w14:paraId="32379CC4">
      <w:pPr>
        <w:pStyle w:val="7"/>
        <w:spacing w:before="160" w:line="362" w:lineRule="auto"/>
        <w:ind w:left="282" w:right="282" w:firstLine="480"/>
        <w:jc w:val="both"/>
      </w:pPr>
      <w:r>
        <w:t>主要生产设施、主要产品产能等登记事项中涉及商业秘密的，排污单位应当进行标注。</w:t>
      </w:r>
    </w:p>
    <w:p w14:paraId="3F2246A9">
      <w:pPr>
        <w:pStyle w:val="6"/>
        <w:numPr>
          <w:ilvl w:val="2"/>
          <w:numId w:val="37"/>
        </w:numPr>
        <w:tabs>
          <w:tab w:val="left" w:pos="813"/>
        </w:tabs>
        <w:spacing w:before="5" w:after="0" w:line="240" w:lineRule="auto"/>
        <w:ind w:left="812" w:right="0" w:hanging="530"/>
        <w:jc w:val="left"/>
      </w:pPr>
      <w:bookmarkStart w:id="363" w:name="9.5.2主要污染物排放基本情况"/>
      <w:bookmarkEnd w:id="363"/>
      <w:bookmarkStart w:id="364" w:name="9.5.2主要污染物排放基本情况"/>
      <w:bookmarkEnd w:id="364"/>
      <w:r>
        <w:t>主要污染物排放基本情况</w:t>
      </w:r>
    </w:p>
    <w:p w14:paraId="327D3A66">
      <w:pPr>
        <w:pStyle w:val="7"/>
        <w:spacing w:before="158" w:line="364" w:lineRule="auto"/>
        <w:ind w:left="282" w:right="282" w:firstLine="480"/>
        <w:jc w:val="both"/>
      </w:pPr>
      <w:r>
        <w:rPr>
          <w:spacing w:val="-5"/>
        </w:rPr>
        <w:t xml:space="preserve">根据环境保护部办公厅 </w:t>
      </w:r>
      <w:r>
        <w:rPr>
          <w:rFonts w:ascii="Times New Roman" w:hAnsi="Times New Roman" w:eastAsia="Times New Roman"/>
        </w:rPr>
        <w:t xml:space="preserve">2017 </w:t>
      </w:r>
      <w:r>
        <w:t>年发布的《关于做好环境影响评价制度与排污</w:t>
      </w:r>
      <w:r>
        <w:rPr>
          <w:spacing w:val="2"/>
        </w:rPr>
        <w:t>许可制衔接相关工作的通知》（环办环评</w:t>
      </w:r>
      <w:r>
        <w:rPr>
          <w:rFonts w:ascii="Times New Roman" w:hAnsi="Times New Roman" w:eastAsia="Times New Roman"/>
        </w:rPr>
        <w:t xml:space="preserve">[2017[84 </w:t>
      </w:r>
      <w:r>
        <w:rPr>
          <w:spacing w:val="2"/>
        </w:rPr>
        <w:t>号</w:t>
      </w:r>
      <w:r>
        <w:rPr>
          <w:spacing w:val="3"/>
        </w:rPr>
        <w:t>）</w:t>
      </w:r>
      <w:r>
        <w:rPr>
          <w:spacing w:val="1"/>
        </w:rPr>
        <w:t>，“环境影响评价审批</w:t>
      </w:r>
      <w:r>
        <w:t>部门要做好建设项目环境影响报告书</w:t>
      </w:r>
      <w:r>
        <w:rPr>
          <w:spacing w:val="2"/>
        </w:rPr>
        <w:t>（表）</w:t>
      </w:r>
      <w:r>
        <w:t>的审查，结合排污许可证申请与核发技术规范，核定建设项目的产排污环节、污染物种类及污染防治设施和措施等基本信息；严格核定排放口数量、位置以及每个排放口的污染物种类、允许排放浓度和允许排放量、排放方式、排放去向、自行监测计划等与污染物排放相关的主要内容；改扩建项目的环境影响评价，应当将排污许可证执行情况作为现有工程回顾评价的主要依据”。</w:t>
      </w:r>
    </w:p>
    <w:p w14:paraId="43BBE967">
      <w:pPr>
        <w:pStyle w:val="3"/>
        <w:spacing w:line="357" w:lineRule="exact"/>
        <w:ind w:left="282" w:firstLine="0"/>
      </w:pPr>
      <w:bookmarkStart w:id="365" w:name="9.6项目竣工环保验收"/>
      <w:bookmarkEnd w:id="365"/>
      <w:bookmarkStart w:id="366" w:name="_bookmark51"/>
      <w:bookmarkEnd w:id="366"/>
      <w:r>
        <w:rPr>
          <w:rFonts w:ascii="Times New Roman" w:eastAsia="Times New Roman"/>
        </w:rPr>
        <w:t xml:space="preserve">9.6 </w:t>
      </w:r>
      <w:r>
        <w:t>项目竣工环保验收</w:t>
      </w:r>
    </w:p>
    <w:p w14:paraId="771BF513">
      <w:pPr>
        <w:pStyle w:val="7"/>
        <w:spacing w:before="183" w:line="364" w:lineRule="auto"/>
        <w:ind w:left="282" w:right="281" w:firstLine="480"/>
        <w:jc w:val="both"/>
      </w:pPr>
      <w:r>
        <w:rPr>
          <w:spacing w:val="2"/>
        </w:rPr>
        <w:t>根据《国务院关于修改</w:t>
      </w:r>
      <w:r>
        <w:rPr>
          <w:rFonts w:ascii="Times New Roman" w:eastAsia="Times New Roman"/>
          <w:spacing w:val="5"/>
        </w:rPr>
        <w:t>&lt;</w:t>
      </w:r>
      <w:r>
        <w:rPr>
          <w:spacing w:val="2"/>
        </w:rPr>
        <w:t>建设项目环境保护管理条例〉的决定》</w:t>
      </w:r>
      <w:r>
        <w:rPr>
          <w:rFonts w:ascii="Times New Roman" w:eastAsia="Times New Roman"/>
          <w:spacing w:val="5"/>
        </w:rPr>
        <w:t>(</w:t>
      </w:r>
      <w:r>
        <w:rPr>
          <w:spacing w:val="1"/>
        </w:rPr>
        <w:t>国务院第</w:t>
      </w:r>
      <w:r>
        <w:rPr>
          <w:rFonts w:ascii="Times New Roman" w:eastAsia="Times New Roman"/>
          <w:spacing w:val="1"/>
        </w:rPr>
        <w:t>682</w:t>
      </w:r>
      <w:r>
        <w:rPr>
          <w:rFonts w:ascii="Times New Roman" w:eastAsia="Times New Roman"/>
          <w:spacing w:val="0"/>
        </w:rPr>
        <w:t xml:space="preserve"> </w:t>
      </w:r>
      <w:r>
        <w:rPr>
          <w:spacing w:val="3"/>
        </w:rPr>
        <w:t>号令</w:t>
      </w:r>
      <w:r>
        <w:rPr>
          <w:rFonts w:ascii="Times New Roman" w:eastAsia="Times New Roman"/>
          <w:spacing w:val="2"/>
        </w:rPr>
        <w:t>)</w:t>
      </w:r>
      <w:r>
        <w:rPr>
          <w:spacing w:val="-17"/>
        </w:rPr>
        <w:t xml:space="preserve">，自 </w:t>
      </w:r>
      <w:r>
        <w:rPr>
          <w:rFonts w:ascii="Times New Roman" w:eastAsia="Times New Roman"/>
        </w:rPr>
        <w:t xml:space="preserve">2017 </w:t>
      </w:r>
      <w:r>
        <w:rPr>
          <w:spacing w:val="-27"/>
        </w:rPr>
        <w:t xml:space="preserve">年 </w:t>
      </w:r>
      <w:r>
        <w:rPr>
          <w:rFonts w:ascii="Times New Roman" w:eastAsia="Times New Roman"/>
        </w:rPr>
        <w:t xml:space="preserve">10 </w:t>
      </w:r>
      <w:r>
        <w:rPr>
          <w:spacing w:val="-27"/>
        </w:rPr>
        <w:t xml:space="preserve">月 </w:t>
      </w:r>
      <w:r>
        <w:rPr>
          <w:rFonts w:ascii="Times New Roman" w:eastAsia="Times New Roman"/>
        </w:rPr>
        <w:t xml:space="preserve">1 </w:t>
      </w:r>
      <w:r>
        <w:rPr>
          <w:spacing w:val="1"/>
        </w:rPr>
        <w:t>日起，编制环境影响报告书、环境影响报告表的</w:t>
      </w:r>
      <w:r>
        <w:t>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w:t>
      </w:r>
    </w:p>
    <w:p w14:paraId="72A79ACA">
      <w:pPr>
        <w:pStyle w:val="7"/>
        <w:spacing w:line="306" w:lineRule="exact"/>
        <w:ind w:left="282"/>
      </w:pPr>
      <w:r>
        <w:t>建设和调试情况，不得弄虚作假。除按照国家规定需要保密的情形外，建设单</w:t>
      </w:r>
    </w:p>
    <w:p w14:paraId="6E38BEA7">
      <w:pPr>
        <w:spacing w:after="0" w:line="306" w:lineRule="exact"/>
        <w:sectPr>
          <w:pgSz w:w="11910" w:h="16840"/>
          <w:pgMar w:top="1360" w:right="1520" w:bottom="1400" w:left="1520" w:header="878" w:footer="1204" w:gutter="0"/>
          <w:cols w:space="720" w:num="1"/>
        </w:sectPr>
      </w:pPr>
    </w:p>
    <w:p w14:paraId="4E8285DF">
      <w:pPr>
        <w:pStyle w:val="7"/>
        <w:spacing w:before="64" w:line="364" w:lineRule="auto"/>
        <w:ind w:left="282" w:right="282"/>
        <w:jc w:val="both"/>
      </w:pPr>
      <w:r>
        <w:t>位应当依法向社会公开验收报告。编制环境影响报告书、环境影响报告表的建设项目，其配套建设的环境保护设施经验收合格，方可投入生产或者使用；未经验收或者验收不合格的，不得投入生产或者使用。</w:t>
      </w:r>
    </w:p>
    <w:p w14:paraId="2EF48AF4">
      <w:pPr>
        <w:pStyle w:val="7"/>
        <w:spacing w:line="364" w:lineRule="auto"/>
        <w:ind w:left="282" w:right="280" w:firstLine="480"/>
        <w:jc w:val="both"/>
      </w:pPr>
      <w:r>
        <w:t>根据《建设项目竣工环境保护验收暂行办法》（国环规环评（</w:t>
      </w:r>
      <w:r>
        <w:rPr>
          <w:rFonts w:ascii="Times New Roman" w:hAnsi="Times New Roman" w:eastAsia="Times New Roman"/>
        </w:rPr>
        <w:t>2017</w:t>
      </w:r>
      <w:r>
        <w:t>）</w:t>
      </w:r>
      <w:r>
        <w:rPr>
          <w:rFonts w:ascii="Times New Roman" w:hAnsi="Times New Roman" w:eastAsia="Times New Roman"/>
        </w:rPr>
        <w:t xml:space="preserve">4 </w:t>
      </w:r>
      <w:r>
        <w:t xml:space="preserve">号）中“第一章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根据第二章第十三条，除需要取得排污许可证的水和大气污染防治设施外，其他环境保护设施的验收期限一般不超过 </w:t>
      </w:r>
      <w:r>
        <w:rPr>
          <w:rFonts w:ascii="Times New Roman" w:hAnsi="Times New Roman" w:eastAsia="Times New Roman"/>
        </w:rPr>
        <w:t xml:space="preserve">3 </w:t>
      </w:r>
      <w:r>
        <w:t>个月；需要对该类环境保护设施进行调试</w:t>
      </w:r>
    </w:p>
    <w:p w14:paraId="1FAD55B5">
      <w:pPr>
        <w:pStyle w:val="7"/>
        <w:spacing w:line="364" w:lineRule="auto"/>
        <w:ind w:left="282" w:right="280"/>
        <w:jc w:val="both"/>
      </w:pPr>
      <w:r>
        <w:rPr>
          <w:spacing w:val="-2"/>
        </w:rPr>
        <w:t xml:space="preserve">或者整改的，验收期限可以适当延期，但最长不超过 </w:t>
      </w:r>
      <w:r>
        <w:rPr>
          <w:rFonts w:ascii="Times New Roman" w:eastAsia="Times New Roman"/>
        </w:rPr>
        <w:t xml:space="preserve">12 </w:t>
      </w:r>
      <w:r>
        <w:t>个月。验收期限是指自建设项目环境环保设施竣工之日起至建设单位向社会公开验收报告之日止的时间。</w:t>
      </w:r>
    </w:p>
    <w:p w14:paraId="6D3DAD9F">
      <w:pPr>
        <w:pStyle w:val="7"/>
        <w:spacing w:line="362" w:lineRule="auto"/>
        <w:ind w:left="282" w:right="282" w:firstLine="480"/>
        <w:jc w:val="both"/>
      </w:pPr>
      <w:r>
        <w:t>建设项目竣工后，建设单位应当依据环评文件及其审批意见，编制建设项目环境保护设施竣工验收报告，向社会公开并向环保部门备案。</w:t>
      </w:r>
    </w:p>
    <w:p w14:paraId="1FE7072E">
      <w:pPr>
        <w:pStyle w:val="7"/>
        <w:ind w:left="762"/>
      </w:pPr>
      <w:r>
        <w:t>项目竣工环境保护验收一览表见下表。</w:t>
      </w:r>
    </w:p>
    <w:p w14:paraId="280C68C1">
      <w:pPr>
        <w:spacing w:after="0"/>
        <w:sectPr>
          <w:pgSz w:w="11910" w:h="16840"/>
          <w:pgMar w:top="1360" w:right="1520" w:bottom="1400" w:left="1520" w:header="878" w:footer="1204" w:gutter="0"/>
          <w:cols w:space="720" w:num="1"/>
        </w:sectPr>
      </w:pPr>
    </w:p>
    <w:p w14:paraId="41CB9A57">
      <w:pPr>
        <w:pStyle w:val="7"/>
        <w:rPr>
          <w:sz w:val="20"/>
        </w:rPr>
      </w:pPr>
    </w:p>
    <w:p w14:paraId="6B01BABA">
      <w:pPr>
        <w:pStyle w:val="7"/>
        <w:spacing w:before="9"/>
        <w:rPr>
          <w:sz w:val="22"/>
        </w:rPr>
      </w:pPr>
    </w:p>
    <w:p w14:paraId="31EAEB3C">
      <w:pPr>
        <w:spacing w:before="77"/>
        <w:ind w:left="5379" w:right="5381" w:firstLine="0"/>
        <w:jc w:val="center"/>
        <w:rPr>
          <w:b/>
          <w:sz w:val="21"/>
        </w:rPr>
      </w:pPr>
      <w:r>
        <w:rPr>
          <w:b/>
          <w:sz w:val="21"/>
        </w:rPr>
        <w:t xml:space="preserve">表 </w:t>
      </w:r>
      <w:r>
        <w:rPr>
          <w:rFonts w:ascii="Times New Roman" w:eastAsia="Times New Roman"/>
          <w:b/>
          <w:sz w:val="21"/>
        </w:rPr>
        <w:t xml:space="preserve">9.6-1  </w:t>
      </w:r>
      <w:r>
        <w:rPr>
          <w:b/>
          <w:sz w:val="21"/>
        </w:rPr>
        <w:t>项目竣工环境保护验收一览表</w:t>
      </w: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3"/>
        <w:gridCol w:w="2101"/>
        <w:gridCol w:w="2795"/>
        <w:gridCol w:w="814"/>
        <w:gridCol w:w="2361"/>
        <w:gridCol w:w="1182"/>
        <w:gridCol w:w="669"/>
        <w:gridCol w:w="3759"/>
      </w:tblGrid>
      <w:tr w14:paraId="3B633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93" w:type="dxa"/>
          </w:tcPr>
          <w:p w14:paraId="41FF8812">
            <w:pPr>
              <w:pStyle w:val="14"/>
              <w:spacing w:before="21" w:line="270" w:lineRule="atLeast"/>
              <w:ind w:left="141" w:right="130"/>
              <w:rPr>
                <w:b/>
                <w:sz w:val="21"/>
              </w:rPr>
            </w:pPr>
            <w:r>
              <w:rPr>
                <w:b/>
                <w:sz w:val="21"/>
              </w:rPr>
              <w:t>项目</w:t>
            </w:r>
          </w:p>
        </w:tc>
        <w:tc>
          <w:tcPr>
            <w:tcW w:w="2101" w:type="dxa"/>
          </w:tcPr>
          <w:p w14:paraId="4BAB3297">
            <w:pPr>
              <w:pStyle w:val="14"/>
              <w:spacing w:before="156"/>
              <w:ind w:left="188" w:right="182"/>
              <w:jc w:val="center"/>
              <w:rPr>
                <w:b/>
                <w:sz w:val="21"/>
              </w:rPr>
            </w:pPr>
            <w:r>
              <w:rPr>
                <w:b/>
                <w:sz w:val="21"/>
              </w:rPr>
              <w:t>污染源</w:t>
            </w:r>
          </w:p>
        </w:tc>
        <w:tc>
          <w:tcPr>
            <w:tcW w:w="2795" w:type="dxa"/>
          </w:tcPr>
          <w:p w14:paraId="6EF50D6C">
            <w:pPr>
              <w:pStyle w:val="14"/>
              <w:spacing w:before="156"/>
              <w:ind w:left="98" w:right="92"/>
              <w:jc w:val="center"/>
              <w:rPr>
                <w:b/>
                <w:sz w:val="21"/>
              </w:rPr>
            </w:pPr>
            <w:r>
              <w:rPr>
                <w:b/>
                <w:sz w:val="21"/>
              </w:rPr>
              <w:t>环保设施</w:t>
            </w:r>
          </w:p>
        </w:tc>
        <w:tc>
          <w:tcPr>
            <w:tcW w:w="814" w:type="dxa"/>
          </w:tcPr>
          <w:p w14:paraId="0C7B8711">
            <w:pPr>
              <w:pStyle w:val="14"/>
              <w:spacing w:before="21" w:line="270" w:lineRule="atLeast"/>
              <w:ind w:left="195" w:right="186"/>
              <w:rPr>
                <w:b/>
                <w:sz w:val="21"/>
              </w:rPr>
            </w:pPr>
            <w:r>
              <w:rPr>
                <w:b/>
                <w:sz w:val="21"/>
              </w:rPr>
              <w:t>排放方式</w:t>
            </w:r>
          </w:p>
        </w:tc>
        <w:tc>
          <w:tcPr>
            <w:tcW w:w="2361" w:type="dxa"/>
          </w:tcPr>
          <w:p w14:paraId="7E44FAA4">
            <w:pPr>
              <w:pStyle w:val="14"/>
              <w:spacing w:before="156"/>
              <w:ind w:left="181" w:right="172"/>
              <w:jc w:val="center"/>
              <w:rPr>
                <w:b/>
                <w:sz w:val="21"/>
              </w:rPr>
            </w:pPr>
            <w:r>
              <w:rPr>
                <w:b/>
                <w:sz w:val="21"/>
              </w:rPr>
              <w:t>验收因子</w:t>
            </w:r>
          </w:p>
        </w:tc>
        <w:tc>
          <w:tcPr>
            <w:tcW w:w="1182" w:type="dxa"/>
          </w:tcPr>
          <w:p w14:paraId="2FE7ADE9">
            <w:pPr>
              <w:pStyle w:val="14"/>
              <w:spacing w:before="156"/>
              <w:ind w:left="148" w:right="139"/>
              <w:jc w:val="center"/>
              <w:rPr>
                <w:b/>
                <w:sz w:val="21"/>
              </w:rPr>
            </w:pPr>
            <w:r>
              <w:rPr>
                <w:b/>
                <w:sz w:val="21"/>
              </w:rPr>
              <w:t>点位布设</w:t>
            </w:r>
          </w:p>
        </w:tc>
        <w:tc>
          <w:tcPr>
            <w:tcW w:w="669" w:type="dxa"/>
          </w:tcPr>
          <w:p w14:paraId="354ED04F">
            <w:pPr>
              <w:pStyle w:val="14"/>
              <w:spacing w:before="21" w:line="270" w:lineRule="atLeast"/>
              <w:ind w:left="122" w:right="114"/>
              <w:rPr>
                <w:b/>
                <w:sz w:val="21"/>
              </w:rPr>
            </w:pPr>
            <w:r>
              <w:rPr>
                <w:b/>
                <w:sz w:val="21"/>
              </w:rPr>
              <w:t>验收时间</w:t>
            </w:r>
          </w:p>
        </w:tc>
        <w:tc>
          <w:tcPr>
            <w:tcW w:w="3759" w:type="dxa"/>
          </w:tcPr>
          <w:p w14:paraId="36673045">
            <w:pPr>
              <w:pStyle w:val="14"/>
              <w:spacing w:before="156"/>
              <w:ind w:left="125" w:right="117"/>
              <w:jc w:val="center"/>
              <w:rPr>
                <w:b/>
                <w:sz w:val="21"/>
              </w:rPr>
            </w:pPr>
            <w:r>
              <w:rPr>
                <w:b/>
                <w:sz w:val="21"/>
              </w:rPr>
              <w:t>验收标准</w:t>
            </w:r>
          </w:p>
        </w:tc>
      </w:tr>
      <w:tr w14:paraId="605B5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493" w:type="dxa"/>
            <w:vMerge w:val="restart"/>
          </w:tcPr>
          <w:p w14:paraId="770C237C">
            <w:pPr>
              <w:pStyle w:val="14"/>
              <w:rPr>
                <w:b/>
                <w:sz w:val="20"/>
              </w:rPr>
            </w:pPr>
          </w:p>
          <w:p w14:paraId="6F3E7867">
            <w:pPr>
              <w:pStyle w:val="14"/>
              <w:rPr>
                <w:b/>
                <w:sz w:val="20"/>
              </w:rPr>
            </w:pPr>
          </w:p>
          <w:p w14:paraId="25002C5A">
            <w:pPr>
              <w:pStyle w:val="14"/>
              <w:rPr>
                <w:b/>
                <w:sz w:val="20"/>
              </w:rPr>
            </w:pPr>
          </w:p>
          <w:p w14:paraId="1DF19B23">
            <w:pPr>
              <w:pStyle w:val="14"/>
              <w:rPr>
                <w:b/>
                <w:sz w:val="20"/>
              </w:rPr>
            </w:pPr>
          </w:p>
          <w:p w14:paraId="255BC88C">
            <w:pPr>
              <w:pStyle w:val="14"/>
              <w:rPr>
                <w:b/>
                <w:sz w:val="20"/>
              </w:rPr>
            </w:pPr>
          </w:p>
          <w:p w14:paraId="08A47F9F">
            <w:pPr>
              <w:pStyle w:val="14"/>
              <w:spacing w:before="4"/>
              <w:rPr>
                <w:b/>
                <w:sz w:val="26"/>
              </w:rPr>
            </w:pPr>
          </w:p>
          <w:p w14:paraId="1516C66D">
            <w:pPr>
              <w:pStyle w:val="14"/>
              <w:spacing w:line="242" w:lineRule="auto"/>
              <w:ind w:left="141" w:right="130"/>
              <w:rPr>
                <w:sz w:val="21"/>
              </w:rPr>
            </w:pPr>
            <w:r>
              <w:rPr>
                <w:sz w:val="21"/>
              </w:rPr>
              <w:t>废气</w:t>
            </w:r>
          </w:p>
        </w:tc>
        <w:tc>
          <w:tcPr>
            <w:tcW w:w="2101" w:type="dxa"/>
          </w:tcPr>
          <w:p w14:paraId="060526DF">
            <w:pPr>
              <w:pStyle w:val="14"/>
              <w:spacing w:before="11"/>
              <w:rPr>
                <w:b/>
                <w:sz w:val="22"/>
              </w:rPr>
            </w:pPr>
          </w:p>
          <w:p w14:paraId="4DE4402A">
            <w:pPr>
              <w:pStyle w:val="14"/>
              <w:ind w:left="186" w:right="182"/>
              <w:jc w:val="center"/>
              <w:rPr>
                <w:sz w:val="21"/>
              </w:rPr>
            </w:pPr>
            <w:r>
              <w:rPr>
                <w:sz w:val="21"/>
              </w:rPr>
              <w:t>暂养区及配套</w:t>
            </w:r>
          </w:p>
        </w:tc>
        <w:tc>
          <w:tcPr>
            <w:tcW w:w="2795" w:type="dxa"/>
          </w:tcPr>
          <w:p w14:paraId="7EA12928">
            <w:pPr>
              <w:pStyle w:val="14"/>
              <w:spacing w:before="20" w:line="242" w:lineRule="auto"/>
              <w:ind w:left="101" w:right="92"/>
              <w:jc w:val="center"/>
              <w:rPr>
                <w:sz w:val="21"/>
              </w:rPr>
            </w:pPr>
            <w:r>
              <w:rPr>
                <w:w w:val="95"/>
                <w:sz w:val="21"/>
              </w:rPr>
              <w:t>高压喷雾</w:t>
            </w:r>
            <w:r>
              <w:rPr>
                <w:rFonts w:ascii="Times New Roman" w:eastAsia="Times New Roman"/>
                <w:w w:val="95"/>
                <w:sz w:val="21"/>
              </w:rPr>
              <w:t>+</w:t>
            </w:r>
            <w:r>
              <w:rPr>
                <w:w w:val="95"/>
                <w:sz w:val="21"/>
              </w:rPr>
              <w:t>集中收集</w:t>
            </w:r>
            <w:r>
              <w:rPr>
                <w:rFonts w:ascii="Times New Roman" w:eastAsia="Times New Roman"/>
                <w:w w:val="95"/>
                <w:sz w:val="21"/>
              </w:rPr>
              <w:t>+</w:t>
            </w:r>
            <w:r>
              <w:rPr>
                <w:w w:val="95"/>
                <w:sz w:val="21"/>
              </w:rPr>
              <w:t>喷淋吸</w:t>
            </w:r>
            <w:r>
              <w:rPr>
                <w:sz w:val="21"/>
              </w:rPr>
              <w:t>收塔</w:t>
            </w:r>
            <w:r>
              <w:rPr>
                <w:rFonts w:ascii="Times New Roman" w:eastAsia="Times New Roman"/>
                <w:sz w:val="21"/>
              </w:rPr>
              <w:t>+</w:t>
            </w:r>
            <w:r>
              <w:rPr>
                <w:sz w:val="21"/>
              </w:rPr>
              <w:t>生物除臭</w:t>
            </w:r>
            <w:r>
              <w:rPr>
                <w:rFonts w:ascii="Times New Roman" w:eastAsia="Times New Roman"/>
                <w:sz w:val="21"/>
              </w:rPr>
              <w:t xml:space="preserve">+15m </w:t>
            </w:r>
            <w:r>
              <w:rPr>
                <w:sz w:val="21"/>
              </w:rPr>
              <w:t>高排气筒</w:t>
            </w:r>
          </w:p>
        </w:tc>
        <w:tc>
          <w:tcPr>
            <w:tcW w:w="814" w:type="dxa"/>
          </w:tcPr>
          <w:p w14:paraId="73FF172E">
            <w:pPr>
              <w:pStyle w:val="14"/>
              <w:spacing w:before="156" w:line="242" w:lineRule="auto"/>
              <w:ind w:left="301" w:right="188" w:hanging="106"/>
              <w:rPr>
                <w:sz w:val="21"/>
              </w:rPr>
            </w:pPr>
            <w:r>
              <w:rPr>
                <w:w w:val="95"/>
                <w:sz w:val="21"/>
              </w:rPr>
              <w:t>有组</w:t>
            </w:r>
            <w:r>
              <w:rPr>
                <w:sz w:val="21"/>
              </w:rPr>
              <w:t>织</w:t>
            </w:r>
          </w:p>
        </w:tc>
        <w:tc>
          <w:tcPr>
            <w:tcW w:w="2361" w:type="dxa"/>
          </w:tcPr>
          <w:p w14:paraId="5C6A1BF8">
            <w:pPr>
              <w:pStyle w:val="14"/>
              <w:spacing w:before="156" w:line="242" w:lineRule="auto"/>
              <w:ind w:left="1073" w:right="120" w:hanging="944"/>
              <w:rPr>
                <w:sz w:val="21"/>
              </w:rPr>
            </w:pPr>
            <w:r>
              <w:rPr>
                <w:w w:val="95"/>
                <w:sz w:val="21"/>
              </w:rPr>
              <w:t>硫化氢、氨气、臭气浓</w:t>
            </w:r>
            <w:r>
              <w:rPr>
                <w:sz w:val="21"/>
              </w:rPr>
              <w:t>度</w:t>
            </w:r>
          </w:p>
        </w:tc>
        <w:tc>
          <w:tcPr>
            <w:tcW w:w="1182" w:type="dxa"/>
          </w:tcPr>
          <w:p w14:paraId="2AE36149">
            <w:pPr>
              <w:pStyle w:val="14"/>
              <w:spacing w:before="156" w:line="242" w:lineRule="auto"/>
              <w:ind w:left="486" w:right="160" w:hanging="315"/>
              <w:rPr>
                <w:sz w:val="21"/>
              </w:rPr>
            </w:pPr>
            <w:r>
              <w:rPr>
                <w:w w:val="95"/>
                <w:sz w:val="21"/>
              </w:rPr>
              <w:t>排气筒出</w:t>
            </w:r>
            <w:r>
              <w:rPr>
                <w:sz w:val="21"/>
              </w:rPr>
              <w:t>口</w:t>
            </w:r>
          </w:p>
        </w:tc>
        <w:tc>
          <w:tcPr>
            <w:tcW w:w="669" w:type="dxa"/>
            <w:vMerge w:val="restart"/>
          </w:tcPr>
          <w:p w14:paraId="5C1060FE">
            <w:pPr>
              <w:pStyle w:val="14"/>
              <w:rPr>
                <w:b/>
                <w:sz w:val="20"/>
              </w:rPr>
            </w:pPr>
          </w:p>
          <w:p w14:paraId="7A5C4A18">
            <w:pPr>
              <w:pStyle w:val="14"/>
              <w:rPr>
                <w:b/>
                <w:sz w:val="20"/>
              </w:rPr>
            </w:pPr>
          </w:p>
          <w:p w14:paraId="31E5207F">
            <w:pPr>
              <w:pStyle w:val="14"/>
              <w:rPr>
                <w:b/>
                <w:sz w:val="20"/>
              </w:rPr>
            </w:pPr>
          </w:p>
          <w:p w14:paraId="34656582">
            <w:pPr>
              <w:pStyle w:val="14"/>
              <w:rPr>
                <w:b/>
                <w:sz w:val="20"/>
              </w:rPr>
            </w:pPr>
          </w:p>
          <w:p w14:paraId="65A52551">
            <w:pPr>
              <w:pStyle w:val="14"/>
              <w:rPr>
                <w:b/>
                <w:sz w:val="20"/>
              </w:rPr>
            </w:pPr>
          </w:p>
          <w:p w14:paraId="1ECDF92F">
            <w:pPr>
              <w:pStyle w:val="14"/>
              <w:rPr>
                <w:b/>
                <w:sz w:val="20"/>
              </w:rPr>
            </w:pPr>
          </w:p>
          <w:p w14:paraId="02121326">
            <w:pPr>
              <w:pStyle w:val="14"/>
              <w:rPr>
                <w:b/>
                <w:sz w:val="20"/>
              </w:rPr>
            </w:pPr>
          </w:p>
          <w:p w14:paraId="6DEE83C1">
            <w:pPr>
              <w:pStyle w:val="14"/>
              <w:rPr>
                <w:b/>
                <w:sz w:val="20"/>
              </w:rPr>
            </w:pPr>
          </w:p>
          <w:p w14:paraId="2BE63B90">
            <w:pPr>
              <w:pStyle w:val="14"/>
              <w:rPr>
                <w:b/>
                <w:sz w:val="20"/>
              </w:rPr>
            </w:pPr>
          </w:p>
          <w:p w14:paraId="43D9B623">
            <w:pPr>
              <w:pStyle w:val="14"/>
              <w:rPr>
                <w:b/>
                <w:sz w:val="20"/>
              </w:rPr>
            </w:pPr>
          </w:p>
          <w:p w14:paraId="2F9D8FB1">
            <w:pPr>
              <w:pStyle w:val="14"/>
              <w:rPr>
                <w:b/>
                <w:sz w:val="20"/>
              </w:rPr>
            </w:pPr>
          </w:p>
          <w:p w14:paraId="2F1170BC">
            <w:pPr>
              <w:pStyle w:val="14"/>
              <w:spacing w:before="9"/>
              <w:rPr>
                <w:b/>
                <w:sz w:val="14"/>
              </w:rPr>
            </w:pPr>
          </w:p>
          <w:p w14:paraId="2E97B4CF">
            <w:pPr>
              <w:pStyle w:val="14"/>
              <w:spacing w:before="1" w:line="242" w:lineRule="auto"/>
              <w:ind w:left="122" w:right="116"/>
              <w:jc w:val="both"/>
              <w:rPr>
                <w:sz w:val="21"/>
              </w:rPr>
            </w:pPr>
            <w:r>
              <w:rPr>
                <w:w w:val="95"/>
                <w:sz w:val="21"/>
              </w:rPr>
              <w:t>与主体工程同时验</w:t>
            </w:r>
            <w:r>
              <w:rPr>
                <w:sz w:val="21"/>
              </w:rPr>
              <w:t>收</w:t>
            </w:r>
          </w:p>
        </w:tc>
        <w:tc>
          <w:tcPr>
            <w:tcW w:w="3759" w:type="dxa"/>
            <w:vMerge w:val="restart"/>
          </w:tcPr>
          <w:p w14:paraId="23AA3FB7">
            <w:pPr>
              <w:pStyle w:val="14"/>
              <w:rPr>
                <w:b/>
                <w:sz w:val="22"/>
              </w:rPr>
            </w:pPr>
          </w:p>
          <w:p w14:paraId="2CBD8C92">
            <w:pPr>
              <w:pStyle w:val="14"/>
              <w:rPr>
                <w:b/>
                <w:sz w:val="22"/>
              </w:rPr>
            </w:pPr>
          </w:p>
          <w:p w14:paraId="39DEE8F8">
            <w:pPr>
              <w:pStyle w:val="14"/>
              <w:rPr>
                <w:b/>
                <w:sz w:val="22"/>
              </w:rPr>
            </w:pPr>
          </w:p>
          <w:p w14:paraId="367FC5BE">
            <w:pPr>
              <w:pStyle w:val="14"/>
              <w:rPr>
                <w:b/>
                <w:sz w:val="22"/>
              </w:rPr>
            </w:pPr>
          </w:p>
          <w:p w14:paraId="2DD67073">
            <w:pPr>
              <w:pStyle w:val="14"/>
              <w:spacing w:before="193" w:line="242" w:lineRule="auto"/>
              <w:ind w:left="1668" w:right="204" w:hanging="1440"/>
              <w:rPr>
                <w:sz w:val="21"/>
              </w:rPr>
            </w:pPr>
            <w:r>
              <w:rPr>
                <w:spacing w:val="-10"/>
                <w:sz w:val="21"/>
              </w:rPr>
              <w:t>《恶臭污染物排放标准》</w:t>
            </w:r>
            <w:r>
              <w:rPr>
                <w:sz w:val="21"/>
              </w:rPr>
              <w:t>（</w:t>
            </w:r>
            <w:r>
              <w:rPr>
                <w:rFonts w:ascii="Times New Roman" w:eastAsia="Times New Roman"/>
                <w:sz w:val="21"/>
              </w:rPr>
              <w:t>GB14554- 93</w:t>
            </w:r>
            <w:r>
              <w:rPr>
                <w:sz w:val="21"/>
              </w:rPr>
              <w:t>）</w:t>
            </w:r>
          </w:p>
        </w:tc>
      </w:tr>
      <w:tr w14:paraId="716DE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493" w:type="dxa"/>
            <w:vMerge w:val="continue"/>
            <w:tcBorders>
              <w:top w:val="nil"/>
            </w:tcBorders>
          </w:tcPr>
          <w:p w14:paraId="1C3DD3D4">
            <w:pPr>
              <w:rPr>
                <w:sz w:val="2"/>
                <w:szCs w:val="2"/>
              </w:rPr>
            </w:pPr>
          </w:p>
        </w:tc>
        <w:tc>
          <w:tcPr>
            <w:tcW w:w="2101" w:type="dxa"/>
          </w:tcPr>
          <w:p w14:paraId="5E4E369C">
            <w:pPr>
              <w:pStyle w:val="14"/>
              <w:spacing w:before="156" w:line="244" w:lineRule="auto"/>
              <w:ind w:left="735" w:right="201" w:hanging="526"/>
              <w:rPr>
                <w:sz w:val="21"/>
              </w:rPr>
            </w:pPr>
            <w:r>
              <w:rPr>
                <w:w w:val="95"/>
                <w:sz w:val="21"/>
              </w:rPr>
              <w:t>屠宰生产区和污水</w:t>
            </w:r>
            <w:r>
              <w:rPr>
                <w:sz w:val="21"/>
              </w:rPr>
              <w:t>处理站</w:t>
            </w:r>
          </w:p>
        </w:tc>
        <w:tc>
          <w:tcPr>
            <w:tcW w:w="2795" w:type="dxa"/>
          </w:tcPr>
          <w:p w14:paraId="4430A774">
            <w:pPr>
              <w:pStyle w:val="14"/>
              <w:spacing w:before="21" w:line="270" w:lineRule="atLeast"/>
              <w:ind w:left="122" w:right="113" w:hanging="1"/>
              <w:jc w:val="center"/>
              <w:rPr>
                <w:sz w:val="21"/>
              </w:rPr>
            </w:pPr>
            <w:r>
              <w:rPr>
                <w:sz w:val="21"/>
              </w:rPr>
              <w:t>内脏处理间和一般固废间局</w:t>
            </w:r>
            <w:r>
              <w:rPr>
                <w:w w:val="95"/>
                <w:sz w:val="21"/>
              </w:rPr>
              <w:t>部负压收集</w:t>
            </w:r>
            <w:r>
              <w:rPr>
                <w:rFonts w:ascii="Times New Roman" w:eastAsia="Times New Roman"/>
                <w:w w:val="95"/>
                <w:sz w:val="21"/>
              </w:rPr>
              <w:t>+</w:t>
            </w:r>
            <w:r>
              <w:rPr>
                <w:w w:val="95"/>
                <w:sz w:val="21"/>
              </w:rPr>
              <w:t>喷淋吸收塔</w:t>
            </w:r>
            <w:r>
              <w:rPr>
                <w:rFonts w:ascii="Times New Roman" w:eastAsia="Times New Roman"/>
                <w:w w:val="95"/>
                <w:sz w:val="21"/>
              </w:rPr>
              <w:t>+</w:t>
            </w:r>
            <w:r>
              <w:rPr>
                <w:w w:val="95"/>
                <w:sz w:val="21"/>
              </w:rPr>
              <w:t>生</w:t>
            </w:r>
            <w:r>
              <w:rPr>
                <w:sz w:val="21"/>
              </w:rPr>
              <w:t>物除臭</w:t>
            </w:r>
            <w:r>
              <w:rPr>
                <w:rFonts w:ascii="Times New Roman" w:eastAsia="Times New Roman"/>
                <w:sz w:val="21"/>
              </w:rPr>
              <w:t xml:space="preserve">+15m </w:t>
            </w:r>
            <w:r>
              <w:rPr>
                <w:sz w:val="21"/>
              </w:rPr>
              <w:t>高排气筒</w:t>
            </w:r>
          </w:p>
        </w:tc>
        <w:tc>
          <w:tcPr>
            <w:tcW w:w="814" w:type="dxa"/>
          </w:tcPr>
          <w:p w14:paraId="58D98A1E">
            <w:pPr>
              <w:pStyle w:val="14"/>
              <w:spacing w:before="156" w:line="244" w:lineRule="auto"/>
              <w:ind w:left="301" w:right="188" w:hanging="106"/>
              <w:rPr>
                <w:sz w:val="21"/>
              </w:rPr>
            </w:pPr>
            <w:r>
              <w:rPr>
                <w:w w:val="95"/>
                <w:sz w:val="21"/>
              </w:rPr>
              <w:t>有组</w:t>
            </w:r>
            <w:r>
              <w:rPr>
                <w:sz w:val="21"/>
              </w:rPr>
              <w:t>织</w:t>
            </w:r>
          </w:p>
        </w:tc>
        <w:tc>
          <w:tcPr>
            <w:tcW w:w="2361" w:type="dxa"/>
          </w:tcPr>
          <w:p w14:paraId="49E7382A">
            <w:pPr>
              <w:pStyle w:val="14"/>
              <w:spacing w:before="156" w:line="244" w:lineRule="auto"/>
              <w:ind w:left="1073" w:right="120" w:hanging="944"/>
              <w:rPr>
                <w:sz w:val="21"/>
              </w:rPr>
            </w:pPr>
            <w:r>
              <w:rPr>
                <w:w w:val="95"/>
                <w:sz w:val="21"/>
              </w:rPr>
              <w:t>硫化氢、氨气、臭气浓</w:t>
            </w:r>
            <w:r>
              <w:rPr>
                <w:sz w:val="21"/>
              </w:rPr>
              <w:t>度</w:t>
            </w:r>
          </w:p>
        </w:tc>
        <w:tc>
          <w:tcPr>
            <w:tcW w:w="1182" w:type="dxa"/>
          </w:tcPr>
          <w:p w14:paraId="1A930021">
            <w:pPr>
              <w:pStyle w:val="14"/>
              <w:spacing w:before="156" w:line="244" w:lineRule="auto"/>
              <w:ind w:left="486" w:right="160" w:hanging="315"/>
              <w:rPr>
                <w:sz w:val="21"/>
              </w:rPr>
            </w:pPr>
            <w:r>
              <w:rPr>
                <w:w w:val="95"/>
                <w:sz w:val="21"/>
              </w:rPr>
              <w:t>排气筒出</w:t>
            </w:r>
            <w:r>
              <w:rPr>
                <w:sz w:val="21"/>
              </w:rPr>
              <w:t>口</w:t>
            </w:r>
          </w:p>
        </w:tc>
        <w:tc>
          <w:tcPr>
            <w:tcW w:w="669" w:type="dxa"/>
            <w:vMerge w:val="continue"/>
            <w:tcBorders>
              <w:top w:val="nil"/>
            </w:tcBorders>
          </w:tcPr>
          <w:p w14:paraId="54B79E8C">
            <w:pPr>
              <w:rPr>
                <w:sz w:val="2"/>
                <w:szCs w:val="2"/>
              </w:rPr>
            </w:pPr>
          </w:p>
        </w:tc>
        <w:tc>
          <w:tcPr>
            <w:tcW w:w="3759" w:type="dxa"/>
            <w:vMerge w:val="continue"/>
            <w:tcBorders>
              <w:top w:val="nil"/>
            </w:tcBorders>
          </w:tcPr>
          <w:p w14:paraId="0FC6FF53">
            <w:pPr>
              <w:rPr>
                <w:sz w:val="2"/>
                <w:szCs w:val="2"/>
              </w:rPr>
            </w:pPr>
          </w:p>
        </w:tc>
      </w:tr>
      <w:tr w14:paraId="2083B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93" w:type="dxa"/>
            <w:vMerge w:val="continue"/>
            <w:tcBorders>
              <w:top w:val="nil"/>
            </w:tcBorders>
          </w:tcPr>
          <w:p w14:paraId="564FD0F8">
            <w:pPr>
              <w:rPr>
                <w:sz w:val="2"/>
                <w:szCs w:val="2"/>
              </w:rPr>
            </w:pPr>
          </w:p>
        </w:tc>
        <w:tc>
          <w:tcPr>
            <w:tcW w:w="2101" w:type="dxa"/>
          </w:tcPr>
          <w:p w14:paraId="7133B01B">
            <w:pPr>
              <w:pStyle w:val="14"/>
              <w:spacing w:before="155"/>
              <w:ind w:left="188" w:right="182"/>
              <w:jc w:val="center"/>
              <w:rPr>
                <w:sz w:val="21"/>
              </w:rPr>
            </w:pPr>
            <w:r>
              <w:rPr>
                <w:sz w:val="21"/>
              </w:rPr>
              <w:t>备用车间</w:t>
            </w:r>
          </w:p>
        </w:tc>
        <w:tc>
          <w:tcPr>
            <w:tcW w:w="2795" w:type="dxa"/>
          </w:tcPr>
          <w:p w14:paraId="401FC98A">
            <w:pPr>
              <w:pStyle w:val="14"/>
              <w:spacing w:before="21" w:line="242" w:lineRule="auto"/>
              <w:ind w:left="290" w:right="113" w:hanging="168"/>
              <w:rPr>
                <w:sz w:val="21"/>
              </w:rPr>
            </w:pPr>
            <w:r>
              <w:rPr>
                <w:sz w:val="21"/>
              </w:rPr>
              <w:t>密闭负压收集</w:t>
            </w:r>
            <w:r>
              <w:rPr>
                <w:rFonts w:ascii="Times New Roman" w:eastAsia="Times New Roman"/>
                <w:sz w:val="21"/>
              </w:rPr>
              <w:t>+</w:t>
            </w:r>
            <w:r>
              <w:rPr>
                <w:sz w:val="21"/>
              </w:rPr>
              <w:t>喷淋吸收塔</w:t>
            </w:r>
            <w:r>
              <w:rPr>
                <w:rFonts w:ascii="Times New Roman" w:eastAsia="Times New Roman"/>
                <w:sz w:val="21"/>
              </w:rPr>
              <w:t xml:space="preserve">+ </w:t>
            </w:r>
            <w:r>
              <w:rPr>
                <w:sz w:val="21"/>
              </w:rPr>
              <w:t>生物除臭</w:t>
            </w:r>
            <w:r>
              <w:rPr>
                <w:rFonts w:ascii="Times New Roman" w:eastAsia="Times New Roman"/>
                <w:sz w:val="21"/>
              </w:rPr>
              <w:t xml:space="preserve">+15m </w:t>
            </w:r>
            <w:r>
              <w:rPr>
                <w:sz w:val="21"/>
              </w:rPr>
              <w:t>高排气筒</w:t>
            </w:r>
          </w:p>
        </w:tc>
        <w:tc>
          <w:tcPr>
            <w:tcW w:w="814" w:type="dxa"/>
          </w:tcPr>
          <w:p w14:paraId="384DDE57">
            <w:pPr>
              <w:pStyle w:val="14"/>
              <w:spacing w:before="21" w:line="242" w:lineRule="auto"/>
              <w:ind w:left="301" w:right="188" w:hanging="106"/>
              <w:rPr>
                <w:sz w:val="21"/>
              </w:rPr>
            </w:pPr>
            <w:r>
              <w:rPr>
                <w:w w:val="95"/>
                <w:sz w:val="21"/>
              </w:rPr>
              <w:t>有组</w:t>
            </w:r>
            <w:r>
              <w:rPr>
                <w:sz w:val="21"/>
              </w:rPr>
              <w:t>织</w:t>
            </w:r>
          </w:p>
        </w:tc>
        <w:tc>
          <w:tcPr>
            <w:tcW w:w="2361" w:type="dxa"/>
          </w:tcPr>
          <w:p w14:paraId="51C8A06E">
            <w:pPr>
              <w:pStyle w:val="14"/>
              <w:spacing w:before="21" w:line="242" w:lineRule="auto"/>
              <w:ind w:left="1073" w:right="120" w:hanging="944"/>
              <w:rPr>
                <w:sz w:val="21"/>
              </w:rPr>
            </w:pPr>
            <w:r>
              <w:rPr>
                <w:w w:val="95"/>
                <w:sz w:val="21"/>
              </w:rPr>
              <w:t>硫化氢、氨气、臭气浓</w:t>
            </w:r>
            <w:r>
              <w:rPr>
                <w:sz w:val="21"/>
              </w:rPr>
              <w:t>度</w:t>
            </w:r>
          </w:p>
        </w:tc>
        <w:tc>
          <w:tcPr>
            <w:tcW w:w="1182" w:type="dxa"/>
          </w:tcPr>
          <w:p w14:paraId="5CD6F1B3">
            <w:pPr>
              <w:pStyle w:val="14"/>
              <w:spacing w:before="21" w:line="242" w:lineRule="auto"/>
              <w:ind w:left="486" w:right="160" w:hanging="315"/>
              <w:rPr>
                <w:sz w:val="21"/>
              </w:rPr>
            </w:pPr>
            <w:r>
              <w:rPr>
                <w:w w:val="95"/>
                <w:sz w:val="21"/>
              </w:rPr>
              <w:t>排气筒出</w:t>
            </w:r>
            <w:r>
              <w:rPr>
                <w:sz w:val="21"/>
              </w:rPr>
              <w:t>口</w:t>
            </w:r>
          </w:p>
        </w:tc>
        <w:tc>
          <w:tcPr>
            <w:tcW w:w="669" w:type="dxa"/>
            <w:vMerge w:val="continue"/>
            <w:tcBorders>
              <w:top w:val="nil"/>
            </w:tcBorders>
          </w:tcPr>
          <w:p w14:paraId="0B0CEAE4">
            <w:pPr>
              <w:rPr>
                <w:sz w:val="2"/>
                <w:szCs w:val="2"/>
              </w:rPr>
            </w:pPr>
          </w:p>
        </w:tc>
        <w:tc>
          <w:tcPr>
            <w:tcW w:w="3759" w:type="dxa"/>
            <w:vMerge w:val="continue"/>
            <w:tcBorders>
              <w:top w:val="nil"/>
            </w:tcBorders>
          </w:tcPr>
          <w:p w14:paraId="38D9FABA">
            <w:pPr>
              <w:rPr>
                <w:sz w:val="2"/>
                <w:szCs w:val="2"/>
              </w:rPr>
            </w:pPr>
          </w:p>
        </w:tc>
      </w:tr>
      <w:tr w14:paraId="46C18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493" w:type="dxa"/>
            <w:vMerge w:val="continue"/>
            <w:tcBorders>
              <w:top w:val="nil"/>
            </w:tcBorders>
          </w:tcPr>
          <w:p w14:paraId="263464A2">
            <w:pPr>
              <w:rPr>
                <w:sz w:val="2"/>
                <w:szCs w:val="2"/>
              </w:rPr>
            </w:pPr>
          </w:p>
        </w:tc>
        <w:tc>
          <w:tcPr>
            <w:tcW w:w="2101" w:type="dxa"/>
          </w:tcPr>
          <w:p w14:paraId="03EB0DB2">
            <w:pPr>
              <w:pStyle w:val="14"/>
              <w:spacing w:before="155" w:line="242" w:lineRule="auto"/>
              <w:ind w:left="838" w:right="201" w:hanging="629"/>
              <w:rPr>
                <w:sz w:val="21"/>
              </w:rPr>
            </w:pPr>
            <w:r>
              <w:rPr>
                <w:w w:val="95"/>
                <w:sz w:val="21"/>
              </w:rPr>
              <w:t>屠宰生产区和备用</w:t>
            </w:r>
            <w:r>
              <w:rPr>
                <w:sz w:val="21"/>
              </w:rPr>
              <w:t>车间</w:t>
            </w:r>
          </w:p>
        </w:tc>
        <w:tc>
          <w:tcPr>
            <w:tcW w:w="2795" w:type="dxa"/>
          </w:tcPr>
          <w:p w14:paraId="33418B50">
            <w:pPr>
              <w:pStyle w:val="14"/>
              <w:spacing w:before="19" w:line="242" w:lineRule="auto"/>
              <w:ind w:left="136" w:right="128" w:firstLine="2"/>
              <w:jc w:val="center"/>
              <w:rPr>
                <w:sz w:val="21"/>
              </w:rPr>
            </w:pPr>
            <w:r>
              <w:rPr>
                <w:sz w:val="21"/>
              </w:rPr>
              <w:t xml:space="preserve">定期清扫，喷洒生物除臭 </w:t>
            </w:r>
            <w:r>
              <w:rPr>
                <w:w w:val="95"/>
                <w:sz w:val="21"/>
              </w:rPr>
              <w:t>剂，厂房加强通风换气，厂</w:t>
            </w:r>
            <w:r>
              <w:rPr>
                <w:sz w:val="21"/>
              </w:rPr>
              <w:t>界绿化</w:t>
            </w:r>
          </w:p>
        </w:tc>
        <w:tc>
          <w:tcPr>
            <w:tcW w:w="814" w:type="dxa"/>
          </w:tcPr>
          <w:p w14:paraId="1F1AEAE2">
            <w:pPr>
              <w:pStyle w:val="14"/>
              <w:spacing w:before="155" w:line="242" w:lineRule="auto"/>
              <w:ind w:left="301" w:right="188" w:hanging="106"/>
              <w:rPr>
                <w:sz w:val="21"/>
              </w:rPr>
            </w:pPr>
            <w:r>
              <w:rPr>
                <w:w w:val="95"/>
                <w:sz w:val="21"/>
              </w:rPr>
              <w:t>无组</w:t>
            </w:r>
            <w:r>
              <w:rPr>
                <w:sz w:val="21"/>
              </w:rPr>
              <w:t>织</w:t>
            </w:r>
          </w:p>
        </w:tc>
        <w:tc>
          <w:tcPr>
            <w:tcW w:w="2361" w:type="dxa"/>
          </w:tcPr>
          <w:p w14:paraId="0F173A2D">
            <w:pPr>
              <w:pStyle w:val="14"/>
              <w:spacing w:before="155" w:line="242" w:lineRule="auto"/>
              <w:ind w:left="1073" w:right="120" w:hanging="944"/>
              <w:rPr>
                <w:sz w:val="21"/>
              </w:rPr>
            </w:pPr>
            <w:r>
              <w:rPr>
                <w:w w:val="95"/>
                <w:sz w:val="21"/>
              </w:rPr>
              <w:t>硫化氢、氨气、臭气浓</w:t>
            </w:r>
            <w:r>
              <w:rPr>
                <w:sz w:val="21"/>
              </w:rPr>
              <w:t>度</w:t>
            </w:r>
          </w:p>
        </w:tc>
        <w:tc>
          <w:tcPr>
            <w:tcW w:w="1182" w:type="dxa"/>
          </w:tcPr>
          <w:p w14:paraId="1E63D9DD">
            <w:pPr>
              <w:pStyle w:val="14"/>
              <w:spacing w:before="10"/>
              <w:rPr>
                <w:b/>
                <w:sz w:val="22"/>
              </w:rPr>
            </w:pPr>
          </w:p>
          <w:p w14:paraId="0A43C535">
            <w:pPr>
              <w:pStyle w:val="14"/>
              <w:ind w:left="148" w:right="139"/>
              <w:jc w:val="center"/>
              <w:rPr>
                <w:sz w:val="21"/>
              </w:rPr>
            </w:pPr>
            <w:r>
              <w:rPr>
                <w:sz w:val="21"/>
              </w:rPr>
              <w:t>厂界四周</w:t>
            </w:r>
          </w:p>
        </w:tc>
        <w:tc>
          <w:tcPr>
            <w:tcW w:w="669" w:type="dxa"/>
            <w:vMerge w:val="continue"/>
            <w:tcBorders>
              <w:top w:val="nil"/>
            </w:tcBorders>
          </w:tcPr>
          <w:p w14:paraId="124EA02A">
            <w:pPr>
              <w:rPr>
                <w:sz w:val="2"/>
                <w:szCs w:val="2"/>
              </w:rPr>
            </w:pPr>
          </w:p>
        </w:tc>
        <w:tc>
          <w:tcPr>
            <w:tcW w:w="3759" w:type="dxa"/>
            <w:vMerge w:val="continue"/>
            <w:tcBorders>
              <w:top w:val="nil"/>
            </w:tcBorders>
          </w:tcPr>
          <w:p w14:paraId="56505F94">
            <w:pPr>
              <w:rPr>
                <w:sz w:val="2"/>
                <w:szCs w:val="2"/>
              </w:rPr>
            </w:pPr>
          </w:p>
        </w:tc>
      </w:tr>
      <w:tr w14:paraId="0A91F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93" w:type="dxa"/>
            <w:vMerge w:val="continue"/>
            <w:tcBorders>
              <w:top w:val="nil"/>
            </w:tcBorders>
          </w:tcPr>
          <w:p w14:paraId="2F1A8E4A">
            <w:pPr>
              <w:rPr>
                <w:sz w:val="2"/>
                <w:szCs w:val="2"/>
              </w:rPr>
            </w:pPr>
          </w:p>
        </w:tc>
        <w:tc>
          <w:tcPr>
            <w:tcW w:w="2101" w:type="dxa"/>
          </w:tcPr>
          <w:p w14:paraId="6AE4CE63">
            <w:pPr>
              <w:pStyle w:val="14"/>
              <w:spacing w:before="155"/>
              <w:ind w:left="188" w:right="179"/>
              <w:jc w:val="center"/>
              <w:rPr>
                <w:sz w:val="21"/>
              </w:rPr>
            </w:pPr>
            <w:r>
              <w:rPr>
                <w:sz w:val="21"/>
              </w:rPr>
              <w:t>锅炉房</w:t>
            </w:r>
          </w:p>
        </w:tc>
        <w:tc>
          <w:tcPr>
            <w:tcW w:w="2795" w:type="dxa"/>
          </w:tcPr>
          <w:p w14:paraId="4A5EFFEB">
            <w:pPr>
              <w:pStyle w:val="14"/>
              <w:spacing w:before="155"/>
              <w:ind w:left="96" w:right="92"/>
              <w:jc w:val="center"/>
              <w:rPr>
                <w:sz w:val="21"/>
              </w:rPr>
            </w:pPr>
            <w:r>
              <w:rPr>
                <w:sz w:val="21"/>
              </w:rPr>
              <w:t>低氮燃烧</w:t>
            </w:r>
            <w:r>
              <w:rPr>
                <w:rFonts w:ascii="Times New Roman" w:eastAsia="Times New Roman"/>
                <w:sz w:val="21"/>
              </w:rPr>
              <w:t xml:space="preserve">+15m </w:t>
            </w:r>
            <w:r>
              <w:rPr>
                <w:sz w:val="21"/>
              </w:rPr>
              <w:t>排气筒</w:t>
            </w:r>
          </w:p>
        </w:tc>
        <w:tc>
          <w:tcPr>
            <w:tcW w:w="814" w:type="dxa"/>
          </w:tcPr>
          <w:p w14:paraId="2FB58756">
            <w:pPr>
              <w:pStyle w:val="14"/>
              <w:spacing w:before="20" w:line="242" w:lineRule="auto"/>
              <w:ind w:left="301" w:right="188" w:hanging="106"/>
              <w:rPr>
                <w:sz w:val="21"/>
              </w:rPr>
            </w:pPr>
            <w:r>
              <w:rPr>
                <w:w w:val="95"/>
                <w:sz w:val="21"/>
              </w:rPr>
              <w:t>有组</w:t>
            </w:r>
            <w:r>
              <w:rPr>
                <w:sz w:val="21"/>
              </w:rPr>
              <w:t>织</w:t>
            </w:r>
          </w:p>
        </w:tc>
        <w:tc>
          <w:tcPr>
            <w:tcW w:w="2361" w:type="dxa"/>
          </w:tcPr>
          <w:p w14:paraId="5FF1FA3E">
            <w:pPr>
              <w:pStyle w:val="14"/>
              <w:spacing w:before="155"/>
              <w:ind w:left="179" w:right="174"/>
              <w:jc w:val="center"/>
              <w:rPr>
                <w:sz w:val="21"/>
              </w:rPr>
            </w:pPr>
            <w:r>
              <w:rPr>
                <w:sz w:val="21"/>
              </w:rPr>
              <w:t>二氧化硫、氮氧化物</w:t>
            </w:r>
          </w:p>
        </w:tc>
        <w:tc>
          <w:tcPr>
            <w:tcW w:w="1182" w:type="dxa"/>
          </w:tcPr>
          <w:p w14:paraId="3770107C">
            <w:pPr>
              <w:pStyle w:val="14"/>
              <w:spacing w:before="20" w:line="242" w:lineRule="auto"/>
              <w:ind w:left="486" w:right="160" w:hanging="315"/>
              <w:rPr>
                <w:sz w:val="21"/>
              </w:rPr>
            </w:pPr>
            <w:r>
              <w:rPr>
                <w:w w:val="95"/>
                <w:sz w:val="21"/>
              </w:rPr>
              <w:t>排气筒出</w:t>
            </w:r>
            <w:r>
              <w:rPr>
                <w:sz w:val="21"/>
              </w:rPr>
              <w:t>口</w:t>
            </w:r>
          </w:p>
        </w:tc>
        <w:tc>
          <w:tcPr>
            <w:tcW w:w="669" w:type="dxa"/>
            <w:vMerge w:val="continue"/>
            <w:tcBorders>
              <w:top w:val="nil"/>
            </w:tcBorders>
          </w:tcPr>
          <w:p w14:paraId="44481CDA">
            <w:pPr>
              <w:rPr>
                <w:sz w:val="2"/>
                <w:szCs w:val="2"/>
              </w:rPr>
            </w:pPr>
          </w:p>
        </w:tc>
        <w:tc>
          <w:tcPr>
            <w:tcW w:w="3759" w:type="dxa"/>
          </w:tcPr>
          <w:p w14:paraId="241ABA87">
            <w:pPr>
              <w:pStyle w:val="14"/>
              <w:spacing w:before="20"/>
              <w:ind w:left="231" w:right="117"/>
              <w:jc w:val="center"/>
              <w:rPr>
                <w:sz w:val="21"/>
              </w:rPr>
            </w:pPr>
            <w:r>
              <w:rPr>
                <w:sz w:val="21"/>
              </w:rPr>
              <w:t>《锅炉大气污染物排放标准》</w:t>
            </w:r>
          </w:p>
          <w:p w14:paraId="3A6E7B27">
            <w:pPr>
              <w:pStyle w:val="14"/>
              <w:spacing w:before="3"/>
              <w:ind w:left="125" w:right="117"/>
              <w:jc w:val="center"/>
              <w:rPr>
                <w:sz w:val="21"/>
              </w:rPr>
            </w:pPr>
            <w:r>
              <w:rPr>
                <w:sz w:val="21"/>
              </w:rPr>
              <w:t>（</w:t>
            </w:r>
            <w:r>
              <w:rPr>
                <w:rFonts w:ascii="Times New Roman" w:eastAsia="Times New Roman"/>
                <w:sz w:val="21"/>
              </w:rPr>
              <w:t>GB13271-2014</w:t>
            </w:r>
            <w:r>
              <w:rPr>
                <w:sz w:val="21"/>
              </w:rPr>
              <w:t>）</w:t>
            </w:r>
          </w:p>
        </w:tc>
      </w:tr>
      <w:tr w14:paraId="2B17E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493" w:type="dxa"/>
            <w:vMerge w:val="restart"/>
          </w:tcPr>
          <w:p w14:paraId="235F539E">
            <w:pPr>
              <w:pStyle w:val="14"/>
              <w:rPr>
                <w:b/>
                <w:sz w:val="20"/>
              </w:rPr>
            </w:pPr>
          </w:p>
          <w:p w14:paraId="23527F64">
            <w:pPr>
              <w:pStyle w:val="14"/>
              <w:rPr>
                <w:b/>
                <w:sz w:val="20"/>
              </w:rPr>
            </w:pPr>
          </w:p>
          <w:p w14:paraId="736AFD3C">
            <w:pPr>
              <w:pStyle w:val="14"/>
              <w:spacing w:before="7"/>
              <w:rPr>
                <w:b/>
                <w:sz w:val="18"/>
              </w:rPr>
            </w:pPr>
          </w:p>
          <w:p w14:paraId="15EFBD9D">
            <w:pPr>
              <w:pStyle w:val="14"/>
              <w:spacing w:line="242" w:lineRule="auto"/>
              <w:ind w:left="141" w:right="130"/>
              <w:rPr>
                <w:sz w:val="21"/>
              </w:rPr>
            </w:pPr>
            <w:r>
              <w:rPr>
                <w:sz w:val="21"/>
              </w:rPr>
              <w:t>废水</w:t>
            </w:r>
          </w:p>
        </w:tc>
        <w:tc>
          <w:tcPr>
            <w:tcW w:w="2101" w:type="dxa"/>
          </w:tcPr>
          <w:p w14:paraId="15A4383A">
            <w:pPr>
              <w:pStyle w:val="14"/>
              <w:spacing w:before="155"/>
              <w:ind w:left="188" w:right="182"/>
              <w:jc w:val="center"/>
              <w:rPr>
                <w:sz w:val="21"/>
              </w:rPr>
            </w:pPr>
            <w:r>
              <w:rPr>
                <w:sz w:val="21"/>
              </w:rPr>
              <w:t>生活污水</w:t>
            </w:r>
          </w:p>
        </w:tc>
        <w:tc>
          <w:tcPr>
            <w:tcW w:w="2795" w:type="dxa"/>
          </w:tcPr>
          <w:p w14:paraId="58300678">
            <w:pPr>
              <w:pStyle w:val="14"/>
              <w:spacing w:before="155"/>
              <w:ind w:left="98" w:right="92"/>
              <w:jc w:val="center"/>
              <w:rPr>
                <w:sz w:val="21"/>
              </w:rPr>
            </w:pPr>
            <w:r>
              <w:rPr>
                <w:sz w:val="21"/>
              </w:rPr>
              <w:t>化粪池</w:t>
            </w:r>
            <w:r>
              <w:rPr>
                <w:rFonts w:ascii="Times New Roman" w:eastAsia="Times New Roman"/>
                <w:sz w:val="21"/>
              </w:rPr>
              <w:t>+</w:t>
            </w:r>
            <w:r>
              <w:rPr>
                <w:sz w:val="21"/>
              </w:rPr>
              <w:t>污水处理站</w:t>
            </w:r>
          </w:p>
        </w:tc>
        <w:tc>
          <w:tcPr>
            <w:tcW w:w="814" w:type="dxa"/>
          </w:tcPr>
          <w:p w14:paraId="12A4BE98">
            <w:pPr>
              <w:pStyle w:val="14"/>
              <w:spacing w:before="20" w:line="270" w:lineRule="atLeast"/>
              <w:ind w:left="195" w:right="188"/>
              <w:rPr>
                <w:sz w:val="21"/>
              </w:rPr>
            </w:pPr>
            <w:r>
              <w:rPr>
                <w:w w:val="95"/>
                <w:sz w:val="21"/>
              </w:rPr>
              <w:t>间接排放</w:t>
            </w:r>
          </w:p>
        </w:tc>
        <w:tc>
          <w:tcPr>
            <w:tcW w:w="2361" w:type="dxa"/>
          </w:tcPr>
          <w:p w14:paraId="50DEAB38">
            <w:pPr>
              <w:pStyle w:val="14"/>
              <w:spacing w:before="18" w:line="275" w:lineRule="exact"/>
              <w:ind w:left="181" w:right="174"/>
              <w:jc w:val="center"/>
              <w:rPr>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p>
          <w:p w14:paraId="5D43FACF">
            <w:pPr>
              <w:pStyle w:val="14"/>
              <w:spacing w:line="269" w:lineRule="exact"/>
              <w:ind w:left="181" w:right="174"/>
              <w:jc w:val="center"/>
              <w:rPr>
                <w:sz w:val="21"/>
              </w:rPr>
            </w:pPr>
            <w:r>
              <w:rPr>
                <w:sz w:val="21"/>
              </w:rPr>
              <w:t>氨氮</w:t>
            </w:r>
          </w:p>
        </w:tc>
        <w:tc>
          <w:tcPr>
            <w:tcW w:w="1182" w:type="dxa"/>
          </w:tcPr>
          <w:p w14:paraId="7EFF53B8">
            <w:pPr>
              <w:pStyle w:val="14"/>
              <w:spacing w:before="20" w:line="270" w:lineRule="atLeast"/>
              <w:ind w:left="171" w:right="160"/>
              <w:rPr>
                <w:sz w:val="21"/>
              </w:rPr>
            </w:pPr>
            <w:r>
              <w:rPr>
                <w:w w:val="95"/>
                <w:sz w:val="21"/>
              </w:rPr>
              <w:t>项目厂区总排放口</w:t>
            </w:r>
          </w:p>
        </w:tc>
        <w:tc>
          <w:tcPr>
            <w:tcW w:w="669" w:type="dxa"/>
            <w:vMerge w:val="continue"/>
            <w:tcBorders>
              <w:top w:val="nil"/>
            </w:tcBorders>
          </w:tcPr>
          <w:p w14:paraId="7424A10A">
            <w:pPr>
              <w:rPr>
                <w:sz w:val="2"/>
                <w:szCs w:val="2"/>
              </w:rPr>
            </w:pPr>
          </w:p>
        </w:tc>
        <w:tc>
          <w:tcPr>
            <w:tcW w:w="3759" w:type="dxa"/>
            <w:vMerge w:val="restart"/>
          </w:tcPr>
          <w:p w14:paraId="1AE03A43">
            <w:pPr>
              <w:pStyle w:val="14"/>
              <w:spacing w:before="8"/>
              <w:rPr>
                <w:b/>
                <w:sz w:val="24"/>
              </w:rPr>
            </w:pPr>
          </w:p>
          <w:p w14:paraId="2A1354D7">
            <w:pPr>
              <w:pStyle w:val="14"/>
              <w:ind w:left="223"/>
              <w:rPr>
                <w:sz w:val="21"/>
              </w:rPr>
            </w:pPr>
            <w:r>
              <w:rPr>
                <w:sz w:val="21"/>
              </w:rPr>
              <w:t>《肉类加工工业水污染物排放标准 》</w:t>
            </w:r>
          </w:p>
          <w:p w14:paraId="756F6876">
            <w:pPr>
              <w:pStyle w:val="14"/>
              <w:spacing w:before="3" w:line="244" w:lineRule="auto"/>
              <w:ind w:left="828" w:right="165" w:hanging="653"/>
              <w:rPr>
                <w:sz w:val="21"/>
              </w:rPr>
            </w:pPr>
            <w:r>
              <w:rPr>
                <w:w w:val="95"/>
                <w:sz w:val="21"/>
              </w:rPr>
              <w:t>（</w:t>
            </w:r>
            <w:r>
              <w:rPr>
                <w:rFonts w:ascii="Times New Roman" w:eastAsia="Times New Roman"/>
                <w:w w:val="95"/>
                <w:sz w:val="21"/>
              </w:rPr>
              <w:t>GB13457-92</w:t>
            </w:r>
            <w:r>
              <w:rPr>
                <w:w w:val="95"/>
                <w:sz w:val="21"/>
              </w:rPr>
              <w:t>）三级标准和岳阳县污</w:t>
            </w:r>
            <w:r>
              <w:rPr>
                <w:sz w:val="21"/>
              </w:rPr>
              <w:t>水处理厂进水水质标准</w:t>
            </w:r>
          </w:p>
        </w:tc>
      </w:tr>
      <w:tr w14:paraId="59638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493" w:type="dxa"/>
            <w:vMerge w:val="continue"/>
            <w:tcBorders>
              <w:top w:val="nil"/>
            </w:tcBorders>
          </w:tcPr>
          <w:p w14:paraId="43DE85FF">
            <w:pPr>
              <w:rPr>
                <w:sz w:val="2"/>
                <w:szCs w:val="2"/>
              </w:rPr>
            </w:pPr>
          </w:p>
        </w:tc>
        <w:tc>
          <w:tcPr>
            <w:tcW w:w="2101" w:type="dxa"/>
            <w:vMerge w:val="restart"/>
          </w:tcPr>
          <w:p w14:paraId="5C24F574">
            <w:pPr>
              <w:pStyle w:val="14"/>
              <w:rPr>
                <w:b/>
                <w:sz w:val="20"/>
              </w:rPr>
            </w:pPr>
          </w:p>
          <w:p w14:paraId="208E52E1">
            <w:pPr>
              <w:pStyle w:val="14"/>
              <w:spacing w:before="7"/>
              <w:rPr>
                <w:b/>
                <w:sz w:val="16"/>
              </w:rPr>
            </w:pPr>
          </w:p>
          <w:p w14:paraId="18DEA2FC">
            <w:pPr>
              <w:pStyle w:val="14"/>
              <w:ind w:left="629"/>
              <w:rPr>
                <w:sz w:val="21"/>
              </w:rPr>
            </w:pPr>
            <w:r>
              <w:rPr>
                <w:sz w:val="21"/>
              </w:rPr>
              <w:t>生产废水</w:t>
            </w:r>
          </w:p>
        </w:tc>
        <w:tc>
          <w:tcPr>
            <w:tcW w:w="2795" w:type="dxa"/>
          </w:tcPr>
          <w:p w14:paraId="640353B6">
            <w:pPr>
              <w:pStyle w:val="14"/>
              <w:spacing w:before="11"/>
              <w:rPr>
                <w:b/>
                <w:sz w:val="22"/>
              </w:rPr>
            </w:pPr>
          </w:p>
          <w:p w14:paraId="583A9C42">
            <w:pPr>
              <w:pStyle w:val="14"/>
              <w:ind w:left="98" w:right="92"/>
              <w:jc w:val="center"/>
              <w:rPr>
                <w:sz w:val="21"/>
              </w:rPr>
            </w:pPr>
            <w:r>
              <w:rPr>
                <w:sz w:val="21"/>
              </w:rPr>
              <w:t>污水处理站</w:t>
            </w:r>
          </w:p>
        </w:tc>
        <w:tc>
          <w:tcPr>
            <w:tcW w:w="814" w:type="dxa"/>
          </w:tcPr>
          <w:p w14:paraId="60F6DC54">
            <w:pPr>
              <w:pStyle w:val="14"/>
              <w:spacing w:before="156" w:line="244" w:lineRule="auto"/>
              <w:ind w:left="195" w:right="188"/>
              <w:rPr>
                <w:sz w:val="21"/>
              </w:rPr>
            </w:pPr>
            <w:r>
              <w:rPr>
                <w:w w:val="95"/>
                <w:sz w:val="21"/>
              </w:rPr>
              <w:t>间接排放</w:t>
            </w:r>
          </w:p>
        </w:tc>
        <w:tc>
          <w:tcPr>
            <w:tcW w:w="2361" w:type="dxa"/>
          </w:tcPr>
          <w:p w14:paraId="13F28DBE">
            <w:pPr>
              <w:pStyle w:val="14"/>
              <w:spacing w:before="19" w:line="275" w:lineRule="exact"/>
              <w:ind w:left="202"/>
              <w:rPr>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SS</w:t>
            </w:r>
            <w:r>
              <w:rPr>
                <w:position w:val="2"/>
                <w:sz w:val="21"/>
                <w:vertAlign w:val="baseline"/>
              </w:rPr>
              <w:t>、</w:t>
            </w:r>
          </w:p>
          <w:p w14:paraId="3511EA37">
            <w:pPr>
              <w:pStyle w:val="14"/>
              <w:spacing w:line="242" w:lineRule="auto"/>
              <w:ind w:left="339" w:right="173" w:hanging="157"/>
              <w:rPr>
                <w:sz w:val="21"/>
              </w:rPr>
            </w:pPr>
            <w:r>
              <w:rPr>
                <w:w w:val="95"/>
                <w:sz w:val="21"/>
              </w:rPr>
              <w:t>氨氮、</w:t>
            </w:r>
            <w:r>
              <w:rPr>
                <w:rFonts w:ascii="Times New Roman" w:eastAsia="Times New Roman"/>
                <w:w w:val="95"/>
                <w:sz w:val="21"/>
              </w:rPr>
              <w:t>TN</w:t>
            </w:r>
            <w:r>
              <w:rPr>
                <w:w w:val="95"/>
                <w:sz w:val="21"/>
              </w:rPr>
              <w:t>、</w:t>
            </w:r>
            <w:r>
              <w:rPr>
                <w:rFonts w:ascii="Times New Roman" w:eastAsia="Times New Roman"/>
                <w:w w:val="95"/>
                <w:sz w:val="21"/>
              </w:rPr>
              <w:t>TP</w:t>
            </w:r>
            <w:r>
              <w:rPr>
                <w:w w:val="95"/>
                <w:sz w:val="21"/>
              </w:rPr>
              <w:t>、动植</w:t>
            </w:r>
            <w:r>
              <w:rPr>
                <w:sz w:val="21"/>
              </w:rPr>
              <w:t>物油、大肠菌群数</w:t>
            </w:r>
          </w:p>
        </w:tc>
        <w:tc>
          <w:tcPr>
            <w:tcW w:w="1182" w:type="dxa"/>
          </w:tcPr>
          <w:p w14:paraId="0BDE2941">
            <w:pPr>
              <w:pStyle w:val="14"/>
              <w:spacing w:before="156" w:line="244" w:lineRule="auto"/>
              <w:ind w:left="171" w:right="160"/>
              <w:rPr>
                <w:sz w:val="21"/>
              </w:rPr>
            </w:pPr>
            <w:r>
              <w:rPr>
                <w:w w:val="95"/>
                <w:sz w:val="21"/>
              </w:rPr>
              <w:t>项目厂区总排放口</w:t>
            </w:r>
          </w:p>
        </w:tc>
        <w:tc>
          <w:tcPr>
            <w:tcW w:w="669" w:type="dxa"/>
            <w:vMerge w:val="continue"/>
            <w:tcBorders>
              <w:top w:val="nil"/>
            </w:tcBorders>
          </w:tcPr>
          <w:p w14:paraId="67C0F3C3">
            <w:pPr>
              <w:rPr>
                <w:sz w:val="2"/>
                <w:szCs w:val="2"/>
              </w:rPr>
            </w:pPr>
          </w:p>
        </w:tc>
        <w:tc>
          <w:tcPr>
            <w:tcW w:w="3759" w:type="dxa"/>
            <w:vMerge w:val="continue"/>
            <w:tcBorders>
              <w:top w:val="nil"/>
            </w:tcBorders>
          </w:tcPr>
          <w:p w14:paraId="6ACBF20D">
            <w:pPr>
              <w:rPr>
                <w:sz w:val="2"/>
                <w:szCs w:val="2"/>
              </w:rPr>
            </w:pPr>
          </w:p>
        </w:tc>
      </w:tr>
      <w:tr w14:paraId="5CEA2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93" w:type="dxa"/>
            <w:vMerge w:val="continue"/>
            <w:tcBorders>
              <w:top w:val="nil"/>
            </w:tcBorders>
          </w:tcPr>
          <w:p w14:paraId="6C5D1854">
            <w:pPr>
              <w:rPr>
                <w:sz w:val="2"/>
                <w:szCs w:val="2"/>
              </w:rPr>
            </w:pPr>
          </w:p>
        </w:tc>
        <w:tc>
          <w:tcPr>
            <w:tcW w:w="2101" w:type="dxa"/>
            <w:vMerge w:val="continue"/>
            <w:tcBorders>
              <w:top w:val="nil"/>
            </w:tcBorders>
          </w:tcPr>
          <w:p w14:paraId="2D7098E6">
            <w:pPr>
              <w:rPr>
                <w:sz w:val="2"/>
                <w:szCs w:val="2"/>
              </w:rPr>
            </w:pPr>
          </w:p>
        </w:tc>
        <w:tc>
          <w:tcPr>
            <w:tcW w:w="3609" w:type="dxa"/>
            <w:gridSpan w:val="2"/>
          </w:tcPr>
          <w:p w14:paraId="1A12E323">
            <w:pPr>
              <w:pStyle w:val="14"/>
              <w:spacing w:before="156"/>
              <w:ind w:left="1173"/>
              <w:rPr>
                <w:sz w:val="21"/>
              </w:rPr>
            </w:pPr>
            <w:r>
              <w:rPr>
                <w:sz w:val="21"/>
              </w:rPr>
              <w:t>排污口规范化</w:t>
            </w:r>
          </w:p>
        </w:tc>
        <w:tc>
          <w:tcPr>
            <w:tcW w:w="2361" w:type="dxa"/>
          </w:tcPr>
          <w:p w14:paraId="23290902">
            <w:pPr>
              <w:pStyle w:val="14"/>
              <w:spacing w:before="170"/>
              <w:ind w:left="7"/>
              <w:jc w:val="center"/>
              <w:rPr>
                <w:rFonts w:ascii="Times New Roman"/>
                <w:sz w:val="21"/>
              </w:rPr>
            </w:pPr>
            <w:r>
              <w:rPr>
                <w:rFonts w:ascii="Times New Roman"/>
                <w:w w:val="99"/>
                <w:sz w:val="21"/>
              </w:rPr>
              <w:t>/</w:t>
            </w:r>
          </w:p>
        </w:tc>
        <w:tc>
          <w:tcPr>
            <w:tcW w:w="1182" w:type="dxa"/>
          </w:tcPr>
          <w:p w14:paraId="15E82F2D">
            <w:pPr>
              <w:pStyle w:val="14"/>
              <w:spacing w:before="156"/>
              <w:ind w:left="145" w:right="139"/>
              <w:jc w:val="center"/>
              <w:rPr>
                <w:sz w:val="21"/>
              </w:rPr>
            </w:pPr>
            <w:r>
              <w:rPr>
                <w:sz w:val="21"/>
              </w:rPr>
              <w:t>排污口</w:t>
            </w:r>
          </w:p>
        </w:tc>
        <w:tc>
          <w:tcPr>
            <w:tcW w:w="669" w:type="dxa"/>
            <w:vMerge w:val="continue"/>
            <w:tcBorders>
              <w:top w:val="nil"/>
            </w:tcBorders>
          </w:tcPr>
          <w:p w14:paraId="3827B38C">
            <w:pPr>
              <w:rPr>
                <w:sz w:val="2"/>
                <w:szCs w:val="2"/>
              </w:rPr>
            </w:pPr>
          </w:p>
        </w:tc>
        <w:tc>
          <w:tcPr>
            <w:tcW w:w="3759" w:type="dxa"/>
          </w:tcPr>
          <w:p w14:paraId="44A32F75">
            <w:pPr>
              <w:pStyle w:val="14"/>
              <w:spacing w:before="21"/>
              <w:ind w:left="228" w:right="117"/>
              <w:jc w:val="center"/>
              <w:rPr>
                <w:sz w:val="21"/>
              </w:rPr>
            </w:pPr>
            <w:r>
              <w:rPr>
                <w:sz w:val="21"/>
              </w:rPr>
              <w:t>《排污口规范化整治要求（试行</w:t>
            </w:r>
            <w:r>
              <w:rPr>
                <w:spacing w:val="-104"/>
                <w:sz w:val="21"/>
              </w:rPr>
              <w:t>）</w:t>
            </w:r>
            <w:r>
              <w:rPr>
                <w:sz w:val="21"/>
              </w:rPr>
              <w:t>》</w:t>
            </w:r>
          </w:p>
          <w:p w14:paraId="33232345">
            <w:pPr>
              <w:pStyle w:val="14"/>
              <w:spacing w:before="2"/>
              <w:ind w:left="123" w:right="117"/>
              <w:jc w:val="center"/>
              <w:rPr>
                <w:sz w:val="21"/>
              </w:rPr>
            </w:pPr>
            <w:r>
              <w:rPr>
                <w:sz w:val="21"/>
              </w:rPr>
              <w:t>（环监</w:t>
            </w:r>
            <w:r>
              <w:rPr>
                <w:rFonts w:ascii="Times New Roman" w:eastAsia="Times New Roman"/>
                <w:sz w:val="21"/>
              </w:rPr>
              <w:t xml:space="preserve">[1996]470 </w:t>
            </w:r>
            <w:r>
              <w:rPr>
                <w:sz w:val="21"/>
              </w:rPr>
              <w:t>号）</w:t>
            </w:r>
          </w:p>
        </w:tc>
      </w:tr>
      <w:tr w14:paraId="6D83D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93" w:type="dxa"/>
          </w:tcPr>
          <w:p w14:paraId="17D266CC">
            <w:pPr>
              <w:pStyle w:val="14"/>
              <w:spacing w:before="18" w:line="270" w:lineRule="atLeast"/>
              <w:ind w:left="141" w:right="130"/>
              <w:rPr>
                <w:sz w:val="21"/>
              </w:rPr>
            </w:pPr>
            <w:r>
              <w:rPr>
                <w:sz w:val="21"/>
              </w:rPr>
              <w:t>噪声</w:t>
            </w:r>
          </w:p>
        </w:tc>
        <w:tc>
          <w:tcPr>
            <w:tcW w:w="2101" w:type="dxa"/>
          </w:tcPr>
          <w:p w14:paraId="5AC04981">
            <w:pPr>
              <w:pStyle w:val="14"/>
              <w:spacing w:before="156"/>
              <w:ind w:left="188" w:right="182"/>
              <w:jc w:val="center"/>
              <w:rPr>
                <w:sz w:val="21"/>
              </w:rPr>
            </w:pPr>
            <w:r>
              <w:rPr>
                <w:sz w:val="21"/>
              </w:rPr>
              <w:t>设备噪声</w:t>
            </w:r>
          </w:p>
        </w:tc>
        <w:tc>
          <w:tcPr>
            <w:tcW w:w="3609" w:type="dxa"/>
            <w:gridSpan w:val="2"/>
          </w:tcPr>
          <w:p w14:paraId="4746994F">
            <w:pPr>
              <w:pStyle w:val="14"/>
              <w:spacing w:before="18" w:line="270" w:lineRule="atLeast"/>
              <w:ind w:left="333" w:right="116" w:hanging="212"/>
              <w:rPr>
                <w:sz w:val="21"/>
              </w:rPr>
            </w:pPr>
            <w:r>
              <w:rPr>
                <w:w w:val="95"/>
                <w:sz w:val="21"/>
              </w:rPr>
              <w:t>采用低噪声设备、通过厂房隔声，并</w:t>
            </w:r>
            <w:r>
              <w:rPr>
                <w:sz w:val="21"/>
              </w:rPr>
              <w:t>安装隔声机罩、合理布局等措施</w:t>
            </w:r>
          </w:p>
        </w:tc>
        <w:tc>
          <w:tcPr>
            <w:tcW w:w="2361" w:type="dxa"/>
          </w:tcPr>
          <w:p w14:paraId="3F5E364F">
            <w:pPr>
              <w:pStyle w:val="14"/>
              <w:spacing w:before="156"/>
              <w:ind w:left="179" w:right="174"/>
              <w:jc w:val="center"/>
              <w:rPr>
                <w:sz w:val="21"/>
              </w:rPr>
            </w:pPr>
            <w:r>
              <w:rPr>
                <w:sz w:val="21"/>
              </w:rPr>
              <w:t xml:space="preserve">等效连续 </w:t>
            </w:r>
            <w:r>
              <w:rPr>
                <w:rFonts w:ascii="Times New Roman" w:eastAsia="Times New Roman"/>
                <w:sz w:val="21"/>
              </w:rPr>
              <w:t xml:space="preserve">A </w:t>
            </w:r>
            <w:r>
              <w:rPr>
                <w:sz w:val="21"/>
              </w:rPr>
              <w:t>声级</w:t>
            </w:r>
          </w:p>
        </w:tc>
        <w:tc>
          <w:tcPr>
            <w:tcW w:w="1182" w:type="dxa"/>
          </w:tcPr>
          <w:p w14:paraId="5231E6BB">
            <w:pPr>
              <w:pStyle w:val="14"/>
              <w:spacing w:before="156"/>
              <w:ind w:left="148" w:right="139"/>
              <w:jc w:val="center"/>
              <w:rPr>
                <w:sz w:val="21"/>
              </w:rPr>
            </w:pPr>
            <w:r>
              <w:rPr>
                <w:sz w:val="21"/>
              </w:rPr>
              <w:t>厂界四周</w:t>
            </w:r>
          </w:p>
        </w:tc>
        <w:tc>
          <w:tcPr>
            <w:tcW w:w="669" w:type="dxa"/>
            <w:vMerge w:val="continue"/>
            <w:tcBorders>
              <w:top w:val="nil"/>
            </w:tcBorders>
          </w:tcPr>
          <w:p w14:paraId="6BFF78E9">
            <w:pPr>
              <w:rPr>
                <w:sz w:val="2"/>
                <w:szCs w:val="2"/>
              </w:rPr>
            </w:pPr>
          </w:p>
        </w:tc>
        <w:tc>
          <w:tcPr>
            <w:tcW w:w="3759" w:type="dxa"/>
          </w:tcPr>
          <w:p w14:paraId="070CC19F">
            <w:pPr>
              <w:pStyle w:val="14"/>
              <w:spacing w:before="19"/>
              <w:ind w:left="231" w:right="117"/>
              <w:jc w:val="center"/>
              <w:rPr>
                <w:sz w:val="21"/>
              </w:rPr>
            </w:pPr>
            <w:r>
              <w:rPr>
                <w:sz w:val="21"/>
              </w:rPr>
              <w:t>《工业企业厂界环境噪声排放标准》</w:t>
            </w:r>
          </w:p>
          <w:p w14:paraId="5DA23B46">
            <w:pPr>
              <w:pStyle w:val="14"/>
              <w:spacing w:before="5"/>
              <w:ind w:left="123" w:right="117"/>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类标准要求</w:t>
            </w:r>
          </w:p>
        </w:tc>
      </w:tr>
      <w:tr w14:paraId="56892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493" w:type="dxa"/>
            <w:vMerge w:val="restart"/>
          </w:tcPr>
          <w:p w14:paraId="77FB98C5">
            <w:pPr>
              <w:pStyle w:val="14"/>
              <w:spacing w:before="2"/>
              <w:rPr>
                <w:b/>
                <w:sz w:val="15"/>
              </w:rPr>
            </w:pPr>
          </w:p>
          <w:p w14:paraId="1E8C3578">
            <w:pPr>
              <w:pStyle w:val="14"/>
              <w:spacing w:line="242" w:lineRule="auto"/>
              <w:ind w:left="141" w:right="130"/>
              <w:rPr>
                <w:sz w:val="21"/>
              </w:rPr>
            </w:pPr>
            <w:r>
              <w:rPr>
                <w:sz w:val="21"/>
              </w:rPr>
              <w:t>固废</w:t>
            </w:r>
          </w:p>
        </w:tc>
        <w:tc>
          <w:tcPr>
            <w:tcW w:w="2101" w:type="dxa"/>
          </w:tcPr>
          <w:p w14:paraId="419DA9B7">
            <w:pPr>
              <w:pStyle w:val="14"/>
              <w:spacing w:before="18" w:line="270" w:lineRule="atLeast"/>
              <w:ind w:left="735" w:right="201" w:hanging="526"/>
              <w:rPr>
                <w:sz w:val="21"/>
              </w:rPr>
            </w:pPr>
            <w:r>
              <w:rPr>
                <w:w w:val="95"/>
                <w:sz w:val="21"/>
              </w:rPr>
              <w:t>边角料、猪毛、废</w:t>
            </w:r>
            <w:r>
              <w:rPr>
                <w:sz w:val="21"/>
              </w:rPr>
              <w:t>包装物</w:t>
            </w:r>
          </w:p>
        </w:tc>
        <w:tc>
          <w:tcPr>
            <w:tcW w:w="3609" w:type="dxa"/>
            <w:gridSpan w:val="2"/>
          </w:tcPr>
          <w:p w14:paraId="416D880E">
            <w:pPr>
              <w:pStyle w:val="14"/>
              <w:spacing w:before="154"/>
              <w:ind w:left="228"/>
              <w:rPr>
                <w:sz w:val="21"/>
              </w:rPr>
            </w:pPr>
            <w:r>
              <w:rPr>
                <w:sz w:val="21"/>
              </w:rPr>
              <w:t>先暂存在一般固废间，再定期外售</w:t>
            </w:r>
          </w:p>
        </w:tc>
        <w:tc>
          <w:tcPr>
            <w:tcW w:w="2361" w:type="dxa"/>
            <w:vMerge w:val="restart"/>
          </w:tcPr>
          <w:p w14:paraId="598DC64E">
            <w:pPr>
              <w:pStyle w:val="14"/>
              <w:spacing w:before="2"/>
              <w:rPr>
                <w:b/>
                <w:sz w:val="15"/>
              </w:rPr>
            </w:pPr>
          </w:p>
          <w:p w14:paraId="5208C62F">
            <w:pPr>
              <w:pStyle w:val="14"/>
              <w:spacing w:line="242" w:lineRule="auto"/>
              <w:ind w:left="970" w:right="540" w:hanging="420"/>
              <w:rPr>
                <w:sz w:val="21"/>
              </w:rPr>
            </w:pPr>
            <w:r>
              <w:rPr>
                <w:w w:val="95"/>
                <w:sz w:val="21"/>
              </w:rPr>
              <w:t>环保措施是否</w:t>
            </w:r>
            <w:r>
              <w:rPr>
                <w:sz w:val="21"/>
              </w:rPr>
              <w:t>落实</w:t>
            </w:r>
          </w:p>
        </w:tc>
        <w:tc>
          <w:tcPr>
            <w:tcW w:w="1182" w:type="dxa"/>
          </w:tcPr>
          <w:p w14:paraId="319D8141">
            <w:pPr>
              <w:pStyle w:val="14"/>
              <w:spacing w:before="170"/>
              <w:ind w:left="7"/>
              <w:jc w:val="center"/>
              <w:rPr>
                <w:rFonts w:ascii="Times New Roman"/>
                <w:sz w:val="21"/>
              </w:rPr>
            </w:pPr>
            <w:r>
              <w:rPr>
                <w:rFonts w:ascii="Times New Roman"/>
                <w:w w:val="99"/>
                <w:sz w:val="21"/>
              </w:rPr>
              <w:t>/</w:t>
            </w:r>
          </w:p>
        </w:tc>
        <w:tc>
          <w:tcPr>
            <w:tcW w:w="669" w:type="dxa"/>
            <w:vMerge w:val="continue"/>
            <w:tcBorders>
              <w:top w:val="nil"/>
            </w:tcBorders>
          </w:tcPr>
          <w:p w14:paraId="77DA4F47">
            <w:pPr>
              <w:rPr>
                <w:sz w:val="2"/>
                <w:szCs w:val="2"/>
              </w:rPr>
            </w:pPr>
          </w:p>
        </w:tc>
        <w:tc>
          <w:tcPr>
            <w:tcW w:w="3759" w:type="dxa"/>
            <w:vMerge w:val="restart"/>
          </w:tcPr>
          <w:p w14:paraId="2B49F890">
            <w:pPr>
              <w:pStyle w:val="14"/>
              <w:spacing w:before="194" w:line="242" w:lineRule="auto"/>
              <w:ind w:left="123" w:right="114" w:firstLine="74"/>
              <w:rPr>
                <w:sz w:val="21"/>
              </w:rPr>
            </w:pPr>
            <w:r>
              <w:rPr>
                <w:sz w:val="21"/>
              </w:rPr>
              <w:t>《一般工业固体废物贮存和填埋污染</w:t>
            </w:r>
            <w:r>
              <w:rPr>
                <w:w w:val="95"/>
                <w:sz w:val="21"/>
              </w:rPr>
              <w:t>控制标准》（</w:t>
            </w:r>
            <w:r>
              <w:rPr>
                <w:rFonts w:ascii="Times New Roman" w:eastAsia="Times New Roman"/>
                <w:w w:val="95"/>
                <w:sz w:val="21"/>
              </w:rPr>
              <w:t>GB18599-2020</w:t>
            </w:r>
            <w:r>
              <w:rPr>
                <w:w w:val="95"/>
                <w:sz w:val="21"/>
              </w:rPr>
              <w:t>）相关规定</w:t>
            </w:r>
          </w:p>
        </w:tc>
      </w:tr>
      <w:tr w14:paraId="7F54A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93" w:type="dxa"/>
            <w:vMerge w:val="continue"/>
            <w:tcBorders>
              <w:top w:val="nil"/>
            </w:tcBorders>
          </w:tcPr>
          <w:p w14:paraId="197BEBA0">
            <w:pPr>
              <w:rPr>
                <w:sz w:val="2"/>
                <w:szCs w:val="2"/>
              </w:rPr>
            </w:pPr>
          </w:p>
        </w:tc>
        <w:tc>
          <w:tcPr>
            <w:tcW w:w="2101" w:type="dxa"/>
          </w:tcPr>
          <w:p w14:paraId="64BF7DD6">
            <w:pPr>
              <w:pStyle w:val="14"/>
              <w:spacing w:before="35"/>
              <w:ind w:left="188" w:right="182"/>
              <w:jc w:val="center"/>
              <w:rPr>
                <w:sz w:val="21"/>
              </w:rPr>
            </w:pPr>
            <w:r>
              <w:rPr>
                <w:sz w:val="21"/>
              </w:rPr>
              <w:t>栅渣、污泥</w:t>
            </w:r>
          </w:p>
        </w:tc>
        <w:tc>
          <w:tcPr>
            <w:tcW w:w="3609" w:type="dxa"/>
            <w:gridSpan w:val="2"/>
          </w:tcPr>
          <w:p w14:paraId="202CCF71">
            <w:pPr>
              <w:pStyle w:val="14"/>
              <w:spacing w:before="35"/>
              <w:ind w:left="439"/>
              <w:rPr>
                <w:sz w:val="21"/>
              </w:rPr>
            </w:pPr>
            <w:r>
              <w:rPr>
                <w:sz w:val="21"/>
              </w:rPr>
              <w:t>日产日清，外运至有机肥料厂</w:t>
            </w:r>
          </w:p>
        </w:tc>
        <w:tc>
          <w:tcPr>
            <w:tcW w:w="2361" w:type="dxa"/>
            <w:vMerge w:val="continue"/>
            <w:tcBorders>
              <w:top w:val="nil"/>
            </w:tcBorders>
          </w:tcPr>
          <w:p w14:paraId="5BC17ED9">
            <w:pPr>
              <w:rPr>
                <w:sz w:val="2"/>
                <w:szCs w:val="2"/>
              </w:rPr>
            </w:pPr>
          </w:p>
        </w:tc>
        <w:tc>
          <w:tcPr>
            <w:tcW w:w="1182" w:type="dxa"/>
          </w:tcPr>
          <w:p w14:paraId="17EF3F8E">
            <w:pPr>
              <w:pStyle w:val="14"/>
              <w:spacing w:before="49"/>
              <w:ind w:left="7"/>
              <w:jc w:val="center"/>
              <w:rPr>
                <w:rFonts w:ascii="Times New Roman"/>
                <w:sz w:val="21"/>
              </w:rPr>
            </w:pPr>
            <w:r>
              <w:rPr>
                <w:rFonts w:ascii="Times New Roman"/>
                <w:w w:val="99"/>
                <w:sz w:val="21"/>
              </w:rPr>
              <w:t>/</w:t>
            </w:r>
          </w:p>
        </w:tc>
        <w:tc>
          <w:tcPr>
            <w:tcW w:w="669" w:type="dxa"/>
            <w:vMerge w:val="continue"/>
            <w:tcBorders>
              <w:top w:val="nil"/>
            </w:tcBorders>
          </w:tcPr>
          <w:p w14:paraId="260515FE">
            <w:pPr>
              <w:rPr>
                <w:sz w:val="2"/>
                <w:szCs w:val="2"/>
              </w:rPr>
            </w:pPr>
          </w:p>
        </w:tc>
        <w:tc>
          <w:tcPr>
            <w:tcW w:w="3759" w:type="dxa"/>
            <w:vMerge w:val="continue"/>
            <w:tcBorders>
              <w:top w:val="nil"/>
            </w:tcBorders>
          </w:tcPr>
          <w:p w14:paraId="5734FD5A">
            <w:pPr>
              <w:rPr>
                <w:sz w:val="2"/>
                <w:szCs w:val="2"/>
              </w:rPr>
            </w:pPr>
          </w:p>
        </w:tc>
      </w:tr>
    </w:tbl>
    <w:p w14:paraId="010DB14E">
      <w:pPr>
        <w:spacing w:after="0"/>
        <w:rPr>
          <w:sz w:val="2"/>
          <w:szCs w:val="2"/>
        </w:rPr>
        <w:sectPr>
          <w:headerReference r:id="rId44" w:type="default"/>
          <w:footerReference r:id="rId45" w:type="default"/>
          <w:pgSz w:w="16840" w:h="11910" w:orient="landscape"/>
          <w:pgMar w:top="1180" w:right="1220" w:bottom="1400" w:left="1220" w:header="878" w:footer="1204" w:gutter="0"/>
          <w:pgNumType w:start="176"/>
          <w:cols w:space="720" w:num="1"/>
        </w:sectPr>
      </w:pPr>
    </w:p>
    <w:p w14:paraId="3F79B718">
      <w:pPr>
        <w:pStyle w:val="7"/>
        <w:rPr>
          <w:rFonts w:ascii="Times New Roman"/>
          <w:sz w:val="20"/>
        </w:rPr>
      </w:pPr>
    </w:p>
    <w:p w14:paraId="30FF1357">
      <w:pPr>
        <w:pStyle w:val="7"/>
        <w:rPr>
          <w:rFonts w:ascii="Times New Roman"/>
          <w:sz w:val="20"/>
        </w:rPr>
      </w:pPr>
    </w:p>
    <w:p w14:paraId="0837A82E">
      <w:pPr>
        <w:pStyle w:val="7"/>
        <w:spacing w:before="1"/>
        <w:rPr>
          <w:rFonts w:ascii="Times New Roman"/>
          <w:sz w:val="14"/>
        </w:rPr>
      </w:pPr>
    </w:p>
    <w:tbl>
      <w:tblPr>
        <w:tblStyle w:val="10"/>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3"/>
        <w:gridCol w:w="2101"/>
        <w:gridCol w:w="2795"/>
        <w:gridCol w:w="814"/>
        <w:gridCol w:w="2361"/>
        <w:gridCol w:w="1182"/>
        <w:gridCol w:w="669"/>
        <w:gridCol w:w="3759"/>
      </w:tblGrid>
      <w:tr w14:paraId="1AC4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93" w:type="dxa"/>
          </w:tcPr>
          <w:p w14:paraId="4BB7B719">
            <w:pPr>
              <w:pStyle w:val="14"/>
              <w:spacing w:before="19" w:line="270" w:lineRule="atLeast"/>
              <w:ind w:left="141" w:right="130"/>
              <w:rPr>
                <w:b/>
                <w:sz w:val="21"/>
              </w:rPr>
            </w:pPr>
            <w:r>
              <w:rPr>
                <w:b/>
                <w:sz w:val="21"/>
              </w:rPr>
              <w:t>项目</w:t>
            </w:r>
          </w:p>
        </w:tc>
        <w:tc>
          <w:tcPr>
            <w:tcW w:w="2101" w:type="dxa"/>
          </w:tcPr>
          <w:p w14:paraId="3F82DC0D">
            <w:pPr>
              <w:pStyle w:val="14"/>
              <w:spacing w:before="155"/>
              <w:ind w:left="188" w:right="182"/>
              <w:jc w:val="center"/>
              <w:rPr>
                <w:b/>
                <w:sz w:val="21"/>
              </w:rPr>
            </w:pPr>
            <w:r>
              <w:rPr>
                <w:b/>
                <w:sz w:val="21"/>
              </w:rPr>
              <w:t>污染源</w:t>
            </w:r>
          </w:p>
        </w:tc>
        <w:tc>
          <w:tcPr>
            <w:tcW w:w="2795" w:type="dxa"/>
          </w:tcPr>
          <w:p w14:paraId="65B16011">
            <w:pPr>
              <w:pStyle w:val="14"/>
              <w:spacing w:before="155"/>
              <w:ind w:left="98" w:right="92"/>
              <w:jc w:val="center"/>
              <w:rPr>
                <w:b/>
                <w:sz w:val="21"/>
              </w:rPr>
            </w:pPr>
            <w:r>
              <w:rPr>
                <w:b/>
                <w:sz w:val="21"/>
              </w:rPr>
              <w:t>环保设施</w:t>
            </w:r>
          </w:p>
        </w:tc>
        <w:tc>
          <w:tcPr>
            <w:tcW w:w="814" w:type="dxa"/>
          </w:tcPr>
          <w:p w14:paraId="648A5699">
            <w:pPr>
              <w:pStyle w:val="14"/>
              <w:spacing w:before="19" w:line="270" w:lineRule="atLeast"/>
              <w:ind w:left="195" w:right="186"/>
              <w:rPr>
                <w:b/>
                <w:sz w:val="21"/>
              </w:rPr>
            </w:pPr>
            <w:r>
              <w:rPr>
                <w:b/>
                <w:sz w:val="21"/>
              </w:rPr>
              <w:t>排放方式</w:t>
            </w:r>
          </w:p>
        </w:tc>
        <w:tc>
          <w:tcPr>
            <w:tcW w:w="2361" w:type="dxa"/>
          </w:tcPr>
          <w:p w14:paraId="475B53D0">
            <w:pPr>
              <w:pStyle w:val="14"/>
              <w:spacing w:before="155"/>
              <w:ind w:left="759"/>
              <w:rPr>
                <w:b/>
                <w:sz w:val="21"/>
              </w:rPr>
            </w:pPr>
            <w:r>
              <w:rPr>
                <w:b/>
                <w:sz w:val="21"/>
              </w:rPr>
              <w:t>验收因子</w:t>
            </w:r>
          </w:p>
        </w:tc>
        <w:tc>
          <w:tcPr>
            <w:tcW w:w="1182" w:type="dxa"/>
          </w:tcPr>
          <w:p w14:paraId="1BC184E9">
            <w:pPr>
              <w:pStyle w:val="14"/>
              <w:spacing w:before="155"/>
              <w:ind w:left="148" w:right="139"/>
              <w:jc w:val="center"/>
              <w:rPr>
                <w:b/>
                <w:sz w:val="21"/>
              </w:rPr>
            </w:pPr>
            <w:r>
              <w:rPr>
                <w:b/>
                <w:sz w:val="21"/>
              </w:rPr>
              <w:t>点位布设</w:t>
            </w:r>
          </w:p>
        </w:tc>
        <w:tc>
          <w:tcPr>
            <w:tcW w:w="669" w:type="dxa"/>
          </w:tcPr>
          <w:p w14:paraId="0C3AAB44">
            <w:pPr>
              <w:pStyle w:val="14"/>
              <w:spacing w:before="19" w:line="270" w:lineRule="atLeast"/>
              <w:ind w:left="122" w:right="114"/>
              <w:rPr>
                <w:b/>
                <w:sz w:val="21"/>
              </w:rPr>
            </w:pPr>
            <w:r>
              <w:rPr>
                <w:b/>
                <w:sz w:val="21"/>
              </w:rPr>
              <w:t>验收时间</w:t>
            </w:r>
          </w:p>
        </w:tc>
        <w:tc>
          <w:tcPr>
            <w:tcW w:w="3759" w:type="dxa"/>
          </w:tcPr>
          <w:p w14:paraId="434EC3AD">
            <w:pPr>
              <w:pStyle w:val="14"/>
              <w:spacing w:before="155"/>
              <w:ind w:left="125" w:right="117"/>
              <w:jc w:val="center"/>
              <w:rPr>
                <w:b/>
                <w:sz w:val="21"/>
              </w:rPr>
            </w:pPr>
            <w:r>
              <w:rPr>
                <w:b/>
                <w:sz w:val="21"/>
              </w:rPr>
              <w:t>验收标准</w:t>
            </w:r>
          </w:p>
        </w:tc>
      </w:tr>
      <w:tr w14:paraId="351F3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493" w:type="dxa"/>
            <w:vMerge w:val="restart"/>
          </w:tcPr>
          <w:p w14:paraId="3D67B6CB">
            <w:pPr>
              <w:pStyle w:val="14"/>
              <w:rPr>
                <w:rFonts w:ascii="Times New Roman"/>
                <w:sz w:val="20"/>
              </w:rPr>
            </w:pPr>
          </w:p>
        </w:tc>
        <w:tc>
          <w:tcPr>
            <w:tcW w:w="2101" w:type="dxa"/>
          </w:tcPr>
          <w:p w14:paraId="466F03EC">
            <w:pPr>
              <w:pStyle w:val="14"/>
              <w:spacing w:before="155"/>
              <w:ind w:left="188" w:right="182"/>
              <w:jc w:val="center"/>
              <w:rPr>
                <w:sz w:val="21"/>
              </w:rPr>
            </w:pPr>
            <w:r>
              <w:rPr>
                <w:sz w:val="21"/>
              </w:rPr>
              <w:t>不合格品和病死猪</w:t>
            </w:r>
          </w:p>
        </w:tc>
        <w:tc>
          <w:tcPr>
            <w:tcW w:w="3609" w:type="dxa"/>
            <w:gridSpan w:val="2"/>
          </w:tcPr>
          <w:p w14:paraId="46A58E12">
            <w:pPr>
              <w:pStyle w:val="14"/>
              <w:spacing w:before="20" w:line="270" w:lineRule="atLeast"/>
              <w:ind w:left="1173" w:right="116" w:hanging="1052"/>
              <w:rPr>
                <w:sz w:val="21"/>
              </w:rPr>
            </w:pPr>
            <w:r>
              <w:rPr>
                <w:w w:val="95"/>
                <w:sz w:val="21"/>
              </w:rPr>
              <w:t>无害化暂存间冷藏后，运至岳阳县无</w:t>
            </w:r>
            <w:r>
              <w:rPr>
                <w:sz w:val="21"/>
              </w:rPr>
              <w:t>害化处理中心</w:t>
            </w:r>
          </w:p>
        </w:tc>
        <w:tc>
          <w:tcPr>
            <w:tcW w:w="2361" w:type="dxa"/>
            <w:vMerge w:val="restart"/>
          </w:tcPr>
          <w:p w14:paraId="53908FDA">
            <w:pPr>
              <w:pStyle w:val="14"/>
              <w:rPr>
                <w:rFonts w:ascii="Times New Roman"/>
                <w:sz w:val="20"/>
              </w:rPr>
            </w:pPr>
          </w:p>
        </w:tc>
        <w:tc>
          <w:tcPr>
            <w:tcW w:w="1182" w:type="dxa"/>
          </w:tcPr>
          <w:p w14:paraId="5A9931C9">
            <w:pPr>
              <w:pStyle w:val="14"/>
              <w:spacing w:before="169"/>
              <w:ind w:left="7"/>
              <w:jc w:val="center"/>
              <w:rPr>
                <w:rFonts w:ascii="Times New Roman"/>
                <w:sz w:val="21"/>
              </w:rPr>
            </w:pPr>
            <w:r>
              <w:rPr>
                <w:rFonts w:ascii="Times New Roman"/>
                <w:w w:val="99"/>
                <w:sz w:val="21"/>
              </w:rPr>
              <w:t>/</w:t>
            </w:r>
          </w:p>
        </w:tc>
        <w:tc>
          <w:tcPr>
            <w:tcW w:w="669" w:type="dxa"/>
            <w:vMerge w:val="restart"/>
          </w:tcPr>
          <w:p w14:paraId="0F26A256">
            <w:pPr>
              <w:pStyle w:val="14"/>
              <w:rPr>
                <w:rFonts w:ascii="Times New Roman"/>
                <w:sz w:val="20"/>
              </w:rPr>
            </w:pPr>
          </w:p>
        </w:tc>
        <w:tc>
          <w:tcPr>
            <w:tcW w:w="3759" w:type="dxa"/>
          </w:tcPr>
          <w:p w14:paraId="7D17F4BC">
            <w:pPr>
              <w:pStyle w:val="14"/>
              <w:spacing w:before="155"/>
              <w:ind w:left="125" w:right="117"/>
              <w:jc w:val="center"/>
              <w:rPr>
                <w:sz w:val="21"/>
              </w:rPr>
            </w:pPr>
            <w:r>
              <w:rPr>
                <w:sz w:val="21"/>
              </w:rPr>
              <w:t>是否按要求处理处置</w:t>
            </w:r>
          </w:p>
        </w:tc>
      </w:tr>
      <w:tr w14:paraId="37F5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3" w:type="dxa"/>
            <w:vMerge w:val="continue"/>
            <w:tcBorders>
              <w:top w:val="nil"/>
            </w:tcBorders>
          </w:tcPr>
          <w:p w14:paraId="5994E75A">
            <w:pPr>
              <w:rPr>
                <w:sz w:val="2"/>
                <w:szCs w:val="2"/>
              </w:rPr>
            </w:pPr>
          </w:p>
        </w:tc>
        <w:tc>
          <w:tcPr>
            <w:tcW w:w="2101" w:type="dxa"/>
          </w:tcPr>
          <w:p w14:paraId="23AC0F40">
            <w:pPr>
              <w:pStyle w:val="14"/>
              <w:spacing w:before="34"/>
              <w:ind w:left="188" w:right="182"/>
              <w:jc w:val="center"/>
              <w:rPr>
                <w:sz w:val="21"/>
              </w:rPr>
            </w:pPr>
            <w:r>
              <w:rPr>
                <w:sz w:val="21"/>
              </w:rPr>
              <w:t>生活垃圾</w:t>
            </w:r>
          </w:p>
        </w:tc>
        <w:tc>
          <w:tcPr>
            <w:tcW w:w="3609" w:type="dxa"/>
            <w:gridSpan w:val="2"/>
          </w:tcPr>
          <w:p w14:paraId="28AC5F0D">
            <w:pPr>
              <w:pStyle w:val="14"/>
              <w:spacing w:before="34"/>
              <w:ind w:left="122"/>
              <w:rPr>
                <w:sz w:val="21"/>
              </w:rPr>
            </w:pPr>
            <w:r>
              <w:rPr>
                <w:sz w:val="21"/>
              </w:rPr>
              <w:t>生活垃圾交由环卫部门定期清运处理</w:t>
            </w:r>
          </w:p>
        </w:tc>
        <w:tc>
          <w:tcPr>
            <w:tcW w:w="2361" w:type="dxa"/>
            <w:vMerge w:val="continue"/>
            <w:tcBorders>
              <w:top w:val="nil"/>
            </w:tcBorders>
          </w:tcPr>
          <w:p w14:paraId="0B8FA8EA">
            <w:pPr>
              <w:rPr>
                <w:sz w:val="2"/>
                <w:szCs w:val="2"/>
              </w:rPr>
            </w:pPr>
          </w:p>
        </w:tc>
        <w:tc>
          <w:tcPr>
            <w:tcW w:w="1182" w:type="dxa"/>
          </w:tcPr>
          <w:p w14:paraId="355781EA">
            <w:pPr>
              <w:pStyle w:val="14"/>
              <w:spacing w:before="48"/>
              <w:ind w:left="7"/>
              <w:jc w:val="center"/>
              <w:rPr>
                <w:rFonts w:ascii="Times New Roman"/>
                <w:sz w:val="21"/>
              </w:rPr>
            </w:pPr>
            <w:r>
              <w:rPr>
                <w:rFonts w:ascii="Times New Roman"/>
                <w:w w:val="99"/>
                <w:sz w:val="21"/>
              </w:rPr>
              <w:t>/</w:t>
            </w:r>
          </w:p>
        </w:tc>
        <w:tc>
          <w:tcPr>
            <w:tcW w:w="669" w:type="dxa"/>
            <w:vMerge w:val="continue"/>
            <w:tcBorders>
              <w:top w:val="nil"/>
            </w:tcBorders>
          </w:tcPr>
          <w:p w14:paraId="22FFF6C9">
            <w:pPr>
              <w:rPr>
                <w:sz w:val="2"/>
                <w:szCs w:val="2"/>
              </w:rPr>
            </w:pPr>
          </w:p>
        </w:tc>
        <w:tc>
          <w:tcPr>
            <w:tcW w:w="3759" w:type="dxa"/>
          </w:tcPr>
          <w:p w14:paraId="526EE38B">
            <w:pPr>
              <w:pStyle w:val="14"/>
              <w:spacing w:before="34"/>
              <w:ind w:left="125" w:right="117"/>
              <w:jc w:val="center"/>
              <w:rPr>
                <w:sz w:val="21"/>
              </w:rPr>
            </w:pPr>
            <w:r>
              <w:rPr>
                <w:sz w:val="21"/>
              </w:rPr>
              <w:t>是否按要求处理处置</w:t>
            </w:r>
          </w:p>
        </w:tc>
      </w:tr>
      <w:tr w14:paraId="795DF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493" w:type="dxa"/>
            <w:vMerge w:val="continue"/>
            <w:tcBorders>
              <w:top w:val="nil"/>
            </w:tcBorders>
          </w:tcPr>
          <w:p w14:paraId="365B1C2D">
            <w:pPr>
              <w:rPr>
                <w:sz w:val="2"/>
                <w:szCs w:val="2"/>
              </w:rPr>
            </w:pPr>
          </w:p>
        </w:tc>
        <w:tc>
          <w:tcPr>
            <w:tcW w:w="2101" w:type="dxa"/>
          </w:tcPr>
          <w:p w14:paraId="43245FE9">
            <w:pPr>
              <w:pStyle w:val="14"/>
              <w:spacing w:before="20" w:line="242" w:lineRule="auto"/>
              <w:ind w:left="209" w:right="201"/>
              <w:jc w:val="both"/>
              <w:rPr>
                <w:sz w:val="21"/>
              </w:rPr>
            </w:pPr>
            <w:r>
              <w:rPr>
                <w:w w:val="95"/>
                <w:sz w:val="21"/>
              </w:rPr>
              <w:t>废机油、废包装容器、含油抹布及劳保用品、实验废液</w:t>
            </w:r>
          </w:p>
        </w:tc>
        <w:tc>
          <w:tcPr>
            <w:tcW w:w="3609" w:type="dxa"/>
            <w:gridSpan w:val="2"/>
          </w:tcPr>
          <w:p w14:paraId="17803987">
            <w:pPr>
              <w:pStyle w:val="14"/>
              <w:spacing w:before="157" w:line="242" w:lineRule="auto"/>
              <w:ind w:left="1593" w:right="116" w:hanging="1472"/>
              <w:rPr>
                <w:sz w:val="21"/>
              </w:rPr>
            </w:pPr>
            <w:r>
              <w:rPr>
                <w:w w:val="95"/>
                <w:sz w:val="21"/>
              </w:rPr>
              <w:t>危废暂存间暂存后，交由有资质单位</w:t>
            </w:r>
            <w:r>
              <w:rPr>
                <w:sz w:val="21"/>
              </w:rPr>
              <w:t>处置</w:t>
            </w:r>
          </w:p>
        </w:tc>
        <w:tc>
          <w:tcPr>
            <w:tcW w:w="2361" w:type="dxa"/>
            <w:vMerge w:val="continue"/>
            <w:tcBorders>
              <w:top w:val="nil"/>
            </w:tcBorders>
          </w:tcPr>
          <w:p w14:paraId="33DEF4EE">
            <w:pPr>
              <w:rPr>
                <w:sz w:val="2"/>
                <w:szCs w:val="2"/>
              </w:rPr>
            </w:pPr>
          </w:p>
        </w:tc>
        <w:tc>
          <w:tcPr>
            <w:tcW w:w="1182" w:type="dxa"/>
          </w:tcPr>
          <w:p w14:paraId="0FD80877">
            <w:pPr>
              <w:pStyle w:val="14"/>
              <w:spacing w:before="8"/>
              <w:rPr>
                <w:rFonts w:ascii="Times New Roman"/>
                <w:sz w:val="26"/>
              </w:rPr>
            </w:pPr>
          </w:p>
          <w:p w14:paraId="4FE7BD0C">
            <w:pPr>
              <w:pStyle w:val="14"/>
              <w:ind w:left="7"/>
              <w:jc w:val="center"/>
              <w:rPr>
                <w:rFonts w:ascii="Times New Roman"/>
                <w:sz w:val="21"/>
              </w:rPr>
            </w:pPr>
            <w:r>
              <w:rPr>
                <w:rFonts w:ascii="Times New Roman"/>
                <w:w w:val="99"/>
                <w:sz w:val="21"/>
              </w:rPr>
              <w:t>/</w:t>
            </w:r>
          </w:p>
        </w:tc>
        <w:tc>
          <w:tcPr>
            <w:tcW w:w="669" w:type="dxa"/>
            <w:vMerge w:val="continue"/>
            <w:tcBorders>
              <w:top w:val="nil"/>
            </w:tcBorders>
          </w:tcPr>
          <w:p w14:paraId="2C8631CC">
            <w:pPr>
              <w:rPr>
                <w:sz w:val="2"/>
                <w:szCs w:val="2"/>
              </w:rPr>
            </w:pPr>
          </w:p>
        </w:tc>
        <w:tc>
          <w:tcPr>
            <w:tcW w:w="3759" w:type="dxa"/>
          </w:tcPr>
          <w:p w14:paraId="541B23A5">
            <w:pPr>
              <w:pStyle w:val="14"/>
              <w:spacing w:before="157"/>
              <w:ind w:left="231" w:right="117"/>
              <w:jc w:val="center"/>
              <w:rPr>
                <w:sz w:val="21"/>
              </w:rPr>
            </w:pPr>
            <w:r>
              <w:rPr>
                <w:sz w:val="21"/>
              </w:rPr>
              <w:t>《危险废物贮存污染控制标准》</w:t>
            </w:r>
          </w:p>
          <w:p w14:paraId="6E99FCDE">
            <w:pPr>
              <w:pStyle w:val="14"/>
              <w:spacing w:before="2"/>
              <w:ind w:left="125" w:right="117"/>
              <w:jc w:val="center"/>
              <w:rPr>
                <w:sz w:val="21"/>
              </w:rPr>
            </w:pPr>
            <w:r>
              <w:rPr>
                <w:sz w:val="21"/>
              </w:rPr>
              <w:t>（</w:t>
            </w:r>
            <w:r>
              <w:rPr>
                <w:rFonts w:ascii="Times New Roman" w:eastAsia="Times New Roman"/>
                <w:sz w:val="21"/>
              </w:rPr>
              <w:t>GB18597-2023</w:t>
            </w:r>
            <w:r>
              <w:rPr>
                <w:sz w:val="21"/>
              </w:rPr>
              <w:t>）</w:t>
            </w:r>
          </w:p>
        </w:tc>
      </w:tr>
    </w:tbl>
    <w:p w14:paraId="5BC966E0">
      <w:pPr>
        <w:spacing w:after="0"/>
        <w:jc w:val="center"/>
        <w:rPr>
          <w:sz w:val="21"/>
        </w:rPr>
        <w:sectPr>
          <w:pgSz w:w="16840" w:h="11910" w:orient="landscape"/>
          <w:pgMar w:top="1180" w:right="1220" w:bottom="1400" w:left="1220" w:header="878" w:footer="1204" w:gutter="0"/>
          <w:cols w:space="720" w:num="1"/>
        </w:sectPr>
      </w:pPr>
    </w:p>
    <w:p w14:paraId="707D478F">
      <w:pPr>
        <w:pStyle w:val="2"/>
        <w:numPr>
          <w:ilvl w:val="0"/>
          <w:numId w:val="37"/>
        </w:numPr>
        <w:tabs>
          <w:tab w:val="left" w:pos="3183"/>
        </w:tabs>
        <w:spacing w:before="65" w:after="0" w:line="240" w:lineRule="auto"/>
        <w:ind w:left="3182" w:right="0" w:hanging="389"/>
        <w:jc w:val="left"/>
        <w:rPr>
          <w:rFonts w:ascii="Times New Roman" w:eastAsia="Times New Roman"/>
        </w:rPr>
      </w:pPr>
      <w:bookmarkStart w:id="367" w:name="10环境影响评价结论"/>
      <w:bookmarkEnd w:id="367"/>
      <w:bookmarkStart w:id="368" w:name="_bookmark52"/>
      <w:bookmarkEnd w:id="368"/>
      <w:bookmarkStart w:id="369" w:name="_bookmark52"/>
      <w:bookmarkEnd w:id="369"/>
      <w:r>
        <w:t>环境影响评价结论</w:t>
      </w:r>
    </w:p>
    <w:p w14:paraId="3919B842">
      <w:pPr>
        <w:pStyle w:val="13"/>
        <w:numPr>
          <w:ilvl w:val="1"/>
          <w:numId w:val="38"/>
        </w:numPr>
        <w:tabs>
          <w:tab w:val="left" w:pos="713"/>
        </w:tabs>
        <w:spacing w:before="213" w:after="0" w:line="240" w:lineRule="auto"/>
        <w:ind w:left="712" w:right="0" w:hanging="590"/>
        <w:jc w:val="left"/>
        <w:rPr>
          <w:b/>
          <w:sz w:val="30"/>
        </w:rPr>
      </w:pPr>
      <w:bookmarkStart w:id="370" w:name="_bookmark53"/>
      <w:bookmarkEnd w:id="370"/>
      <w:bookmarkStart w:id="371" w:name="_bookmark53"/>
      <w:bookmarkEnd w:id="371"/>
      <w:bookmarkStart w:id="372" w:name="10.1建设项目概况"/>
      <w:bookmarkEnd w:id="372"/>
      <w:r>
        <w:rPr>
          <w:b/>
          <w:sz w:val="30"/>
        </w:rPr>
        <w:t>建设项目概况</w:t>
      </w:r>
    </w:p>
    <w:p w14:paraId="0CBF0697">
      <w:pPr>
        <w:pStyle w:val="7"/>
        <w:spacing w:before="7"/>
        <w:rPr>
          <w:b/>
          <w:sz w:val="9"/>
        </w:rPr>
      </w:pPr>
    </w:p>
    <w:p w14:paraId="08DEA053">
      <w:pPr>
        <w:pStyle w:val="7"/>
        <w:spacing w:before="76"/>
        <w:ind w:left="602"/>
      </w:pPr>
      <w:r>
        <w:t xml:space="preserve">岳阳县惠康农业有限公司岳阳县畜禽屠宰场及冷链物流建设项目于 </w:t>
      </w:r>
      <w:r>
        <w:rPr>
          <w:rFonts w:ascii="Times New Roman" w:eastAsia="Times New Roman"/>
        </w:rPr>
        <w:t xml:space="preserve">2023 </w:t>
      </w:r>
      <w:r>
        <w:t>年</w:t>
      </w:r>
    </w:p>
    <w:p w14:paraId="4C5F64A5">
      <w:pPr>
        <w:pStyle w:val="7"/>
        <w:spacing w:before="158"/>
        <w:ind w:left="122"/>
      </w:pPr>
      <w:r>
        <w:rPr>
          <w:rFonts w:ascii="Times New Roman" w:eastAsia="Times New Roman"/>
        </w:rPr>
        <w:t xml:space="preserve">9 </w:t>
      </w:r>
      <w:r>
        <w:t xml:space="preserve">月在岳阳县发改局备案，项目代码为 </w:t>
      </w:r>
      <w:r>
        <w:rPr>
          <w:rFonts w:ascii="Times New Roman" w:eastAsia="Times New Roman"/>
        </w:rPr>
        <w:t>2014-430621-04-01-334765</w:t>
      </w:r>
      <w:r>
        <w:t>；起初建设单</w:t>
      </w:r>
    </w:p>
    <w:p w14:paraId="1A8BE8C4">
      <w:pPr>
        <w:pStyle w:val="7"/>
        <w:spacing w:before="161"/>
        <w:ind w:left="122"/>
        <w:rPr>
          <w:rFonts w:ascii="Times New Roman" w:eastAsia="Times New Roman"/>
        </w:rPr>
      </w:pPr>
      <w:r>
        <w:t xml:space="preserve">位针对项目报于 </w:t>
      </w:r>
      <w:r>
        <w:rPr>
          <w:rFonts w:ascii="Times New Roman" w:eastAsia="Times New Roman"/>
        </w:rPr>
        <w:t xml:space="preserve">2021 </w:t>
      </w:r>
      <w:r>
        <w:t xml:space="preserve">年 </w:t>
      </w:r>
      <w:r>
        <w:rPr>
          <w:rFonts w:ascii="Times New Roman" w:eastAsia="Times New Roman"/>
        </w:rPr>
        <w:t xml:space="preserve">6 </w:t>
      </w:r>
      <w:r>
        <w:t>月岳阳市人民政府并取得批复（岳政办函</w:t>
      </w:r>
      <w:r>
        <w:rPr>
          <w:rFonts w:ascii="Times New Roman" w:eastAsia="Times New Roman"/>
        </w:rPr>
        <w:t>[2021]49</w:t>
      </w:r>
    </w:p>
    <w:p w14:paraId="08542B2E">
      <w:pPr>
        <w:pStyle w:val="7"/>
        <w:spacing w:before="158"/>
        <w:ind w:left="122"/>
      </w:pPr>
      <w:r>
        <w:t xml:space="preserve">号），计划新建屠宰场于 </w:t>
      </w:r>
      <w:r>
        <w:rPr>
          <w:rFonts w:ascii="Times New Roman" w:eastAsia="Times New Roman"/>
        </w:rPr>
        <w:t xml:space="preserve">2021 </w:t>
      </w:r>
      <w:r>
        <w:t xml:space="preserve">年 </w:t>
      </w:r>
      <w:r>
        <w:rPr>
          <w:rFonts w:ascii="Times New Roman" w:eastAsia="Times New Roman"/>
        </w:rPr>
        <w:t xml:space="preserve">7 </w:t>
      </w:r>
      <w:r>
        <w:t>月报湖南省农业厅并取得批复（湘农函</w:t>
      </w:r>
    </w:p>
    <w:p w14:paraId="4F43237A">
      <w:pPr>
        <w:pStyle w:val="7"/>
        <w:spacing w:before="160"/>
        <w:ind w:left="122"/>
      </w:pPr>
      <w:r>
        <w:rPr>
          <w:rFonts w:ascii="Times New Roman" w:eastAsia="Times New Roman"/>
        </w:rPr>
        <w:t xml:space="preserve">[2021]86 </w:t>
      </w:r>
      <w:r>
        <w:t xml:space="preserve">号），但由于选址问题于 </w:t>
      </w:r>
      <w:r>
        <w:rPr>
          <w:rFonts w:ascii="Times New Roman" w:eastAsia="Times New Roman"/>
        </w:rPr>
        <w:t xml:space="preserve">2023 </w:t>
      </w:r>
      <w:r>
        <w:t xml:space="preserve">年 </w:t>
      </w:r>
      <w:r>
        <w:rPr>
          <w:rFonts w:ascii="Times New Roman" w:eastAsia="Times New Roman"/>
        </w:rPr>
        <w:t xml:space="preserve">8 </w:t>
      </w:r>
      <w:r>
        <w:t>月提交变更申请。立项同期岳阳县</w:t>
      </w:r>
    </w:p>
    <w:p w14:paraId="07E42B60">
      <w:pPr>
        <w:pStyle w:val="7"/>
        <w:spacing w:before="158"/>
        <w:ind w:left="122"/>
      </w:pPr>
      <w:r>
        <w:t xml:space="preserve">惠康农业有限公司于 </w:t>
      </w:r>
      <w:r>
        <w:rPr>
          <w:rFonts w:ascii="Times New Roman" w:eastAsia="Times New Roman"/>
        </w:rPr>
        <w:t xml:space="preserve">2023 </w:t>
      </w:r>
      <w:r>
        <w:t xml:space="preserve">年 </w:t>
      </w:r>
      <w:r>
        <w:rPr>
          <w:rFonts w:ascii="Times New Roman" w:eastAsia="Times New Roman"/>
        </w:rPr>
        <w:t xml:space="preserve">9 </w:t>
      </w:r>
      <w:r>
        <w:t xml:space="preserve">月 </w:t>
      </w:r>
      <w:r>
        <w:rPr>
          <w:rFonts w:ascii="Times New Roman" w:eastAsia="Times New Roman"/>
        </w:rPr>
        <w:t xml:space="preserve">13 </w:t>
      </w:r>
      <w:r>
        <w:t>日取得岳阳县自然资源局对本项目的选址</w:t>
      </w:r>
    </w:p>
    <w:p w14:paraId="0E9B15B2">
      <w:pPr>
        <w:pStyle w:val="7"/>
        <w:spacing w:before="161" w:line="364" w:lineRule="auto"/>
        <w:ind w:left="122" w:right="661"/>
        <w:jc w:val="both"/>
      </w:pPr>
      <w:r>
        <w:rPr>
          <w:spacing w:val="2"/>
        </w:rPr>
        <w:t xml:space="preserve">意见书，提交项目申请表获得有关部门的一致赞同。本次项目总投资 </w:t>
      </w:r>
      <w:r>
        <w:rPr>
          <w:rFonts w:ascii="Times New Roman" w:hAnsi="Times New Roman" w:eastAsia="Times New Roman"/>
        </w:rPr>
        <w:t xml:space="preserve">17585.3 </w:t>
      </w:r>
      <w:r>
        <w:rPr>
          <w:spacing w:val="-3"/>
        </w:rPr>
        <w:t xml:space="preserve">万元人民币，拟位于岳阳县荣家湾镇城东村建设 </w:t>
      </w:r>
      <w:r>
        <w:rPr>
          <w:rFonts w:ascii="Times New Roman" w:hAnsi="Times New Roman" w:eastAsia="Times New Roman"/>
        </w:rPr>
        <w:t>1</w:t>
      </w:r>
      <w:r>
        <w:rPr>
          <w:rFonts w:ascii="Times New Roman" w:hAnsi="Times New Roman" w:eastAsia="Times New Roman"/>
          <w:spacing w:val="-12"/>
        </w:rPr>
        <w:t xml:space="preserve"> </w:t>
      </w:r>
      <w:r>
        <w:rPr>
          <w:spacing w:val="-10"/>
        </w:rPr>
        <w:t xml:space="preserve">所年屠宰量 </w:t>
      </w:r>
      <w:r>
        <w:rPr>
          <w:rFonts w:ascii="Times New Roman" w:hAnsi="Times New Roman" w:eastAsia="Times New Roman"/>
        </w:rPr>
        <w:t>40</w:t>
      </w:r>
      <w:r>
        <w:rPr>
          <w:rFonts w:ascii="Times New Roman" w:hAnsi="Times New Roman" w:eastAsia="Times New Roman"/>
          <w:spacing w:val="-12"/>
        </w:rPr>
        <w:t xml:space="preserve"> </w:t>
      </w:r>
      <w:r>
        <w:rPr>
          <w:spacing w:val="-20"/>
        </w:rPr>
        <w:t xml:space="preserve">万头 </w:t>
      </w:r>
      <w:r>
        <w:rPr>
          <w:rFonts w:ascii="Times New Roman" w:hAnsi="Times New Roman" w:eastAsia="Times New Roman"/>
        </w:rPr>
        <w:t>A</w:t>
      </w:r>
      <w:r>
        <w:rPr>
          <w:rFonts w:ascii="Times New Roman" w:hAnsi="Times New Roman" w:eastAsia="Times New Roman"/>
          <w:spacing w:val="-13"/>
        </w:rPr>
        <w:t xml:space="preserve"> </w:t>
      </w:r>
      <w:r>
        <w:t>类屠宰</w:t>
      </w:r>
      <w:r>
        <w:rPr>
          <w:spacing w:val="-2"/>
        </w:rPr>
        <w:t xml:space="preserve">场，项目占地约 </w:t>
      </w:r>
      <w:r>
        <w:rPr>
          <w:rFonts w:ascii="Times New Roman" w:hAnsi="Times New Roman" w:eastAsia="Times New Roman"/>
        </w:rPr>
        <w:t xml:space="preserve">40.4 </w:t>
      </w:r>
      <w:r>
        <w:rPr>
          <w:spacing w:val="-1"/>
        </w:rPr>
        <w:t xml:space="preserve">亩，计划建设工期为 </w:t>
      </w:r>
      <w:r>
        <w:rPr>
          <w:rFonts w:ascii="Times New Roman" w:hAnsi="Times New Roman" w:eastAsia="Times New Roman"/>
        </w:rPr>
        <w:t xml:space="preserve">19 </w:t>
      </w:r>
      <w:r>
        <w:rPr>
          <w:spacing w:val="5"/>
        </w:rPr>
        <w:t>个月。根据本次环评分析，本次</w:t>
      </w:r>
      <w:r>
        <w:rPr>
          <w:spacing w:val="7"/>
        </w:rPr>
        <w:t>项目符合国家的产业政策，符合《生猪屠宰管理条例》中相关要求，选址合</w:t>
      </w:r>
      <w:r>
        <w:t xml:space="preserve">理，平面布局合理。项目营运过程中产生的废水、废气、固体废物、噪声等， </w:t>
      </w:r>
      <w:r>
        <w:rPr>
          <w:spacing w:val="7"/>
        </w:rPr>
        <w:t>通过采取报告提出的污染防治措施，本次项目的污染物经处理后满足达标排</w:t>
      </w:r>
      <w:r>
        <w:t>放、合理处置，建成后可以基本维持当地环境质量现状；项目建设满足《岳阳</w:t>
      </w:r>
      <w:r>
        <w:rPr>
          <w:spacing w:val="5"/>
        </w:rPr>
        <w:t>市人民政府关于“ 三线一单” 生态环境分区管控要求</w:t>
      </w:r>
      <w:r>
        <w:t>（</w:t>
      </w:r>
      <w:r>
        <w:rPr>
          <w:spacing w:val="-1"/>
        </w:rPr>
        <w:t xml:space="preserve"> 岳政发〔</w:t>
      </w:r>
      <w:r>
        <w:rPr>
          <w:rFonts w:ascii="Times New Roman" w:hAnsi="Times New Roman" w:eastAsia="Times New Roman"/>
        </w:rPr>
        <w:t>2021</w:t>
      </w:r>
      <w:r>
        <w:rPr>
          <w:rFonts w:ascii="Times New Roman" w:hAnsi="Times New Roman" w:eastAsia="Times New Roman"/>
          <w:spacing w:val="-31"/>
        </w:rPr>
        <w:t xml:space="preserve"> </w:t>
      </w:r>
      <w:r>
        <w:rPr>
          <w:spacing w:val="25"/>
        </w:rPr>
        <w:t>〕</w:t>
      </w:r>
      <w:r>
        <w:rPr>
          <w:rFonts w:ascii="Times New Roman" w:hAnsi="Times New Roman" w:eastAsia="Times New Roman"/>
        </w:rPr>
        <w:t xml:space="preserve">2 </w:t>
      </w:r>
      <w:r>
        <w:t>号）》中相关要求。从环境保护角度分析，项目建设是可行的。</w:t>
      </w:r>
    </w:p>
    <w:p w14:paraId="592400CC">
      <w:pPr>
        <w:pStyle w:val="13"/>
        <w:numPr>
          <w:ilvl w:val="1"/>
          <w:numId w:val="38"/>
        </w:numPr>
        <w:tabs>
          <w:tab w:val="left" w:pos="713"/>
        </w:tabs>
        <w:spacing w:before="0" w:after="0" w:line="380" w:lineRule="exact"/>
        <w:ind w:left="712" w:right="0" w:hanging="590"/>
        <w:jc w:val="left"/>
        <w:rPr>
          <w:b/>
          <w:sz w:val="30"/>
        </w:rPr>
      </w:pPr>
      <w:bookmarkStart w:id="373" w:name="_bookmark54"/>
      <w:bookmarkEnd w:id="373"/>
      <w:bookmarkStart w:id="374" w:name="_bookmark54"/>
      <w:bookmarkEnd w:id="374"/>
      <w:bookmarkStart w:id="375" w:name="10.2产业政策、规划相符性及选址合理性"/>
      <w:bookmarkEnd w:id="375"/>
      <w:r>
        <w:rPr>
          <w:b/>
          <w:sz w:val="30"/>
        </w:rPr>
        <w:t>产业政策、规划相符性及选址合理性</w:t>
      </w:r>
    </w:p>
    <w:p w14:paraId="5B704191">
      <w:pPr>
        <w:pStyle w:val="7"/>
        <w:spacing w:before="199"/>
        <w:ind w:left="602"/>
        <w:rPr>
          <w:rFonts w:ascii="Times New Roman" w:eastAsia="Times New Roman"/>
        </w:rPr>
      </w:pPr>
      <w:r>
        <w:t>根据《国民经济行业分类》（</w:t>
      </w:r>
      <w:r>
        <w:rPr>
          <w:rFonts w:ascii="Times New Roman" w:eastAsia="Times New Roman"/>
        </w:rPr>
        <w:t>GB/T4754-2017</w:t>
      </w:r>
      <w:r>
        <w:t xml:space="preserve">），本项目所属产业为 </w:t>
      </w:r>
      <w:r>
        <w:rPr>
          <w:rFonts w:ascii="Times New Roman" w:eastAsia="Times New Roman"/>
        </w:rPr>
        <w:t>C1351</w:t>
      </w:r>
    </w:p>
    <w:p w14:paraId="10A9C41D">
      <w:pPr>
        <w:pStyle w:val="7"/>
        <w:spacing w:before="158"/>
        <w:ind w:left="122"/>
      </w:pPr>
      <w:r>
        <w:t>屠宰及肉类加工业。根据国家发展改革委发布的《产业结构调整指导目录</w:t>
      </w:r>
    </w:p>
    <w:p w14:paraId="45C9559D">
      <w:pPr>
        <w:pStyle w:val="7"/>
        <w:spacing w:before="160" w:line="362" w:lineRule="auto"/>
        <w:ind w:left="122" w:right="661"/>
      </w:pPr>
      <w:r>
        <w:t>（</w:t>
      </w:r>
      <w:r>
        <w:rPr>
          <w:rFonts w:ascii="Times New Roman" w:hAnsi="Times New Roman" w:eastAsia="Times New Roman"/>
        </w:rPr>
        <w:t xml:space="preserve">2019 </w:t>
      </w:r>
      <w:r>
        <w:t>年本）》中所列，本项目不在“鼓励类”、“限制类”及“淘汰类”范围内，属于允许类项目。</w:t>
      </w:r>
    </w:p>
    <w:p w14:paraId="07848E86">
      <w:pPr>
        <w:pStyle w:val="7"/>
        <w:spacing w:before="5" w:line="364" w:lineRule="auto"/>
        <w:ind w:left="122" w:right="662" w:firstLine="480"/>
      </w:pPr>
      <w:r>
        <w:t>本项目位于岳阳县荣家湾镇城东村，本项目用地为建设用地，项目用地与岳阳市土地相关规划相符。</w:t>
      </w:r>
    </w:p>
    <w:p w14:paraId="2045F24B">
      <w:pPr>
        <w:pStyle w:val="13"/>
        <w:numPr>
          <w:ilvl w:val="1"/>
          <w:numId w:val="38"/>
        </w:numPr>
        <w:tabs>
          <w:tab w:val="left" w:pos="713"/>
        </w:tabs>
        <w:spacing w:before="1" w:after="0" w:line="240" w:lineRule="auto"/>
        <w:ind w:left="712" w:right="0" w:hanging="590"/>
        <w:jc w:val="left"/>
        <w:rPr>
          <w:b/>
          <w:sz w:val="30"/>
        </w:rPr>
      </w:pPr>
      <w:bookmarkStart w:id="376" w:name="_bookmark55"/>
      <w:bookmarkEnd w:id="376"/>
      <w:bookmarkStart w:id="377" w:name="_bookmark55"/>
      <w:bookmarkEnd w:id="377"/>
      <w:bookmarkStart w:id="378" w:name="10.3环境质量现状"/>
      <w:bookmarkEnd w:id="378"/>
      <w:r>
        <w:rPr>
          <w:b/>
          <w:sz w:val="30"/>
        </w:rPr>
        <w:t>环境质量现状</w:t>
      </w:r>
    </w:p>
    <w:p w14:paraId="4DFFFA66">
      <w:pPr>
        <w:pStyle w:val="7"/>
        <w:spacing w:before="197"/>
        <w:ind w:left="602"/>
      </w:pPr>
      <w:r>
        <w:t>（</w:t>
      </w:r>
      <w:r>
        <w:rPr>
          <w:rFonts w:ascii="Times New Roman" w:eastAsia="Times New Roman"/>
        </w:rPr>
        <w:t>1</w:t>
      </w:r>
      <w:r>
        <w:t>）空气环境质量</w:t>
      </w:r>
    </w:p>
    <w:p w14:paraId="040AC597">
      <w:pPr>
        <w:pStyle w:val="7"/>
        <w:spacing w:before="157" w:line="364" w:lineRule="auto"/>
        <w:ind w:left="122" w:right="660" w:firstLine="480"/>
        <w:jc w:val="both"/>
      </w:pPr>
      <w:r>
        <w:rPr>
          <w:rFonts w:ascii="Times New Roman" w:eastAsia="Times New Roman"/>
          <w:position w:val="2"/>
        </w:rPr>
        <w:t xml:space="preserve">2023 </w:t>
      </w:r>
      <w:r>
        <w:rPr>
          <w:position w:val="2"/>
        </w:rPr>
        <w:t xml:space="preserve">年岳阳县 </w:t>
      </w:r>
      <w:r>
        <w:rPr>
          <w:rFonts w:ascii="Times New Roman" w:eastAsia="Times New Roman"/>
          <w:position w:val="2"/>
        </w:rPr>
        <w:t>PM</w:t>
      </w:r>
      <w:r>
        <w:rPr>
          <w:rFonts w:ascii="Times New Roman" w:eastAsia="Times New Roman"/>
          <w:position w:val="2"/>
          <w:vertAlign w:val="subscript"/>
        </w:rPr>
        <w:t>2.5</w:t>
      </w:r>
      <w:r>
        <w:rPr>
          <w:position w:val="2"/>
          <w:vertAlign w:val="baseline"/>
        </w:rPr>
        <w:t>、</w:t>
      </w:r>
      <w:r>
        <w:rPr>
          <w:rFonts w:ascii="Times New Roman" w:eastAsia="Times New Roman"/>
          <w:position w:val="2"/>
          <w:vertAlign w:val="baseline"/>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CO</w:t>
      </w:r>
      <w:r>
        <w:rPr>
          <w:position w:val="2"/>
          <w:vertAlign w:val="baseline"/>
        </w:rPr>
        <w:t>、</w:t>
      </w:r>
      <w:r>
        <w:rPr>
          <w:rFonts w:ascii="Times New Roman" w:eastAsia="Times New Roman"/>
          <w:position w:val="2"/>
          <w:vertAlign w:val="baseline"/>
        </w:rPr>
        <w:t>O</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均符合《环境空气质量</w:t>
      </w:r>
      <w:r>
        <w:rPr>
          <w:vertAlign w:val="baseline"/>
        </w:rPr>
        <w:t>标准》（</w:t>
      </w:r>
      <w:r>
        <w:rPr>
          <w:rFonts w:ascii="Times New Roman" w:eastAsia="Times New Roman"/>
          <w:vertAlign w:val="baseline"/>
        </w:rPr>
        <w:t>GB3095-2012</w:t>
      </w:r>
      <w:r>
        <w:rPr>
          <w:vertAlign w:val="baseline"/>
        </w:rPr>
        <w:t>）中二级标准，本项目所在区域环境空气质量达标，为空气质量达标区。特征污染物现状根据近期数据显示，氨和硫化氢监测结果均</w:t>
      </w:r>
    </w:p>
    <w:p w14:paraId="42BC0B5C">
      <w:pPr>
        <w:spacing w:after="0" w:line="364" w:lineRule="auto"/>
        <w:jc w:val="both"/>
        <w:sectPr>
          <w:headerReference r:id="rId46" w:type="default"/>
          <w:footerReference r:id="rId47" w:type="default"/>
          <w:pgSz w:w="11910" w:h="16840"/>
          <w:pgMar w:top="1360" w:right="1140" w:bottom="1400" w:left="1680" w:header="878" w:footer="1204" w:gutter="0"/>
          <w:pgNumType w:start="178"/>
          <w:cols w:space="720" w:num="1"/>
        </w:sectPr>
      </w:pPr>
    </w:p>
    <w:p w14:paraId="75C6E242">
      <w:pPr>
        <w:pStyle w:val="7"/>
        <w:spacing w:before="64" w:line="364" w:lineRule="auto"/>
        <w:ind w:left="122" w:right="662"/>
      </w:pPr>
      <w:r>
        <w:t>达到《环境影响评价技术导则</w:t>
      </w:r>
      <w:r>
        <w:rPr>
          <w:rFonts w:ascii="Times New Roman" w:hAnsi="Times New Roman" w:eastAsia="Times New Roman"/>
        </w:rPr>
        <w:t>—</w:t>
      </w:r>
      <w:r>
        <w:t>大气环境》（</w:t>
      </w:r>
      <w:r>
        <w:rPr>
          <w:rFonts w:ascii="Times New Roman" w:hAnsi="Times New Roman" w:eastAsia="Times New Roman"/>
        </w:rPr>
        <w:t>HJ2.2-2018</w:t>
      </w:r>
      <w:r>
        <w:t xml:space="preserve">）附录 </w:t>
      </w:r>
      <w:r>
        <w:rPr>
          <w:rFonts w:ascii="Times New Roman" w:hAnsi="Times New Roman" w:eastAsia="Times New Roman"/>
        </w:rPr>
        <w:t xml:space="preserve">D </w:t>
      </w:r>
      <w:r>
        <w:t>中的标准限值要求，项目所在区域环境空气质量较好。</w:t>
      </w:r>
    </w:p>
    <w:p w14:paraId="5A82ABF5">
      <w:pPr>
        <w:pStyle w:val="7"/>
        <w:spacing w:line="306" w:lineRule="exact"/>
        <w:ind w:left="602"/>
      </w:pPr>
      <w:r>
        <w:t>（</w:t>
      </w:r>
      <w:r>
        <w:rPr>
          <w:rFonts w:ascii="Times New Roman" w:eastAsia="Times New Roman"/>
        </w:rPr>
        <w:t>2</w:t>
      </w:r>
      <w:r>
        <w:t>）地表水环境质量</w:t>
      </w:r>
    </w:p>
    <w:p w14:paraId="3A3545A0">
      <w:pPr>
        <w:pStyle w:val="7"/>
        <w:spacing w:before="160" w:line="364" w:lineRule="auto"/>
        <w:ind w:left="122" w:right="662" w:firstLine="480"/>
        <w:jc w:val="both"/>
      </w:pPr>
      <w:r>
        <w:t xml:space="preserve">项目生活污水和生产废水最终均排入岳阳县污水处理厂处理后排入新墙河。本次环评引用 </w:t>
      </w:r>
      <w:r>
        <w:rPr>
          <w:rFonts w:ascii="Times New Roman" w:eastAsia="Times New Roman"/>
        </w:rPr>
        <w:t xml:space="preserve">2023 </w:t>
      </w:r>
      <w:r>
        <w:t>年度所在地表水环境质量现状监测显示， 纳污水体新墙河的各监测断面所有监测因子的监测结果均达到《地表水环境质量标准》</w:t>
      </w:r>
    </w:p>
    <w:p w14:paraId="01AB1319">
      <w:pPr>
        <w:pStyle w:val="7"/>
        <w:spacing w:line="305" w:lineRule="exact"/>
        <w:ind w:left="122"/>
      </w:pPr>
      <w:r>
        <w:t>（</w:t>
      </w:r>
      <w:r>
        <w:rPr>
          <w:rFonts w:ascii="Times New Roman" w:hAnsi="Times New Roman" w:eastAsia="Times New Roman"/>
        </w:rPr>
        <w:t>GB3838-2002</w:t>
      </w:r>
      <w:r>
        <w:t>）Ⅲ类标准的相关限值要求，地表水环境质量较好。</w:t>
      </w:r>
    </w:p>
    <w:p w14:paraId="67375C70">
      <w:pPr>
        <w:pStyle w:val="7"/>
        <w:spacing w:before="161"/>
        <w:ind w:left="602"/>
      </w:pPr>
      <w:r>
        <w:t>（</w:t>
      </w:r>
      <w:r>
        <w:rPr>
          <w:rFonts w:ascii="Times New Roman" w:eastAsia="Times New Roman"/>
        </w:rPr>
        <w:t>3</w:t>
      </w:r>
      <w:r>
        <w:t>）地下水环境质量现状</w:t>
      </w:r>
    </w:p>
    <w:p w14:paraId="358A34E6">
      <w:pPr>
        <w:pStyle w:val="7"/>
        <w:spacing w:before="160" w:line="364" w:lineRule="auto"/>
        <w:ind w:left="122" w:right="661" w:firstLine="480"/>
        <w:jc w:val="both"/>
      </w:pPr>
      <w:r>
        <w:rPr>
          <w:spacing w:val="-3"/>
        </w:rPr>
        <w:t xml:space="preserve">本次环评委托湖南昌旭环保科技有限公司于 </w:t>
      </w:r>
      <w:r>
        <w:rPr>
          <w:rFonts w:ascii="Times New Roman" w:hAnsi="Times New Roman" w:eastAsia="Times New Roman"/>
        </w:rPr>
        <w:t xml:space="preserve">2023 </w:t>
      </w:r>
      <w:r>
        <w:rPr>
          <w:spacing w:val="-26"/>
        </w:rPr>
        <w:t xml:space="preserve">年 </w:t>
      </w:r>
      <w:r>
        <w:rPr>
          <w:rFonts w:ascii="Times New Roman" w:hAnsi="Times New Roman" w:eastAsia="Times New Roman"/>
        </w:rPr>
        <w:t xml:space="preserve">12 </w:t>
      </w:r>
      <w:r>
        <w:rPr>
          <w:spacing w:val="-26"/>
        </w:rPr>
        <w:t xml:space="preserve">月 </w:t>
      </w:r>
      <w:r>
        <w:rPr>
          <w:rFonts w:ascii="Times New Roman" w:hAnsi="Times New Roman" w:eastAsia="Times New Roman"/>
        </w:rPr>
        <w:t xml:space="preserve">29 </w:t>
      </w:r>
      <w:r>
        <w:t>日进行了地下</w:t>
      </w:r>
      <w:r>
        <w:rPr>
          <w:spacing w:val="-1"/>
        </w:rPr>
        <w:t>水环境质量现状监测， 水质监测结果表明，项目区域地下水各监测因子均未超</w:t>
      </w:r>
      <w:r>
        <w:t>过《地下水质量标准》（</w:t>
      </w:r>
      <w:r>
        <w:rPr>
          <w:rFonts w:ascii="Times New Roman" w:hAnsi="Times New Roman" w:eastAsia="Times New Roman"/>
        </w:rPr>
        <w:t>GB/T14848-2017</w:t>
      </w:r>
      <w:r>
        <w:t>）Ⅲ类标准要求。项目区域地下水环境质量良好。</w:t>
      </w:r>
    </w:p>
    <w:p w14:paraId="018FA841">
      <w:pPr>
        <w:pStyle w:val="7"/>
        <w:spacing w:line="305" w:lineRule="exact"/>
        <w:ind w:left="602"/>
      </w:pPr>
      <w:r>
        <w:t>（</w:t>
      </w:r>
      <w:r>
        <w:rPr>
          <w:rFonts w:ascii="Times New Roman" w:eastAsia="Times New Roman"/>
        </w:rPr>
        <w:t>4</w:t>
      </w:r>
      <w:r>
        <w:t>）声环境质量现状</w:t>
      </w:r>
    </w:p>
    <w:p w14:paraId="7AD03B45">
      <w:pPr>
        <w:pStyle w:val="7"/>
        <w:spacing w:before="158" w:line="364" w:lineRule="auto"/>
        <w:ind w:left="122" w:right="660" w:firstLine="480"/>
        <w:jc w:val="both"/>
      </w:pPr>
      <w:r>
        <w:rPr>
          <w:spacing w:val="-3"/>
        </w:rPr>
        <w:t xml:space="preserve">本次环评委托湖南昌旭环保科技有限公司于 </w:t>
      </w:r>
      <w:r>
        <w:rPr>
          <w:rFonts w:ascii="Times New Roman" w:eastAsia="Times New Roman"/>
        </w:rPr>
        <w:t xml:space="preserve">2023 </w:t>
      </w:r>
      <w:r>
        <w:rPr>
          <w:spacing w:val="-26"/>
        </w:rPr>
        <w:t xml:space="preserve">年 </w:t>
      </w:r>
      <w:r>
        <w:rPr>
          <w:rFonts w:ascii="Times New Roman" w:eastAsia="Times New Roman"/>
        </w:rPr>
        <w:t xml:space="preserve">12 </w:t>
      </w:r>
      <w:r>
        <w:rPr>
          <w:spacing w:val="-26"/>
        </w:rPr>
        <w:t xml:space="preserve">月 </w:t>
      </w:r>
      <w:r>
        <w:rPr>
          <w:rFonts w:ascii="Times New Roman" w:eastAsia="Times New Roman"/>
        </w:rPr>
        <w:t xml:space="preserve">29 </w:t>
      </w:r>
      <w:r>
        <w:t>日进行了声环</w:t>
      </w:r>
      <w:r>
        <w:rPr>
          <w:spacing w:val="7"/>
        </w:rPr>
        <w:t>境质量现状监测，项目所在区域声环境及周边敏感点均符合《声环境质量标</w:t>
      </w:r>
      <w:r>
        <w:rPr>
          <w:spacing w:val="5"/>
        </w:rPr>
        <w:t>准》</w:t>
      </w:r>
      <w:r>
        <w:t>（</w:t>
      </w:r>
      <w:r>
        <w:rPr>
          <w:rFonts w:ascii="Times New Roman" w:eastAsia="Times New Roman"/>
        </w:rPr>
        <w:t>GB3096-2008</w:t>
      </w:r>
      <w:r>
        <w:t>）</w:t>
      </w:r>
      <w:r>
        <w:rPr>
          <w:spacing w:val="-21"/>
        </w:rPr>
        <w:t xml:space="preserve">中 </w:t>
      </w:r>
      <w:r>
        <w:rPr>
          <w:rFonts w:ascii="Times New Roman" w:eastAsia="Times New Roman"/>
        </w:rPr>
        <w:t xml:space="preserve">2 </w:t>
      </w:r>
      <w:r>
        <w:rPr>
          <w:spacing w:val="1"/>
        </w:rPr>
        <w:t xml:space="preserve">类标准，项目所在区域声环境质量良好，满足 </w:t>
      </w:r>
      <w:r>
        <w:rPr>
          <w:rFonts w:ascii="Times New Roman" w:eastAsia="Times New Roman"/>
        </w:rPr>
        <w:t xml:space="preserve">2 </w:t>
      </w:r>
      <w:r>
        <w:t>类声环境功能区划要求。</w:t>
      </w:r>
    </w:p>
    <w:p w14:paraId="4752CCA3">
      <w:pPr>
        <w:pStyle w:val="13"/>
        <w:numPr>
          <w:ilvl w:val="1"/>
          <w:numId w:val="38"/>
        </w:numPr>
        <w:tabs>
          <w:tab w:val="left" w:pos="713"/>
        </w:tabs>
        <w:spacing w:before="0" w:after="0" w:line="382" w:lineRule="exact"/>
        <w:ind w:left="712" w:right="0" w:hanging="590"/>
        <w:jc w:val="left"/>
        <w:rPr>
          <w:b/>
          <w:sz w:val="30"/>
        </w:rPr>
      </w:pPr>
      <w:bookmarkStart w:id="379" w:name="10.4施工期环境影响评价结论"/>
      <w:bookmarkEnd w:id="379"/>
      <w:bookmarkStart w:id="380" w:name="_bookmark56"/>
      <w:bookmarkEnd w:id="380"/>
      <w:bookmarkStart w:id="381" w:name="_bookmark56"/>
      <w:bookmarkEnd w:id="381"/>
      <w:r>
        <w:rPr>
          <w:b/>
          <w:sz w:val="30"/>
        </w:rPr>
        <w:t>施工期环境影响评价结论</w:t>
      </w:r>
    </w:p>
    <w:p w14:paraId="7CA8E39E">
      <w:pPr>
        <w:pStyle w:val="7"/>
        <w:spacing w:before="199"/>
        <w:ind w:left="602"/>
      </w:pPr>
      <w:r>
        <w:t>（</w:t>
      </w:r>
      <w:r>
        <w:rPr>
          <w:rFonts w:ascii="Times New Roman" w:eastAsia="Times New Roman"/>
        </w:rPr>
        <w:t>1</w:t>
      </w:r>
      <w:r>
        <w:t>）大气环境影响分析</w:t>
      </w:r>
    </w:p>
    <w:p w14:paraId="42BD275B">
      <w:pPr>
        <w:pStyle w:val="7"/>
        <w:spacing w:before="160" w:line="364" w:lineRule="auto"/>
        <w:ind w:left="122" w:right="660" w:firstLine="480"/>
        <w:jc w:val="both"/>
      </w:pPr>
      <w:r>
        <w:t>施工期大气污染物主要为扬尘和运输车辆尾气。通过对运输道路及时清扫和浇水，加强厂房通风换气、适当洒水抑尘等措施，施工废气可得到有效的控制，影响随着施工过程的结束而自行消除。</w:t>
      </w:r>
    </w:p>
    <w:p w14:paraId="60D2DFFD">
      <w:pPr>
        <w:pStyle w:val="7"/>
        <w:spacing w:line="304" w:lineRule="exact"/>
        <w:ind w:left="602"/>
      </w:pPr>
      <w:r>
        <w:t>（</w:t>
      </w:r>
      <w:r>
        <w:rPr>
          <w:rFonts w:ascii="Times New Roman" w:eastAsia="Times New Roman"/>
        </w:rPr>
        <w:t>2</w:t>
      </w:r>
      <w:r>
        <w:t>）水环境影响分析</w:t>
      </w:r>
    </w:p>
    <w:p w14:paraId="7B989186">
      <w:pPr>
        <w:pStyle w:val="7"/>
        <w:spacing w:before="161" w:line="364" w:lineRule="auto"/>
        <w:ind w:left="122" w:right="662" w:firstLine="480"/>
        <w:jc w:val="both"/>
      </w:pPr>
      <w:r>
        <w:t>本项目施工废水以及径流雨水通过沉淀回用于施工或降尘，不会对地表水、地下水环境产生明显影响。施工期生产废水经沉淀处理后回用，项目沉淀池、化粪池均进行水泥硬化防渗，项目废水与地下水无直接水力联系，对区域地下水环境的影响很小。</w:t>
      </w:r>
    </w:p>
    <w:p w14:paraId="1C4370A4">
      <w:pPr>
        <w:pStyle w:val="7"/>
        <w:spacing w:line="305" w:lineRule="exact"/>
        <w:ind w:left="602"/>
      </w:pPr>
      <w:r>
        <w:t>（</w:t>
      </w:r>
      <w:r>
        <w:rPr>
          <w:rFonts w:ascii="Times New Roman" w:eastAsia="Times New Roman"/>
        </w:rPr>
        <w:t>3</w:t>
      </w:r>
      <w:r>
        <w:t>）声环境影响分析</w:t>
      </w:r>
    </w:p>
    <w:p w14:paraId="19A3DF85">
      <w:pPr>
        <w:pStyle w:val="7"/>
        <w:spacing w:before="160"/>
        <w:ind w:left="602"/>
      </w:pPr>
      <w:r>
        <w:t>施工期噪声主要是车辆运输噪声和施工机械噪声，项目施工噪声对周边敏</w:t>
      </w:r>
    </w:p>
    <w:p w14:paraId="665F7915">
      <w:pPr>
        <w:spacing w:after="0"/>
        <w:sectPr>
          <w:pgSz w:w="11910" w:h="16840"/>
          <w:pgMar w:top="1360" w:right="1140" w:bottom="1400" w:left="1680" w:header="878" w:footer="1204" w:gutter="0"/>
          <w:cols w:space="720" w:num="1"/>
        </w:sectPr>
      </w:pPr>
    </w:p>
    <w:p w14:paraId="50C47C65">
      <w:pPr>
        <w:pStyle w:val="7"/>
        <w:spacing w:before="64" w:line="364" w:lineRule="auto"/>
        <w:ind w:left="122" w:right="662"/>
        <w:jc w:val="both"/>
      </w:pPr>
      <w:r>
        <w:t>感目标会参数一定的影响。因此，项目施工期应加强管理，合理安排施工时间，将高噪声设备远离敏感点布置，同时采取相应减噪措施后，噪声对敏感点的影响不大。</w:t>
      </w:r>
    </w:p>
    <w:p w14:paraId="30968A6B">
      <w:pPr>
        <w:pStyle w:val="7"/>
        <w:spacing w:line="307" w:lineRule="exact"/>
        <w:ind w:left="602"/>
      </w:pPr>
      <w:r>
        <w:t>（</w:t>
      </w:r>
      <w:r>
        <w:rPr>
          <w:rFonts w:ascii="Times New Roman" w:eastAsia="Times New Roman"/>
        </w:rPr>
        <w:t>4</w:t>
      </w:r>
      <w:r>
        <w:t>）固体废物环境影响分析</w:t>
      </w:r>
    </w:p>
    <w:p w14:paraId="41A8F29F">
      <w:pPr>
        <w:pStyle w:val="7"/>
        <w:spacing w:before="158" w:line="364" w:lineRule="auto"/>
        <w:ind w:left="122" w:right="662" w:firstLine="480"/>
        <w:jc w:val="both"/>
      </w:pPr>
      <w:r>
        <w:t>本项目建筑垃圾中有回收利用价值的固废应回收利用，其余与弃土石方应及时按照华容县当地渣土管理部门的要求运至到指定地点安全堆放，对周围环境会产生有限，做到发展与保护环境的协调。</w:t>
      </w:r>
    </w:p>
    <w:p w14:paraId="0A372716">
      <w:pPr>
        <w:pStyle w:val="7"/>
        <w:spacing w:line="307" w:lineRule="exact"/>
        <w:ind w:left="602"/>
      </w:pPr>
      <w:r>
        <w:t>（</w:t>
      </w:r>
      <w:r>
        <w:rPr>
          <w:rFonts w:ascii="Times New Roman" w:eastAsia="Times New Roman"/>
        </w:rPr>
        <w:t>5</w:t>
      </w:r>
      <w:r>
        <w:t>）生态环境影响分析</w:t>
      </w:r>
    </w:p>
    <w:p w14:paraId="6827BED8">
      <w:pPr>
        <w:pStyle w:val="7"/>
        <w:spacing w:before="160" w:line="364" w:lineRule="auto"/>
        <w:ind w:left="122" w:right="662" w:firstLine="480"/>
        <w:jc w:val="both"/>
      </w:pPr>
      <w:r>
        <w:t>建设单位应对施工过程及施工完毕影响区域的水土保持有足够的重视，落实建设资金，做到按计划有步骤地进行水土流失的防治，确保开发区域良好的自然生态环境不受水土流失的严重影响。通过加强管理、文明施工的手段来减少项目施工建设对周围环境的影响，可以把建设期间对周围环境的影响减少到较低的限度内，做到发展与保护环境的协调。</w:t>
      </w:r>
    </w:p>
    <w:p w14:paraId="220F45E1">
      <w:pPr>
        <w:pStyle w:val="13"/>
        <w:numPr>
          <w:ilvl w:val="1"/>
          <w:numId w:val="38"/>
        </w:numPr>
        <w:tabs>
          <w:tab w:val="left" w:pos="713"/>
        </w:tabs>
        <w:spacing w:before="0" w:after="0" w:line="383" w:lineRule="exact"/>
        <w:ind w:left="712" w:right="0" w:hanging="590"/>
        <w:jc w:val="left"/>
        <w:rPr>
          <w:b/>
          <w:sz w:val="30"/>
        </w:rPr>
      </w:pPr>
      <w:bookmarkStart w:id="382" w:name="_bookmark57"/>
      <w:bookmarkEnd w:id="382"/>
      <w:bookmarkStart w:id="383" w:name="10.5营运期环境影响评价结论"/>
      <w:bookmarkEnd w:id="383"/>
      <w:bookmarkStart w:id="384" w:name="_bookmark57"/>
      <w:bookmarkEnd w:id="384"/>
      <w:r>
        <w:rPr>
          <w:b/>
          <w:sz w:val="30"/>
        </w:rPr>
        <w:t>营运期环境影响评价结论</w:t>
      </w:r>
    </w:p>
    <w:p w14:paraId="10EF321C">
      <w:pPr>
        <w:pStyle w:val="7"/>
        <w:spacing w:before="197"/>
        <w:ind w:left="602"/>
      </w:pPr>
      <w:r>
        <w:t>（</w:t>
      </w:r>
      <w:r>
        <w:rPr>
          <w:rFonts w:ascii="Times New Roman" w:eastAsia="Times New Roman"/>
        </w:rPr>
        <w:t>1</w:t>
      </w:r>
      <w:r>
        <w:t>）大气环境影响</w:t>
      </w:r>
    </w:p>
    <w:p w14:paraId="3E3FA2E2">
      <w:pPr>
        <w:pStyle w:val="7"/>
        <w:spacing w:before="160" w:line="364" w:lineRule="auto"/>
        <w:ind w:left="122" w:right="660" w:firstLine="480"/>
        <w:jc w:val="both"/>
      </w:pPr>
      <w:r>
        <w:t>由估算模式预测结果可知，正常工况下，</w:t>
      </w:r>
      <w:r>
        <w:rPr>
          <w:rFonts w:ascii="Times New Roman" w:hAnsi="Times New Roman" w:eastAsia="Times New Roman"/>
        </w:rPr>
        <w:t>Pmax</w:t>
      </w:r>
      <w:r>
        <w:rPr>
          <w:rFonts w:ascii="Times New Roman" w:hAnsi="Times New Roman" w:eastAsia="Times New Roman"/>
          <w:spacing w:val="1"/>
        </w:rPr>
        <w:t xml:space="preserve"> </w:t>
      </w:r>
      <w:r>
        <w:t>最大值出现为厂界无组织排</w:t>
      </w:r>
      <w:r>
        <w:rPr>
          <w:spacing w:val="-19"/>
        </w:rPr>
        <w:t xml:space="preserve">放的 </w:t>
      </w:r>
      <w:r>
        <w:rPr>
          <w:rFonts w:ascii="Times New Roman" w:hAnsi="Times New Roman" w:eastAsia="Times New Roman"/>
        </w:rPr>
        <w:t>H2SPmax</w:t>
      </w:r>
      <w:r>
        <w:rPr>
          <w:rFonts w:ascii="Times New Roman" w:hAnsi="Times New Roman" w:eastAsia="Times New Roman"/>
          <w:spacing w:val="-11"/>
        </w:rPr>
        <w:t xml:space="preserve"> </w:t>
      </w:r>
      <w:r>
        <w:rPr>
          <w:spacing w:val="-19"/>
        </w:rPr>
        <w:t xml:space="preserve">值为 </w:t>
      </w:r>
      <w:r>
        <w:rPr>
          <w:rFonts w:ascii="Times New Roman" w:hAnsi="Times New Roman" w:eastAsia="Times New Roman"/>
        </w:rPr>
        <w:t>3.693%</w:t>
      </w:r>
      <w:r>
        <w:t>，</w:t>
      </w:r>
      <w:r>
        <w:rPr>
          <w:rFonts w:ascii="Times New Roman" w:hAnsi="Times New Roman" w:eastAsia="Times New Roman"/>
        </w:rPr>
        <w:t>Cmax</w:t>
      </w:r>
      <w:r>
        <w:rPr>
          <w:rFonts w:ascii="Times New Roman" w:hAnsi="Times New Roman" w:eastAsia="Times New Roman"/>
          <w:spacing w:val="-11"/>
        </w:rPr>
        <w:t xml:space="preserve"> </w:t>
      </w:r>
      <w:r>
        <w:rPr>
          <w:spacing w:val="-29"/>
        </w:rPr>
        <w:t xml:space="preserve">为 </w:t>
      </w:r>
      <w:r>
        <w:rPr>
          <w:rFonts w:ascii="Times New Roman" w:hAnsi="Times New Roman" w:eastAsia="Times New Roman"/>
        </w:rPr>
        <w:t>0.3693</w:t>
      </w:r>
      <w:r>
        <w:t>μ</w:t>
      </w:r>
      <w:r>
        <w:rPr>
          <w:rFonts w:ascii="Times New Roman" w:hAnsi="Times New Roman" w:eastAsia="Times New Roman"/>
        </w:rPr>
        <w:t>g/m</w:t>
      </w:r>
      <w:r>
        <w:t>³，因此其排放污染物的最大落地浓度均远远低于环境空气质量限制，对周围环境影响不大。</w:t>
      </w:r>
    </w:p>
    <w:p w14:paraId="51327ADA">
      <w:pPr>
        <w:pStyle w:val="7"/>
        <w:spacing w:line="364" w:lineRule="auto"/>
        <w:ind w:left="122" w:right="660" w:firstLine="480"/>
        <w:jc w:val="both"/>
      </w:pPr>
      <w:r>
        <w:t>本项目产生的废气主要为暂养间及待宰圈、加工车间恶臭、污水处理站恶臭气体，恶臭污染物通过负压收集后由喷淋吸收塔</w:t>
      </w:r>
      <w:r>
        <w:rPr>
          <w:rFonts w:ascii="Times New Roman" w:eastAsia="Times New Roman"/>
        </w:rPr>
        <w:t>+</w:t>
      </w:r>
      <w:r>
        <w:t xml:space="preserve">生物除臭处理，再经 </w:t>
      </w:r>
      <w:r>
        <w:rPr>
          <w:rFonts w:ascii="Times New Roman" w:eastAsia="Times New Roman"/>
        </w:rPr>
        <w:t xml:space="preserve">15m </w:t>
      </w:r>
      <w:r>
        <w:t xml:space="preserve">高排气筒排放；另设有锅炉房，内置天然气锅炉产生的燃烧废气通过 </w:t>
      </w:r>
      <w:r>
        <w:rPr>
          <w:rFonts w:ascii="Times New Roman" w:eastAsia="Times New Roman"/>
        </w:rPr>
        <w:t xml:space="preserve">15m </w:t>
      </w:r>
      <w:r>
        <w:t>排气筒高空排放。</w:t>
      </w:r>
    </w:p>
    <w:p w14:paraId="5E480212">
      <w:pPr>
        <w:pStyle w:val="7"/>
        <w:spacing w:line="305" w:lineRule="exact"/>
        <w:ind w:left="602"/>
      </w:pPr>
      <w:r>
        <w:t xml:space="preserve">本此评价确定项目的卫生防护距离为 </w:t>
      </w:r>
      <w:r>
        <w:rPr>
          <w:rFonts w:ascii="Times New Roman" w:eastAsia="Times New Roman"/>
        </w:rPr>
        <w:t>100m</w:t>
      </w:r>
      <w:r>
        <w:t>，其无组织排放单元外周边</w:t>
      </w:r>
    </w:p>
    <w:p w14:paraId="5DDC9359">
      <w:pPr>
        <w:pStyle w:val="7"/>
        <w:spacing w:before="158" w:line="362" w:lineRule="auto"/>
        <w:ind w:left="122" w:right="662"/>
        <w:jc w:val="both"/>
      </w:pPr>
      <w:r>
        <w:rPr>
          <w:rFonts w:ascii="Times New Roman" w:eastAsia="Times New Roman"/>
        </w:rPr>
        <w:t xml:space="preserve">100m </w:t>
      </w:r>
      <w:r>
        <w:t>范围内无医院、学校、居民区等环境敏感区，符合《湖南省生猪屠宰管理条例》中相关要求。</w:t>
      </w:r>
    </w:p>
    <w:p w14:paraId="1D8C5486">
      <w:pPr>
        <w:pStyle w:val="7"/>
        <w:spacing w:before="5"/>
        <w:ind w:left="602"/>
      </w:pPr>
      <w:r>
        <w:t>（</w:t>
      </w:r>
      <w:r>
        <w:rPr>
          <w:rFonts w:ascii="Times New Roman" w:eastAsia="Times New Roman"/>
        </w:rPr>
        <w:t>2</w:t>
      </w:r>
      <w:r>
        <w:t>）声环境影响分析</w:t>
      </w:r>
    </w:p>
    <w:p w14:paraId="6B5C1C9B">
      <w:pPr>
        <w:pStyle w:val="7"/>
        <w:spacing w:before="160" w:line="364" w:lineRule="auto"/>
        <w:ind w:left="122" w:right="662" w:firstLine="480"/>
        <w:jc w:val="both"/>
      </w:pPr>
      <w:r>
        <w:t>经预测分析，昼、夜间厂界噪声值均符合《工业企业厂界环境噪声排放标准》（</w:t>
      </w:r>
      <w:r>
        <w:rPr>
          <w:rFonts w:ascii="Times New Roman" w:eastAsia="Times New Roman"/>
        </w:rPr>
        <w:t>GB12348-2008</w:t>
      </w:r>
      <w:r>
        <w:t>）</w:t>
      </w:r>
      <w:r>
        <w:rPr>
          <w:rFonts w:ascii="Times New Roman" w:eastAsia="Times New Roman"/>
        </w:rPr>
        <w:t xml:space="preserve">2 </w:t>
      </w:r>
      <w:r>
        <w:t>类标准厂界西侧和东南侧距离较近的两处居民散户的噪声值满足《声环境质量标准》（</w:t>
      </w:r>
      <w:r>
        <w:rPr>
          <w:rFonts w:ascii="Times New Roman" w:eastAsia="Times New Roman"/>
        </w:rPr>
        <w:t>GB3096-2008</w:t>
      </w:r>
      <w:r>
        <w:t>）</w:t>
      </w:r>
      <w:r>
        <w:rPr>
          <w:rFonts w:ascii="Times New Roman" w:eastAsia="Times New Roman"/>
        </w:rPr>
        <w:t xml:space="preserve">2 </w:t>
      </w:r>
      <w:r>
        <w:t>类标准，厂界噪声经采取必</w:t>
      </w:r>
    </w:p>
    <w:p w14:paraId="75A8AE59">
      <w:pPr>
        <w:spacing w:after="0" w:line="364" w:lineRule="auto"/>
        <w:jc w:val="both"/>
        <w:sectPr>
          <w:footerReference r:id="rId48" w:type="default"/>
          <w:pgSz w:w="11910" w:h="16840"/>
          <w:pgMar w:top="1360" w:right="1140" w:bottom="1400" w:left="1680" w:header="878" w:footer="1204" w:gutter="0"/>
          <w:pgNumType w:start="180"/>
          <w:cols w:space="720" w:num="1"/>
        </w:sectPr>
      </w:pPr>
    </w:p>
    <w:p w14:paraId="714A6D0D">
      <w:pPr>
        <w:pStyle w:val="7"/>
        <w:spacing w:before="64"/>
        <w:ind w:left="122"/>
      </w:pPr>
      <w:r>
        <w:t>要的降噪措施后，满足达标排放并不会对周边声环境较大改变。</w:t>
      </w:r>
    </w:p>
    <w:p w14:paraId="40265C1A">
      <w:pPr>
        <w:pStyle w:val="7"/>
        <w:spacing w:before="160"/>
        <w:ind w:left="602"/>
      </w:pPr>
      <w:r>
        <w:t>（</w:t>
      </w:r>
      <w:r>
        <w:rPr>
          <w:rFonts w:ascii="Times New Roman" w:eastAsia="Times New Roman"/>
        </w:rPr>
        <w:t>3</w:t>
      </w:r>
      <w:r>
        <w:t>）水环境影响</w:t>
      </w:r>
    </w:p>
    <w:p w14:paraId="60F1D8ED">
      <w:pPr>
        <w:pStyle w:val="7"/>
        <w:spacing w:before="158" w:line="364" w:lineRule="auto"/>
        <w:ind w:left="122" w:right="662" w:firstLine="480"/>
        <w:jc w:val="both"/>
      </w:pPr>
      <w:r>
        <w:t>项目生产废水、生活污水均经厂内预处理后排入市政污水管网，再经岳阳县污水处理厂处理达标后排入新墙河。项目生产废水经自建污水处理站处理， 拟采用</w:t>
      </w:r>
      <w:r>
        <w:rPr>
          <w:rFonts w:ascii="Times New Roman" w:hAnsi="Times New Roman" w:eastAsia="Times New Roman"/>
        </w:rPr>
        <w:t>“</w:t>
      </w:r>
      <w:r>
        <w:t>预处理</w:t>
      </w:r>
      <w:r>
        <w:rPr>
          <w:rFonts w:ascii="Times New Roman" w:hAnsi="Times New Roman" w:eastAsia="Times New Roman"/>
        </w:rPr>
        <w:t>+</w:t>
      </w:r>
      <w:r>
        <w:t>水解酸化</w:t>
      </w:r>
      <w:r>
        <w:rPr>
          <w:rFonts w:ascii="Times New Roman" w:hAnsi="Times New Roman" w:eastAsia="Times New Roman"/>
        </w:rPr>
        <w:t>+A/O+</w:t>
      </w:r>
      <w:r>
        <w:t>混凝沉淀</w:t>
      </w:r>
      <w:r>
        <w:rPr>
          <w:rFonts w:ascii="Times New Roman" w:hAnsi="Times New Roman" w:eastAsia="Times New Roman"/>
        </w:rPr>
        <w:t>+</w:t>
      </w:r>
      <w:r>
        <w:t>消毒</w:t>
      </w:r>
      <w:r>
        <w:rPr>
          <w:rFonts w:ascii="Times New Roman" w:hAnsi="Times New Roman" w:eastAsia="Times New Roman"/>
        </w:rPr>
        <w:t>”</w:t>
      </w:r>
      <w:r>
        <w:t>处理工艺，生产废水排放浓度可达到《肉类加工工业水污染物排放标准》</w:t>
      </w:r>
      <w:r>
        <w:rPr>
          <w:rFonts w:ascii="Times New Roman" w:hAnsi="Times New Roman" w:eastAsia="Times New Roman"/>
        </w:rPr>
        <w:t>(GB13457-92</w:t>
      </w:r>
      <w:r>
        <w:t xml:space="preserve">）中表 </w:t>
      </w:r>
      <w:r>
        <w:rPr>
          <w:rFonts w:ascii="Times New Roman" w:hAnsi="Times New Roman" w:eastAsia="Times New Roman"/>
        </w:rPr>
        <w:t xml:space="preserve">3 </w:t>
      </w:r>
      <w:r>
        <w:t>三级标准限值要求，同时满足岳阳县污水处理厂进水水质标准。项目水污染控制措施及各类废水排放口排放浓度限值满足相关排放标准，对区域水环境影响可以接受。</w:t>
      </w:r>
    </w:p>
    <w:p w14:paraId="4ABA6800">
      <w:pPr>
        <w:pStyle w:val="7"/>
        <w:spacing w:line="362" w:lineRule="auto"/>
        <w:ind w:left="122" w:right="662" w:firstLine="480"/>
        <w:jc w:val="both"/>
      </w:pPr>
      <w:r>
        <w:t>项目采取“源头控制、分区防控、定期监测和应急响应”，厂址所在地含水层渗透性为中等，项目所在区域的地下水环境敏感程度属于不敏感，在落实好防渗、防污措施后，污染物能得到有效处理，对地下水水质影响较小。</w:t>
      </w:r>
    </w:p>
    <w:p w14:paraId="22582A3D">
      <w:pPr>
        <w:pStyle w:val="7"/>
        <w:spacing w:before="5"/>
        <w:ind w:left="602"/>
      </w:pPr>
      <w:r>
        <w:t>（</w:t>
      </w:r>
      <w:r>
        <w:rPr>
          <w:rFonts w:ascii="Times New Roman" w:eastAsia="Times New Roman"/>
        </w:rPr>
        <w:t>4</w:t>
      </w:r>
      <w:r>
        <w:t>）固体废物环境影响分析</w:t>
      </w:r>
    </w:p>
    <w:p w14:paraId="775E0F63">
      <w:pPr>
        <w:pStyle w:val="7"/>
        <w:spacing w:before="161" w:line="362" w:lineRule="auto"/>
        <w:ind w:left="122" w:right="662" w:firstLine="480"/>
      </w:pPr>
      <w:r>
        <w:t>猪血、猪心以及可食用内脏作为副产品外售进行综合利用，病死生猪、病害生猪或不合格的生猪产品暂存于无害间后委托岳阳县病死畜禽无害化处理厂</w:t>
      </w:r>
    </w:p>
    <w:p w14:paraId="236A9E24">
      <w:pPr>
        <w:pStyle w:val="7"/>
        <w:spacing w:before="5" w:line="364" w:lineRule="auto"/>
        <w:ind w:left="122" w:right="660"/>
        <w:jc w:val="both"/>
      </w:pPr>
      <w:r>
        <w:t>（具备处理资质）进行处置； 粪便、肠胃容物等清洗过程中进入废水，污水处理站产生的栅渣及污泥脱水后外售有机肥制肥厂；生活垃圾日产日清，由环卫部门统一清理。拟建项目产生的固体废物有效收集，分类贮存，杜绝厂内散落丢失，避免产生二次污染，按照固体废物污染防治实行“减量化、资源化和无害化”原则，依照相关规范合理收集、暂存和处置，项目产生的固体废物对环境影响较小。</w:t>
      </w:r>
    </w:p>
    <w:p w14:paraId="450DD57C">
      <w:pPr>
        <w:pStyle w:val="13"/>
        <w:numPr>
          <w:ilvl w:val="1"/>
          <w:numId w:val="38"/>
        </w:numPr>
        <w:tabs>
          <w:tab w:val="left" w:pos="713"/>
        </w:tabs>
        <w:spacing w:before="0" w:after="0" w:line="381" w:lineRule="exact"/>
        <w:ind w:left="712" w:right="0" w:hanging="590"/>
        <w:jc w:val="left"/>
        <w:rPr>
          <w:b/>
          <w:sz w:val="30"/>
        </w:rPr>
      </w:pPr>
      <w:bookmarkStart w:id="385" w:name="10.6公众意见采纳情况"/>
      <w:bookmarkEnd w:id="385"/>
      <w:bookmarkStart w:id="386" w:name="_bookmark58"/>
      <w:bookmarkEnd w:id="386"/>
      <w:bookmarkStart w:id="387" w:name="_bookmark58"/>
      <w:bookmarkEnd w:id="387"/>
      <w:r>
        <w:rPr>
          <w:b/>
          <w:sz w:val="30"/>
        </w:rPr>
        <w:t>公众意见采纳情况</w:t>
      </w:r>
    </w:p>
    <w:p w14:paraId="3AC07CB0">
      <w:pPr>
        <w:pStyle w:val="7"/>
        <w:spacing w:before="198"/>
        <w:ind w:left="602"/>
      </w:pPr>
      <w:r>
        <w:t>本次环评影响评价工作，按照生态环境部《环境影响评价公众参与办法》</w:t>
      </w:r>
    </w:p>
    <w:p w14:paraId="78A0D06B">
      <w:pPr>
        <w:pStyle w:val="7"/>
        <w:spacing w:before="159" w:line="364" w:lineRule="auto"/>
        <w:ind w:left="122" w:right="662"/>
        <w:jc w:val="both"/>
      </w:pPr>
      <w:r>
        <w:t xml:space="preserve">（生态环境部令第 </w:t>
      </w:r>
      <w:r>
        <w:rPr>
          <w:rFonts w:ascii="Times New Roman" w:eastAsia="Times New Roman"/>
        </w:rPr>
        <w:t xml:space="preserve">4 </w:t>
      </w:r>
      <w:r>
        <w:t>号）的要求，分别进行了首次环境影响评价信息公示（网络公示）及环境影响报告书征求意见稿公示（网络公示、报纸公示及张贴公告），两次公示均公告了项目公众参与调查表的下载链接，公示程序均符合</w:t>
      </w:r>
    </w:p>
    <w:p w14:paraId="2FFBD868">
      <w:pPr>
        <w:pStyle w:val="7"/>
        <w:spacing w:line="364" w:lineRule="auto"/>
        <w:ind w:left="122" w:right="662"/>
        <w:jc w:val="both"/>
      </w:pPr>
      <w:r>
        <w:t>《环境影响评价公众参与办法》的要求。且在本项目评价期间，结合现场勘察发现周边存在居民散户，补充个人和团体公参，无相关人员和组织提出异议。</w:t>
      </w:r>
    </w:p>
    <w:p w14:paraId="3B871CE5">
      <w:pPr>
        <w:pStyle w:val="7"/>
        <w:spacing w:line="306" w:lineRule="exact"/>
        <w:ind w:left="602"/>
      </w:pPr>
      <w:r>
        <w:t>通过多次公示公开，未收到公众对本项目建设环境影响方面的相关意见。</w:t>
      </w:r>
    </w:p>
    <w:p w14:paraId="2F6416B9">
      <w:pPr>
        <w:spacing w:after="0" w:line="306" w:lineRule="exact"/>
        <w:sectPr>
          <w:pgSz w:w="11910" w:h="16840"/>
          <w:pgMar w:top="1360" w:right="1140" w:bottom="1400" w:left="1680" w:header="878" w:footer="1204" w:gutter="0"/>
          <w:cols w:space="720" w:num="1"/>
        </w:sectPr>
      </w:pPr>
    </w:p>
    <w:p w14:paraId="3033D133">
      <w:pPr>
        <w:pStyle w:val="13"/>
        <w:numPr>
          <w:ilvl w:val="1"/>
          <w:numId w:val="38"/>
        </w:numPr>
        <w:tabs>
          <w:tab w:val="left" w:pos="713"/>
        </w:tabs>
        <w:spacing w:before="66" w:after="0" w:line="240" w:lineRule="auto"/>
        <w:ind w:left="712" w:right="0" w:hanging="590"/>
        <w:jc w:val="left"/>
        <w:rPr>
          <w:b/>
          <w:sz w:val="30"/>
        </w:rPr>
      </w:pPr>
      <w:bookmarkStart w:id="388" w:name="_bookmark59"/>
      <w:bookmarkEnd w:id="388"/>
      <w:bookmarkStart w:id="389" w:name="10.7环境管理与监测计划"/>
      <w:bookmarkEnd w:id="389"/>
      <w:bookmarkStart w:id="390" w:name="_bookmark59"/>
      <w:bookmarkEnd w:id="390"/>
      <w:r>
        <w:rPr>
          <w:b/>
          <w:sz w:val="30"/>
        </w:rPr>
        <w:t>环境管理与监测计划</w:t>
      </w:r>
    </w:p>
    <w:p w14:paraId="71C496A7">
      <w:pPr>
        <w:pStyle w:val="7"/>
        <w:spacing w:before="196" w:line="364" w:lineRule="auto"/>
        <w:ind w:left="122" w:right="660" w:firstLine="480"/>
        <w:jc w:val="both"/>
      </w:pPr>
      <w:r>
        <w:t>建立环境管理机构，严格按照监测计划对污染物排放及环境要素进行监测，建设单位在环境保护设施验收过程中，如实查验、监测、记载建设项目环境保护设施的建设和调试情况，及时申领排污许可证，持证合法排污。本项目废气、废水总量控制指标均需通过排污权交易购买。</w:t>
      </w:r>
    </w:p>
    <w:p w14:paraId="48055EDB">
      <w:pPr>
        <w:pStyle w:val="13"/>
        <w:numPr>
          <w:ilvl w:val="1"/>
          <w:numId w:val="38"/>
        </w:numPr>
        <w:tabs>
          <w:tab w:val="left" w:pos="713"/>
        </w:tabs>
        <w:spacing w:before="0" w:after="0" w:line="240" w:lineRule="auto"/>
        <w:ind w:left="712" w:right="0" w:hanging="590"/>
        <w:jc w:val="left"/>
        <w:rPr>
          <w:b/>
          <w:sz w:val="30"/>
        </w:rPr>
      </w:pPr>
      <w:bookmarkStart w:id="391" w:name="10.8结论与建议"/>
      <w:bookmarkEnd w:id="391"/>
      <w:bookmarkStart w:id="392" w:name="_bookmark60"/>
      <w:bookmarkEnd w:id="392"/>
      <w:bookmarkStart w:id="393" w:name="_bookmark60"/>
      <w:bookmarkEnd w:id="393"/>
      <w:r>
        <w:rPr>
          <w:b/>
          <w:sz w:val="30"/>
        </w:rPr>
        <w:t>结论与建议</w:t>
      </w:r>
    </w:p>
    <w:p w14:paraId="392B90D2">
      <w:pPr>
        <w:pStyle w:val="7"/>
        <w:spacing w:before="199"/>
        <w:ind w:left="602"/>
      </w:pPr>
      <w:r>
        <w:t>（</w:t>
      </w:r>
      <w:r>
        <w:rPr>
          <w:rFonts w:ascii="Times New Roman" w:eastAsia="Times New Roman"/>
        </w:rPr>
        <w:t>1</w:t>
      </w:r>
      <w:r>
        <w:t>）总体结论</w:t>
      </w:r>
    </w:p>
    <w:p w14:paraId="0E39564B">
      <w:pPr>
        <w:pStyle w:val="7"/>
        <w:spacing w:before="158" w:line="364" w:lineRule="auto"/>
        <w:ind w:left="122" w:right="801" w:firstLine="480"/>
        <w:jc w:val="both"/>
      </w:pPr>
      <w:r>
        <w:t>本项目符合《湖南省生猪屠宰管理条例》规定。项目建设符合岳阳县规划要求，项目符合产业政策、环境功能区划的要求。本报告对建设项目拟建厂址及其周围地区进行了环境质量现状监测、调查与评价；对项目的排污负荷进行了估算，利用模式模拟预测了该项目外排污染物对周围环境可能产生的影响， 并提出了相应的污染防治措施及对策，提出必要的环境防护距离要求；对本项目的风险影响进行了定性分析，提出了风险事故防范与应急措施。</w:t>
      </w:r>
    </w:p>
    <w:p w14:paraId="776E8BC5">
      <w:pPr>
        <w:pStyle w:val="7"/>
        <w:spacing w:line="364" w:lineRule="auto"/>
        <w:ind w:left="122" w:right="801" w:firstLine="480"/>
      </w:pPr>
      <w:r>
        <w:t>本报告通过分析评价，得出如下结论：在严格遵守“三同时”的管理规 定，完成各项报建手续，认真落实本评价报告中所提出的环保措施和建议，确保环保处理设施正常使用和运行，同时加强废气和废水污染物排放监控管理， 做到达标排放的前提下，从环境保护角度而言，该项目的建设运营是可行的。</w:t>
      </w:r>
    </w:p>
    <w:p w14:paraId="6A593E59">
      <w:pPr>
        <w:pStyle w:val="7"/>
        <w:ind w:left="602"/>
      </w:pPr>
      <w:r>
        <w:t>（</w:t>
      </w:r>
      <w:r>
        <w:rPr>
          <w:rFonts w:ascii="Times New Roman" w:eastAsia="Times New Roman"/>
        </w:rPr>
        <w:t>2</w:t>
      </w:r>
      <w:r>
        <w:t>）建议</w:t>
      </w:r>
    </w:p>
    <w:p w14:paraId="0404C1BA">
      <w:pPr>
        <w:pStyle w:val="7"/>
        <w:spacing w:before="155" w:line="364" w:lineRule="auto"/>
        <w:ind w:left="122" w:right="662" w:firstLine="480"/>
        <w:jc w:val="both"/>
      </w:pPr>
      <w:r>
        <w:t>①严格按照《建设项目环境保护管理条例》（</w:t>
      </w:r>
      <w:r>
        <w:rPr>
          <w:rFonts w:ascii="Times New Roman" w:hAnsi="Times New Roman" w:eastAsia="Times New Roman"/>
        </w:rPr>
        <w:t xml:space="preserve">2017 </w:t>
      </w:r>
      <w:r>
        <w:t>年修正）中有关要求， 编制环境影响报告书（表）的建设项目竣工后，建设单位或者其委托的技术机构应当依照国家有关法律法规、建设项目竣工环境保护验收技术规范、建设项目环境影响报告书（表）和审批决定等要求，如实查验、监测、记载建设项目环境保护设施的建设和调试情况，同时还应如实记载其他环境保护对策措施</w:t>
      </w:r>
    </w:p>
    <w:p w14:paraId="158661A4">
      <w:pPr>
        <w:pStyle w:val="7"/>
        <w:spacing w:line="306" w:lineRule="exact"/>
        <w:ind w:left="122"/>
      </w:pPr>
      <w:r>
        <w:t>“三同时”落实情况，编制竣工环境保护验收报告，由建设单位自主验收。</w:t>
      </w:r>
    </w:p>
    <w:p w14:paraId="27D9B684">
      <w:pPr>
        <w:pStyle w:val="7"/>
        <w:spacing w:before="158" w:line="364" w:lineRule="auto"/>
        <w:ind w:left="122" w:right="662" w:firstLine="480"/>
        <w:jc w:val="both"/>
      </w:pPr>
      <w:r>
        <w:t>②建设单位必须加强管理和人员培训，设立设置专门的环保专职人员，负责项目的环境保护制度制定与加强生产、设备管理，实现清洁生产，控制和降低污染物的排放；加强环境监测工作，确保各污染防治措施正常运行，确保各污染物达标外排，坚决杜绝因事故排放造成严重的环境破坏，及时发现问题并予以处理解决。</w:t>
      </w:r>
    </w:p>
    <w:p w14:paraId="739CE550">
      <w:pPr>
        <w:spacing w:after="0" w:line="364" w:lineRule="auto"/>
        <w:jc w:val="both"/>
        <w:sectPr>
          <w:pgSz w:w="11910" w:h="16840"/>
          <w:pgMar w:top="1360" w:right="1140" w:bottom="1400" w:left="1680" w:header="878" w:footer="1204" w:gutter="0"/>
          <w:cols w:space="720" w:num="1"/>
        </w:sectPr>
      </w:pPr>
    </w:p>
    <w:p w14:paraId="0FC4EC63">
      <w:pPr>
        <w:pStyle w:val="7"/>
        <w:spacing w:before="64" w:line="364" w:lineRule="auto"/>
        <w:ind w:left="122" w:right="662" w:firstLine="480"/>
      </w:pPr>
      <w:r>
        <w:t>③厂方应加强对环保设备的保养，保证其正常运行，确保各项污染物达标排放，减小对外界环境的影响。</w:t>
      </w:r>
    </w:p>
    <w:p w14:paraId="48911C6B">
      <w:pPr>
        <w:pStyle w:val="7"/>
        <w:spacing w:line="364" w:lineRule="auto"/>
        <w:ind w:left="122" w:right="662" w:firstLine="480"/>
      </w:pPr>
      <w:r>
        <w:t>④根据相关资料已布设无害化集中暂存点，建议需配备冷藏消毒设施，四周满足安全防护范围及专用输出通道，运行前明确无害化处置协议。</w:t>
      </w:r>
    </w:p>
    <w:p w14:paraId="4BDC67B8">
      <w:pPr>
        <w:spacing w:after="0" w:line="364" w:lineRule="auto"/>
        <w:sectPr>
          <w:pgSz w:w="11910" w:h="16840"/>
          <w:pgMar w:top="1360" w:right="1140" w:bottom="1400" w:left="1680" w:header="878" w:footer="1204" w:gutter="0"/>
          <w:cols w:space="720" w:num="1"/>
        </w:sectPr>
      </w:pPr>
    </w:p>
    <w:p w14:paraId="72EA4806">
      <w:pPr>
        <w:pStyle w:val="6"/>
        <w:spacing w:before="66"/>
        <w:ind w:left="2587"/>
      </w:pPr>
      <w:r>
        <w:t xml:space="preserve">附表 </w:t>
      </w:r>
      <w:r>
        <w:rPr>
          <w:rFonts w:ascii="Times New Roman" w:eastAsia="Times New Roman"/>
        </w:rPr>
        <w:t xml:space="preserve">1 </w:t>
      </w:r>
      <w:r>
        <w:t>大气环境影响评价自查表</w:t>
      </w:r>
    </w:p>
    <w:tbl>
      <w:tblPr>
        <w:tblStyle w:val="10"/>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1814"/>
        <w:gridCol w:w="691"/>
        <w:gridCol w:w="159"/>
        <w:gridCol w:w="578"/>
        <w:gridCol w:w="273"/>
        <w:gridCol w:w="169"/>
        <w:gridCol w:w="442"/>
        <w:gridCol w:w="148"/>
        <w:gridCol w:w="457"/>
        <w:gridCol w:w="575"/>
        <w:gridCol w:w="589"/>
        <w:gridCol w:w="443"/>
        <w:gridCol w:w="295"/>
        <w:gridCol w:w="590"/>
        <w:gridCol w:w="774"/>
      </w:tblGrid>
      <w:tr w14:paraId="2E771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660" w:type="dxa"/>
            <w:gridSpan w:val="2"/>
          </w:tcPr>
          <w:p w14:paraId="3CE95D80">
            <w:pPr>
              <w:pStyle w:val="14"/>
              <w:spacing w:before="2" w:line="250" w:lineRule="exact"/>
              <w:ind w:left="888" w:right="882"/>
              <w:jc w:val="center"/>
              <w:rPr>
                <w:sz w:val="21"/>
              </w:rPr>
            </w:pPr>
            <w:r>
              <w:rPr>
                <w:sz w:val="21"/>
              </w:rPr>
              <w:t>工作内容</w:t>
            </w:r>
          </w:p>
        </w:tc>
        <w:tc>
          <w:tcPr>
            <w:tcW w:w="6183" w:type="dxa"/>
            <w:gridSpan w:val="14"/>
          </w:tcPr>
          <w:p w14:paraId="252B6E40">
            <w:pPr>
              <w:pStyle w:val="14"/>
              <w:spacing w:before="2" w:line="250" w:lineRule="exact"/>
              <w:ind w:left="2542" w:right="2538"/>
              <w:jc w:val="center"/>
              <w:rPr>
                <w:sz w:val="21"/>
              </w:rPr>
            </w:pPr>
            <w:r>
              <w:rPr>
                <w:sz w:val="21"/>
              </w:rPr>
              <w:t>自查项目</w:t>
            </w:r>
          </w:p>
        </w:tc>
      </w:tr>
      <w:tr w14:paraId="471B6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46" w:type="dxa"/>
            <w:vMerge w:val="restart"/>
          </w:tcPr>
          <w:p w14:paraId="00C6B321">
            <w:pPr>
              <w:pStyle w:val="14"/>
              <w:spacing w:before="1" w:line="242" w:lineRule="auto"/>
              <w:ind w:left="107" w:right="97"/>
              <w:jc w:val="center"/>
              <w:rPr>
                <w:sz w:val="21"/>
              </w:rPr>
            </w:pPr>
            <w:r>
              <w:rPr>
                <w:w w:val="95"/>
                <w:sz w:val="21"/>
              </w:rPr>
              <w:t>评价等级与范</w:t>
            </w:r>
          </w:p>
          <w:p w14:paraId="61634C05">
            <w:pPr>
              <w:pStyle w:val="14"/>
              <w:spacing w:before="1" w:line="251" w:lineRule="exact"/>
              <w:ind w:left="10"/>
              <w:jc w:val="center"/>
              <w:rPr>
                <w:sz w:val="21"/>
              </w:rPr>
            </w:pPr>
            <w:r>
              <w:rPr>
                <w:w w:val="99"/>
                <w:sz w:val="21"/>
              </w:rPr>
              <w:t>围</w:t>
            </w:r>
          </w:p>
        </w:tc>
        <w:tc>
          <w:tcPr>
            <w:tcW w:w="1814" w:type="dxa"/>
          </w:tcPr>
          <w:p w14:paraId="17D712BC">
            <w:pPr>
              <w:pStyle w:val="14"/>
              <w:spacing w:before="1" w:line="252" w:lineRule="exact"/>
              <w:ind w:left="69" w:right="65"/>
              <w:jc w:val="center"/>
              <w:rPr>
                <w:sz w:val="21"/>
              </w:rPr>
            </w:pPr>
            <w:r>
              <w:rPr>
                <w:sz w:val="21"/>
              </w:rPr>
              <w:t>评价等级</w:t>
            </w:r>
          </w:p>
        </w:tc>
        <w:tc>
          <w:tcPr>
            <w:tcW w:w="1870" w:type="dxa"/>
            <w:gridSpan w:val="5"/>
          </w:tcPr>
          <w:p w14:paraId="76C874E2">
            <w:pPr>
              <w:pStyle w:val="14"/>
              <w:spacing w:before="1" w:line="252" w:lineRule="exact"/>
              <w:ind w:left="620"/>
              <w:rPr>
                <w:sz w:val="21"/>
              </w:rPr>
            </w:pPr>
            <w:r>
              <w:rPr>
                <w:sz w:val="21"/>
              </w:rPr>
              <w:t>一级□</w:t>
            </w:r>
          </w:p>
        </w:tc>
        <w:tc>
          <w:tcPr>
            <w:tcW w:w="2211" w:type="dxa"/>
            <w:gridSpan w:val="5"/>
          </w:tcPr>
          <w:p w14:paraId="0D38B6C0">
            <w:pPr>
              <w:pStyle w:val="14"/>
              <w:spacing w:before="1" w:line="252" w:lineRule="exact"/>
              <w:ind w:left="138" w:right="128"/>
              <w:jc w:val="center"/>
              <w:rPr>
                <w:rFonts w:ascii="Wingdings" w:hAnsi="Wingdings"/>
                <w:sz w:val="21"/>
              </w:rPr>
            </w:pPr>
            <w:r>
              <w:rPr>
                <w:sz w:val="21"/>
              </w:rPr>
              <w:t>二级</w:t>
            </w:r>
            <w:r>
              <w:rPr>
                <w:rFonts w:ascii="Wingdings" w:hAnsi="Wingdings"/>
                <w:sz w:val="21"/>
              </w:rPr>
              <w:t></w:t>
            </w:r>
          </w:p>
        </w:tc>
        <w:tc>
          <w:tcPr>
            <w:tcW w:w="2102" w:type="dxa"/>
            <w:gridSpan w:val="4"/>
          </w:tcPr>
          <w:p w14:paraId="6A0206CA">
            <w:pPr>
              <w:pStyle w:val="14"/>
              <w:spacing w:before="1" w:line="252" w:lineRule="exact"/>
              <w:ind w:left="152" w:right="146"/>
              <w:jc w:val="center"/>
              <w:rPr>
                <w:sz w:val="21"/>
              </w:rPr>
            </w:pPr>
            <w:r>
              <w:rPr>
                <w:sz w:val="21"/>
              </w:rPr>
              <w:t>三级□</w:t>
            </w:r>
          </w:p>
        </w:tc>
      </w:tr>
      <w:tr w14:paraId="28699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3" w:hRule="atLeast"/>
        </w:trPr>
        <w:tc>
          <w:tcPr>
            <w:tcW w:w="846" w:type="dxa"/>
            <w:vMerge w:val="continue"/>
            <w:tcBorders>
              <w:top w:val="nil"/>
            </w:tcBorders>
          </w:tcPr>
          <w:p w14:paraId="07CF5863">
            <w:pPr>
              <w:rPr>
                <w:sz w:val="2"/>
                <w:szCs w:val="2"/>
              </w:rPr>
            </w:pPr>
          </w:p>
        </w:tc>
        <w:tc>
          <w:tcPr>
            <w:tcW w:w="1814" w:type="dxa"/>
          </w:tcPr>
          <w:p w14:paraId="57A438C5">
            <w:pPr>
              <w:pStyle w:val="14"/>
              <w:spacing w:before="130"/>
              <w:ind w:left="69" w:right="65"/>
              <w:jc w:val="center"/>
              <w:rPr>
                <w:sz w:val="21"/>
              </w:rPr>
            </w:pPr>
            <w:r>
              <w:rPr>
                <w:sz w:val="21"/>
              </w:rPr>
              <w:t>评价范围</w:t>
            </w:r>
          </w:p>
        </w:tc>
        <w:tc>
          <w:tcPr>
            <w:tcW w:w="1870" w:type="dxa"/>
            <w:gridSpan w:val="5"/>
          </w:tcPr>
          <w:p w14:paraId="6329043E">
            <w:pPr>
              <w:pStyle w:val="14"/>
              <w:spacing w:before="130"/>
              <w:ind w:left="320"/>
              <w:rPr>
                <w:sz w:val="21"/>
              </w:rPr>
            </w:pPr>
            <w:r>
              <w:rPr>
                <w:sz w:val="21"/>
              </w:rPr>
              <w:t>边长</w:t>
            </w:r>
            <w:r>
              <w:rPr>
                <w:rFonts w:ascii="Times New Roman" w:hAnsi="Times New Roman" w:eastAsia="Times New Roman"/>
                <w:sz w:val="21"/>
              </w:rPr>
              <w:t>=50km</w:t>
            </w:r>
            <w:r>
              <w:rPr>
                <w:sz w:val="21"/>
              </w:rPr>
              <w:t>□</w:t>
            </w:r>
          </w:p>
        </w:tc>
        <w:tc>
          <w:tcPr>
            <w:tcW w:w="2211" w:type="dxa"/>
            <w:gridSpan w:val="5"/>
          </w:tcPr>
          <w:p w14:paraId="62A7241D">
            <w:pPr>
              <w:pStyle w:val="14"/>
              <w:spacing w:before="130"/>
              <w:ind w:left="365"/>
              <w:rPr>
                <w:sz w:val="21"/>
              </w:rPr>
            </w:pPr>
            <w:r>
              <w:rPr>
                <w:sz w:val="21"/>
              </w:rPr>
              <w:t xml:space="preserve">边长 </w:t>
            </w:r>
            <w:r>
              <w:rPr>
                <w:rFonts w:ascii="Times New Roman" w:hAnsi="Times New Roman" w:eastAsia="Times New Roman"/>
                <w:sz w:val="21"/>
              </w:rPr>
              <w:t>5</w:t>
            </w:r>
            <w:r>
              <w:rPr>
                <w:sz w:val="21"/>
              </w:rPr>
              <w:t>～</w:t>
            </w:r>
            <w:r>
              <w:rPr>
                <w:rFonts w:ascii="Times New Roman" w:hAnsi="Times New Roman" w:eastAsia="Times New Roman"/>
                <w:sz w:val="21"/>
              </w:rPr>
              <w:t>50km</w:t>
            </w:r>
            <w:r>
              <w:rPr>
                <w:sz w:val="21"/>
              </w:rPr>
              <w:t>□</w:t>
            </w:r>
          </w:p>
        </w:tc>
        <w:tc>
          <w:tcPr>
            <w:tcW w:w="2102" w:type="dxa"/>
            <w:gridSpan w:val="4"/>
          </w:tcPr>
          <w:p w14:paraId="161FE874">
            <w:pPr>
              <w:pStyle w:val="14"/>
              <w:spacing w:before="130"/>
              <w:ind w:left="501"/>
              <w:rPr>
                <w:rFonts w:ascii="Wingdings" w:hAnsi="Wingdings"/>
                <w:sz w:val="21"/>
              </w:rPr>
            </w:pPr>
            <w:r>
              <w:rPr>
                <w:sz w:val="21"/>
              </w:rPr>
              <w:t>边长</w:t>
            </w:r>
            <w:r>
              <w:rPr>
                <w:rFonts w:ascii="Times New Roman" w:hAnsi="Times New Roman"/>
                <w:sz w:val="21"/>
              </w:rPr>
              <w:t>=5km</w:t>
            </w:r>
            <w:r>
              <w:rPr>
                <w:rFonts w:ascii="Wingdings" w:hAnsi="Wingdings"/>
                <w:sz w:val="21"/>
              </w:rPr>
              <w:t></w:t>
            </w:r>
          </w:p>
        </w:tc>
      </w:tr>
      <w:tr w14:paraId="1F29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46" w:type="dxa"/>
            <w:vMerge w:val="restart"/>
          </w:tcPr>
          <w:p w14:paraId="31D3EF12">
            <w:pPr>
              <w:pStyle w:val="14"/>
              <w:spacing w:before="8"/>
              <w:rPr>
                <w:b/>
                <w:sz w:val="21"/>
              </w:rPr>
            </w:pPr>
          </w:p>
          <w:p w14:paraId="6FF3FDC1">
            <w:pPr>
              <w:pStyle w:val="14"/>
              <w:spacing w:line="242" w:lineRule="auto"/>
              <w:ind w:left="318" w:right="97" w:hanging="212"/>
              <w:rPr>
                <w:sz w:val="21"/>
              </w:rPr>
            </w:pPr>
            <w:r>
              <w:rPr>
                <w:sz w:val="21"/>
              </w:rPr>
              <w:t>评价因子</w:t>
            </w:r>
          </w:p>
        </w:tc>
        <w:tc>
          <w:tcPr>
            <w:tcW w:w="1814" w:type="dxa"/>
          </w:tcPr>
          <w:p w14:paraId="6C79BAE3">
            <w:pPr>
              <w:pStyle w:val="14"/>
              <w:spacing w:line="253" w:lineRule="exact"/>
              <w:ind w:left="70" w:right="63"/>
              <w:jc w:val="center"/>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+NOx </w:t>
            </w:r>
            <w:r>
              <w:rPr>
                <w:position w:val="2"/>
                <w:sz w:val="21"/>
                <w:vertAlign w:val="baseline"/>
              </w:rPr>
              <w:t>排放量</w:t>
            </w:r>
          </w:p>
        </w:tc>
        <w:tc>
          <w:tcPr>
            <w:tcW w:w="1870" w:type="dxa"/>
            <w:gridSpan w:val="5"/>
          </w:tcPr>
          <w:p w14:paraId="0E538B14">
            <w:pPr>
              <w:pStyle w:val="14"/>
              <w:spacing w:before="1" w:line="251" w:lineRule="exact"/>
              <w:ind w:left="409"/>
              <w:rPr>
                <w:sz w:val="21"/>
              </w:rPr>
            </w:pPr>
            <w:r>
              <w:rPr>
                <w:sz w:val="21"/>
              </w:rPr>
              <w:t>≥</w:t>
            </w:r>
            <w:r>
              <w:rPr>
                <w:rFonts w:ascii="Times New Roman" w:hAnsi="Times New Roman"/>
                <w:sz w:val="21"/>
              </w:rPr>
              <w:t>2000t/a</w:t>
            </w:r>
            <w:r>
              <w:rPr>
                <w:sz w:val="21"/>
              </w:rPr>
              <w:t>□</w:t>
            </w:r>
          </w:p>
        </w:tc>
        <w:tc>
          <w:tcPr>
            <w:tcW w:w="2211" w:type="dxa"/>
            <w:gridSpan w:val="5"/>
          </w:tcPr>
          <w:p w14:paraId="26DFB9A2">
            <w:pPr>
              <w:pStyle w:val="14"/>
              <w:spacing w:before="1" w:line="251" w:lineRule="exact"/>
              <w:ind w:left="423"/>
              <w:rPr>
                <w:sz w:val="21"/>
              </w:rPr>
            </w:pPr>
            <w:r>
              <w:rPr>
                <w:rFonts w:ascii="Times New Roman" w:hAnsi="Times New Roman" w:eastAsia="Times New Roman"/>
                <w:sz w:val="21"/>
              </w:rPr>
              <w:t>500</w:t>
            </w:r>
            <w:r>
              <w:rPr>
                <w:sz w:val="21"/>
              </w:rPr>
              <w:t>～</w:t>
            </w:r>
            <w:r>
              <w:rPr>
                <w:rFonts w:ascii="Times New Roman" w:hAnsi="Times New Roman" w:eastAsia="Times New Roman"/>
                <w:sz w:val="21"/>
              </w:rPr>
              <w:t>2000t/a</w:t>
            </w:r>
            <w:r>
              <w:rPr>
                <w:sz w:val="21"/>
              </w:rPr>
              <w:t>□</w:t>
            </w:r>
          </w:p>
        </w:tc>
        <w:tc>
          <w:tcPr>
            <w:tcW w:w="2102" w:type="dxa"/>
            <w:gridSpan w:val="4"/>
          </w:tcPr>
          <w:p w14:paraId="568F7F93">
            <w:pPr>
              <w:pStyle w:val="14"/>
              <w:spacing w:before="1" w:line="251" w:lineRule="exact"/>
              <w:ind w:left="578"/>
              <w:rPr>
                <w:sz w:val="21"/>
              </w:rPr>
            </w:pPr>
            <w:r>
              <w:rPr>
                <w:sz w:val="21"/>
              </w:rPr>
              <w:t>＜</w:t>
            </w:r>
            <w:r>
              <w:rPr>
                <w:rFonts w:ascii="Times New Roman" w:hAnsi="Times New Roman" w:eastAsia="Times New Roman"/>
                <w:sz w:val="21"/>
              </w:rPr>
              <w:t>500t/a</w:t>
            </w:r>
            <w:r>
              <w:rPr>
                <w:sz w:val="21"/>
              </w:rPr>
              <w:t>□</w:t>
            </w:r>
          </w:p>
        </w:tc>
      </w:tr>
      <w:tr w14:paraId="2492B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846" w:type="dxa"/>
            <w:vMerge w:val="continue"/>
            <w:tcBorders>
              <w:top w:val="nil"/>
            </w:tcBorders>
          </w:tcPr>
          <w:p w14:paraId="48FB10A1">
            <w:pPr>
              <w:rPr>
                <w:sz w:val="2"/>
                <w:szCs w:val="2"/>
              </w:rPr>
            </w:pPr>
          </w:p>
        </w:tc>
        <w:tc>
          <w:tcPr>
            <w:tcW w:w="1814" w:type="dxa"/>
          </w:tcPr>
          <w:p w14:paraId="5FF001CE">
            <w:pPr>
              <w:pStyle w:val="14"/>
              <w:spacing w:before="4"/>
              <w:rPr>
                <w:b/>
                <w:sz w:val="21"/>
              </w:rPr>
            </w:pPr>
          </w:p>
          <w:p w14:paraId="40FEB059">
            <w:pPr>
              <w:pStyle w:val="14"/>
              <w:ind w:left="69" w:right="65"/>
              <w:jc w:val="center"/>
              <w:rPr>
                <w:sz w:val="21"/>
              </w:rPr>
            </w:pPr>
            <w:r>
              <w:rPr>
                <w:sz w:val="21"/>
              </w:rPr>
              <w:t>评价因子</w:t>
            </w:r>
          </w:p>
        </w:tc>
        <w:tc>
          <w:tcPr>
            <w:tcW w:w="2917" w:type="dxa"/>
            <w:gridSpan w:val="8"/>
          </w:tcPr>
          <w:p w14:paraId="6E2DC2D6">
            <w:pPr>
              <w:pStyle w:val="14"/>
              <w:spacing w:line="269" w:lineRule="exact"/>
              <w:ind w:left="236" w:right="241"/>
              <w:jc w:val="center"/>
              <w:rPr>
                <w:sz w:val="21"/>
              </w:rPr>
            </w:pPr>
            <w:r>
              <w:rPr>
                <w:sz w:val="21"/>
              </w:rPr>
              <w:t>基本污染物（</w:t>
            </w:r>
            <w:r>
              <w:rPr>
                <w:rFonts w:ascii="Times New Roman" w:eastAsia="Times New Roman"/>
                <w:sz w:val="21"/>
              </w:rPr>
              <w:t>-</w:t>
            </w:r>
            <w:r>
              <w:rPr>
                <w:sz w:val="21"/>
              </w:rPr>
              <w:t>）</w:t>
            </w:r>
          </w:p>
          <w:p w14:paraId="5F835336">
            <w:pPr>
              <w:pStyle w:val="14"/>
              <w:spacing w:before="1" w:line="273" w:lineRule="exact"/>
              <w:ind w:left="236" w:right="241"/>
              <w:jc w:val="center"/>
              <w:rPr>
                <w:sz w:val="21"/>
              </w:rPr>
            </w:pPr>
            <w:r>
              <w:rPr>
                <w:position w:val="2"/>
                <w:sz w:val="21"/>
              </w:rPr>
              <w:t>其他污染物（</w:t>
            </w: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2</w:t>
            </w:r>
            <w:r>
              <w:rPr>
                <w:rFonts w:ascii="Times New Roman" w:eastAsia="Times New Roman"/>
                <w:position w:val="2"/>
                <w:sz w:val="21"/>
                <w:vertAlign w:val="baseline"/>
              </w:rPr>
              <w:t>H</w:t>
            </w:r>
            <w:r>
              <w:rPr>
                <w:position w:val="2"/>
                <w:sz w:val="21"/>
                <w:vertAlign w:val="baseline"/>
              </w:rPr>
              <w:t>、</w:t>
            </w:r>
          </w:p>
          <w:p w14:paraId="7B4A43FD">
            <w:pPr>
              <w:pStyle w:val="14"/>
              <w:spacing w:line="254" w:lineRule="exact"/>
              <w:ind w:left="236" w:right="241"/>
              <w:jc w:val="center"/>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tc>
        <w:tc>
          <w:tcPr>
            <w:tcW w:w="3266" w:type="dxa"/>
            <w:gridSpan w:val="6"/>
          </w:tcPr>
          <w:p w14:paraId="36D331FE">
            <w:pPr>
              <w:pStyle w:val="14"/>
              <w:spacing w:before="137" w:line="235" w:lineRule="auto"/>
              <w:ind w:left="744" w:right="683" w:firstLine="93"/>
              <w:rPr>
                <w:rFonts w:ascii="Wingdings" w:hAnsi="Wingdings"/>
                <w:sz w:val="21"/>
              </w:rPr>
            </w:pPr>
            <w:r>
              <w:rPr>
                <w:position w:val="2"/>
                <w:sz w:val="21"/>
              </w:rPr>
              <w:t xml:space="preserve">包括二次 </w:t>
            </w:r>
            <w:r>
              <w:rPr>
                <w:rFonts w:ascii="Times New Roman" w:hAnsi="Times New Roman"/>
                <w:position w:val="2"/>
                <w:sz w:val="21"/>
              </w:rPr>
              <w:t>PM</w:t>
            </w:r>
            <w:r>
              <w:rPr>
                <w:rFonts w:ascii="Times New Roman" w:hAnsi="Times New Roman"/>
                <w:position w:val="2"/>
                <w:sz w:val="21"/>
                <w:vertAlign w:val="subscript"/>
              </w:rPr>
              <w:t>2.5</w:t>
            </w:r>
            <w:r>
              <w:rPr>
                <w:position w:val="2"/>
                <w:sz w:val="21"/>
                <w:vertAlign w:val="baseline"/>
              </w:rPr>
              <w:t xml:space="preserve">□ 不包括二次 </w:t>
            </w:r>
            <w:r>
              <w:rPr>
                <w:rFonts w:ascii="Times New Roman" w:hAnsi="Times New Roman"/>
                <w:position w:val="2"/>
                <w:sz w:val="21"/>
                <w:vertAlign w:val="baseline"/>
              </w:rPr>
              <w:t>PM</w:t>
            </w:r>
            <w:r>
              <w:rPr>
                <w:rFonts w:ascii="Times New Roman" w:hAnsi="Times New Roman"/>
                <w:position w:val="2"/>
                <w:sz w:val="21"/>
                <w:vertAlign w:val="subscript"/>
              </w:rPr>
              <w:t>2.5</w:t>
            </w:r>
            <w:r>
              <w:rPr>
                <w:rFonts w:ascii="Wingdings" w:hAnsi="Wingdings"/>
                <w:position w:val="2"/>
                <w:sz w:val="21"/>
                <w:vertAlign w:val="baseline"/>
              </w:rPr>
              <w:t></w:t>
            </w:r>
          </w:p>
        </w:tc>
      </w:tr>
      <w:tr w14:paraId="346FD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46" w:type="dxa"/>
          </w:tcPr>
          <w:p w14:paraId="218C1C55">
            <w:pPr>
              <w:pStyle w:val="14"/>
              <w:ind w:left="86" w:right="78"/>
              <w:jc w:val="center"/>
              <w:rPr>
                <w:sz w:val="21"/>
              </w:rPr>
            </w:pPr>
            <w:r>
              <w:rPr>
                <w:sz w:val="21"/>
              </w:rPr>
              <w:t>评价标</w:t>
            </w:r>
          </w:p>
          <w:p w14:paraId="78E9FC1F">
            <w:pPr>
              <w:pStyle w:val="14"/>
              <w:spacing w:before="2" w:line="252" w:lineRule="exact"/>
              <w:ind w:left="10"/>
              <w:jc w:val="center"/>
              <w:rPr>
                <w:sz w:val="21"/>
              </w:rPr>
            </w:pPr>
            <w:r>
              <w:rPr>
                <w:w w:val="99"/>
                <w:sz w:val="21"/>
              </w:rPr>
              <w:t>准</w:t>
            </w:r>
          </w:p>
        </w:tc>
        <w:tc>
          <w:tcPr>
            <w:tcW w:w="1814" w:type="dxa"/>
          </w:tcPr>
          <w:p w14:paraId="238BB0AE">
            <w:pPr>
              <w:pStyle w:val="14"/>
              <w:spacing w:before="135"/>
              <w:ind w:left="69" w:right="65"/>
              <w:jc w:val="center"/>
              <w:rPr>
                <w:sz w:val="21"/>
              </w:rPr>
            </w:pPr>
            <w:r>
              <w:rPr>
                <w:sz w:val="21"/>
              </w:rPr>
              <w:t>评价标准</w:t>
            </w:r>
          </w:p>
        </w:tc>
        <w:tc>
          <w:tcPr>
            <w:tcW w:w="1428" w:type="dxa"/>
            <w:gridSpan w:val="3"/>
          </w:tcPr>
          <w:p w14:paraId="51B7FCA1">
            <w:pPr>
              <w:pStyle w:val="14"/>
              <w:spacing w:before="135"/>
              <w:ind w:left="200"/>
              <w:rPr>
                <w:rFonts w:ascii="Wingdings" w:hAnsi="Wingdings"/>
                <w:sz w:val="21"/>
              </w:rPr>
            </w:pPr>
            <w:r>
              <w:rPr>
                <w:sz w:val="21"/>
              </w:rPr>
              <w:t>国家标准</w:t>
            </w:r>
            <w:r>
              <w:rPr>
                <w:rFonts w:ascii="Wingdings" w:hAnsi="Wingdings"/>
                <w:sz w:val="21"/>
              </w:rPr>
              <w:t></w:t>
            </w:r>
          </w:p>
        </w:tc>
        <w:tc>
          <w:tcPr>
            <w:tcW w:w="1489" w:type="dxa"/>
            <w:gridSpan w:val="5"/>
          </w:tcPr>
          <w:p w14:paraId="1E0DD560">
            <w:pPr>
              <w:pStyle w:val="14"/>
              <w:spacing w:before="135"/>
              <w:ind w:left="212"/>
              <w:rPr>
                <w:sz w:val="21"/>
              </w:rPr>
            </w:pPr>
            <w:r>
              <w:rPr>
                <w:sz w:val="21"/>
              </w:rPr>
              <w:t>地方标准□</w:t>
            </w:r>
          </w:p>
        </w:tc>
        <w:tc>
          <w:tcPr>
            <w:tcW w:w="1607" w:type="dxa"/>
            <w:gridSpan w:val="3"/>
          </w:tcPr>
          <w:p w14:paraId="506860F8">
            <w:pPr>
              <w:pStyle w:val="14"/>
              <w:spacing w:before="135"/>
              <w:ind w:left="388"/>
              <w:rPr>
                <w:rFonts w:ascii="Wingdings" w:hAnsi="Wingdings"/>
                <w:sz w:val="21"/>
              </w:rPr>
            </w:pPr>
            <w:r>
              <w:rPr>
                <w:sz w:val="21"/>
              </w:rPr>
              <w:t xml:space="preserve">附录 </w:t>
            </w:r>
            <w:r>
              <w:rPr>
                <w:rFonts w:ascii="Times New Roman" w:hAnsi="Times New Roman"/>
                <w:sz w:val="21"/>
              </w:rPr>
              <w:t>D</w:t>
            </w:r>
            <w:r>
              <w:rPr>
                <w:rFonts w:ascii="Wingdings" w:hAnsi="Wingdings"/>
                <w:sz w:val="21"/>
              </w:rPr>
              <w:t></w:t>
            </w:r>
          </w:p>
        </w:tc>
        <w:tc>
          <w:tcPr>
            <w:tcW w:w="1659" w:type="dxa"/>
            <w:gridSpan w:val="3"/>
          </w:tcPr>
          <w:p w14:paraId="1C400F16">
            <w:pPr>
              <w:pStyle w:val="14"/>
              <w:spacing w:before="135"/>
              <w:ind w:left="303"/>
              <w:rPr>
                <w:sz w:val="21"/>
              </w:rPr>
            </w:pPr>
            <w:r>
              <w:rPr>
                <w:sz w:val="21"/>
              </w:rPr>
              <w:t>其他标准□</w:t>
            </w:r>
          </w:p>
        </w:tc>
      </w:tr>
      <w:tr w14:paraId="6299F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846" w:type="dxa"/>
            <w:vMerge w:val="restart"/>
          </w:tcPr>
          <w:p w14:paraId="3E20101B">
            <w:pPr>
              <w:pStyle w:val="14"/>
              <w:rPr>
                <w:b/>
                <w:sz w:val="20"/>
              </w:rPr>
            </w:pPr>
          </w:p>
          <w:p w14:paraId="3C351A82">
            <w:pPr>
              <w:pStyle w:val="14"/>
              <w:spacing w:before="9"/>
              <w:rPr>
                <w:b/>
                <w:sz w:val="23"/>
              </w:rPr>
            </w:pPr>
          </w:p>
          <w:p w14:paraId="063D17F5">
            <w:pPr>
              <w:pStyle w:val="14"/>
              <w:spacing w:line="244" w:lineRule="auto"/>
              <w:ind w:left="318" w:right="97" w:hanging="212"/>
              <w:rPr>
                <w:sz w:val="21"/>
              </w:rPr>
            </w:pPr>
            <w:r>
              <w:rPr>
                <w:sz w:val="21"/>
              </w:rPr>
              <w:t>现状评价</w:t>
            </w:r>
          </w:p>
        </w:tc>
        <w:tc>
          <w:tcPr>
            <w:tcW w:w="1814" w:type="dxa"/>
          </w:tcPr>
          <w:p w14:paraId="7DC12A5F">
            <w:pPr>
              <w:pStyle w:val="14"/>
              <w:spacing w:before="137"/>
              <w:ind w:left="70" w:right="61"/>
              <w:jc w:val="center"/>
              <w:rPr>
                <w:sz w:val="21"/>
              </w:rPr>
            </w:pPr>
            <w:r>
              <w:rPr>
                <w:sz w:val="21"/>
              </w:rPr>
              <w:t>环境功能区</w:t>
            </w:r>
          </w:p>
        </w:tc>
        <w:tc>
          <w:tcPr>
            <w:tcW w:w="1870" w:type="dxa"/>
            <w:gridSpan w:val="5"/>
          </w:tcPr>
          <w:p w14:paraId="2B3EAADA">
            <w:pPr>
              <w:pStyle w:val="14"/>
              <w:spacing w:before="137"/>
              <w:ind w:left="514"/>
              <w:rPr>
                <w:sz w:val="21"/>
              </w:rPr>
            </w:pPr>
            <w:r>
              <w:rPr>
                <w:sz w:val="21"/>
              </w:rPr>
              <w:t>一类区□</w:t>
            </w:r>
          </w:p>
        </w:tc>
        <w:tc>
          <w:tcPr>
            <w:tcW w:w="2211" w:type="dxa"/>
            <w:gridSpan w:val="5"/>
          </w:tcPr>
          <w:p w14:paraId="2C79F8AE">
            <w:pPr>
              <w:pStyle w:val="14"/>
              <w:spacing w:before="137"/>
              <w:ind w:left="696"/>
              <w:rPr>
                <w:rFonts w:ascii="Wingdings" w:hAnsi="Wingdings"/>
                <w:sz w:val="21"/>
              </w:rPr>
            </w:pPr>
            <w:r>
              <w:rPr>
                <w:sz w:val="21"/>
              </w:rPr>
              <w:t>二类区</w:t>
            </w:r>
            <w:r>
              <w:rPr>
                <w:rFonts w:ascii="Wingdings" w:hAnsi="Wingdings"/>
                <w:sz w:val="21"/>
              </w:rPr>
              <w:t></w:t>
            </w:r>
          </w:p>
        </w:tc>
        <w:tc>
          <w:tcPr>
            <w:tcW w:w="2102" w:type="dxa"/>
            <w:gridSpan w:val="4"/>
          </w:tcPr>
          <w:p w14:paraId="64CB8DB7">
            <w:pPr>
              <w:pStyle w:val="14"/>
              <w:spacing w:before="137"/>
              <w:ind w:left="211"/>
              <w:rPr>
                <w:sz w:val="21"/>
              </w:rPr>
            </w:pPr>
            <w:r>
              <w:rPr>
                <w:sz w:val="21"/>
              </w:rPr>
              <w:t>一类区和二类区□</w:t>
            </w:r>
          </w:p>
        </w:tc>
      </w:tr>
      <w:tr w14:paraId="225CD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46" w:type="dxa"/>
            <w:vMerge w:val="continue"/>
            <w:tcBorders>
              <w:top w:val="nil"/>
            </w:tcBorders>
          </w:tcPr>
          <w:p w14:paraId="396DCBB4">
            <w:pPr>
              <w:rPr>
                <w:sz w:val="2"/>
                <w:szCs w:val="2"/>
              </w:rPr>
            </w:pPr>
          </w:p>
        </w:tc>
        <w:tc>
          <w:tcPr>
            <w:tcW w:w="1814" w:type="dxa"/>
          </w:tcPr>
          <w:p w14:paraId="0A66555D">
            <w:pPr>
              <w:pStyle w:val="14"/>
              <w:spacing w:line="252" w:lineRule="exact"/>
              <w:ind w:left="70" w:right="61"/>
              <w:jc w:val="center"/>
              <w:rPr>
                <w:sz w:val="21"/>
              </w:rPr>
            </w:pPr>
            <w:r>
              <w:rPr>
                <w:sz w:val="21"/>
              </w:rPr>
              <w:t>评价基准年</w:t>
            </w:r>
          </w:p>
        </w:tc>
        <w:tc>
          <w:tcPr>
            <w:tcW w:w="6183" w:type="dxa"/>
            <w:gridSpan w:val="14"/>
          </w:tcPr>
          <w:p w14:paraId="0BD8E3AC">
            <w:pPr>
              <w:pStyle w:val="14"/>
              <w:spacing w:line="252" w:lineRule="exact"/>
              <w:ind w:left="2545" w:right="2538"/>
              <w:jc w:val="center"/>
              <w:rPr>
                <w:sz w:val="21"/>
              </w:rPr>
            </w:pPr>
            <w:r>
              <w:rPr>
                <w:sz w:val="21"/>
              </w:rPr>
              <w:t>（</w:t>
            </w:r>
            <w:r>
              <w:rPr>
                <w:rFonts w:ascii="Times New Roman" w:eastAsia="Times New Roman"/>
                <w:sz w:val="21"/>
              </w:rPr>
              <w:t>2023</w:t>
            </w:r>
            <w:r>
              <w:rPr>
                <w:sz w:val="21"/>
              </w:rPr>
              <w:t>）年</w:t>
            </w:r>
          </w:p>
        </w:tc>
      </w:tr>
      <w:tr w14:paraId="5F154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846" w:type="dxa"/>
            <w:vMerge w:val="continue"/>
            <w:tcBorders>
              <w:top w:val="nil"/>
            </w:tcBorders>
          </w:tcPr>
          <w:p w14:paraId="73088A6A">
            <w:pPr>
              <w:rPr>
                <w:sz w:val="2"/>
                <w:szCs w:val="2"/>
              </w:rPr>
            </w:pPr>
          </w:p>
        </w:tc>
        <w:tc>
          <w:tcPr>
            <w:tcW w:w="1814" w:type="dxa"/>
          </w:tcPr>
          <w:p w14:paraId="02B9EEA3">
            <w:pPr>
              <w:pStyle w:val="14"/>
              <w:spacing w:before="1"/>
              <w:ind w:left="171"/>
              <w:rPr>
                <w:sz w:val="21"/>
              </w:rPr>
            </w:pPr>
            <w:r>
              <w:rPr>
                <w:w w:val="95"/>
                <w:sz w:val="21"/>
              </w:rPr>
              <w:t>环境空气质量现</w:t>
            </w:r>
          </w:p>
          <w:p w14:paraId="440DE748">
            <w:pPr>
              <w:pStyle w:val="14"/>
              <w:spacing w:before="2" w:line="252" w:lineRule="exact"/>
              <w:ind w:left="171"/>
              <w:rPr>
                <w:sz w:val="21"/>
              </w:rPr>
            </w:pPr>
            <w:r>
              <w:rPr>
                <w:w w:val="95"/>
                <w:sz w:val="21"/>
              </w:rPr>
              <w:t>状调查数据来源</w:t>
            </w:r>
          </w:p>
        </w:tc>
        <w:tc>
          <w:tcPr>
            <w:tcW w:w="1870" w:type="dxa"/>
            <w:gridSpan w:val="5"/>
          </w:tcPr>
          <w:p w14:paraId="3BECB480">
            <w:pPr>
              <w:pStyle w:val="14"/>
              <w:spacing w:before="1"/>
              <w:ind w:left="179" w:right="170"/>
              <w:jc w:val="center"/>
              <w:rPr>
                <w:sz w:val="21"/>
              </w:rPr>
            </w:pPr>
            <w:r>
              <w:rPr>
                <w:sz w:val="21"/>
              </w:rPr>
              <w:t>长期例行监测数</w:t>
            </w:r>
          </w:p>
          <w:p w14:paraId="61FBBF38">
            <w:pPr>
              <w:pStyle w:val="14"/>
              <w:spacing w:before="2" w:line="252" w:lineRule="exact"/>
              <w:ind w:left="177" w:right="170"/>
              <w:jc w:val="center"/>
              <w:rPr>
                <w:sz w:val="21"/>
              </w:rPr>
            </w:pPr>
            <w:r>
              <w:rPr>
                <w:sz w:val="21"/>
              </w:rPr>
              <w:t>据□</w:t>
            </w:r>
          </w:p>
        </w:tc>
        <w:tc>
          <w:tcPr>
            <w:tcW w:w="2211" w:type="dxa"/>
            <w:gridSpan w:val="5"/>
          </w:tcPr>
          <w:p w14:paraId="3C465983">
            <w:pPr>
              <w:pStyle w:val="14"/>
              <w:spacing w:before="25" w:line="264" w:lineRule="exact"/>
              <w:ind w:left="138" w:right="132"/>
              <w:jc w:val="center"/>
              <w:rPr>
                <w:sz w:val="21"/>
              </w:rPr>
            </w:pPr>
            <w:r>
              <w:rPr>
                <w:sz w:val="21"/>
              </w:rPr>
              <w:t>主管部门发布的数据</w:t>
            </w:r>
          </w:p>
          <w:p w14:paraId="4DFC57DD">
            <w:pPr>
              <w:pStyle w:val="14"/>
              <w:spacing w:line="228" w:lineRule="exact"/>
              <w:ind w:left="7"/>
              <w:jc w:val="center"/>
              <w:rPr>
                <w:rFonts w:ascii="Wingdings" w:hAnsi="Wingdings"/>
                <w:sz w:val="21"/>
              </w:rPr>
            </w:pPr>
            <w:r>
              <w:rPr>
                <w:rFonts w:ascii="Wingdings" w:hAnsi="Wingdings"/>
                <w:w w:val="100"/>
                <w:sz w:val="21"/>
              </w:rPr>
              <w:t></w:t>
            </w:r>
          </w:p>
        </w:tc>
        <w:tc>
          <w:tcPr>
            <w:tcW w:w="2102" w:type="dxa"/>
            <w:gridSpan w:val="4"/>
          </w:tcPr>
          <w:p w14:paraId="286806A0">
            <w:pPr>
              <w:pStyle w:val="14"/>
              <w:spacing w:before="135"/>
              <w:ind w:left="326"/>
              <w:rPr>
                <w:rFonts w:ascii="Wingdings" w:hAnsi="Wingdings"/>
                <w:sz w:val="21"/>
              </w:rPr>
            </w:pPr>
            <w:r>
              <w:rPr>
                <w:sz w:val="21"/>
              </w:rPr>
              <w:t>现状补充监测</w:t>
            </w:r>
            <w:r>
              <w:rPr>
                <w:rFonts w:ascii="Wingdings" w:hAnsi="Wingdings"/>
                <w:sz w:val="21"/>
              </w:rPr>
              <w:t></w:t>
            </w:r>
          </w:p>
        </w:tc>
      </w:tr>
      <w:tr w14:paraId="2352C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46" w:type="dxa"/>
            <w:vMerge w:val="continue"/>
            <w:tcBorders>
              <w:top w:val="nil"/>
            </w:tcBorders>
          </w:tcPr>
          <w:p w14:paraId="4EC73C1D">
            <w:pPr>
              <w:rPr>
                <w:sz w:val="2"/>
                <w:szCs w:val="2"/>
              </w:rPr>
            </w:pPr>
          </w:p>
        </w:tc>
        <w:tc>
          <w:tcPr>
            <w:tcW w:w="1814" w:type="dxa"/>
          </w:tcPr>
          <w:p w14:paraId="03EAA31F">
            <w:pPr>
              <w:pStyle w:val="14"/>
              <w:spacing w:before="1" w:line="252" w:lineRule="exact"/>
              <w:ind w:left="69" w:right="65"/>
              <w:jc w:val="center"/>
              <w:rPr>
                <w:sz w:val="21"/>
              </w:rPr>
            </w:pPr>
            <w:r>
              <w:rPr>
                <w:sz w:val="21"/>
              </w:rPr>
              <w:t>现状评价</w:t>
            </w:r>
          </w:p>
        </w:tc>
        <w:tc>
          <w:tcPr>
            <w:tcW w:w="2917" w:type="dxa"/>
            <w:gridSpan w:val="8"/>
          </w:tcPr>
          <w:p w14:paraId="21C868ED">
            <w:pPr>
              <w:pStyle w:val="14"/>
              <w:spacing w:before="1" w:line="252" w:lineRule="exact"/>
              <w:ind w:left="236" w:right="240"/>
              <w:jc w:val="center"/>
              <w:rPr>
                <w:rFonts w:ascii="Wingdings" w:hAnsi="Wingdings"/>
                <w:sz w:val="21"/>
              </w:rPr>
            </w:pPr>
            <w:r>
              <w:rPr>
                <w:sz w:val="21"/>
              </w:rPr>
              <w:t>达标区</w:t>
            </w:r>
            <w:r>
              <w:rPr>
                <w:rFonts w:ascii="Wingdings" w:hAnsi="Wingdings"/>
                <w:sz w:val="21"/>
              </w:rPr>
              <w:t></w:t>
            </w:r>
          </w:p>
        </w:tc>
        <w:tc>
          <w:tcPr>
            <w:tcW w:w="3266" w:type="dxa"/>
            <w:gridSpan w:val="6"/>
          </w:tcPr>
          <w:p w14:paraId="71C26380">
            <w:pPr>
              <w:pStyle w:val="14"/>
              <w:spacing w:before="1" w:line="252" w:lineRule="exact"/>
              <w:ind w:left="1080" w:right="1086"/>
              <w:jc w:val="center"/>
              <w:rPr>
                <w:sz w:val="21"/>
              </w:rPr>
            </w:pPr>
            <w:r>
              <w:rPr>
                <w:sz w:val="21"/>
              </w:rPr>
              <w:t>不达标区□</w:t>
            </w:r>
          </w:p>
        </w:tc>
      </w:tr>
      <w:tr w14:paraId="188A7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846" w:type="dxa"/>
          </w:tcPr>
          <w:p w14:paraId="2000C6F1">
            <w:pPr>
              <w:pStyle w:val="14"/>
              <w:rPr>
                <w:b/>
                <w:sz w:val="20"/>
              </w:rPr>
            </w:pPr>
          </w:p>
          <w:p w14:paraId="28B838D6">
            <w:pPr>
              <w:pStyle w:val="14"/>
              <w:spacing w:before="5"/>
              <w:rPr>
                <w:b/>
                <w:sz w:val="22"/>
              </w:rPr>
            </w:pPr>
          </w:p>
          <w:p w14:paraId="616F07E9">
            <w:pPr>
              <w:pStyle w:val="14"/>
              <w:spacing w:before="1" w:line="242" w:lineRule="auto"/>
              <w:ind w:left="213" w:right="97" w:hanging="106"/>
              <w:rPr>
                <w:sz w:val="21"/>
              </w:rPr>
            </w:pPr>
            <w:r>
              <w:rPr>
                <w:sz w:val="21"/>
              </w:rPr>
              <w:t>污染源调查</w:t>
            </w:r>
          </w:p>
        </w:tc>
        <w:tc>
          <w:tcPr>
            <w:tcW w:w="1814" w:type="dxa"/>
          </w:tcPr>
          <w:p w14:paraId="35127C62">
            <w:pPr>
              <w:pStyle w:val="14"/>
              <w:rPr>
                <w:b/>
                <w:sz w:val="20"/>
              </w:rPr>
            </w:pPr>
          </w:p>
          <w:p w14:paraId="454D8733">
            <w:pPr>
              <w:pStyle w:val="14"/>
              <w:rPr>
                <w:b/>
                <w:sz w:val="20"/>
              </w:rPr>
            </w:pPr>
          </w:p>
          <w:p w14:paraId="4C0B1AE4">
            <w:pPr>
              <w:pStyle w:val="14"/>
              <w:spacing w:before="168"/>
              <w:ind w:left="69" w:right="65"/>
              <w:jc w:val="center"/>
              <w:rPr>
                <w:sz w:val="21"/>
              </w:rPr>
            </w:pPr>
            <w:r>
              <w:rPr>
                <w:sz w:val="21"/>
              </w:rPr>
              <w:t>调查内容</w:t>
            </w:r>
          </w:p>
        </w:tc>
        <w:tc>
          <w:tcPr>
            <w:tcW w:w="1428" w:type="dxa"/>
            <w:gridSpan w:val="3"/>
          </w:tcPr>
          <w:p w14:paraId="13D6ACE8">
            <w:pPr>
              <w:pStyle w:val="14"/>
              <w:spacing w:line="242" w:lineRule="auto"/>
              <w:ind w:left="188" w:right="178"/>
              <w:jc w:val="center"/>
              <w:rPr>
                <w:sz w:val="21"/>
              </w:rPr>
            </w:pPr>
            <w:r>
              <w:rPr>
                <w:w w:val="95"/>
                <w:sz w:val="21"/>
              </w:rPr>
              <w:t>本项目正常</w:t>
            </w:r>
            <w:r>
              <w:rPr>
                <w:sz w:val="21"/>
              </w:rPr>
              <w:t>排放源</w:t>
            </w:r>
            <w:r>
              <w:rPr>
                <w:rFonts w:ascii="Wingdings" w:hAnsi="Wingdings" w:eastAsia="Wingdings"/>
                <w:sz w:val="21"/>
              </w:rPr>
              <w:t></w:t>
            </w:r>
            <w:r>
              <w:rPr>
                <w:rFonts w:ascii="Times New Roman" w:hAnsi="Times New Roman" w:eastAsia="Times New Roman"/>
                <w:sz w:val="21"/>
              </w:rPr>
              <w:t xml:space="preserve"> </w:t>
            </w:r>
            <w:r>
              <w:rPr>
                <w:w w:val="95"/>
                <w:sz w:val="21"/>
              </w:rPr>
              <w:t>本项目非正</w:t>
            </w:r>
            <w:r>
              <w:rPr>
                <w:sz w:val="21"/>
              </w:rPr>
              <w:t>常排放源</w:t>
            </w:r>
            <w:r>
              <w:rPr>
                <w:rFonts w:ascii="Wingdings" w:hAnsi="Wingdings" w:eastAsia="Wingdings"/>
                <w:sz w:val="21"/>
              </w:rPr>
              <w:t></w:t>
            </w:r>
            <w:r>
              <w:rPr>
                <w:rFonts w:ascii="Times New Roman" w:hAnsi="Times New Roman" w:eastAsia="Times New Roman"/>
                <w:sz w:val="21"/>
              </w:rPr>
              <w:t xml:space="preserve"> </w:t>
            </w:r>
            <w:r>
              <w:rPr>
                <w:w w:val="95"/>
                <w:sz w:val="21"/>
              </w:rPr>
              <w:t>现状污染源</w:t>
            </w:r>
          </w:p>
          <w:p w14:paraId="1B380994">
            <w:pPr>
              <w:pStyle w:val="14"/>
              <w:spacing w:before="1" w:line="254" w:lineRule="exact"/>
              <w:ind w:left="7"/>
              <w:jc w:val="center"/>
              <w:rPr>
                <w:sz w:val="21"/>
              </w:rPr>
            </w:pPr>
            <w:r>
              <w:rPr>
                <w:w w:val="99"/>
                <w:sz w:val="21"/>
              </w:rPr>
              <w:t>□</w:t>
            </w:r>
          </w:p>
        </w:tc>
        <w:tc>
          <w:tcPr>
            <w:tcW w:w="1489" w:type="dxa"/>
            <w:gridSpan w:val="5"/>
          </w:tcPr>
          <w:p w14:paraId="468BB925">
            <w:pPr>
              <w:pStyle w:val="14"/>
              <w:rPr>
                <w:b/>
                <w:sz w:val="20"/>
              </w:rPr>
            </w:pPr>
          </w:p>
          <w:p w14:paraId="13E3ACA8">
            <w:pPr>
              <w:pStyle w:val="14"/>
              <w:spacing w:before="5"/>
              <w:rPr>
                <w:b/>
                <w:sz w:val="22"/>
              </w:rPr>
            </w:pPr>
          </w:p>
          <w:p w14:paraId="6B468606">
            <w:pPr>
              <w:pStyle w:val="14"/>
              <w:spacing w:before="1" w:line="242" w:lineRule="auto"/>
              <w:ind w:left="526" w:right="215" w:hanging="315"/>
              <w:rPr>
                <w:sz w:val="21"/>
              </w:rPr>
            </w:pPr>
            <w:r>
              <w:rPr>
                <w:sz w:val="21"/>
              </w:rPr>
              <w:t>拟替代污染源□</w:t>
            </w:r>
          </w:p>
        </w:tc>
        <w:tc>
          <w:tcPr>
            <w:tcW w:w="1607" w:type="dxa"/>
            <w:gridSpan w:val="3"/>
          </w:tcPr>
          <w:p w14:paraId="697E93A6">
            <w:pPr>
              <w:pStyle w:val="14"/>
              <w:rPr>
                <w:b/>
                <w:sz w:val="20"/>
              </w:rPr>
            </w:pPr>
          </w:p>
          <w:p w14:paraId="4782F7FC">
            <w:pPr>
              <w:pStyle w:val="14"/>
              <w:spacing w:before="151" w:line="244" w:lineRule="auto"/>
              <w:ind w:left="165" w:right="171"/>
              <w:jc w:val="center"/>
              <w:rPr>
                <w:sz w:val="21"/>
              </w:rPr>
            </w:pPr>
            <w:r>
              <w:rPr>
                <w:w w:val="95"/>
                <w:sz w:val="21"/>
              </w:rPr>
              <w:t>其他在建、拟建项目污染源</w:t>
            </w:r>
          </w:p>
          <w:p w14:paraId="42DC98E4">
            <w:pPr>
              <w:pStyle w:val="14"/>
              <w:spacing w:line="265" w:lineRule="exact"/>
              <w:ind w:right="3"/>
              <w:jc w:val="center"/>
              <w:rPr>
                <w:sz w:val="21"/>
              </w:rPr>
            </w:pPr>
            <w:r>
              <w:rPr>
                <w:w w:val="99"/>
                <w:sz w:val="21"/>
              </w:rPr>
              <w:t>□</w:t>
            </w:r>
          </w:p>
        </w:tc>
        <w:tc>
          <w:tcPr>
            <w:tcW w:w="1659" w:type="dxa"/>
            <w:gridSpan w:val="3"/>
          </w:tcPr>
          <w:p w14:paraId="0F2AF312">
            <w:pPr>
              <w:pStyle w:val="14"/>
              <w:rPr>
                <w:b/>
                <w:sz w:val="20"/>
              </w:rPr>
            </w:pPr>
          </w:p>
          <w:p w14:paraId="50FE5BC0">
            <w:pPr>
              <w:pStyle w:val="14"/>
              <w:rPr>
                <w:b/>
                <w:sz w:val="20"/>
              </w:rPr>
            </w:pPr>
          </w:p>
          <w:p w14:paraId="56E4256F">
            <w:pPr>
              <w:pStyle w:val="14"/>
              <w:spacing w:before="168"/>
              <w:ind w:left="197"/>
              <w:rPr>
                <w:sz w:val="21"/>
              </w:rPr>
            </w:pPr>
            <w:r>
              <w:rPr>
                <w:sz w:val="21"/>
              </w:rPr>
              <w:t>区域污染源□</w:t>
            </w:r>
          </w:p>
        </w:tc>
      </w:tr>
      <w:tr w14:paraId="59F3B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846" w:type="dxa"/>
            <w:vMerge w:val="restart"/>
          </w:tcPr>
          <w:p w14:paraId="279B705D">
            <w:pPr>
              <w:pStyle w:val="14"/>
              <w:rPr>
                <w:b/>
                <w:sz w:val="20"/>
              </w:rPr>
            </w:pPr>
          </w:p>
          <w:p w14:paraId="1C4EF5FC">
            <w:pPr>
              <w:pStyle w:val="14"/>
              <w:rPr>
                <w:b/>
                <w:sz w:val="20"/>
              </w:rPr>
            </w:pPr>
          </w:p>
          <w:p w14:paraId="42441B7E">
            <w:pPr>
              <w:pStyle w:val="14"/>
              <w:rPr>
                <w:b/>
                <w:sz w:val="20"/>
              </w:rPr>
            </w:pPr>
          </w:p>
          <w:p w14:paraId="17FC9DF7">
            <w:pPr>
              <w:pStyle w:val="14"/>
              <w:rPr>
                <w:b/>
                <w:sz w:val="20"/>
              </w:rPr>
            </w:pPr>
          </w:p>
          <w:p w14:paraId="67FD7F40">
            <w:pPr>
              <w:pStyle w:val="14"/>
              <w:rPr>
                <w:b/>
                <w:sz w:val="20"/>
              </w:rPr>
            </w:pPr>
          </w:p>
          <w:p w14:paraId="36A5E8FD">
            <w:pPr>
              <w:pStyle w:val="14"/>
              <w:rPr>
                <w:b/>
                <w:sz w:val="20"/>
              </w:rPr>
            </w:pPr>
          </w:p>
          <w:p w14:paraId="2D16599C">
            <w:pPr>
              <w:pStyle w:val="14"/>
              <w:spacing w:before="11"/>
              <w:rPr>
                <w:b/>
                <w:sz w:val="18"/>
              </w:rPr>
            </w:pPr>
          </w:p>
          <w:p w14:paraId="066E5390">
            <w:pPr>
              <w:pStyle w:val="14"/>
              <w:spacing w:before="1" w:line="242" w:lineRule="auto"/>
              <w:ind w:left="107" w:right="97"/>
              <w:jc w:val="center"/>
              <w:rPr>
                <w:sz w:val="21"/>
              </w:rPr>
            </w:pPr>
            <w:r>
              <w:rPr>
                <w:w w:val="95"/>
                <w:sz w:val="21"/>
              </w:rPr>
              <w:t>大气环境影响预测评</w:t>
            </w:r>
            <w:r>
              <w:rPr>
                <w:sz w:val="21"/>
              </w:rPr>
              <w:t>价</w:t>
            </w:r>
          </w:p>
        </w:tc>
        <w:tc>
          <w:tcPr>
            <w:tcW w:w="1814" w:type="dxa"/>
          </w:tcPr>
          <w:p w14:paraId="23F5861F">
            <w:pPr>
              <w:pStyle w:val="14"/>
              <w:spacing w:before="10"/>
              <w:rPr>
                <w:b/>
                <w:sz w:val="18"/>
              </w:rPr>
            </w:pPr>
          </w:p>
          <w:p w14:paraId="4C11DACA">
            <w:pPr>
              <w:pStyle w:val="14"/>
              <w:spacing w:before="1"/>
              <w:ind w:left="69" w:right="65"/>
              <w:jc w:val="center"/>
              <w:rPr>
                <w:sz w:val="21"/>
              </w:rPr>
            </w:pPr>
            <w:r>
              <w:rPr>
                <w:sz w:val="21"/>
              </w:rPr>
              <w:t>预测模式</w:t>
            </w:r>
          </w:p>
        </w:tc>
        <w:tc>
          <w:tcPr>
            <w:tcW w:w="691" w:type="dxa"/>
          </w:tcPr>
          <w:p w14:paraId="4D705C27">
            <w:pPr>
              <w:pStyle w:val="14"/>
              <w:ind w:left="176" w:hanging="41"/>
              <w:rPr>
                <w:rFonts w:ascii="Times New Roman"/>
                <w:sz w:val="21"/>
              </w:rPr>
            </w:pPr>
            <w:r>
              <w:rPr>
                <w:rFonts w:ascii="Times New Roman"/>
                <w:w w:val="95"/>
                <w:sz w:val="21"/>
              </w:rPr>
              <w:t xml:space="preserve">AER </w:t>
            </w:r>
            <w:r>
              <w:rPr>
                <w:rFonts w:ascii="Times New Roman"/>
                <w:sz w:val="21"/>
              </w:rPr>
              <w:t>MO</w:t>
            </w:r>
          </w:p>
          <w:p w14:paraId="38F1A66D">
            <w:pPr>
              <w:pStyle w:val="14"/>
              <w:spacing w:line="253" w:lineRule="exact"/>
              <w:ind w:left="164"/>
              <w:rPr>
                <w:sz w:val="21"/>
              </w:rPr>
            </w:pPr>
            <w:r>
              <w:rPr>
                <w:rFonts w:ascii="Times New Roman" w:hAnsi="Times New Roman"/>
                <w:sz w:val="21"/>
              </w:rPr>
              <w:t>D</w:t>
            </w:r>
            <w:r>
              <w:rPr>
                <w:sz w:val="21"/>
              </w:rPr>
              <w:t>□</w:t>
            </w:r>
          </w:p>
        </w:tc>
        <w:tc>
          <w:tcPr>
            <w:tcW w:w="737" w:type="dxa"/>
            <w:gridSpan w:val="2"/>
          </w:tcPr>
          <w:p w14:paraId="725E2276">
            <w:pPr>
              <w:pStyle w:val="14"/>
              <w:spacing w:before="118"/>
              <w:ind w:left="123"/>
              <w:rPr>
                <w:rFonts w:ascii="Times New Roman"/>
                <w:sz w:val="21"/>
              </w:rPr>
            </w:pPr>
            <w:r>
              <w:rPr>
                <w:rFonts w:ascii="Times New Roman"/>
                <w:sz w:val="21"/>
              </w:rPr>
              <w:t>ADM</w:t>
            </w:r>
          </w:p>
          <w:p w14:paraId="2C22D83A">
            <w:pPr>
              <w:pStyle w:val="14"/>
              <w:spacing w:before="2"/>
              <w:ind w:left="205"/>
              <w:rPr>
                <w:sz w:val="21"/>
              </w:rPr>
            </w:pPr>
            <w:r>
              <w:rPr>
                <w:rFonts w:ascii="Times New Roman" w:hAnsi="Times New Roman"/>
                <w:sz w:val="21"/>
              </w:rPr>
              <w:t>S</w:t>
            </w:r>
            <w:r>
              <w:rPr>
                <w:sz w:val="21"/>
              </w:rPr>
              <w:t>□</w:t>
            </w:r>
          </w:p>
        </w:tc>
        <w:tc>
          <w:tcPr>
            <w:tcW w:w="1032" w:type="dxa"/>
            <w:gridSpan w:val="4"/>
          </w:tcPr>
          <w:p w14:paraId="3DDF3019">
            <w:pPr>
              <w:pStyle w:val="14"/>
              <w:spacing w:before="118"/>
              <w:ind w:left="200" w:hanging="92"/>
              <w:rPr>
                <w:sz w:val="21"/>
              </w:rPr>
            </w:pPr>
            <w:r>
              <w:rPr>
                <w:rFonts w:ascii="Times New Roman" w:hAnsi="Times New Roman"/>
                <w:sz w:val="21"/>
              </w:rPr>
              <w:t>AUSTAL 2000</w:t>
            </w:r>
            <w:r>
              <w:rPr>
                <w:sz w:val="21"/>
              </w:rPr>
              <w:t>□</w:t>
            </w:r>
          </w:p>
        </w:tc>
        <w:tc>
          <w:tcPr>
            <w:tcW w:w="1032" w:type="dxa"/>
            <w:gridSpan w:val="2"/>
          </w:tcPr>
          <w:p w14:paraId="01D849E1">
            <w:pPr>
              <w:pStyle w:val="14"/>
              <w:spacing w:before="118"/>
              <w:ind w:left="207" w:hanging="89"/>
              <w:rPr>
                <w:sz w:val="21"/>
              </w:rPr>
            </w:pPr>
            <w:r>
              <w:rPr>
                <w:rFonts w:ascii="Times New Roman" w:hAnsi="Times New Roman"/>
                <w:w w:val="95"/>
                <w:sz w:val="21"/>
              </w:rPr>
              <w:t xml:space="preserve">EDMS/A </w:t>
            </w:r>
            <w:r>
              <w:rPr>
                <w:rFonts w:ascii="Times New Roman" w:hAnsi="Times New Roman"/>
                <w:sz w:val="21"/>
              </w:rPr>
              <w:t>EDT</w:t>
            </w:r>
            <w:r>
              <w:rPr>
                <w:sz w:val="21"/>
              </w:rPr>
              <w:t>□</w:t>
            </w:r>
          </w:p>
        </w:tc>
        <w:tc>
          <w:tcPr>
            <w:tcW w:w="1032" w:type="dxa"/>
            <w:gridSpan w:val="2"/>
          </w:tcPr>
          <w:p w14:paraId="123A530B">
            <w:pPr>
              <w:pStyle w:val="14"/>
              <w:spacing w:before="118"/>
              <w:ind w:left="89" w:right="86"/>
              <w:jc w:val="center"/>
              <w:rPr>
                <w:rFonts w:ascii="Times New Roman"/>
                <w:sz w:val="21"/>
              </w:rPr>
            </w:pPr>
            <w:r>
              <w:rPr>
                <w:rFonts w:ascii="Times New Roman"/>
                <w:sz w:val="21"/>
              </w:rPr>
              <w:t>CALPUF</w:t>
            </w:r>
          </w:p>
          <w:p w14:paraId="72619384">
            <w:pPr>
              <w:pStyle w:val="14"/>
              <w:spacing w:before="2"/>
              <w:ind w:left="89" w:right="84"/>
              <w:jc w:val="center"/>
              <w:rPr>
                <w:sz w:val="21"/>
              </w:rPr>
            </w:pPr>
            <w:r>
              <w:rPr>
                <w:rFonts w:ascii="Times New Roman" w:hAnsi="Times New Roman"/>
                <w:sz w:val="21"/>
              </w:rPr>
              <w:t>F</w:t>
            </w:r>
            <w:r>
              <w:rPr>
                <w:sz w:val="21"/>
              </w:rPr>
              <w:t>□</w:t>
            </w:r>
          </w:p>
        </w:tc>
        <w:tc>
          <w:tcPr>
            <w:tcW w:w="885" w:type="dxa"/>
            <w:gridSpan w:val="2"/>
          </w:tcPr>
          <w:p w14:paraId="06D9D7BD">
            <w:pPr>
              <w:pStyle w:val="14"/>
              <w:spacing w:before="105" w:line="242" w:lineRule="auto"/>
              <w:ind w:left="231" w:right="118" w:hanging="106"/>
              <w:rPr>
                <w:sz w:val="21"/>
              </w:rPr>
            </w:pPr>
            <w:r>
              <w:rPr>
                <w:sz w:val="21"/>
              </w:rPr>
              <w:t>网络模型□</w:t>
            </w:r>
          </w:p>
        </w:tc>
        <w:tc>
          <w:tcPr>
            <w:tcW w:w="774" w:type="dxa"/>
          </w:tcPr>
          <w:p w14:paraId="61A43C00">
            <w:pPr>
              <w:pStyle w:val="14"/>
              <w:spacing w:before="131" w:line="263" w:lineRule="exact"/>
              <w:ind w:left="155" w:right="148"/>
              <w:jc w:val="center"/>
              <w:rPr>
                <w:sz w:val="21"/>
              </w:rPr>
            </w:pPr>
            <w:r>
              <w:rPr>
                <w:sz w:val="21"/>
              </w:rPr>
              <w:t>其他</w:t>
            </w:r>
          </w:p>
          <w:p w14:paraId="1511DB1C">
            <w:pPr>
              <w:pStyle w:val="14"/>
              <w:spacing w:line="227" w:lineRule="exact"/>
              <w:ind w:left="6"/>
              <w:jc w:val="center"/>
              <w:rPr>
                <w:rFonts w:ascii="Wingdings" w:hAnsi="Wingdings"/>
                <w:sz w:val="21"/>
              </w:rPr>
            </w:pPr>
            <w:r>
              <w:rPr>
                <w:rFonts w:ascii="Wingdings" w:hAnsi="Wingdings"/>
                <w:w w:val="100"/>
                <w:sz w:val="21"/>
              </w:rPr>
              <w:t></w:t>
            </w:r>
          </w:p>
        </w:tc>
      </w:tr>
      <w:tr w14:paraId="603AE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46" w:type="dxa"/>
            <w:vMerge w:val="continue"/>
            <w:tcBorders>
              <w:top w:val="nil"/>
            </w:tcBorders>
          </w:tcPr>
          <w:p w14:paraId="2EEC6024">
            <w:pPr>
              <w:rPr>
                <w:sz w:val="2"/>
                <w:szCs w:val="2"/>
              </w:rPr>
            </w:pPr>
          </w:p>
        </w:tc>
        <w:tc>
          <w:tcPr>
            <w:tcW w:w="1814" w:type="dxa"/>
          </w:tcPr>
          <w:p w14:paraId="33B6A8A3">
            <w:pPr>
              <w:pStyle w:val="14"/>
              <w:spacing w:before="2" w:line="251" w:lineRule="exact"/>
              <w:ind w:left="69" w:right="65"/>
              <w:jc w:val="center"/>
              <w:rPr>
                <w:sz w:val="21"/>
              </w:rPr>
            </w:pPr>
            <w:r>
              <w:rPr>
                <w:sz w:val="21"/>
              </w:rPr>
              <w:t>预测范围</w:t>
            </w:r>
          </w:p>
        </w:tc>
        <w:tc>
          <w:tcPr>
            <w:tcW w:w="1870" w:type="dxa"/>
            <w:gridSpan w:val="5"/>
          </w:tcPr>
          <w:p w14:paraId="54428FA7">
            <w:pPr>
              <w:pStyle w:val="14"/>
              <w:spacing w:before="2" w:line="251" w:lineRule="exact"/>
              <w:ind w:left="274"/>
              <w:rPr>
                <w:sz w:val="21"/>
              </w:rPr>
            </w:pPr>
            <w:r>
              <w:rPr>
                <w:sz w:val="21"/>
              </w:rPr>
              <w:t>边长≥</w:t>
            </w:r>
            <w:r>
              <w:rPr>
                <w:rFonts w:ascii="Times New Roman" w:hAnsi="Times New Roman" w:eastAsia="Times New Roman"/>
                <w:sz w:val="21"/>
              </w:rPr>
              <w:t>50km</w:t>
            </w:r>
            <w:r>
              <w:rPr>
                <w:sz w:val="21"/>
              </w:rPr>
              <w:t>□</w:t>
            </w:r>
          </w:p>
        </w:tc>
        <w:tc>
          <w:tcPr>
            <w:tcW w:w="2211" w:type="dxa"/>
            <w:gridSpan w:val="5"/>
          </w:tcPr>
          <w:p w14:paraId="64A3039D">
            <w:pPr>
              <w:pStyle w:val="14"/>
              <w:spacing w:before="2" w:line="251" w:lineRule="exact"/>
              <w:ind w:left="437"/>
              <w:rPr>
                <w:sz w:val="21"/>
              </w:rPr>
            </w:pPr>
            <w:r>
              <w:rPr>
                <w:sz w:val="21"/>
              </w:rPr>
              <w:t xml:space="preserve">边长 </w:t>
            </w:r>
            <w:r>
              <w:rPr>
                <w:rFonts w:ascii="Times New Roman" w:hAnsi="Times New Roman" w:eastAsia="Times New Roman"/>
                <w:sz w:val="21"/>
              </w:rPr>
              <w:t>5-50km</w:t>
            </w:r>
            <w:r>
              <w:rPr>
                <w:sz w:val="21"/>
              </w:rPr>
              <w:t>□</w:t>
            </w:r>
          </w:p>
        </w:tc>
        <w:tc>
          <w:tcPr>
            <w:tcW w:w="2102" w:type="dxa"/>
            <w:gridSpan w:val="4"/>
          </w:tcPr>
          <w:p w14:paraId="03E78E77">
            <w:pPr>
              <w:pStyle w:val="14"/>
              <w:spacing w:before="2" w:line="251" w:lineRule="exact"/>
              <w:ind w:left="501"/>
              <w:rPr>
                <w:rFonts w:ascii="Wingdings" w:hAnsi="Wingdings"/>
                <w:sz w:val="21"/>
              </w:rPr>
            </w:pPr>
            <w:r>
              <w:rPr>
                <w:sz w:val="21"/>
              </w:rPr>
              <w:t>边长</w:t>
            </w:r>
            <w:r>
              <w:rPr>
                <w:rFonts w:ascii="Times New Roman" w:hAnsi="Times New Roman"/>
                <w:sz w:val="21"/>
              </w:rPr>
              <w:t>=5km</w:t>
            </w:r>
            <w:r>
              <w:rPr>
                <w:rFonts w:ascii="Wingdings" w:hAnsi="Wingdings"/>
                <w:sz w:val="21"/>
              </w:rPr>
              <w:t></w:t>
            </w:r>
          </w:p>
        </w:tc>
      </w:tr>
      <w:tr w14:paraId="7B383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846" w:type="dxa"/>
            <w:vMerge w:val="continue"/>
            <w:tcBorders>
              <w:top w:val="nil"/>
            </w:tcBorders>
          </w:tcPr>
          <w:p w14:paraId="44F135D0">
            <w:pPr>
              <w:rPr>
                <w:sz w:val="2"/>
                <w:szCs w:val="2"/>
              </w:rPr>
            </w:pPr>
          </w:p>
        </w:tc>
        <w:tc>
          <w:tcPr>
            <w:tcW w:w="1814" w:type="dxa"/>
          </w:tcPr>
          <w:p w14:paraId="01C96C95">
            <w:pPr>
              <w:pStyle w:val="14"/>
              <w:spacing w:before="134"/>
              <w:ind w:left="69" w:right="65"/>
              <w:jc w:val="center"/>
              <w:rPr>
                <w:sz w:val="21"/>
              </w:rPr>
            </w:pPr>
            <w:r>
              <w:rPr>
                <w:sz w:val="21"/>
              </w:rPr>
              <w:t>预测因子</w:t>
            </w:r>
          </w:p>
        </w:tc>
        <w:tc>
          <w:tcPr>
            <w:tcW w:w="2917" w:type="dxa"/>
            <w:gridSpan w:val="8"/>
          </w:tcPr>
          <w:p w14:paraId="49D35473">
            <w:pPr>
              <w:pStyle w:val="14"/>
              <w:spacing w:line="270" w:lineRule="exact"/>
              <w:ind w:left="236" w:right="241"/>
              <w:jc w:val="center"/>
              <w:rPr>
                <w:sz w:val="21"/>
              </w:rPr>
            </w:pPr>
            <w:r>
              <w:rPr>
                <w:position w:val="2"/>
                <w:sz w:val="21"/>
              </w:rPr>
              <w:t>预测因子（</w:t>
            </w: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r>
              <w:rPr>
                <w:rFonts w:ascii="Times New Roman" w:eastAsia="Times New Roman"/>
                <w:position w:val="2"/>
                <w:sz w:val="21"/>
                <w:vertAlign w:val="baseline"/>
              </w:rPr>
              <w:t>S</w:t>
            </w:r>
            <w:r>
              <w:rPr>
                <w:rFonts w:ascii="Times New Roman" w:eastAsia="Times New Roman"/>
                <w:position w:val="2"/>
                <w:sz w:val="21"/>
                <w:vertAlign w:val="subscript"/>
              </w:rPr>
              <w:t>2</w:t>
            </w:r>
            <w:r>
              <w:rPr>
                <w:rFonts w:ascii="Times New Roman" w:eastAsia="Times New Roman"/>
                <w:position w:val="2"/>
                <w:sz w:val="21"/>
                <w:vertAlign w:val="baseline"/>
              </w:rPr>
              <w:t>H</w:t>
            </w:r>
            <w:r>
              <w:rPr>
                <w:position w:val="2"/>
                <w:sz w:val="21"/>
                <w:vertAlign w:val="baseline"/>
              </w:rPr>
              <w:t>、</w:t>
            </w:r>
          </w:p>
          <w:p w14:paraId="0A34B434">
            <w:pPr>
              <w:pStyle w:val="14"/>
              <w:spacing w:line="254" w:lineRule="exact"/>
              <w:ind w:left="236" w:right="241"/>
              <w:jc w:val="center"/>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tc>
        <w:tc>
          <w:tcPr>
            <w:tcW w:w="3266" w:type="dxa"/>
            <w:gridSpan w:val="6"/>
          </w:tcPr>
          <w:p w14:paraId="0C779059">
            <w:pPr>
              <w:pStyle w:val="14"/>
              <w:spacing w:before="9" w:line="272" w:lineRule="exact"/>
              <w:ind w:left="744" w:right="683" w:firstLine="93"/>
              <w:rPr>
                <w:rFonts w:ascii="Wingdings" w:hAnsi="Wingdings"/>
                <w:sz w:val="21"/>
              </w:rPr>
            </w:pPr>
            <w:r>
              <w:rPr>
                <w:position w:val="2"/>
                <w:sz w:val="21"/>
              </w:rPr>
              <w:t xml:space="preserve">包括二次 </w:t>
            </w:r>
            <w:r>
              <w:rPr>
                <w:rFonts w:ascii="Times New Roman" w:hAnsi="Times New Roman"/>
                <w:position w:val="2"/>
                <w:sz w:val="21"/>
              </w:rPr>
              <w:t>PM</w:t>
            </w:r>
            <w:r>
              <w:rPr>
                <w:rFonts w:ascii="Times New Roman" w:hAnsi="Times New Roman"/>
                <w:position w:val="2"/>
                <w:sz w:val="21"/>
                <w:vertAlign w:val="subscript"/>
              </w:rPr>
              <w:t>2.5</w:t>
            </w:r>
            <w:r>
              <w:rPr>
                <w:position w:val="2"/>
                <w:sz w:val="21"/>
                <w:vertAlign w:val="baseline"/>
              </w:rPr>
              <w:t xml:space="preserve">□ 不包括二次 </w:t>
            </w:r>
            <w:r>
              <w:rPr>
                <w:rFonts w:ascii="Times New Roman" w:hAnsi="Times New Roman"/>
                <w:position w:val="2"/>
                <w:sz w:val="21"/>
                <w:vertAlign w:val="baseline"/>
              </w:rPr>
              <w:t>PM</w:t>
            </w:r>
            <w:r>
              <w:rPr>
                <w:rFonts w:ascii="Times New Roman" w:hAnsi="Times New Roman"/>
                <w:position w:val="2"/>
                <w:sz w:val="21"/>
                <w:vertAlign w:val="subscript"/>
              </w:rPr>
              <w:t>2.5</w:t>
            </w:r>
            <w:r>
              <w:rPr>
                <w:rFonts w:ascii="Wingdings" w:hAnsi="Wingdings"/>
                <w:position w:val="2"/>
                <w:sz w:val="21"/>
                <w:vertAlign w:val="baseline"/>
              </w:rPr>
              <w:t></w:t>
            </w:r>
          </w:p>
        </w:tc>
      </w:tr>
      <w:tr w14:paraId="465D5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846" w:type="dxa"/>
            <w:vMerge w:val="continue"/>
            <w:tcBorders>
              <w:top w:val="nil"/>
            </w:tcBorders>
          </w:tcPr>
          <w:p w14:paraId="27F5C6D9">
            <w:pPr>
              <w:rPr>
                <w:sz w:val="2"/>
                <w:szCs w:val="2"/>
              </w:rPr>
            </w:pPr>
          </w:p>
        </w:tc>
        <w:tc>
          <w:tcPr>
            <w:tcW w:w="1814" w:type="dxa"/>
          </w:tcPr>
          <w:p w14:paraId="70EBE6B4">
            <w:pPr>
              <w:pStyle w:val="14"/>
              <w:spacing w:line="260" w:lineRule="exact"/>
              <w:ind w:left="70" w:right="63"/>
              <w:jc w:val="center"/>
              <w:rPr>
                <w:sz w:val="21"/>
              </w:rPr>
            </w:pPr>
            <w:r>
              <w:rPr>
                <w:sz w:val="21"/>
              </w:rPr>
              <w:t>正常排放短期浓</w:t>
            </w:r>
          </w:p>
          <w:p w14:paraId="1FF12456">
            <w:pPr>
              <w:pStyle w:val="14"/>
              <w:spacing w:before="4" w:line="251" w:lineRule="exact"/>
              <w:ind w:left="69" w:right="65"/>
              <w:jc w:val="center"/>
              <w:rPr>
                <w:sz w:val="21"/>
              </w:rPr>
            </w:pPr>
            <w:r>
              <w:rPr>
                <w:sz w:val="21"/>
              </w:rPr>
              <w:t>度贡献值</w:t>
            </w:r>
          </w:p>
        </w:tc>
        <w:tc>
          <w:tcPr>
            <w:tcW w:w="2917" w:type="dxa"/>
            <w:gridSpan w:val="8"/>
          </w:tcPr>
          <w:p w14:paraId="3BFE2B63">
            <w:pPr>
              <w:pStyle w:val="14"/>
              <w:spacing w:before="128"/>
              <w:ind w:left="233"/>
              <w:rPr>
                <w:rFonts w:ascii="Wingdings" w:hAnsi="Wingdings"/>
                <w:sz w:val="21"/>
              </w:rPr>
            </w:pPr>
            <w:r>
              <w:rPr>
                <w:rFonts w:ascii="Times New Roman" w:hAnsi="Times New Roman"/>
                <w:sz w:val="21"/>
              </w:rPr>
              <w:t xml:space="preserve">C </w:t>
            </w:r>
            <w:r>
              <w:rPr>
                <w:position w:val="-2"/>
                <w:sz w:val="10"/>
              </w:rPr>
              <w:t>本项目</w:t>
            </w:r>
            <w:r>
              <w:rPr>
                <w:sz w:val="21"/>
              </w:rPr>
              <w:t>最大占标率≤</w:t>
            </w:r>
            <w:r>
              <w:rPr>
                <w:rFonts w:ascii="Times New Roman" w:hAnsi="Times New Roman"/>
                <w:sz w:val="21"/>
              </w:rPr>
              <w:t>100%</w:t>
            </w:r>
            <w:r>
              <w:rPr>
                <w:rFonts w:ascii="Wingdings" w:hAnsi="Wingdings"/>
                <w:sz w:val="21"/>
              </w:rPr>
              <w:t></w:t>
            </w:r>
          </w:p>
        </w:tc>
        <w:tc>
          <w:tcPr>
            <w:tcW w:w="3266" w:type="dxa"/>
            <w:gridSpan w:val="6"/>
          </w:tcPr>
          <w:p w14:paraId="1154BE56">
            <w:pPr>
              <w:pStyle w:val="14"/>
              <w:spacing w:before="128"/>
              <w:ind w:left="396"/>
              <w:rPr>
                <w:sz w:val="21"/>
              </w:rPr>
            </w:pPr>
            <w:r>
              <w:rPr>
                <w:rFonts w:ascii="Times New Roman" w:hAnsi="Times New Roman" w:eastAsia="Times New Roman"/>
                <w:sz w:val="21"/>
              </w:rPr>
              <w:t xml:space="preserve">C </w:t>
            </w:r>
            <w:r>
              <w:rPr>
                <w:position w:val="-2"/>
                <w:sz w:val="10"/>
              </w:rPr>
              <w:t>本项目</w:t>
            </w:r>
            <w:r>
              <w:rPr>
                <w:sz w:val="21"/>
              </w:rPr>
              <w:t>最大占标率＞</w:t>
            </w:r>
            <w:r>
              <w:rPr>
                <w:rFonts w:ascii="Times New Roman" w:hAnsi="Times New Roman" w:eastAsia="Times New Roman"/>
                <w:sz w:val="21"/>
              </w:rPr>
              <w:t>100%</w:t>
            </w:r>
            <w:r>
              <w:rPr>
                <w:sz w:val="21"/>
              </w:rPr>
              <w:t>□</w:t>
            </w:r>
          </w:p>
        </w:tc>
      </w:tr>
      <w:tr w14:paraId="2A31A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46" w:type="dxa"/>
            <w:vMerge w:val="continue"/>
            <w:tcBorders>
              <w:top w:val="nil"/>
            </w:tcBorders>
          </w:tcPr>
          <w:p w14:paraId="3D8F2BE1">
            <w:pPr>
              <w:rPr>
                <w:sz w:val="2"/>
                <w:szCs w:val="2"/>
              </w:rPr>
            </w:pPr>
          </w:p>
        </w:tc>
        <w:tc>
          <w:tcPr>
            <w:tcW w:w="1814" w:type="dxa"/>
            <w:vMerge w:val="restart"/>
          </w:tcPr>
          <w:p w14:paraId="29BBFB4A">
            <w:pPr>
              <w:pStyle w:val="14"/>
              <w:spacing w:before="3" w:line="270" w:lineRule="atLeast"/>
              <w:ind w:left="485" w:right="161" w:hanging="315"/>
              <w:rPr>
                <w:sz w:val="21"/>
              </w:rPr>
            </w:pPr>
            <w:r>
              <w:rPr>
                <w:sz w:val="21"/>
              </w:rPr>
              <w:t>正常排放年均浓度贡献值</w:t>
            </w:r>
          </w:p>
        </w:tc>
        <w:tc>
          <w:tcPr>
            <w:tcW w:w="850" w:type="dxa"/>
            <w:gridSpan w:val="2"/>
          </w:tcPr>
          <w:p w14:paraId="19A1752E">
            <w:pPr>
              <w:pStyle w:val="14"/>
              <w:spacing w:line="252" w:lineRule="exact"/>
              <w:ind w:left="109"/>
              <w:rPr>
                <w:sz w:val="21"/>
              </w:rPr>
            </w:pPr>
            <w:r>
              <w:rPr>
                <w:sz w:val="21"/>
              </w:rPr>
              <w:t>一类区</w:t>
            </w:r>
          </w:p>
        </w:tc>
        <w:tc>
          <w:tcPr>
            <w:tcW w:w="2642" w:type="dxa"/>
            <w:gridSpan w:val="7"/>
          </w:tcPr>
          <w:p w14:paraId="10D16BA7">
            <w:pPr>
              <w:pStyle w:val="14"/>
              <w:spacing w:line="252" w:lineRule="exact"/>
              <w:ind w:left="144"/>
              <w:rPr>
                <w:sz w:val="21"/>
              </w:rPr>
            </w:pPr>
            <w:r>
              <w:rPr>
                <w:rFonts w:ascii="Times New Roman" w:hAnsi="Times New Roman" w:eastAsia="Times New Roman"/>
                <w:sz w:val="21"/>
              </w:rPr>
              <w:t xml:space="preserve">C </w:t>
            </w:r>
            <w:r>
              <w:rPr>
                <w:position w:val="-2"/>
                <w:sz w:val="10"/>
              </w:rPr>
              <w:t>本项目</w:t>
            </w:r>
            <w:r>
              <w:rPr>
                <w:sz w:val="21"/>
              </w:rPr>
              <w:t>最大占标率≤</w:t>
            </w:r>
            <w:r>
              <w:rPr>
                <w:rFonts w:ascii="Times New Roman" w:hAnsi="Times New Roman" w:eastAsia="Times New Roman"/>
                <w:sz w:val="21"/>
              </w:rPr>
              <w:t>10%</w:t>
            </w:r>
            <w:r>
              <w:rPr>
                <w:sz w:val="21"/>
              </w:rPr>
              <w:t>□</w:t>
            </w:r>
          </w:p>
        </w:tc>
        <w:tc>
          <w:tcPr>
            <w:tcW w:w="2691" w:type="dxa"/>
            <w:gridSpan w:val="5"/>
          </w:tcPr>
          <w:p w14:paraId="0EDEDB85">
            <w:pPr>
              <w:pStyle w:val="14"/>
              <w:spacing w:line="252" w:lineRule="exact"/>
              <w:ind w:left="169"/>
              <w:rPr>
                <w:sz w:val="21"/>
              </w:rPr>
            </w:pPr>
            <w:r>
              <w:rPr>
                <w:rFonts w:ascii="Times New Roman" w:hAnsi="Times New Roman" w:eastAsia="Times New Roman"/>
                <w:sz w:val="21"/>
              </w:rPr>
              <w:t xml:space="preserve">C </w:t>
            </w:r>
            <w:r>
              <w:rPr>
                <w:position w:val="-2"/>
                <w:sz w:val="10"/>
              </w:rPr>
              <w:t>本项目</w:t>
            </w:r>
            <w:r>
              <w:rPr>
                <w:sz w:val="21"/>
              </w:rPr>
              <w:t>最大占标率＞</w:t>
            </w:r>
            <w:r>
              <w:rPr>
                <w:rFonts w:ascii="Times New Roman" w:hAnsi="Times New Roman" w:eastAsia="Times New Roman"/>
                <w:sz w:val="21"/>
              </w:rPr>
              <w:t>10%</w:t>
            </w:r>
            <w:r>
              <w:rPr>
                <w:sz w:val="21"/>
              </w:rPr>
              <w:t>□</w:t>
            </w:r>
          </w:p>
        </w:tc>
      </w:tr>
      <w:tr w14:paraId="3AE8E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46" w:type="dxa"/>
            <w:vMerge w:val="continue"/>
            <w:tcBorders>
              <w:top w:val="nil"/>
            </w:tcBorders>
          </w:tcPr>
          <w:p w14:paraId="7CDFBCEA">
            <w:pPr>
              <w:rPr>
                <w:sz w:val="2"/>
                <w:szCs w:val="2"/>
              </w:rPr>
            </w:pPr>
          </w:p>
        </w:tc>
        <w:tc>
          <w:tcPr>
            <w:tcW w:w="1814" w:type="dxa"/>
            <w:vMerge w:val="continue"/>
            <w:tcBorders>
              <w:top w:val="nil"/>
            </w:tcBorders>
          </w:tcPr>
          <w:p w14:paraId="33E1E680">
            <w:pPr>
              <w:rPr>
                <w:sz w:val="2"/>
                <w:szCs w:val="2"/>
              </w:rPr>
            </w:pPr>
          </w:p>
        </w:tc>
        <w:tc>
          <w:tcPr>
            <w:tcW w:w="850" w:type="dxa"/>
            <w:gridSpan w:val="2"/>
          </w:tcPr>
          <w:p w14:paraId="15C00FBB">
            <w:pPr>
              <w:pStyle w:val="14"/>
              <w:spacing w:before="1" w:line="252" w:lineRule="exact"/>
              <w:ind w:left="109"/>
              <w:rPr>
                <w:sz w:val="21"/>
              </w:rPr>
            </w:pPr>
            <w:r>
              <w:rPr>
                <w:sz w:val="21"/>
              </w:rPr>
              <w:t>二类区</w:t>
            </w:r>
          </w:p>
        </w:tc>
        <w:tc>
          <w:tcPr>
            <w:tcW w:w="2642" w:type="dxa"/>
            <w:gridSpan w:val="7"/>
          </w:tcPr>
          <w:p w14:paraId="55D394BC">
            <w:pPr>
              <w:pStyle w:val="14"/>
              <w:spacing w:before="1" w:line="252" w:lineRule="exact"/>
              <w:ind w:left="156"/>
              <w:rPr>
                <w:rFonts w:ascii="Wingdings" w:hAnsi="Wingdings"/>
                <w:sz w:val="21"/>
              </w:rPr>
            </w:pPr>
            <w:r>
              <w:rPr>
                <w:rFonts w:ascii="Times New Roman" w:hAnsi="Times New Roman"/>
                <w:sz w:val="21"/>
              </w:rPr>
              <w:t xml:space="preserve">C </w:t>
            </w:r>
            <w:r>
              <w:rPr>
                <w:position w:val="-2"/>
                <w:sz w:val="10"/>
              </w:rPr>
              <w:t>本项目</w:t>
            </w:r>
            <w:r>
              <w:rPr>
                <w:sz w:val="21"/>
              </w:rPr>
              <w:t>最大占标率≤</w:t>
            </w:r>
            <w:r>
              <w:rPr>
                <w:rFonts w:ascii="Times New Roman" w:hAnsi="Times New Roman"/>
                <w:sz w:val="21"/>
              </w:rPr>
              <w:t>30%</w:t>
            </w:r>
            <w:r>
              <w:rPr>
                <w:rFonts w:ascii="Wingdings" w:hAnsi="Wingdings"/>
                <w:sz w:val="21"/>
              </w:rPr>
              <w:t></w:t>
            </w:r>
          </w:p>
        </w:tc>
        <w:tc>
          <w:tcPr>
            <w:tcW w:w="2691" w:type="dxa"/>
            <w:gridSpan w:val="5"/>
          </w:tcPr>
          <w:p w14:paraId="04B8EC77">
            <w:pPr>
              <w:pStyle w:val="14"/>
              <w:spacing w:before="1" w:line="252" w:lineRule="exact"/>
              <w:ind w:left="169"/>
              <w:rPr>
                <w:sz w:val="21"/>
              </w:rPr>
            </w:pPr>
            <w:r>
              <w:rPr>
                <w:rFonts w:ascii="Times New Roman" w:hAnsi="Times New Roman" w:eastAsia="Times New Roman"/>
                <w:sz w:val="21"/>
              </w:rPr>
              <w:t xml:space="preserve">C </w:t>
            </w:r>
            <w:r>
              <w:rPr>
                <w:position w:val="-2"/>
                <w:sz w:val="10"/>
              </w:rPr>
              <w:t>本项目</w:t>
            </w:r>
            <w:r>
              <w:rPr>
                <w:sz w:val="21"/>
              </w:rPr>
              <w:t>最大占标率＞</w:t>
            </w:r>
            <w:r>
              <w:rPr>
                <w:rFonts w:ascii="Times New Roman" w:hAnsi="Times New Roman" w:eastAsia="Times New Roman"/>
                <w:sz w:val="21"/>
              </w:rPr>
              <w:t>30%</w:t>
            </w:r>
            <w:r>
              <w:rPr>
                <w:sz w:val="21"/>
              </w:rPr>
              <w:t>□</w:t>
            </w:r>
          </w:p>
        </w:tc>
      </w:tr>
      <w:tr w14:paraId="525B0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46" w:type="dxa"/>
            <w:vMerge w:val="continue"/>
            <w:tcBorders>
              <w:top w:val="nil"/>
            </w:tcBorders>
          </w:tcPr>
          <w:p w14:paraId="79FADE41">
            <w:pPr>
              <w:rPr>
                <w:sz w:val="2"/>
                <w:szCs w:val="2"/>
              </w:rPr>
            </w:pPr>
          </w:p>
        </w:tc>
        <w:tc>
          <w:tcPr>
            <w:tcW w:w="1814" w:type="dxa"/>
          </w:tcPr>
          <w:p w14:paraId="2B82D6D2">
            <w:pPr>
              <w:pStyle w:val="14"/>
              <w:spacing w:before="1"/>
              <w:ind w:left="70" w:right="65"/>
              <w:jc w:val="center"/>
              <w:rPr>
                <w:sz w:val="21"/>
              </w:rPr>
            </w:pPr>
            <w:r>
              <w:rPr>
                <w:sz w:val="21"/>
              </w:rPr>
              <w:t xml:space="preserve">非正常排放 </w:t>
            </w:r>
            <w:r>
              <w:rPr>
                <w:rFonts w:ascii="Times New Roman" w:eastAsia="Times New Roman"/>
                <w:sz w:val="21"/>
              </w:rPr>
              <w:t xml:space="preserve">1h </w:t>
            </w:r>
            <w:r>
              <w:rPr>
                <w:sz w:val="21"/>
              </w:rPr>
              <w:t>浓</w:t>
            </w:r>
          </w:p>
          <w:p w14:paraId="58D6C80F">
            <w:pPr>
              <w:pStyle w:val="14"/>
              <w:spacing w:before="2" w:line="252" w:lineRule="exact"/>
              <w:ind w:left="69" w:right="65"/>
              <w:jc w:val="center"/>
              <w:rPr>
                <w:sz w:val="21"/>
              </w:rPr>
            </w:pPr>
            <w:r>
              <w:rPr>
                <w:sz w:val="21"/>
              </w:rPr>
              <w:t>度贡献值</w:t>
            </w:r>
          </w:p>
        </w:tc>
        <w:tc>
          <w:tcPr>
            <w:tcW w:w="1870" w:type="dxa"/>
            <w:gridSpan w:val="5"/>
          </w:tcPr>
          <w:p w14:paraId="7B0FDB2D">
            <w:pPr>
              <w:pStyle w:val="14"/>
              <w:spacing w:before="1"/>
              <w:ind w:left="179" w:right="170"/>
              <w:jc w:val="center"/>
              <w:rPr>
                <w:sz w:val="21"/>
              </w:rPr>
            </w:pPr>
            <w:r>
              <w:rPr>
                <w:sz w:val="21"/>
              </w:rPr>
              <w:t>非正常持续时长</w:t>
            </w:r>
          </w:p>
          <w:p w14:paraId="1CDC3705">
            <w:pPr>
              <w:pStyle w:val="14"/>
              <w:spacing w:before="2" w:line="252" w:lineRule="exact"/>
              <w:ind w:left="178" w:right="170"/>
              <w:jc w:val="center"/>
              <w:rPr>
                <w:rFonts w:ascii="Times New Roman" w:eastAsia="Times New Roman"/>
                <w:sz w:val="21"/>
              </w:rPr>
            </w:pPr>
            <w:r>
              <w:rPr>
                <w:sz w:val="21"/>
              </w:rPr>
              <w:t>（</w:t>
            </w:r>
            <w:r>
              <w:rPr>
                <w:rFonts w:ascii="Times New Roman" w:eastAsia="Times New Roman"/>
                <w:sz w:val="21"/>
              </w:rPr>
              <w:t>1</w:t>
            </w:r>
            <w:r>
              <w:rPr>
                <w:sz w:val="21"/>
              </w:rPr>
              <w:t>）</w:t>
            </w:r>
            <w:r>
              <w:rPr>
                <w:rFonts w:ascii="Times New Roman" w:eastAsia="Times New Roman"/>
                <w:sz w:val="21"/>
              </w:rPr>
              <w:t>h</w:t>
            </w:r>
          </w:p>
        </w:tc>
        <w:tc>
          <w:tcPr>
            <w:tcW w:w="2211" w:type="dxa"/>
            <w:gridSpan w:val="5"/>
          </w:tcPr>
          <w:p w14:paraId="1F2B018F">
            <w:pPr>
              <w:pStyle w:val="14"/>
              <w:spacing w:before="15"/>
              <w:ind w:left="138" w:right="130"/>
              <w:jc w:val="center"/>
              <w:rPr>
                <w:sz w:val="21"/>
              </w:rPr>
            </w:pPr>
            <w:r>
              <w:rPr>
                <w:rFonts w:ascii="Times New Roman" w:hAnsi="Times New Roman" w:eastAsia="Times New Roman"/>
                <w:sz w:val="21"/>
              </w:rPr>
              <w:t xml:space="preserve">C </w:t>
            </w:r>
            <w:r>
              <w:rPr>
                <w:position w:val="-2"/>
                <w:sz w:val="10"/>
              </w:rPr>
              <w:t>本项目</w:t>
            </w:r>
            <w:r>
              <w:rPr>
                <w:sz w:val="21"/>
              </w:rPr>
              <w:t>最大占标率≤</w:t>
            </w:r>
          </w:p>
          <w:p w14:paraId="597050D2">
            <w:pPr>
              <w:pStyle w:val="14"/>
              <w:spacing w:before="2" w:line="238" w:lineRule="exact"/>
              <w:ind w:left="138" w:right="131"/>
              <w:jc w:val="center"/>
              <w:rPr>
                <w:rFonts w:ascii="Wingdings" w:hAnsi="Wingdings"/>
                <w:sz w:val="21"/>
              </w:rPr>
            </w:pPr>
            <w:r>
              <w:rPr>
                <w:rFonts w:ascii="Times New Roman" w:hAnsi="Times New Roman"/>
                <w:sz w:val="21"/>
              </w:rPr>
              <w:t>100%</w:t>
            </w:r>
            <w:r>
              <w:rPr>
                <w:rFonts w:ascii="Wingdings" w:hAnsi="Wingdings"/>
                <w:sz w:val="21"/>
              </w:rPr>
              <w:t></w:t>
            </w:r>
          </w:p>
        </w:tc>
        <w:tc>
          <w:tcPr>
            <w:tcW w:w="2102" w:type="dxa"/>
            <w:gridSpan w:val="4"/>
          </w:tcPr>
          <w:p w14:paraId="2A585CCB">
            <w:pPr>
              <w:pStyle w:val="14"/>
              <w:spacing w:before="1"/>
              <w:ind w:left="152" w:right="146"/>
              <w:jc w:val="center"/>
              <w:rPr>
                <w:sz w:val="21"/>
              </w:rPr>
            </w:pPr>
            <w:r>
              <w:rPr>
                <w:rFonts w:ascii="Times New Roman" w:eastAsia="Times New Roman"/>
                <w:sz w:val="21"/>
              </w:rPr>
              <w:t xml:space="preserve">C </w:t>
            </w:r>
            <w:r>
              <w:rPr>
                <w:position w:val="-2"/>
                <w:sz w:val="10"/>
              </w:rPr>
              <w:t>本项目</w:t>
            </w:r>
            <w:r>
              <w:rPr>
                <w:sz w:val="21"/>
              </w:rPr>
              <w:t>最大占标率＞</w:t>
            </w:r>
          </w:p>
          <w:p w14:paraId="0BBD6088">
            <w:pPr>
              <w:pStyle w:val="14"/>
              <w:spacing w:before="2" w:line="252" w:lineRule="exact"/>
              <w:ind w:left="152" w:right="144"/>
              <w:jc w:val="center"/>
              <w:rPr>
                <w:sz w:val="21"/>
              </w:rPr>
            </w:pPr>
            <w:r>
              <w:rPr>
                <w:rFonts w:ascii="Times New Roman" w:hAnsi="Times New Roman"/>
                <w:sz w:val="21"/>
              </w:rPr>
              <w:t>100%</w:t>
            </w:r>
            <w:r>
              <w:rPr>
                <w:sz w:val="21"/>
              </w:rPr>
              <w:t>□</w:t>
            </w:r>
          </w:p>
        </w:tc>
      </w:tr>
      <w:tr w14:paraId="2D7FE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846" w:type="dxa"/>
            <w:vMerge w:val="continue"/>
            <w:tcBorders>
              <w:top w:val="nil"/>
            </w:tcBorders>
          </w:tcPr>
          <w:p w14:paraId="3C1E9935">
            <w:pPr>
              <w:rPr>
                <w:sz w:val="2"/>
                <w:szCs w:val="2"/>
              </w:rPr>
            </w:pPr>
          </w:p>
        </w:tc>
        <w:tc>
          <w:tcPr>
            <w:tcW w:w="1814" w:type="dxa"/>
          </w:tcPr>
          <w:p w14:paraId="1BC9B371">
            <w:pPr>
              <w:pStyle w:val="14"/>
              <w:spacing w:before="1"/>
              <w:ind w:left="171"/>
              <w:rPr>
                <w:sz w:val="21"/>
              </w:rPr>
            </w:pPr>
            <w:r>
              <w:rPr>
                <w:sz w:val="21"/>
              </w:rPr>
              <w:t>保证率日均浓度</w:t>
            </w:r>
          </w:p>
          <w:p w14:paraId="3E781EE8">
            <w:pPr>
              <w:pStyle w:val="14"/>
              <w:spacing w:before="1" w:line="270" w:lineRule="atLeast"/>
              <w:ind w:left="802" w:right="161" w:hanging="632"/>
              <w:rPr>
                <w:sz w:val="21"/>
              </w:rPr>
            </w:pPr>
            <w:r>
              <w:rPr>
                <w:sz w:val="21"/>
              </w:rPr>
              <w:t>和年均浓度叠加值</w:t>
            </w:r>
          </w:p>
        </w:tc>
        <w:tc>
          <w:tcPr>
            <w:tcW w:w="2917" w:type="dxa"/>
            <w:gridSpan w:val="8"/>
          </w:tcPr>
          <w:p w14:paraId="230F4DD9">
            <w:pPr>
              <w:pStyle w:val="14"/>
              <w:spacing w:before="3"/>
              <w:rPr>
                <w:b/>
                <w:sz w:val="21"/>
              </w:rPr>
            </w:pPr>
          </w:p>
          <w:p w14:paraId="502C4E3E">
            <w:pPr>
              <w:pStyle w:val="14"/>
              <w:ind w:left="939"/>
              <w:rPr>
                <w:sz w:val="21"/>
              </w:rPr>
            </w:pPr>
            <w:r>
              <w:rPr>
                <w:rFonts w:ascii="Times New Roman" w:hAnsi="Times New Roman" w:eastAsia="Times New Roman"/>
                <w:sz w:val="21"/>
              </w:rPr>
              <w:t xml:space="preserve">C </w:t>
            </w:r>
            <w:r>
              <w:rPr>
                <w:position w:val="-2"/>
                <w:sz w:val="10"/>
              </w:rPr>
              <w:t>叠加</w:t>
            </w:r>
            <w:r>
              <w:rPr>
                <w:sz w:val="21"/>
              </w:rPr>
              <w:t>达标□</w:t>
            </w:r>
          </w:p>
        </w:tc>
        <w:tc>
          <w:tcPr>
            <w:tcW w:w="3266" w:type="dxa"/>
            <w:gridSpan w:val="6"/>
          </w:tcPr>
          <w:p w14:paraId="371C4C45">
            <w:pPr>
              <w:pStyle w:val="14"/>
              <w:spacing w:before="3"/>
              <w:rPr>
                <w:b/>
                <w:sz w:val="21"/>
              </w:rPr>
            </w:pPr>
          </w:p>
          <w:p w14:paraId="69B73689">
            <w:pPr>
              <w:pStyle w:val="14"/>
              <w:ind w:left="1008"/>
              <w:rPr>
                <w:sz w:val="21"/>
              </w:rPr>
            </w:pPr>
            <w:r>
              <w:rPr>
                <w:rFonts w:ascii="Times New Roman" w:hAnsi="Times New Roman" w:eastAsia="Times New Roman"/>
                <w:sz w:val="21"/>
              </w:rPr>
              <w:t xml:space="preserve">C </w:t>
            </w:r>
            <w:r>
              <w:rPr>
                <w:position w:val="-2"/>
                <w:sz w:val="10"/>
              </w:rPr>
              <w:t>叠加</w:t>
            </w:r>
            <w:r>
              <w:rPr>
                <w:sz w:val="21"/>
              </w:rPr>
              <w:t>不达标□</w:t>
            </w:r>
          </w:p>
        </w:tc>
      </w:tr>
      <w:tr w14:paraId="680C2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46" w:type="dxa"/>
            <w:vMerge w:val="continue"/>
            <w:tcBorders>
              <w:top w:val="nil"/>
            </w:tcBorders>
          </w:tcPr>
          <w:p w14:paraId="581B2881">
            <w:pPr>
              <w:rPr>
                <w:sz w:val="2"/>
                <w:szCs w:val="2"/>
              </w:rPr>
            </w:pPr>
          </w:p>
        </w:tc>
        <w:tc>
          <w:tcPr>
            <w:tcW w:w="1814" w:type="dxa"/>
          </w:tcPr>
          <w:p w14:paraId="34733112">
            <w:pPr>
              <w:pStyle w:val="14"/>
              <w:ind w:left="70" w:right="63"/>
              <w:jc w:val="center"/>
              <w:rPr>
                <w:sz w:val="21"/>
              </w:rPr>
            </w:pPr>
            <w:r>
              <w:rPr>
                <w:sz w:val="21"/>
              </w:rPr>
              <w:t>区域环境质量的</w:t>
            </w:r>
          </w:p>
          <w:p w14:paraId="6F0A3257">
            <w:pPr>
              <w:pStyle w:val="14"/>
              <w:spacing w:before="4" w:line="251" w:lineRule="exact"/>
              <w:ind w:left="70" w:right="63"/>
              <w:jc w:val="center"/>
              <w:rPr>
                <w:sz w:val="21"/>
              </w:rPr>
            </w:pPr>
            <w:r>
              <w:rPr>
                <w:sz w:val="21"/>
              </w:rPr>
              <w:t>整体变化情况</w:t>
            </w:r>
          </w:p>
        </w:tc>
        <w:tc>
          <w:tcPr>
            <w:tcW w:w="2917" w:type="dxa"/>
            <w:gridSpan w:val="8"/>
          </w:tcPr>
          <w:p w14:paraId="5CCA8E0E">
            <w:pPr>
              <w:pStyle w:val="14"/>
              <w:spacing w:before="137"/>
              <w:ind w:left="937"/>
              <w:rPr>
                <w:sz w:val="21"/>
              </w:rPr>
            </w:pPr>
            <w:r>
              <w:rPr>
                <w:rFonts w:ascii="Times New Roman" w:hAnsi="Times New Roman"/>
                <w:sz w:val="21"/>
              </w:rPr>
              <w:t>K</w:t>
            </w:r>
            <w:r>
              <w:rPr>
                <w:sz w:val="21"/>
              </w:rPr>
              <w:t>≤</w:t>
            </w:r>
            <w:r>
              <w:rPr>
                <w:rFonts w:ascii="Times New Roman" w:hAnsi="Times New Roman"/>
                <w:sz w:val="21"/>
              </w:rPr>
              <w:t>-20%</w:t>
            </w:r>
            <w:r>
              <w:rPr>
                <w:sz w:val="21"/>
              </w:rPr>
              <w:t>□</w:t>
            </w:r>
          </w:p>
        </w:tc>
        <w:tc>
          <w:tcPr>
            <w:tcW w:w="3266" w:type="dxa"/>
            <w:gridSpan w:val="6"/>
          </w:tcPr>
          <w:p w14:paraId="6FE4BDCD">
            <w:pPr>
              <w:pStyle w:val="14"/>
              <w:spacing w:before="137"/>
              <w:ind w:left="1080" w:right="1086"/>
              <w:jc w:val="center"/>
              <w:rPr>
                <w:sz w:val="21"/>
              </w:rPr>
            </w:pPr>
            <w:r>
              <w:rPr>
                <w:rFonts w:ascii="Times New Roman" w:hAnsi="Times New Roman" w:eastAsia="Times New Roman"/>
                <w:sz w:val="21"/>
              </w:rPr>
              <w:t>K</w:t>
            </w:r>
            <w:r>
              <w:rPr>
                <w:sz w:val="21"/>
              </w:rPr>
              <w:t>＞</w:t>
            </w:r>
            <w:r>
              <w:rPr>
                <w:rFonts w:ascii="Times New Roman" w:hAnsi="Times New Roman" w:eastAsia="Times New Roman"/>
                <w:sz w:val="21"/>
              </w:rPr>
              <w:t>-20%</w:t>
            </w:r>
            <w:r>
              <w:rPr>
                <w:sz w:val="21"/>
              </w:rPr>
              <w:t>□</w:t>
            </w:r>
          </w:p>
        </w:tc>
      </w:tr>
      <w:tr w14:paraId="28769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46" w:type="dxa"/>
            <w:vMerge w:val="restart"/>
          </w:tcPr>
          <w:p w14:paraId="71F0A3C3">
            <w:pPr>
              <w:pStyle w:val="14"/>
              <w:spacing w:before="141" w:line="242" w:lineRule="auto"/>
              <w:ind w:left="107" w:right="97"/>
              <w:rPr>
                <w:sz w:val="21"/>
              </w:rPr>
            </w:pPr>
            <w:r>
              <w:rPr>
                <w:sz w:val="21"/>
              </w:rPr>
              <w:t>环境监测计划</w:t>
            </w:r>
          </w:p>
        </w:tc>
        <w:tc>
          <w:tcPr>
            <w:tcW w:w="1814" w:type="dxa"/>
          </w:tcPr>
          <w:p w14:paraId="050F10A5">
            <w:pPr>
              <w:pStyle w:val="14"/>
              <w:spacing w:before="134"/>
              <w:ind w:left="70" w:right="61"/>
              <w:jc w:val="center"/>
              <w:rPr>
                <w:sz w:val="21"/>
              </w:rPr>
            </w:pPr>
            <w:r>
              <w:rPr>
                <w:sz w:val="21"/>
              </w:rPr>
              <w:t>污染源监测</w:t>
            </w:r>
          </w:p>
        </w:tc>
        <w:tc>
          <w:tcPr>
            <w:tcW w:w="2312" w:type="dxa"/>
            <w:gridSpan w:val="6"/>
          </w:tcPr>
          <w:p w14:paraId="4B0C9389">
            <w:pPr>
              <w:pStyle w:val="14"/>
              <w:spacing w:line="271" w:lineRule="exact"/>
              <w:ind w:left="288" w:right="281"/>
              <w:jc w:val="center"/>
              <w:rPr>
                <w:sz w:val="21"/>
              </w:rPr>
            </w:pPr>
            <w:r>
              <w:rPr>
                <w:spacing w:val="-22"/>
                <w:w w:val="99"/>
                <w:position w:val="2"/>
                <w:sz w:val="21"/>
              </w:rPr>
              <w:t>监测因子：</w:t>
            </w:r>
            <w:r>
              <w:rPr>
                <w:spacing w:val="1"/>
                <w:w w:val="99"/>
                <w:position w:val="2"/>
                <w:sz w:val="21"/>
              </w:rPr>
              <w:t>（</w:t>
            </w:r>
            <w:r>
              <w:rPr>
                <w:rFonts w:ascii="Times New Roman" w:eastAsia="Times New Roman"/>
                <w:w w:val="99"/>
                <w:position w:val="2"/>
                <w:sz w:val="21"/>
              </w:rPr>
              <w:t>H</w:t>
            </w:r>
            <w:r>
              <w:rPr>
                <w:rFonts w:ascii="Times New Roman" w:eastAsia="Times New Roman"/>
                <w:spacing w:val="-2"/>
                <w:w w:val="104"/>
                <w:position w:val="2"/>
                <w:sz w:val="21"/>
                <w:vertAlign w:val="subscript"/>
              </w:rPr>
              <w:t>2</w:t>
            </w:r>
            <w:r>
              <w:rPr>
                <w:rFonts w:ascii="Times New Roman" w:eastAsia="Times New Roman"/>
                <w:spacing w:val="0"/>
                <w:w w:val="99"/>
                <w:position w:val="2"/>
                <w:sz w:val="21"/>
                <w:vertAlign w:val="baseline"/>
              </w:rPr>
              <w:t>S</w:t>
            </w:r>
            <w:r>
              <w:rPr>
                <w:w w:val="99"/>
                <w:position w:val="2"/>
                <w:sz w:val="21"/>
                <w:vertAlign w:val="baseline"/>
              </w:rPr>
              <w:t>、</w:t>
            </w:r>
          </w:p>
          <w:p w14:paraId="591C9656">
            <w:pPr>
              <w:pStyle w:val="14"/>
              <w:spacing w:line="254" w:lineRule="exact"/>
              <w:ind w:left="288" w:right="281"/>
              <w:jc w:val="center"/>
              <w:rPr>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vertAlign w:val="baseline"/>
              </w:rPr>
              <w:t>）</w:t>
            </w:r>
          </w:p>
        </w:tc>
        <w:tc>
          <w:tcPr>
            <w:tcW w:w="2212" w:type="dxa"/>
            <w:gridSpan w:val="5"/>
          </w:tcPr>
          <w:p w14:paraId="44D09E5F">
            <w:pPr>
              <w:pStyle w:val="14"/>
              <w:spacing w:line="269" w:lineRule="exact"/>
              <w:ind w:left="276"/>
              <w:rPr>
                <w:rFonts w:ascii="Wingdings" w:hAnsi="Wingdings"/>
                <w:sz w:val="21"/>
              </w:rPr>
            </w:pPr>
            <w:r>
              <w:rPr>
                <w:w w:val="95"/>
                <w:sz w:val="21"/>
              </w:rPr>
              <w:t>有组织废气监测</w:t>
            </w:r>
            <w:r>
              <w:rPr>
                <w:rFonts w:ascii="Wingdings" w:hAnsi="Wingdings"/>
                <w:w w:val="95"/>
                <w:sz w:val="21"/>
              </w:rPr>
              <w:t></w:t>
            </w:r>
          </w:p>
          <w:p w14:paraId="6CE65587">
            <w:pPr>
              <w:pStyle w:val="14"/>
              <w:spacing w:before="4" w:line="252" w:lineRule="exact"/>
              <w:ind w:left="276"/>
              <w:rPr>
                <w:rFonts w:ascii="Wingdings" w:hAnsi="Wingdings"/>
                <w:sz w:val="21"/>
              </w:rPr>
            </w:pPr>
            <w:r>
              <w:rPr>
                <w:w w:val="95"/>
                <w:sz w:val="21"/>
              </w:rPr>
              <w:t>无组织废气监测</w:t>
            </w:r>
            <w:r>
              <w:rPr>
                <w:rFonts w:ascii="Wingdings" w:hAnsi="Wingdings"/>
                <w:w w:val="95"/>
                <w:sz w:val="21"/>
              </w:rPr>
              <w:t></w:t>
            </w:r>
          </w:p>
        </w:tc>
        <w:tc>
          <w:tcPr>
            <w:tcW w:w="1659" w:type="dxa"/>
            <w:gridSpan w:val="3"/>
          </w:tcPr>
          <w:p w14:paraId="32EDD401">
            <w:pPr>
              <w:pStyle w:val="14"/>
              <w:spacing w:before="134"/>
              <w:ind w:left="409"/>
              <w:rPr>
                <w:sz w:val="21"/>
              </w:rPr>
            </w:pPr>
            <w:r>
              <w:rPr>
                <w:sz w:val="21"/>
              </w:rPr>
              <w:t>无监测□</w:t>
            </w:r>
          </w:p>
        </w:tc>
      </w:tr>
      <w:tr w14:paraId="2983D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46" w:type="dxa"/>
            <w:vMerge w:val="continue"/>
            <w:tcBorders>
              <w:top w:val="nil"/>
            </w:tcBorders>
          </w:tcPr>
          <w:p w14:paraId="55B7A2F9">
            <w:pPr>
              <w:rPr>
                <w:sz w:val="2"/>
                <w:szCs w:val="2"/>
              </w:rPr>
            </w:pPr>
          </w:p>
        </w:tc>
        <w:tc>
          <w:tcPr>
            <w:tcW w:w="1814" w:type="dxa"/>
          </w:tcPr>
          <w:p w14:paraId="21178C91">
            <w:pPr>
              <w:pStyle w:val="14"/>
              <w:spacing w:line="252" w:lineRule="exact"/>
              <w:ind w:left="70" w:right="63"/>
              <w:jc w:val="center"/>
              <w:rPr>
                <w:sz w:val="21"/>
              </w:rPr>
            </w:pPr>
            <w:r>
              <w:rPr>
                <w:sz w:val="21"/>
              </w:rPr>
              <w:t>环境质量监测</w:t>
            </w:r>
          </w:p>
        </w:tc>
        <w:tc>
          <w:tcPr>
            <w:tcW w:w="2312" w:type="dxa"/>
            <w:gridSpan w:val="6"/>
          </w:tcPr>
          <w:p w14:paraId="644C708F">
            <w:pPr>
              <w:pStyle w:val="14"/>
              <w:spacing w:line="252" w:lineRule="exact"/>
              <w:ind w:left="437"/>
              <w:rPr>
                <w:sz w:val="21"/>
              </w:rPr>
            </w:pPr>
            <w:r>
              <w:rPr>
                <w:spacing w:val="-22"/>
                <w:w w:val="99"/>
                <w:sz w:val="21"/>
              </w:rPr>
              <w:t>监测因子：</w:t>
            </w:r>
            <w:r>
              <w:rPr>
                <w:spacing w:val="-1"/>
                <w:w w:val="99"/>
                <w:sz w:val="21"/>
              </w:rPr>
              <w:t>（</w:t>
            </w:r>
            <w:r>
              <w:rPr>
                <w:rFonts w:ascii="Times New Roman" w:eastAsia="Times New Roman"/>
                <w:spacing w:val="-1"/>
                <w:w w:val="99"/>
                <w:sz w:val="21"/>
              </w:rPr>
              <w:t>-</w:t>
            </w:r>
            <w:r>
              <w:rPr>
                <w:w w:val="99"/>
                <w:sz w:val="21"/>
              </w:rPr>
              <w:t>）</w:t>
            </w:r>
          </w:p>
        </w:tc>
        <w:tc>
          <w:tcPr>
            <w:tcW w:w="2212" w:type="dxa"/>
            <w:gridSpan w:val="5"/>
          </w:tcPr>
          <w:p w14:paraId="7FD97652">
            <w:pPr>
              <w:pStyle w:val="14"/>
              <w:spacing w:line="252" w:lineRule="exact"/>
              <w:ind w:left="336"/>
              <w:rPr>
                <w:sz w:val="21"/>
              </w:rPr>
            </w:pPr>
            <w:r>
              <w:rPr>
                <w:sz w:val="21"/>
              </w:rPr>
              <w:t>监测点位数（</w:t>
            </w:r>
            <w:r>
              <w:rPr>
                <w:rFonts w:ascii="Times New Roman" w:eastAsia="Times New Roman"/>
                <w:sz w:val="21"/>
              </w:rPr>
              <w:t>-</w:t>
            </w:r>
            <w:r>
              <w:rPr>
                <w:sz w:val="21"/>
              </w:rPr>
              <w:t>）</w:t>
            </w:r>
          </w:p>
        </w:tc>
        <w:tc>
          <w:tcPr>
            <w:tcW w:w="1659" w:type="dxa"/>
            <w:gridSpan w:val="3"/>
          </w:tcPr>
          <w:p w14:paraId="11D4C319">
            <w:pPr>
              <w:pStyle w:val="14"/>
              <w:spacing w:line="252" w:lineRule="exact"/>
              <w:ind w:left="421"/>
              <w:rPr>
                <w:rFonts w:ascii="Wingdings" w:hAnsi="Wingdings"/>
                <w:sz w:val="21"/>
              </w:rPr>
            </w:pPr>
            <w:r>
              <w:rPr>
                <w:sz w:val="21"/>
              </w:rPr>
              <w:t>无监测</w:t>
            </w:r>
            <w:r>
              <w:rPr>
                <w:rFonts w:ascii="Wingdings" w:hAnsi="Wingdings"/>
                <w:sz w:val="21"/>
              </w:rPr>
              <w:t></w:t>
            </w:r>
          </w:p>
        </w:tc>
      </w:tr>
      <w:tr w14:paraId="584B9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46" w:type="dxa"/>
            <w:vMerge w:val="restart"/>
          </w:tcPr>
          <w:p w14:paraId="0A8F23A1">
            <w:pPr>
              <w:pStyle w:val="14"/>
              <w:rPr>
                <w:b/>
                <w:sz w:val="20"/>
              </w:rPr>
            </w:pPr>
          </w:p>
          <w:p w14:paraId="7ECE40E3">
            <w:pPr>
              <w:pStyle w:val="14"/>
              <w:spacing w:before="4"/>
              <w:rPr>
                <w:b/>
                <w:sz w:val="22"/>
              </w:rPr>
            </w:pPr>
          </w:p>
          <w:p w14:paraId="0449B630">
            <w:pPr>
              <w:pStyle w:val="14"/>
              <w:spacing w:line="244" w:lineRule="auto"/>
              <w:ind w:left="318" w:right="97" w:hanging="212"/>
              <w:rPr>
                <w:sz w:val="21"/>
              </w:rPr>
            </w:pPr>
            <w:r>
              <w:rPr>
                <w:sz w:val="21"/>
              </w:rPr>
              <w:t>评价结论</w:t>
            </w:r>
          </w:p>
        </w:tc>
        <w:tc>
          <w:tcPr>
            <w:tcW w:w="1814" w:type="dxa"/>
          </w:tcPr>
          <w:p w14:paraId="03139387">
            <w:pPr>
              <w:pStyle w:val="14"/>
              <w:spacing w:before="5" w:line="254" w:lineRule="exact"/>
              <w:ind w:left="69" w:right="65"/>
              <w:jc w:val="center"/>
              <w:rPr>
                <w:sz w:val="21"/>
              </w:rPr>
            </w:pPr>
            <w:r>
              <w:rPr>
                <w:sz w:val="21"/>
              </w:rPr>
              <w:t>环境影响</w:t>
            </w:r>
          </w:p>
        </w:tc>
        <w:tc>
          <w:tcPr>
            <w:tcW w:w="6183" w:type="dxa"/>
            <w:gridSpan w:val="14"/>
          </w:tcPr>
          <w:p w14:paraId="66F4C6D9">
            <w:pPr>
              <w:pStyle w:val="14"/>
              <w:tabs>
                <w:tab w:val="left" w:pos="3104"/>
              </w:tabs>
              <w:spacing w:before="5" w:line="254" w:lineRule="exact"/>
              <w:ind w:left="1815"/>
              <w:rPr>
                <w:sz w:val="21"/>
              </w:rPr>
            </w:pPr>
            <w:r>
              <w:rPr>
                <w:sz w:val="21"/>
              </w:rPr>
              <w:t>可以接受</w:t>
            </w:r>
            <w:r>
              <w:rPr>
                <w:rFonts w:ascii="Wingdings" w:hAnsi="Wingdings" w:eastAsia="Wingdings"/>
                <w:sz w:val="21"/>
              </w:rPr>
              <w:t></w:t>
            </w:r>
            <w:r>
              <w:rPr>
                <w:rFonts w:ascii="Times New Roman" w:hAnsi="Times New Roman" w:eastAsia="Times New Roman"/>
                <w:sz w:val="21"/>
              </w:rPr>
              <w:tab/>
            </w:r>
            <w:r>
              <w:rPr>
                <w:sz w:val="21"/>
              </w:rPr>
              <w:t>不可以接受□</w:t>
            </w:r>
          </w:p>
        </w:tc>
      </w:tr>
      <w:tr w14:paraId="1FF08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46" w:type="dxa"/>
            <w:vMerge w:val="continue"/>
            <w:tcBorders>
              <w:top w:val="nil"/>
            </w:tcBorders>
          </w:tcPr>
          <w:p w14:paraId="782E61E0">
            <w:pPr>
              <w:rPr>
                <w:sz w:val="2"/>
                <w:szCs w:val="2"/>
              </w:rPr>
            </w:pPr>
          </w:p>
        </w:tc>
        <w:tc>
          <w:tcPr>
            <w:tcW w:w="1814" w:type="dxa"/>
          </w:tcPr>
          <w:p w14:paraId="69694AE5">
            <w:pPr>
              <w:pStyle w:val="14"/>
              <w:spacing w:before="1"/>
              <w:ind w:left="70" w:right="63"/>
              <w:jc w:val="center"/>
              <w:rPr>
                <w:sz w:val="21"/>
              </w:rPr>
            </w:pPr>
            <w:r>
              <w:rPr>
                <w:sz w:val="21"/>
              </w:rPr>
              <w:t>大气环境防护距</w:t>
            </w:r>
          </w:p>
          <w:p w14:paraId="37F2161A">
            <w:pPr>
              <w:pStyle w:val="14"/>
              <w:spacing w:before="2" w:line="252" w:lineRule="exact"/>
              <w:ind w:left="9"/>
              <w:jc w:val="center"/>
              <w:rPr>
                <w:sz w:val="21"/>
              </w:rPr>
            </w:pPr>
            <w:r>
              <w:rPr>
                <w:w w:val="99"/>
                <w:sz w:val="21"/>
              </w:rPr>
              <w:t>离</w:t>
            </w:r>
          </w:p>
        </w:tc>
        <w:tc>
          <w:tcPr>
            <w:tcW w:w="6183" w:type="dxa"/>
            <w:gridSpan w:val="14"/>
          </w:tcPr>
          <w:p w14:paraId="023B6973">
            <w:pPr>
              <w:pStyle w:val="14"/>
              <w:spacing w:before="136"/>
              <w:ind w:left="1995"/>
              <w:rPr>
                <w:rFonts w:ascii="Times New Roman" w:eastAsia="Times New Roman"/>
                <w:sz w:val="21"/>
              </w:rPr>
            </w:pPr>
            <w:r>
              <w:rPr>
                <w:sz w:val="21"/>
              </w:rPr>
              <w:t>距（</w:t>
            </w:r>
            <w:r>
              <w:rPr>
                <w:rFonts w:ascii="Times New Roman" w:eastAsia="Times New Roman"/>
                <w:sz w:val="21"/>
              </w:rPr>
              <w:t>-</w:t>
            </w:r>
            <w:r>
              <w:rPr>
                <w:sz w:val="21"/>
              </w:rPr>
              <w:t>）厂界最远（</w:t>
            </w:r>
            <w:r>
              <w:rPr>
                <w:rFonts w:ascii="Times New Roman" w:eastAsia="Times New Roman"/>
                <w:sz w:val="21"/>
              </w:rPr>
              <w:t>-</w:t>
            </w:r>
            <w:r>
              <w:rPr>
                <w:sz w:val="21"/>
              </w:rPr>
              <w:t>）</w:t>
            </w:r>
            <w:r>
              <w:rPr>
                <w:rFonts w:ascii="Times New Roman" w:eastAsia="Times New Roman"/>
                <w:sz w:val="21"/>
              </w:rPr>
              <w:t>m</w:t>
            </w:r>
          </w:p>
        </w:tc>
      </w:tr>
      <w:tr w14:paraId="145A1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846" w:type="dxa"/>
            <w:vMerge w:val="continue"/>
            <w:tcBorders>
              <w:top w:val="nil"/>
            </w:tcBorders>
          </w:tcPr>
          <w:p w14:paraId="390C2CE6">
            <w:pPr>
              <w:rPr>
                <w:sz w:val="2"/>
                <w:szCs w:val="2"/>
              </w:rPr>
            </w:pPr>
          </w:p>
        </w:tc>
        <w:tc>
          <w:tcPr>
            <w:tcW w:w="1814" w:type="dxa"/>
          </w:tcPr>
          <w:p w14:paraId="468DD18B">
            <w:pPr>
              <w:pStyle w:val="14"/>
              <w:spacing w:before="11"/>
              <w:rPr>
                <w:b/>
                <w:sz w:val="19"/>
              </w:rPr>
            </w:pPr>
          </w:p>
          <w:p w14:paraId="5D12B3B4">
            <w:pPr>
              <w:pStyle w:val="14"/>
              <w:spacing w:before="1"/>
              <w:ind w:left="70" w:right="63"/>
              <w:jc w:val="center"/>
              <w:rPr>
                <w:sz w:val="21"/>
              </w:rPr>
            </w:pPr>
            <w:r>
              <w:rPr>
                <w:sz w:val="21"/>
              </w:rPr>
              <w:t>污染源年排放量</w:t>
            </w:r>
          </w:p>
        </w:tc>
        <w:tc>
          <w:tcPr>
            <w:tcW w:w="1701" w:type="dxa"/>
            <w:gridSpan w:val="4"/>
          </w:tcPr>
          <w:p w14:paraId="4D11B967">
            <w:pPr>
              <w:pStyle w:val="14"/>
              <w:spacing w:before="8"/>
              <w:rPr>
                <w:b/>
                <w:sz w:val="19"/>
              </w:rPr>
            </w:pPr>
          </w:p>
          <w:p w14:paraId="6332B4CB">
            <w:pPr>
              <w:pStyle w:val="14"/>
              <w:ind w:left="183"/>
              <w:rPr>
                <w:rFonts w:ascii="Times New Roman" w:eastAsia="Times New Roman"/>
                <w:sz w:val="21"/>
              </w:rPr>
            </w:pPr>
            <w:r>
              <w:rPr>
                <w:rFonts w:ascii="Times New Roman" w:eastAsia="Times New Roman"/>
                <w:spacing w:val="-2"/>
                <w:w w:val="99"/>
                <w:position w:val="2"/>
                <w:sz w:val="21"/>
              </w:rPr>
              <w:t>S</w:t>
            </w:r>
            <w:r>
              <w:rPr>
                <w:rFonts w:ascii="Times New Roman" w:eastAsia="Times New Roman"/>
                <w:w w:val="99"/>
                <w:position w:val="2"/>
                <w:sz w:val="21"/>
              </w:rPr>
              <w:t>O</w:t>
            </w:r>
            <w:r>
              <w:rPr>
                <w:rFonts w:ascii="Times New Roman" w:eastAsia="Times New Roman"/>
                <w:spacing w:val="0"/>
                <w:w w:val="104"/>
                <w:position w:val="2"/>
                <w:sz w:val="21"/>
                <w:vertAlign w:val="subscript"/>
              </w:rPr>
              <w:t>2</w:t>
            </w:r>
            <w:r>
              <w:rPr>
                <w:spacing w:val="-106"/>
                <w:w w:val="99"/>
                <w:position w:val="2"/>
                <w:sz w:val="21"/>
                <w:vertAlign w:val="baseline"/>
              </w:rPr>
              <w:t>：</w:t>
            </w:r>
            <w:r>
              <w:rPr>
                <w:spacing w:val="1"/>
                <w:w w:val="99"/>
                <w:position w:val="2"/>
                <w:sz w:val="21"/>
                <w:vertAlign w:val="baseline"/>
              </w:rPr>
              <w:t>（</w:t>
            </w:r>
            <w:r>
              <w:rPr>
                <w:rFonts w:ascii="Times New Roman" w:eastAsia="Times New Roman"/>
                <w:spacing w:val="0"/>
                <w:w w:val="99"/>
                <w:position w:val="2"/>
                <w:sz w:val="21"/>
                <w:vertAlign w:val="baseline"/>
              </w:rPr>
              <w:t>0</w:t>
            </w:r>
            <w:r>
              <w:rPr>
                <w:rFonts w:ascii="Times New Roman" w:eastAsia="Times New Roman"/>
                <w:w w:val="99"/>
                <w:position w:val="2"/>
                <w:sz w:val="21"/>
                <w:vertAlign w:val="baseline"/>
              </w:rPr>
              <w:t>.</w:t>
            </w:r>
            <w:r>
              <w:rPr>
                <w:rFonts w:ascii="Times New Roman" w:eastAsia="Times New Roman"/>
                <w:spacing w:val="-2"/>
                <w:w w:val="99"/>
                <w:position w:val="2"/>
                <w:sz w:val="21"/>
                <w:vertAlign w:val="baseline"/>
              </w:rPr>
              <w:t>1</w:t>
            </w:r>
            <w:r>
              <w:rPr>
                <w:spacing w:val="1"/>
                <w:w w:val="99"/>
                <w:position w:val="2"/>
                <w:sz w:val="21"/>
                <w:vertAlign w:val="baseline"/>
              </w:rPr>
              <w:t>）</w:t>
            </w:r>
            <w:r>
              <w:rPr>
                <w:rFonts w:ascii="Times New Roman" w:eastAsia="Times New Roman"/>
                <w:spacing w:val="-1"/>
                <w:w w:val="99"/>
                <w:position w:val="2"/>
                <w:sz w:val="21"/>
                <w:vertAlign w:val="baseline"/>
              </w:rPr>
              <w:t>t/</w:t>
            </w:r>
            <w:r>
              <w:rPr>
                <w:rFonts w:ascii="Times New Roman" w:eastAsia="Times New Roman"/>
                <w:w w:val="99"/>
                <w:position w:val="2"/>
                <w:sz w:val="21"/>
                <w:vertAlign w:val="baseline"/>
              </w:rPr>
              <w:t>a</w:t>
            </w:r>
          </w:p>
        </w:tc>
        <w:tc>
          <w:tcPr>
            <w:tcW w:w="1216" w:type="dxa"/>
            <w:gridSpan w:val="4"/>
          </w:tcPr>
          <w:p w14:paraId="735AA701">
            <w:pPr>
              <w:pStyle w:val="14"/>
              <w:spacing w:before="1"/>
              <w:ind w:left="275" w:right="103"/>
              <w:jc w:val="center"/>
              <w:rPr>
                <w:sz w:val="21"/>
              </w:rPr>
            </w:pPr>
            <w:r>
              <w:rPr>
                <w:rFonts w:ascii="Times New Roman" w:eastAsia="Times New Roman"/>
                <w:sz w:val="21"/>
              </w:rPr>
              <w:t>NOx</w:t>
            </w:r>
            <w:r>
              <w:rPr>
                <w:sz w:val="21"/>
              </w:rPr>
              <w:t>：</w:t>
            </w:r>
          </w:p>
          <w:p w14:paraId="3E8C73C4">
            <w:pPr>
              <w:pStyle w:val="14"/>
              <w:spacing w:before="2"/>
              <w:ind w:left="170" w:right="103"/>
              <w:jc w:val="center"/>
              <w:rPr>
                <w:sz w:val="21"/>
              </w:rPr>
            </w:pPr>
            <w:r>
              <w:rPr>
                <w:sz w:val="21"/>
              </w:rPr>
              <w:t>（</w:t>
            </w:r>
            <w:r>
              <w:rPr>
                <w:rFonts w:ascii="Times New Roman" w:eastAsia="Times New Roman"/>
                <w:sz w:val="21"/>
              </w:rPr>
              <w:t>0.174</w:t>
            </w:r>
            <w:r>
              <w:rPr>
                <w:sz w:val="21"/>
              </w:rPr>
              <w:t>）</w:t>
            </w:r>
          </w:p>
          <w:p w14:paraId="0C0A0B61">
            <w:pPr>
              <w:pStyle w:val="14"/>
              <w:spacing w:before="2" w:line="223" w:lineRule="exact"/>
              <w:ind w:left="169" w:right="103"/>
              <w:jc w:val="center"/>
              <w:rPr>
                <w:rFonts w:ascii="Times New Roman"/>
                <w:sz w:val="21"/>
              </w:rPr>
            </w:pPr>
            <w:r>
              <w:rPr>
                <w:rFonts w:ascii="Times New Roman"/>
                <w:sz w:val="21"/>
              </w:rPr>
              <w:t>t/a</w:t>
            </w:r>
          </w:p>
        </w:tc>
        <w:tc>
          <w:tcPr>
            <w:tcW w:w="1902" w:type="dxa"/>
            <w:gridSpan w:val="4"/>
          </w:tcPr>
          <w:p w14:paraId="2B06DCBE">
            <w:pPr>
              <w:pStyle w:val="14"/>
              <w:spacing w:before="11"/>
              <w:rPr>
                <w:b/>
                <w:sz w:val="19"/>
              </w:rPr>
            </w:pPr>
          </w:p>
          <w:p w14:paraId="162E8EFE">
            <w:pPr>
              <w:pStyle w:val="14"/>
              <w:spacing w:before="1"/>
              <w:ind w:left="268"/>
              <w:rPr>
                <w:rFonts w:ascii="Times New Roman" w:eastAsia="Times New Roman"/>
                <w:sz w:val="21"/>
              </w:rPr>
            </w:pPr>
            <w:r>
              <w:rPr>
                <w:spacing w:val="-27"/>
                <w:w w:val="99"/>
                <w:sz w:val="21"/>
              </w:rPr>
              <w:t>颗粒物：</w:t>
            </w:r>
            <w:r>
              <w:rPr>
                <w:spacing w:val="1"/>
                <w:w w:val="99"/>
                <w:sz w:val="21"/>
              </w:rPr>
              <w:t>（</w:t>
            </w:r>
            <w:r>
              <w:rPr>
                <w:rFonts w:ascii="Times New Roman" w:eastAsia="Times New Roman"/>
                <w:spacing w:val="-1"/>
                <w:w w:val="99"/>
                <w:sz w:val="21"/>
              </w:rPr>
              <w:t>/</w:t>
            </w:r>
            <w:r>
              <w:rPr>
                <w:spacing w:val="-1"/>
                <w:w w:val="99"/>
                <w:sz w:val="21"/>
              </w:rPr>
              <w:t>）</w:t>
            </w:r>
            <w:r>
              <w:rPr>
                <w:rFonts w:ascii="Times New Roman" w:eastAsia="Times New Roman"/>
                <w:spacing w:val="-1"/>
                <w:w w:val="99"/>
                <w:sz w:val="21"/>
              </w:rPr>
              <w:t>t/</w:t>
            </w:r>
            <w:r>
              <w:rPr>
                <w:rFonts w:ascii="Times New Roman" w:eastAsia="Times New Roman"/>
                <w:w w:val="99"/>
                <w:sz w:val="21"/>
              </w:rPr>
              <w:t>a</w:t>
            </w:r>
          </w:p>
        </w:tc>
        <w:tc>
          <w:tcPr>
            <w:tcW w:w="1364" w:type="dxa"/>
            <w:gridSpan w:val="2"/>
          </w:tcPr>
          <w:p w14:paraId="09234C04">
            <w:pPr>
              <w:pStyle w:val="14"/>
              <w:spacing w:before="135"/>
              <w:ind w:left="577" w:right="133" w:hanging="420"/>
              <w:rPr>
                <w:rFonts w:ascii="Times New Roman" w:eastAsia="Times New Roman"/>
                <w:sz w:val="21"/>
              </w:rPr>
            </w:pPr>
            <w:r>
              <w:rPr>
                <w:rFonts w:ascii="Times New Roman" w:eastAsia="Times New Roman"/>
                <w:w w:val="99"/>
                <w:sz w:val="21"/>
              </w:rPr>
              <w:t>VO</w:t>
            </w:r>
            <w:r>
              <w:rPr>
                <w:rFonts w:ascii="Times New Roman" w:eastAsia="Times New Roman"/>
                <w:spacing w:val="-1"/>
                <w:w w:val="99"/>
                <w:sz w:val="21"/>
              </w:rPr>
              <w:t>C</w:t>
            </w:r>
            <w:r>
              <w:rPr>
                <w:rFonts w:ascii="Times New Roman" w:eastAsia="Times New Roman"/>
                <w:w w:val="99"/>
                <w:sz w:val="21"/>
              </w:rPr>
              <w:t>s</w:t>
            </w:r>
            <w:r>
              <w:rPr>
                <w:spacing w:val="-104"/>
                <w:w w:val="99"/>
                <w:sz w:val="21"/>
              </w:rPr>
              <w:t>：</w:t>
            </w:r>
            <w:r>
              <w:rPr>
                <w:spacing w:val="-1"/>
                <w:w w:val="99"/>
                <w:sz w:val="21"/>
              </w:rPr>
              <w:t>（</w:t>
            </w:r>
            <w:r>
              <w:rPr>
                <w:w w:val="99"/>
                <w:sz w:val="21"/>
              </w:rPr>
              <w:t xml:space="preserve">） </w:t>
            </w:r>
            <w:r>
              <w:rPr>
                <w:rFonts w:ascii="Times New Roman" w:eastAsia="Times New Roman"/>
                <w:sz w:val="21"/>
              </w:rPr>
              <w:t>t/a</w:t>
            </w:r>
          </w:p>
        </w:tc>
      </w:tr>
      <w:tr w14:paraId="0A1C7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843" w:type="dxa"/>
            <w:gridSpan w:val="16"/>
          </w:tcPr>
          <w:p w14:paraId="262DD322">
            <w:pPr>
              <w:pStyle w:val="14"/>
              <w:spacing w:line="252" w:lineRule="exact"/>
              <w:ind w:left="2058"/>
              <w:rPr>
                <w:sz w:val="21"/>
              </w:rPr>
            </w:pPr>
            <w:r>
              <w:rPr>
                <w:spacing w:val="-29"/>
                <w:w w:val="99"/>
                <w:sz w:val="21"/>
              </w:rPr>
              <w:t>注：“□”为勾选项，填“√”；“</w:t>
            </w:r>
            <w:r>
              <w:rPr>
                <w:spacing w:val="-1"/>
                <w:w w:val="99"/>
                <w:sz w:val="21"/>
              </w:rPr>
              <w:t>（</w:t>
            </w:r>
            <w:r>
              <w:rPr>
                <w:spacing w:val="-104"/>
                <w:w w:val="99"/>
                <w:sz w:val="21"/>
              </w:rPr>
              <w:t>）</w:t>
            </w:r>
            <w:r>
              <w:rPr>
                <w:spacing w:val="-1"/>
                <w:w w:val="99"/>
                <w:sz w:val="21"/>
              </w:rPr>
              <w:t>”为内容填写项</w:t>
            </w:r>
          </w:p>
        </w:tc>
      </w:tr>
    </w:tbl>
    <w:p w14:paraId="6B95C8E5">
      <w:pPr>
        <w:spacing w:after="0" w:line="252" w:lineRule="exact"/>
        <w:rPr>
          <w:sz w:val="21"/>
        </w:rPr>
        <w:sectPr>
          <w:footerReference r:id="rId49" w:type="default"/>
          <w:pgSz w:w="11910" w:h="16840"/>
          <w:pgMar w:top="1360" w:right="1140" w:bottom="1400" w:left="1680" w:header="878" w:footer="1204" w:gutter="0"/>
          <w:cols w:space="720" w:num="1"/>
        </w:sectPr>
      </w:pPr>
    </w:p>
    <w:p w14:paraId="19B6A0D4">
      <w:pPr>
        <w:pStyle w:val="6"/>
        <w:spacing w:before="143"/>
        <w:ind w:left="2707"/>
      </w:pPr>
      <w:r>
        <w:t xml:space="preserve">附表 </w:t>
      </w:r>
      <w:r>
        <w:rPr>
          <w:rFonts w:ascii="Times New Roman" w:eastAsia="Times New Roman"/>
        </w:rPr>
        <w:t xml:space="preserve">2 </w:t>
      </w:r>
      <w:r>
        <w:t>声环境影响评价自查表</w:t>
      </w:r>
    </w:p>
    <w:p w14:paraId="78D186F4">
      <w:pPr>
        <w:pStyle w:val="7"/>
        <w:spacing w:before="6" w:after="1"/>
        <w:rPr>
          <w:b/>
          <w:sz w:val="13"/>
        </w:rPr>
      </w:pPr>
    </w:p>
    <w:tbl>
      <w:tblPr>
        <w:tblStyle w:val="10"/>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318"/>
        <w:gridCol w:w="1171"/>
        <w:gridCol w:w="4880"/>
      </w:tblGrid>
      <w:tr w14:paraId="1E824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1" w:type="dxa"/>
            <w:gridSpan w:val="2"/>
          </w:tcPr>
          <w:p w14:paraId="233FD8C0">
            <w:pPr>
              <w:pStyle w:val="14"/>
              <w:spacing w:before="51"/>
              <w:ind w:left="814" w:right="807"/>
              <w:jc w:val="center"/>
              <w:rPr>
                <w:sz w:val="20"/>
              </w:rPr>
            </w:pPr>
            <w:r>
              <w:rPr>
                <w:sz w:val="20"/>
              </w:rPr>
              <w:t>工作内容</w:t>
            </w:r>
          </w:p>
        </w:tc>
        <w:tc>
          <w:tcPr>
            <w:tcW w:w="6051" w:type="dxa"/>
            <w:gridSpan w:val="2"/>
          </w:tcPr>
          <w:p w14:paraId="7A6B6A88">
            <w:pPr>
              <w:pStyle w:val="14"/>
              <w:spacing w:before="51"/>
              <w:ind w:left="2603" w:right="2598"/>
              <w:jc w:val="center"/>
              <w:rPr>
                <w:sz w:val="20"/>
              </w:rPr>
            </w:pPr>
            <w:r>
              <w:rPr>
                <w:sz w:val="20"/>
              </w:rPr>
              <w:t>自查项目</w:t>
            </w:r>
          </w:p>
        </w:tc>
      </w:tr>
      <w:tr w14:paraId="1BF62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53" w:type="dxa"/>
            <w:vMerge w:val="restart"/>
          </w:tcPr>
          <w:p w14:paraId="65141997">
            <w:pPr>
              <w:pStyle w:val="14"/>
              <w:spacing w:before="156" w:line="242" w:lineRule="auto"/>
              <w:ind w:left="275" w:right="167" w:hanging="101"/>
              <w:rPr>
                <w:sz w:val="20"/>
              </w:rPr>
            </w:pPr>
            <w:r>
              <w:rPr>
                <w:sz w:val="20"/>
              </w:rPr>
              <w:t>评价等级与范围</w:t>
            </w:r>
          </w:p>
        </w:tc>
        <w:tc>
          <w:tcPr>
            <w:tcW w:w="1318" w:type="dxa"/>
          </w:tcPr>
          <w:p w14:paraId="2CF1749C">
            <w:pPr>
              <w:pStyle w:val="14"/>
              <w:spacing w:before="52"/>
              <w:ind w:left="136" w:right="130"/>
              <w:jc w:val="center"/>
              <w:rPr>
                <w:sz w:val="20"/>
              </w:rPr>
            </w:pPr>
            <w:r>
              <w:rPr>
                <w:sz w:val="20"/>
              </w:rPr>
              <w:t>评价等级</w:t>
            </w:r>
          </w:p>
        </w:tc>
        <w:tc>
          <w:tcPr>
            <w:tcW w:w="6051" w:type="dxa"/>
            <w:gridSpan w:val="2"/>
          </w:tcPr>
          <w:p w14:paraId="7D042707">
            <w:pPr>
              <w:pStyle w:val="14"/>
              <w:tabs>
                <w:tab w:val="left" w:pos="3060"/>
                <w:tab w:val="left" w:pos="4841"/>
              </w:tabs>
              <w:spacing w:before="52"/>
              <w:ind w:left="934"/>
              <w:rPr>
                <w:sz w:val="20"/>
              </w:rPr>
            </w:pPr>
            <w:r>
              <w:rPr>
                <w:sz w:val="20"/>
              </w:rPr>
              <w:t>一级□</w:t>
            </w:r>
            <w:r>
              <w:rPr>
                <w:sz w:val="20"/>
              </w:rPr>
              <w:tab/>
            </w:r>
            <w:r>
              <w:rPr>
                <w:sz w:val="20"/>
              </w:rPr>
              <w:t>二级</w:t>
            </w:r>
            <w:r>
              <w:rPr>
                <w:rFonts w:ascii="Wingdings" w:hAnsi="Wingdings" w:eastAsia="Wingdings"/>
                <w:sz w:val="20"/>
              </w:rPr>
              <w:t></w:t>
            </w:r>
            <w:r>
              <w:rPr>
                <w:rFonts w:ascii="Times New Roman" w:hAnsi="Times New Roman" w:eastAsia="Times New Roman"/>
                <w:sz w:val="20"/>
              </w:rPr>
              <w:tab/>
            </w:r>
            <w:r>
              <w:rPr>
                <w:sz w:val="20"/>
              </w:rPr>
              <w:t>三级□</w:t>
            </w:r>
          </w:p>
        </w:tc>
      </w:tr>
      <w:tr w14:paraId="3A1E5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53" w:type="dxa"/>
            <w:vMerge w:val="continue"/>
            <w:tcBorders>
              <w:top w:val="nil"/>
            </w:tcBorders>
          </w:tcPr>
          <w:p w14:paraId="47584443">
            <w:pPr>
              <w:rPr>
                <w:sz w:val="2"/>
                <w:szCs w:val="2"/>
              </w:rPr>
            </w:pPr>
          </w:p>
        </w:tc>
        <w:tc>
          <w:tcPr>
            <w:tcW w:w="1318" w:type="dxa"/>
          </w:tcPr>
          <w:p w14:paraId="1EA1D799">
            <w:pPr>
              <w:pStyle w:val="14"/>
              <w:spacing w:before="52"/>
              <w:ind w:left="136" w:right="130"/>
              <w:jc w:val="center"/>
              <w:rPr>
                <w:sz w:val="20"/>
              </w:rPr>
            </w:pPr>
            <w:r>
              <w:rPr>
                <w:sz w:val="20"/>
              </w:rPr>
              <w:t>评价范围</w:t>
            </w:r>
          </w:p>
        </w:tc>
        <w:tc>
          <w:tcPr>
            <w:tcW w:w="6051" w:type="dxa"/>
            <w:gridSpan w:val="2"/>
          </w:tcPr>
          <w:p w14:paraId="47D34411">
            <w:pPr>
              <w:pStyle w:val="14"/>
              <w:tabs>
                <w:tab w:val="left" w:pos="2148"/>
                <w:tab w:val="left" w:pos="4586"/>
              </w:tabs>
              <w:spacing w:before="52"/>
              <w:ind w:left="266"/>
              <w:rPr>
                <w:sz w:val="20"/>
              </w:rPr>
            </w:pPr>
            <w:r>
              <w:rPr>
                <w:rFonts w:ascii="Times New Roman" w:hAnsi="Times New Roman" w:eastAsia="Times New Roman"/>
                <w:sz w:val="20"/>
              </w:rPr>
              <w:t>200m</w:t>
            </w:r>
            <w:r>
              <w:rPr>
                <w:rFonts w:ascii="Wingdings" w:hAnsi="Wingdings" w:eastAsia="Wingdings"/>
                <w:sz w:val="20"/>
              </w:rPr>
              <w:t></w:t>
            </w:r>
            <w:r>
              <w:rPr>
                <w:rFonts w:ascii="Times New Roman" w:hAnsi="Times New Roman" w:eastAsia="Times New Roman"/>
                <w:sz w:val="20"/>
              </w:rPr>
              <w:tab/>
            </w:r>
            <w:r>
              <w:rPr>
                <w:sz w:val="20"/>
              </w:rPr>
              <w:t>大于</w:t>
            </w:r>
            <w:r>
              <w:rPr>
                <w:spacing w:val="-52"/>
                <w:sz w:val="20"/>
              </w:rPr>
              <w:t xml:space="preserve"> </w:t>
            </w:r>
            <w:r>
              <w:rPr>
                <w:rFonts w:ascii="Times New Roman" w:hAnsi="Times New Roman" w:eastAsia="Times New Roman"/>
                <w:sz w:val="20"/>
              </w:rPr>
              <w:t>200m</w:t>
            </w:r>
            <w:r>
              <w:rPr>
                <w:sz w:val="20"/>
              </w:rPr>
              <w:t>□</w:t>
            </w:r>
            <w:r>
              <w:rPr>
                <w:sz w:val="20"/>
              </w:rPr>
              <w:tab/>
            </w:r>
            <w:r>
              <w:rPr>
                <w:sz w:val="20"/>
              </w:rPr>
              <w:t>小于</w:t>
            </w:r>
            <w:r>
              <w:rPr>
                <w:spacing w:val="-48"/>
                <w:sz w:val="20"/>
              </w:rPr>
              <w:t xml:space="preserve"> </w:t>
            </w:r>
            <w:r>
              <w:rPr>
                <w:rFonts w:ascii="Times New Roman" w:hAnsi="Times New Roman" w:eastAsia="Times New Roman"/>
                <w:sz w:val="20"/>
              </w:rPr>
              <w:t>200m</w:t>
            </w:r>
            <w:r>
              <w:rPr>
                <w:sz w:val="20"/>
              </w:rPr>
              <w:t>□</w:t>
            </w:r>
          </w:p>
        </w:tc>
      </w:tr>
      <w:tr w14:paraId="1CCC9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153" w:type="dxa"/>
          </w:tcPr>
          <w:p w14:paraId="6114D312">
            <w:pPr>
              <w:pStyle w:val="14"/>
              <w:spacing w:before="130"/>
              <w:ind w:left="154" w:right="149"/>
              <w:jc w:val="center"/>
              <w:rPr>
                <w:sz w:val="20"/>
              </w:rPr>
            </w:pPr>
            <w:r>
              <w:rPr>
                <w:sz w:val="20"/>
              </w:rPr>
              <w:t>评价因子</w:t>
            </w:r>
          </w:p>
        </w:tc>
        <w:tc>
          <w:tcPr>
            <w:tcW w:w="1318" w:type="dxa"/>
          </w:tcPr>
          <w:p w14:paraId="20760E1A">
            <w:pPr>
              <w:pStyle w:val="14"/>
              <w:spacing w:before="130"/>
              <w:ind w:left="136" w:right="130"/>
              <w:jc w:val="center"/>
              <w:rPr>
                <w:sz w:val="20"/>
              </w:rPr>
            </w:pPr>
            <w:r>
              <w:rPr>
                <w:sz w:val="20"/>
              </w:rPr>
              <w:t>评价因子</w:t>
            </w:r>
          </w:p>
        </w:tc>
        <w:tc>
          <w:tcPr>
            <w:tcW w:w="6051" w:type="dxa"/>
            <w:gridSpan w:val="2"/>
          </w:tcPr>
          <w:p w14:paraId="77DC1B87">
            <w:pPr>
              <w:pStyle w:val="14"/>
              <w:tabs>
                <w:tab w:val="left" w:pos="2299"/>
                <w:tab w:val="left" w:pos="3665"/>
              </w:tabs>
              <w:spacing w:before="27" w:line="156" w:lineRule="auto"/>
              <w:ind w:left="271"/>
              <w:rPr>
                <w:sz w:val="20"/>
              </w:rPr>
            </w:pPr>
            <w:r>
              <w:rPr>
                <w:position w:val="-12"/>
                <w:sz w:val="20"/>
              </w:rPr>
              <w:t>等效连续</w:t>
            </w:r>
            <w:r>
              <w:rPr>
                <w:spacing w:val="-51"/>
                <w:position w:val="-12"/>
                <w:sz w:val="20"/>
              </w:rPr>
              <w:t xml:space="preserve"> </w:t>
            </w:r>
            <w:r>
              <w:rPr>
                <w:rFonts w:ascii="Times New Roman" w:hAnsi="Times New Roman" w:eastAsia="Times New Roman"/>
                <w:position w:val="-12"/>
                <w:sz w:val="20"/>
              </w:rPr>
              <w:t>A</w:t>
            </w:r>
            <w:r>
              <w:rPr>
                <w:rFonts w:ascii="Times New Roman" w:hAnsi="Times New Roman" w:eastAsia="Times New Roman"/>
                <w:spacing w:val="-13"/>
                <w:position w:val="-12"/>
                <w:sz w:val="20"/>
              </w:rPr>
              <w:t xml:space="preserve"> </w:t>
            </w:r>
            <w:r>
              <w:rPr>
                <w:position w:val="-12"/>
                <w:sz w:val="20"/>
              </w:rPr>
              <w:t>声级</w:t>
            </w:r>
            <w:r>
              <w:rPr>
                <w:rFonts w:ascii="Wingdings" w:hAnsi="Wingdings" w:eastAsia="Wingdings"/>
                <w:position w:val="-12"/>
                <w:sz w:val="20"/>
              </w:rPr>
              <w:t></w:t>
            </w:r>
            <w:r>
              <w:rPr>
                <w:rFonts w:ascii="Times New Roman" w:hAnsi="Times New Roman" w:eastAsia="Times New Roman"/>
                <w:position w:val="-12"/>
                <w:sz w:val="20"/>
              </w:rPr>
              <w:tab/>
            </w:r>
            <w:r>
              <w:rPr>
                <w:sz w:val="20"/>
              </w:rPr>
              <w:t>最大</w:t>
            </w:r>
            <w:r>
              <w:rPr>
                <w:spacing w:val="-51"/>
                <w:sz w:val="20"/>
              </w:rPr>
              <w:t xml:space="preserve"> </w:t>
            </w:r>
            <w:r>
              <w:rPr>
                <w:rFonts w:ascii="Times New Roman" w:hAnsi="Times New Roman" w:eastAsia="Times New Roman"/>
                <w:sz w:val="20"/>
              </w:rPr>
              <w:t>A</w:t>
            </w:r>
            <w:r>
              <w:rPr>
                <w:rFonts w:ascii="Times New Roman" w:hAnsi="Times New Roman" w:eastAsia="Times New Roman"/>
                <w:spacing w:val="-10"/>
                <w:sz w:val="20"/>
              </w:rPr>
              <w:t xml:space="preserve"> </w:t>
            </w:r>
            <w:r>
              <w:rPr>
                <w:sz w:val="20"/>
              </w:rPr>
              <w:t>声级</w:t>
            </w:r>
            <w:r>
              <w:rPr>
                <w:sz w:val="20"/>
              </w:rPr>
              <w:tab/>
            </w:r>
            <w:r>
              <w:rPr>
                <w:sz w:val="20"/>
              </w:rPr>
              <w:t>计权等效连续感觉噪声级</w:t>
            </w:r>
          </w:p>
          <w:p w14:paraId="47CF9807">
            <w:pPr>
              <w:pStyle w:val="14"/>
              <w:tabs>
                <w:tab w:val="left" w:pos="4663"/>
              </w:tabs>
              <w:spacing w:line="193" w:lineRule="exact"/>
              <w:ind w:left="2717"/>
              <w:rPr>
                <w:sz w:val="20"/>
              </w:rPr>
            </w:pPr>
            <w:r>
              <w:rPr>
                <w:sz w:val="20"/>
              </w:rPr>
              <w:t>□</w:t>
            </w:r>
            <w:r>
              <w:rPr>
                <w:sz w:val="20"/>
              </w:rPr>
              <w:tab/>
            </w:r>
            <w:r>
              <w:rPr>
                <w:sz w:val="20"/>
              </w:rPr>
              <w:t>□</w:t>
            </w:r>
          </w:p>
        </w:tc>
      </w:tr>
      <w:tr w14:paraId="5A302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153" w:type="dxa"/>
          </w:tcPr>
          <w:p w14:paraId="674C435E">
            <w:pPr>
              <w:pStyle w:val="14"/>
              <w:spacing w:before="106"/>
              <w:ind w:left="154" w:right="149"/>
              <w:jc w:val="center"/>
              <w:rPr>
                <w:sz w:val="20"/>
              </w:rPr>
            </w:pPr>
            <w:r>
              <w:rPr>
                <w:sz w:val="20"/>
              </w:rPr>
              <w:t>评价标准</w:t>
            </w:r>
          </w:p>
        </w:tc>
        <w:tc>
          <w:tcPr>
            <w:tcW w:w="1318" w:type="dxa"/>
          </w:tcPr>
          <w:p w14:paraId="0390DB73">
            <w:pPr>
              <w:pStyle w:val="14"/>
              <w:spacing w:before="106"/>
              <w:ind w:left="136" w:right="130"/>
              <w:jc w:val="center"/>
              <w:rPr>
                <w:sz w:val="20"/>
              </w:rPr>
            </w:pPr>
            <w:r>
              <w:rPr>
                <w:sz w:val="20"/>
              </w:rPr>
              <w:t>评价标准</w:t>
            </w:r>
          </w:p>
        </w:tc>
        <w:tc>
          <w:tcPr>
            <w:tcW w:w="6051" w:type="dxa"/>
            <w:gridSpan w:val="2"/>
          </w:tcPr>
          <w:p w14:paraId="2C3B16D5">
            <w:pPr>
              <w:pStyle w:val="14"/>
              <w:tabs>
                <w:tab w:val="left" w:pos="1320"/>
                <w:tab w:val="left" w:pos="3761"/>
              </w:tabs>
              <w:spacing w:line="304" w:lineRule="exact"/>
              <w:ind w:left="185"/>
              <w:rPr>
                <w:sz w:val="20"/>
              </w:rPr>
            </w:pPr>
            <w:r>
              <w:rPr>
                <w:position w:val="11"/>
                <w:sz w:val="20"/>
              </w:rPr>
              <w:t>国家标准</w:t>
            </w:r>
            <w:r>
              <w:rPr>
                <w:position w:val="11"/>
                <w:sz w:val="20"/>
              </w:rPr>
              <w:tab/>
            </w:r>
            <w:r>
              <w:rPr>
                <w:sz w:val="20"/>
              </w:rPr>
              <w:t>地方标准□</w:t>
            </w:r>
            <w:r>
              <w:rPr>
                <w:sz w:val="20"/>
              </w:rPr>
              <w:tab/>
            </w:r>
            <w:r>
              <w:rPr>
                <w:sz w:val="20"/>
              </w:rPr>
              <w:t>国外标准□</w:t>
            </w:r>
          </w:p>
          <w:p w14:paraId="0C725532">
            <w:pPr>
              <w:pStyle w:val="14"/>
              <w:spacing w:line="164" w:lineRule="exact"/>
              <w:ind w:left="494"/>
              <w:rPr>
                <w:rFonts w:ascii="Wingdings" w:hAnsi="Wingdings"/>
                <w:sz w:val="20"/>
              </w:rPr>
            </w:pPr>
            <w:r>
              <w:rPr>
                <w:rFonts w:ascii="Wingdings" w:hAnsi="Wingdings"/>
                <w:w w:val="100"/>
                <w:sz w:val="20"/>
              </w:rPr>
              <w:t></w:t>
            </w:r>
          </w:p>
        </w:tc>
      </w:tr>
      <w:tr w14:paraId="4BDA8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153" w:type="dxa"/>
            <w:vMerge w:val="restart"/>
          </w:tcPr>
          <w:p w14:paraId="3A75E6DF">
            <w:pPr>
              <w:pStyle w:val="14"/>
              <w:rPr>
                <w:b/>
                <w:sz w:val="20"/>
              </w:rPr>
            </w:pPr>
          </w:p>
          <w:p w14:paraId="2C126C1D">
            <w:pPr>
              <w:pStyle w:val="14"/>
              <w:rPr>
                <w:b/>
                <w:sz w:val="20"/>
              </w:rPr>
            </w:pPr>
          </w:p>
          <w:p w14:paraId="266DCDF4">
            <w:pPr>
              <w:pStyle w:val="14"/>
              <w:rPr>
                <w:b/>
                <w:sz w:val="20"/>
              </w:rPr>
            </w:pPr>
          </w:p>
          <w:p w14:paraId="0A8B437D">
            <w:pPr>
              <w:pStyle w:val="14"/>
              <w:spacing w:before="11"/>
              <w:rPr>
                <w:b/>
                <w:sz w:val="16"/>
              </w:rPr>
            </w:pPr>
          </w:p>
          <w:p w14:paraId="75DE8071">
            <w:pPr>
              <w:pStyle w:val="14"/>
              <w:ind w:left="174"/>
              <w:rPr>
                <w:sz w:val="20"/>
              </w:rPr>
            </w:pPr>
            <w:r>
              <w:rPr>
                <w:sz w:val="20"/>
              </w:rPr>
              <w:t>现状评价</w:t>
            </w:r>
          </w:p>
        </w:tc>
        <w:tc>
          <w:tcPr>
            <w:tcW w:w="1318" w:type="dxa"/>
          </w:tcPr>
          <w:p w14:paraId="6B9B478E">
            <w:pPr>
              <w:pStyle w:val="14"/>
              <w:spacing w:before="130"/>
              <w:ind w:left="138" w:right="130"/>
              <w:jc w:val="center"/>
              <w:rPr>
                <w:sz w:val="20"/>
              </w:rPr>
            </w:pPr>
            <w:r>
              <w:rPr>
                <w:sz w:val="20"/>
              </w:rPr>
              <w:t>环境功能区</w:t>
            </w:r>
          </w:p>
        </w:tc>
        <w:tc>
          <w:tcPr>
            <w:tcW w:w="6051" w:type="dxa"/>
            <w:gridSpan w:val="2"/>
          </w:tcPr>
          <w:p w14:paraId="78A5D6DA">
            <w:pPr>
              <w:pStyle w:val="14"/>
              <w:tabs>
                <w:tab w:val="left" w:pos="1325"/>
                <w:tab w:val="left" w:pos="1956"/>
                <w:tab w:val="left" w:pos="2604"/>
                <w:tab w:val="left" w:pos="3612"/>
                <w:tab w:val="left" w:pos="4891"/>
              </w:tabs>
              <w:spacing w:before="98" w:line="122" w:lineRule="auto"/>
              <w:ind w:left="1294" w:right="307" w:hanging="1080"/>
              <w:rPr>
                <w:rFonts w:ascii="Wingdings" w:hAnsi="Wingdings"/>
                <w:sz w:val="20"/>
              </w:rPr>
            </w:pPr>
            <w:r>
              <w:rPr>
                <w:rFonts w:ascii="Times New Roman" w:hAnsi="Times New Roman"/>
                <w:sz w:val="20"/>
              </w:rPr>
              <w:t>0</w:t>
            </w:r>
            <w:r>
              <w:rPr>
                <w:rFonts w:ascii="Times New Roman" w:hAnsi="Times New Roman"/>
                <w:spacing w:val="-9"/>
                <w:sz w:val="20"/>
              </w:rPr>
              <w:t xml:space="preserve"> </w:t>
            </w:r>
            <w:r>
              <w:rPr>
                <w:sz w:val="20"/>
              </w:rPr>
              <w:t>类区□</w:t>
            </w:r>
            <w:r>
              <w:rPr>
                <w:sz w:val="20"/>
              </w:rPr>
              <w:tab/>
            </w:r>
            <w:r>
              <w:rPr>
                <w:sz w:val="20"/>
              </w:rPr>
              <w:tab/>
            </w:r>
            <w:r>
              <w:rPr>
                <w:rFonts w:ascii="Times New Roman" w:hAnsi="Times New Roman"/>
                <w:position w:val="13"/>
                <w:sz w:val="20"/>
              </w:rPr>
              <w:t>1</w:t>
            </w:r>
            <w:r>
              <w:rPr>
                <w:rFonts w:ascii="Times New Roman" w:hAnsi="Times New Roman"/>
                <w:spacing w:val="-12"/>
                <w:position w:val="13"/>
                <w:sz w:val="20"/>
              </w:rPr>
              <w:t xml:space="preserve"> </w:t>
            </w:r>
            <w:r>
              <w:rPr>
                <w:position w:val="13"/>
                <w:sz w:val="20"/>
              </w:rPr>
              <w:t>类</w:t>
            </w:r>
            <w:r>
              <w:rPr>
                <w:position w:val="13"/>
                <w:sz w:val="20"/>
              </w:rPr>
              <w:tab/>
            </w:r>
            <w:r>
              <w:rPr>
                <w:rFonts w:ascii="Times New Roman" w:hAnsi="Times New Roman"/>
                <w:position w:val="13"/>
                <w:sz w:val="20"/>
              </w:rPr>
              <w:t>2</w:t>
            </w:r>
            <w:r>
              <w:rPr>
                <w:rFonts w:ascii="Times New Roman" w:hAnsi="Times New Roman"/>
                <w:spacing w:val="-12"/>
                <w:position w:val="13"/>
                <w:sz w:val="20"/>
              </w:rPr>
              <w:t xml:space="preserve"> </w:t>
            </w:r>
            <w:r>
              <w:rPr>
                <w:position w:val="13"/>
                <w:sz w:val="20"/>
              </w:rPr>
              <w:t>类</w:t>
            </w:r>
            <w:r>
              <w:rPr>
                <w:position w:val="13"/>
                <w:sz w:val="20"/>
              </w:rPr>
              <w:tab/>
            </w:r>
            <w:r>
              <w:rPr>
                <w:rFonts w:ascii="Times New Roman" w:hAnsi="Times New Roman"/>
                <w:sz w:val="20"/>
              </w:rPr>
              <w:t>3</w:t>
            </w:r>
            <w:r>
              <w:rPr>
                <w:rFonts w:ascii="Times New Roman" w:hAnsi="Times New Roman"/>
                <w:spacing w:val="-12"/>
                <w:sz w:val="20"/>
              </w:rPr>
              <w:t xml:space="preserve"> </w:t>
            </w:r>
            <w:r>
              <w:rPr>
                <w:sz w:val="20"/>
              </w:rPr>
              <w:t>类区□</w:t>
            </w:r>
            <w:r>
              <w:rPr>
                <w:sz w:val="20"/>
              </w:rPr>
              <w:tab/>
            </w:r>
            <w:r>
              <w:rPr>
                <w:rFonts w:ascii="Times New Roman" w:hAnsi="Times New Roman"/>
                <w:sz w:val="20"/>
              </w:rPr>
              <w:t>4a</w:t>
            </w:r>
            <w:r>
              <w:rPr>
                <w:rFonts w:ascii="Times New Roman" w:hAnsi="Times New Roman"/>
                <w:spacing w:val="-13"/>
                <w:sz w:val="20"/>
              </w:rPr>
              <w:t xml:space="preserve"> </w:t>
            </w:r>
            <w:r>
              <w:rPr>
                <w:sz w:val="20"/>
              </w:rPr>
              <w:t>类区□</w:t>
            </w:r>
            <w:r>
              <w:rPr>
                <w:sz w:val="20"/>
              </w:rPr>
              <w:tab/>
            </w:r>
            <w:r>
              <w:rPr>
                <w:rFonts w:ascii="Times New Roman" w:hAnsi="Times New Roman"/>
                <w:sz w:val="20"/>
              </w:rPr>
              <w:t>4b</w:t>
            </w:r>
            <w:r>
              <w:rPr>
                <w:rFonts w:ascii="Times New Roman" w:hAnsi="Times New Roman"/>
                <w:spacing w:val="-12"/>
                <w:sz w:val="20"/>
              </w:rPr>
              <w:t xml:space="preserve"> </w:t>
            </w:r>
            <w:r>
              <w:rPr>
                <w:sz w:val="20"/>
              </w:rPr>
              <w:t>类区□ 区□</w:t>
            </w:r>
            <w:r>
              <w:rPr>
                <w:sz w:val="20"/>
              </w:rPr>
              <w:tab/>
            </w:r>
            <w:r>
              <w:rPr>
                <w:sz w:val="20"/>
              </w:rPr>
              <w:t>区</w:t>
            </w:r>
            <w:r>
              <w:rPr>
                <w:rFonts w:ascii="Wingdings" w:hAnsi="Wingdings"/>
                <w:sz w:val="20"/>
              </w:rPr>
              <w:t></w:t>
            </w:r>
          </w:p>
        </w:tc>
      </w:tr>
      <w:tr w14:paraId="0635A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53" w:type="dxa"/>
            <w:vMerge w:val="continue"/>
            <w:tcBorders>
              <w:top w:val="nil"/>
            </w:tcBorders>
          </w:tcPr>
          <w:p w14:paraId="052BBABA">
            <w:pPr>
              <w:rPr>
                <w:sz w:val="2"/>
                <w:szCs w:val="2"/>
              </w:rPr>
            </w:pPr>
          </w:p>
        </w:tc>
        <w:tc>
          <w:tcPr>
            <w:tcW w:w="1318" w:type="dxa"/>
          </w:tcPr>
          <w:p w14:paraId="11442ED3">
            <w:pPr>
              <w:pStyle w:val="14"/>
              <w:spacing w:before="51"/>
              <w:ind w:left="136" w:right="130"/>
              <w:jc w:val="center"/>
              <w:rPr>
                <w:sz w:val="20"/>
              </w:rPr>
            </w:pPr>
            <w:r>
              <w:rPr>
                <w:sz w:val="20"/>
              </w:rPr>
              <w:t>评价年度</w:t>
            </w:r>
          </w:p>
        </w:tc>
        <w:tc>
          <w:tcPr>
            <w:tcW w:w="6051" w:type="dxa"/>
            <w:gridSpan w:val="2"/>
          </w:tcPr>
          <w:p w14:paraId="4B6AF080">
            <w:pPr>
              <w:pStyle w:val="14"/>
              <w:tabs>
                <w:tab w:val="left" w:pos="1519"/>
                <w:tab w:val="left" w:pos="3050"/>
                <w:tab w:val="left" w:pos="4841"/>
              </w:tabs>
              <w:spacing w:before="51"/>
              <w:ind w:left="295"/>
              <w:rPr>
                <w:sz w:val="20"/>
              </w:rPr>
            </w:pPr>
            <w:r>
              <w:rPr>
                <w:sz w:val="20"/>
              </w:rPr>
              <w:t>初期</w:t>
            </w:r>
            <w:r>
              <w:rPr>
                <w:rFonts w:ascii="Wingdings" w:hAnsi="Wingdings" w:eastAsia="Wingdings"/>
                <w:sz w:val="20"/>
              </w:rPr>
              <w:t></w:t>
            </w:r>
            <w:r>
              <w:rPr>
                <w:rFonts w:ascii="Times New Roman" w:hAnsi="Times New Roman" w:eastAsia="Times New Roman"/>
                <w:sz w:val="20"/>
              </w:rPr>
              <w:tab/>
            </w:r>
            <w:r>
              <w:rPr>
                <w:sz w:val="20"/>
              </w:rPr>
              <w:t>近期□</w:t>
            </w:r>
            <w:r>
              <w:rPr>
                <w:sz w:val="20"/>
              </w:rPr>
              <w:tab/>
            </w:r>
            <w:r>
              <w:rPr>
                <w:sz w:val="20"/>
              </w:rPr>
              <w:t>中期□</w:t>
            </w:r>
            <w:r>
              <w:rPr>
                <w:sz w:val="20"/>
              </w:rPr>
              <w:tab/>
            </w:r>
            <w:r>
              <w:rPr>
                <w:sz w:val="20"/>
              </w:rPr>
              <w:t>远期□</w:t>
            </w:r>
          </w:p>
        </w:tc>
      </w:tr>
      <w:tr w14:paraId="7690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153" w:type="dxa"/>
            <w:vMerge w:val="continue"/>
            <w:tcBorders>
              <w:top w:val="nil"/>
            </w:tcBorders>
          </w:tcPr>
          <w:p w14:paraId="55FB1FA3">
            <w:pPr>
              <w:rPr>
                <w:sz w:val="2"/>
                <w:szCs w:val="2"/>
              </w:rPr>
            </w:pPr>
          </w:p>
        </w:tc>
        <w:tc>
          <w:tcPr>
            <w:tcW w:w="1318" w:type="dxa"/>
          </w:tcPr>
          <w:p w14:paraId="40D68B67">
            <w:pPr>
              <w:pStyle w:val="14"/>
              <w:spacing w:before="2" w:line="242" w:lineRule="auto"/>
              <w:ind w:left="557" w:right="148" w:hanging="399"/>
              <w:rPr>
                <w:sz w:val="20"/>
              </w:rPr>
            </w:pPr>
            <w:r>
              <w:rPr>
                <w:sz w:val="20"/>
              </w:rPr>
              <w:t>现场调查方法</w:t>
            </w:r>
          </w:p>
        </w:tc>
        <w:tc>
          <w:tcPr>
            <w:tcW w:w="6051" w:type="dxa"/>
            <w:gridSpan w:val="2"/>
          </w:tcPr>
          <w:p w14:paraId="6E27687D">
            <w:pPr>
              <w:pStyle w:val="14"/>
              <w:tabs>
                <w:tab w:val="left" w:pos="1601"/>
                <w:tab w:val="left" w:pos="4639"/>
              </w:tabs>
              <w:spacing w:before="95" w:line="124" w:lineRule="auto"/>
              <w:ind w:left="396" w:right="398" w:hanging="212"/>
              <w:rPr>
                <w:rFonts w:ascii="Wingdings" w:hAnsi="Wingdings"/>
                <w:sz w:val="20"/>
              </w:rPr>
            </w:pPr>
            <w:r>
              <w:rPr>
                <w:position w:val="13"/>
                <w:sz w:val="20"/>
              </w:rPr>
              <w:t>现场实测</w:t>
            </w:r>
            <w:r>
              <w:rPr>
                <w:position w:val="13"/>
                <w:sz w:val="20"/>
              </w:rPr>
              <w:tab/>
            </w:r>
            <w:r>
              <w:rPr>
                <w:sz w:val="20"/>
              </w:rPr>
              <w:t>现场实测加模型计算法□</w:t>
            </w:r>
            <w:r>
              <w:rPr>
                <w:sz w:val="20"/>
              </w:rPr>
              <w:tab/>
            </w:r>
            <w:r>
              <w:rPr>
                <w:sz w:val="20"/>
              </w:rPr>
              <w:t>收集资料□ 法</w:t>
            </w:r>
            <w:r>
              <w:rPr>
                <w:rFonts w:ascii="Wingdings" w:hAnsi="Wingdings"/>
                <w:sz w:val="20"/>
              </w:rPr>
              <w:t></w:t>
            </w:r>
          </w:p>
        </w:tc>
      </w:tr>
      <w:tr w14:paraId="264F0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153" w:type="dxa"/>
            <w:vMerge w:val="continue"/>
            <w:tcBorders>
              <w:top w:val="nil"/>
            </w:tcBorders>
          </w:tcPr>
          <w:p w14:paraId="7CBA2477">
            <w:pPr>
              <w:rPr>
                <w:sz w:val="2"/>
                <w:szCs w:val="2"/>
              </w:rPr>
            </w:pPr>
          </w:p>
        </w:tc>
        <w:tc>
          <w:tcPr>
            <w:tcW w:w="1318" w:type="dxa"/>
          </w:tcPr>
          <w:p w14:paraId="44CA9632">
            <w:pPr>
              <w:pStyle w:val="14"/>
              <w:spacing w:before="132"/>
              <w:ind w:left="136" w:right="130"/>
              <w:jc w:val="center"/>
              <w:rPr>
                <w:sz w:val="20"/>
              </w:rPr>
            </w:pPr>
            <w:r>
              <w:rPr>
                <w:sz w:val="20"/>
              </w:rPr>
              <w:t>现状评价</w:t>
            </w:r>
          </w:p>
        </w:tc>
        <w:tc>
          <w:tcPr>
            <w:tcW w:w="1171" w:type="dxa"/>
          </w:tcPr>
          <w:p w14:paraId="3365836B">
            <w:pPr>
              <w:pStyle w:val="14"/>
              <w:spacing w:before="2" w:line="242" w:lineRule="auto"/>
              <w:ind w:left="485" w:right="174" w:hanging="300"/>
              <w:rPr>
                <w:sz w:val="20"/>
              </w:rPr>
            </w:pPr>
            <w:r>
              <w:rPr>
                <w:sz w:val="20"/>
              </w:rPr>
              <w:t>达标百分比</w:t>
            </w:r>
          </w:p>
        </w:tc>
        <w:tc>
          <w:tcPr>
            <w:tcW w:w="4880" w:type="dxa"/>
          </w:tcPr>
          <w:p w14:paraId="3BAECD2C">
            <w:pPr>
              <w:pStyle w:val="14"/>
              <w:spacing w:before="145"/>
              <w:ind w:left="2269" w:right="2260"/>
              <w:jc w:val="center"/>
              <w:rPr>
                <w:rFonts w:ascii="Times New Roman"/>
                <w:sz w:val="20"/>
              </w:rPr>
            </w:pPr>
            <w:r>
              <w:rPr>
                <w:rFonts w:ascii="Times New Roman"/>
                <w:sz w:val="20"/>
              </w:rPr>
              <w:t>100</w:t>
            </w:r>
          </w:p>
        </w:tc>
      </w:tr>
      <w:tr w14:paraId="5A0DD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153" w:type="dxa"/>
          </w:tcPr>
          <w:p w14:paraId="51E9D244">
            <w:pPr>
              <w:pStyle w:val="14"/>
              <w:spacing w:before="2" w:line="242" w:lineRule="auto"/>
              <w:ind w:left="474" w:right="167" w:hanging="300"/>
              <w:rPr>
                <w:sz w:val="20"/>
              </w:rPr>
            </w:pPr>
            <w:r>
              <w:rPr>
                <w:sz w:val="20"/>
              </w:rPr>
              <w:t>噪声源调查</w:t>
            </w:r>
          </w:p>
        </w:tc>
        <w:tc>
          <w:tcPr>
            <w:tcW w:w="1318" w:type="dxa"/>
          </w:tcPr>
          <w:p w14:paraId="4D2285D2">
            <w:pPr>
              <w:pStyle w:val="14"/>
              <w:spacing w:before="2" w:line="242" w:lineRule="auto"/>
              <w:ind w:left="459" w:right="148" w:hanging="300"/>
              <w:rPr>
                <w:sz w:val="20"/>
              </w:rPr>
            </w:pPr>
            <w:r>
              <w:rPr>
                <w:w w:val="95"/>
                <w:sz w:val="20"/>
              </w:rPr>
              <w:t>噪声源调查</w:t>
            </w:r>
            <w:r>
              <w:rPr>
                <w:sz w:val="20"/>
              </w:rPr>
              <w:t>方法</w:t>
            </w:r>
          </w:p>
        </w:tc>
        <w:tc>
          <w:tcPr>
            <w:tcW w:w="6051" w:type="dxa"/>
            <w:gridSpan w:val="2"/>
          </w:tcPr>
          <w:p w14:paraId="225773C6">
            <w:pPr>
              <w:pStyle w:val="14"/>
              <w:spacing w:before="2" w:line="193" w:lineRule="exact"/>
              <w:ind w:left="185"/>
              <w:rPr>
                <w:sz w:val="20"/>
              </w:rPr>
            </w:pPr>
            <w:r>
              <w:rPr>
                <w:sz w:val="20"/>
              </w:rPr>
              <w:t>现场实测</w:t>
            </w:r>
          </w:p>
          <w:p w14:paraId="5C95099A">
            <w:pPr>
              <w:pStyle w:val="14"/>
              <w:tabs>
                <w:tab w:val="left" w:pos="2210"/>
                <w:tab w:val="left" w:pos="4639"/>
              </w:tabs>
              <w:spacing w:line="163" w:lineRule="auto"/>
              <w:ind w:left="485"/>
              <w:rPr>
                <w:sz w:val="20"/>
              </w:rPr>
            </w:pPr>
            <w:r>
              <w:rPr>
                <w:position w:val="-12"/>
                <w:sz w:val="20"/>
              </w:rPr>
              <w:t>□</w:t>
            </w:r>
            <w:r>
              <w:rPr>
                <w:position w:val="-12"/>
                <w:sz w:val="20"/>
              </w:rPr>
              <w:tab/>
            </w:r>
            <w:r>
              <w:rPr>
                <w:sz w:val="20"/>
              </w:rPr>
              <w:t>已有资料</w:t>
            </w:r>
            <w:r>
              <w:rPr>
                <w:rFonts w:ascii="Wingdings" w:hAnsi="Wingdings" w:eastAsia="Wingdings"/>
                <w:sz w:val="20"/>
              </w:rPr>
              <w:t></w:t>
            </w:r>
            <w:r>
              <w:rPr>
                <w:rFonts w:ascii="Times New Roman" w:hAnsi="Times New Roman" w:eastAsia="Times New Roman"/>
                <w:sz w:val="20"/>
              </w:rPr>
              <w:tab/>
            </w:r>
            <w:r>
              <w:rPr>
                <w:sz w:val="20"/>
              </w:rPr>
              <w:t>研究成果□</w:t>
            </w:r>
          </w:p>
        </w:tc>
      </w:tr>
      <w:tr w14:paraId="7AF9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53" w:type="dxa"/>
            <w:vMerge w:val="restart"/>
          </w:tcPr>
          <w:p w14:paraId="64A0AEF5">
            <w:pPr>
              <w:pStyle w:val="14"/>
              <w:rPr>
                <w:b/>
                <w:sz w:val="20"/>
              </w:rPr>
            </w:pPr>
          </w:p>
          <w:p w14:paraId="56727CB8">
            <w:pPr>
              <w:pStyle w:val="14"/>
              <w:rPr>
                <w:b/>
                <w:sz w:val="20"/>
              </w:rPr>
            </w:pPr>
          </w:p>
          <w:p w14:paraId="7CF7D1EB">
            <w:pPr>
              <w:pStyle w:val="14"/>
              <w:rPr>
                <w:b/>
                <w:sz w:val="20"/>
              </w:rPr>
            </w:pPr>
          </w:p>
          <w:p w14:paraId="7556BA3C">
            <w:pPr>
              <w:pStyle w:val="14"/>
              <w:spacing w:before="10"/>
              <w:rPr>
                <w:b/>
                <w:sz w:val="24"/>
              </w:rPr>
            </w:pPr>
          </w:p>
          <w:p w14:paraId="73B44701">
            <w:pPr>
              <w:pStyle w:val="14"/>
              <w:spacing w:line="242" w:lineRule="auto"/>
              <w:ind w:left="174" w:right="167"/>
              <w:jc w:val="center"/>
              <w:rPr>
                <w:sz w:val="20"/>
              </w:rPr>
            </w:pPr>
            <w:r>
              <w:rPr>
                <w:w w:val="95"/>
                <w:sz w:val="20"/>
              </w:rPr>
              <w:t>声环境影响预测与</w:t>
            </w:r>
            <w:r>
              <w:rPr>
                <w:sz w:val="20"/>
              </w:rPr>
              <w:t>评价</w:t>
            </w:r>
          </w:p>
        </w:tc>
        <w:tc>
          <w:tcPr>
            <w:tcW w:w="1318" w:type="dxa"/>
          </w:tcPr>
          <w:p w14:paraId="75FB7E54">
            <w:pPr>
              <w:pStyle w:val="14"/>
              <w:spacing w:before="52"/>
              <w:ind w:left="136" w:right="130"/>
              <w:jc w:val="center"/>
              <w:rPr>
                <w:sz w:val="20"/>
              </w:rPr>
            </w:pPr>
            <w:r>
              <w:rPr>
                <w:sz w:val="20"/>
              </w:rPr>
              <w:t>预测模式</w:t>
            </w:r>
          </w:p>
        </w:tc>
        <w:tc>
          <w:tcPr>
            <w:tcW w:w="6051" w:type="dxa"/>
            <w:gridSpan w:val="2"/>
          </w:tcPr>
          <w:p w14:paraId="0B070005">
            <w:pPr>
              <w:pStyle w:val="14"/>
              <w:tabs>
                <w:tab w:val="left" w:pos="3960"/>
              </w:tabs>
              <w:spacing w:before="52"/>
              <w:ind w:left="545"/>
              <w:rPr>
                <w:sz w:val="20"/>
              </w:rPr>
            </w:pPr>
            <w:r>
              <w:rPr>
                <w:sz w:val="20"/>
              </w:rPr>
              <w:t>导则推荐模型</w:t>
            </w:r>
            <w:r>
              <w:rPr>
                <w:rFonts w:ascii="Wingdings" w:hAnsi="Wingdings" w:eastAsia="Wingdings"/>
                <w:sz w:val="20"/>
              </w:rPr>
              <w:t></w:t>
            </w:r>
            <w:r>
              <w:rPr>
                <w:rFonts w:ascii="Times New Roman" w:hAnsi="Times New Roman" w:eastAsia="Times New Roman"/>
                <w:sz w:val="20"/>
              </w:rPr>
              <w:tab/>
            </w:r>
            <w:r>
              <w:rPr>
                <w:sz w:val="20"/>
              </w:rPr>
              <w:t>其他□</w:t>
            </w:r>
          </w:p>
        </w:tc>
      </w:tr>
      <w:tr w14:paraId="1C5BA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53" w:type="dxa"/>
            <w:vMerge w:val="continue"/>
            <w:tcBorders>
              <w:top w:val="nil"/>
            </w:tcBorders>
          </w:tcPr>
          <w:p w14:paraId="71A7F6BE">
            <w:pPr>
              <w:rPr>
                <w:sz w:val="2"/>
                <w:szCs w:val="2"/>
              </w:rPr>
            </w:pPr>
          </w:p>
        </w:tc>
        <w:tc>
          <w:tcPr>
            <w:tcW w:w="1318" w:type="dxa"/>
          </w:tcPr>
          <w:p w14:paraId="51FB68A4">
            <w:pPr>
              <w:pStyle w:val="14"/>
              <w:spacing w:before="51"/>
              <w:ind w:left="136" w:right="130"/>
              <w:jc w:val="center"/>
              <w:rPr>
                <w:sz w:val="20"/>
              </w:rPr>
            </w:pPr>
            <w:r>
              <w:rPr>
                <w:sz w:val="20"/>
              </w:rPr>
              <w:t>预测范围</w:t>
            </w:r>
          </w:p>
        </w:tc>
        <w:tc>
          <w:tcPr>
            <w:tcW w:w="6051" w:type="dxa"/>
            <w:gridSpan w:val="2"/>
          </w:tcPr>
          <w:p w14:paraId="2DBDE8D0">
            <w:pPr>
              <w:pStyle w:val="14"/>
              <w:tabs>
                <w:tab w:val="left" w:pos="2148"/>
                <w:tab w:val="left" w:pos="4598"/>
              </w:tabs>
              <w:spacing w:before="51"/>
              <w:ind w:left="257"/>
              <w:rPr>
                <w:rFonts w:ascii="Wingdings" w:hAnsi="Wingdings"/>
                <w:sz w:val="20"/>
              </w:rPr>
            </w:pPr>
            <w:r>
              <w:rPr>
                <w:rFonts w:ascii="Times New Roman" w:hAnsi="Times New Roman"/>
                <w:sz w:val="20"/>
              </w:rPr>
              <w:t>200m</w:t>
            </w:r>
            <w:r>
              <w:rPr>
                <w:sz w:val="20"/>
              </w:rPr>
              <w:t>□</w:t>
            </w:r>
            <w:r>
              <w:rPr>
                <w:sz w:val="20"/>
              </w:rPr>
              <w:tab/>
            </w:r>
            <w:r>
              <w:rPr>
                <w:sz w:val="20"/>
              </w:rPr>
              <w:t>大于</w:t>
            </w:r>
            <w:r>
              <w:rPr>
                <w:spacing w:val="-52"/>
                <w:sz w:val="20"/>
              </w:rPr>
              <w:t xml:space="preserve"> </w:t>
            </w:r>
            <w:r>
              <w:rPr>
                <w:rFonts w:ascii="Times New Roman" w:hAnsi="Times New Roman"/>
                <w:sz w:val="20"/>
              </w:rPr>
              <w:t>200m</w:t>
            </w:r>
            <w:r>
              <w:rPr>
                <w:sz w:val="20"/>
              </w:rPr>
              <w:t>□</w:t>
            </w:r>
            <w:r>
              <w:rPr>
                <w:sz w:val="20"/>
              </w:rPr>
              <w:tab/>
            </w:r>
            <w:r>
              <w:rPr>
                <w:sz w:val="20"/>
              </w:rPr>
              <w:t>小于</w:t>
            </w:r>
            <w:r>
              <w:rPr>
                <w:spacing w:val="-51"/>
                <w:sz w:val="20"/>
              </w:rPr>
              <w:t xml:space="preserve"> </w:t>
            </w:r>
            <w:r>
              <w:rPr>
                <w:rFonts w:ascii="Times New Roman" w:hAnsi="Times New Roman"/>
                <w:sz w:val="20"/>
              </w:rPr>
              <w:t>200m</w:t>
            </w:r>
            <w:r>
              <w:rPr>
                <w:rFonts w:ascii="Wingdings" w:hAnsi="Wingdings"/>
                <w:sz w:val="20"/>
              </w:rPr>
              <w:t></w:t>
            </w:r>
          </w:p>
        </w:tc>
      </w:tr>
      <w:tr w14:paraId="7ACAD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153" w:type="dxa"/>
            <w:vMerge w:val="continue"/>
            <w:tcBorders>
              <w:top w:val="nil"/>
            </w:tcBorders>
          </w:tcPr>
          <w:p w14:paraId="751C6363">
            <w:pPr>
              <w:rPr>
                <w:sz w:val="2"/>
                <w:szCs w:val="2"/>
              </w:rPr>
            </w:pPr>
          </w:p>
        </w:tc>
        <w:tc>
          <w:tcPr>
            <w:tcW w:w="1318" w:type="dxa"/>
          </w:tcPr>
          <w:p w14:paraId="701332D7">
            <w:pPr>
              <w:pStyle w:val="14"/>
              <w:spacing w:before="129"/>
              <w:ind w:left="136" w:right="130"/>
              <w:jc w:val="center"/>
              <w:rPr>
                <w:sz w:val="20"/>
              </w:rPr>
            </w:pPr>
            <w:r>
              <w:rPr>
                <w:sz w:val="20"/>
              </w:rPr>
              <w:t>预测因子</w:t>
            </w:r>
          </w:p>
        </w:tc>
        <w:tc>
          <w:tcPr>
            <w:tcW w:w="6051" w:type="dxa"/>
            <w:gridSpan w:val="2"/>
          </w:tcPr>
          <w:p w14:paraId="14C6136F">
            <w:pPr>
              <w:pStyle w:val="14"/>
              <w:tabs>
                <w:tab w:val="left" w:pos="2734"/>
                <w:tab w:val="left" w:pos="4339"/>
              </w:tabs>
              <w:spacing w:line="323" w:lineRule="exact"/>
              <w:ind w:left="427"/>
              <w:rPr>
                <w:sz w:val="20"/>
              </w:rPr>
            </w:pPr>
            <w:r>
              <w:rPr>
                <w:sz w:val="20"/>
              </w:rPr>
              <w:t>等效连续</w:t>
            </w:r>
            <w:r>
              <w:rPr>
                <w:spacing w:val="-48"/>
                <w:sz w:val="20"/>
              </w:rPr>
              <w:t xml:space="preserve"> </w:t>
            </w:r>
            <w:r>
              <w:rPr>
                <w:rFonts w:ascii="Times New Roman" w:hAnsi="Times New Roman" w:eastAsia="Times New Roman"/>
                <w:sz w:val="20"/>
              </w:rPr>
              <w:t>A</w:t>
            </w:r>
            <w:r>
              <w:rPr>
                <w:rFonts w:ascii="Times New Roman" w:hAnsi="Times New Roman" w:eastAsia="Times New Roman"/>
                <w:spacing w:val="-13"/>
                <w:sz w:val="20"/>
              </w:rPr>
              <w:t xml:space="preserve"> </w:t>
            </w:r>
            <w:r>
              <w:rPr>
                <w:sz w:val="20"/>
              </w:rPr>
              <w:t>声级</w:t>
            </w:r>
            <w:r>
              <w:rPr>
                <w:rFonts w:ascii="Wingdings" w:hAnsi="Wingdings" w:eastAsia="Wingdings"/>
                <w:sz w:val="20"/>
              </w:rPr>
              <w:t></w:t>
            </w:r>
            <w:r>
              <w:rPr>
                <w:rFonts w:ascii="Times New Roman" w:hAnsi="Times New Roman" w:eastAsia="Times New Roman"/>
                <w:sz w:val="20"/>
              </w:rPr>
              <w:tab/>
            </w:r>
            <w:r>
              <w:rPr>
                <w:sz w:val="20"/>
              </w:rPr>
              <w:t>最大</w:t>
            </w:r>
            <w:r>
              <w:rPr>
                <w:spacing w:val="-51"/>
                <w:sz w:val="20"/>
              </w:rPr>
              <w:t xml:space="preserve"> </w:t>
            </w:r>
            <w:r>
              <w:rPr>
                <w:rFonts w:ascii="Times New Roman" w:hAnsi="Times New Roman" w:eastAsia="Times New Roman"/>
                <w:sz w:val="20"/>
              </w:rPr>
              <w:t>A</w:t>
            </w:r>
            <w:r>
              <w:rPr>
                <w:rFonts w:ascii="Times New Roman" w:hAnsi="Times New Roman" w:eastAsia="Times New Roman"/>
                <w:spacing w:val="-10"/>
                <w:sz w:val="20"/>
              </w:rPr>
              <w:t xml:space="preserve"> </w:t>
            </w:r>
            <w:r>
              <w:rPr>
                <w:sz w:val="20"/>
              </w:rPr>
              <w:t>声级□</w:t>
            </w:r>
            <w:r>
              <w:rPr>
                <w:sz w:val="20"/>
              </w:rPr>
              <w:tab/>
            </w:r>
            <w:r>
              <w:rPr>
                <w:position w:val="13"/>
                <w:sz w:val="20"/>
              </w:rPr>
              <w:t>计权等效连续感觉</w:t>
            </w:r>
          </w:p>
          <w:p w14:paraId="79E684C8">
            <w:pPr>
              <w:pStyle w:val="14"/>
              <w:spacing w:line="193" w:lineRule="exact"/>
              <w:ind w:right="499"/>
              <w:jc w:val="right"/>
              <w:rPr>
                <w:sz w:val="20"/>
              </w:rPr>
            </w:pPr>
            <w:r>
              <w:rPr>
                <w:w w:val="95"/>
                <w:sz w:val="20"/>
              </w:rPr>
              <w:t>噪声级□</w:t>
            </w:r>
          </w:p>
        </w:tc>
      </w:tr>
      <w:tr w14:paraId="39024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153" w:type="dxa"/>
            <w:vMerge w:val="continue"/>
            <w:tcBorders>
              <w:top w:val="nil"/>
            </w:tcBorders>
          </w:tcPr>
          <w:p w14:paraId="173E4D38">
            <w:pPr>
              <w:rPr>
                <w:sz w:val="2"/>
                <w:szCs w:val="2"/>
              </w:rPr>
            </w:pPr>
          </w:p>
        </w:tc>
        <w:tc>
          <w:tcPr>
            <w:tcW w:w="1318" w:type="dxa"/>
          </w:tcPr>
          <w:p w14:paraId="760EA758">
            <w:pPr>
              <w:pStyle w:val="14"/>
              <w:spacing w:before="2"/>
              <w:ind w:left="459" w:right="148" w:hanging="300"/>
              <w:rPr>
                <w:sz w:val="20"/>
              </w:rPr>
            </w:pPr>
            <w:r>
              <w:rPr>
                <w:w w:val="95"/>
                <w:sz w:val="20"/>
              </w:rPr>
              <w:t>厂区噪声贡</w:t>
            </w:r>
            <w:r>
              <w:rPr>
                <w:sz w:val="20"/>
              </w:rPr>
              <w:t>献值</w:t>
            </w:r>
          </w:p>
        </w:tc>
        <w:tc>
          <w:tcPr>
            <w:tcW w:w="6051" w:type="dxa"/>
            <w:gridSpan w:val="2"/>
          </w:tcPr>
          <w:p w14:paraId="3047445D">
            <w:pPr>
              <w:pStyle w:val="14"/>
              <w:tabs>
                <w:tab w:val="left" w:pos="3859"/>
              </w:tabs>
              <w:spacing w:before="129"/>
              <w:ind w:left="946"/>
              <w:rPr>
                <w:sz w:val="20"/>
              </w:rPr>
            </w:pPr>
            <w:r>
              <w:rPr>
                <w:sz w:val="20"/>
              </w:rPr>
              <w:t>达标</w:t>
            </w:r>
            <w:r>
              <w:rPr>
                <w:rFonts w:ascii="Wingdings" w:hAnsi="Wingdings" w:eastAsia="Wingdings"/>
                <w:sz w:val="20"/>
              </w:rPr>
              <w:t></w:t>
            </w:r>
            <w:r>
              <w:rPr>
                <w:rFonts w:ascii="Times New Roman" w:hAnsi="Times New Roman" w:eastAsia="Times New Roman"/>
                <w:sz w:val="20"/>
              </w:rPr>
              <w:tab/>
            </w:r>
            <w:r>
              <w:rPr>
                <w:sz w:val="20"/>
              </w:rPr>
              <w:t>不达标□</w:t>
            </w:r>
          </w:p>
        </w:tc>
      </w:tr>
      <w:tr w14:paraId="067F0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1153" w:type="dxa"/>
            <w:vMerge w:val="continue"/>
            <w:tcBorders>
              <w:top w:val="nil"/>
            </w:tcBorders>
          </w:tcPr>
          <w:p w14:paraId="39A78173">
            <w:pPr>
              <w:rPr>
                <w:sz w:val="2"/>
                <w:szCs w:val="2"/>
              </w:rPr>
            </w:pPr>
          </w:p>
        </w:tc>
        <w:tc>
          <w:tcPr>
            <w:tcW w:w="1318" w:type="dxa"/>
          </w:tcPr>
          <w:p w14:paraId="7E875606">
            <w:pPr>
              <w:pStyle w:val="14"/>
              <w:spacing w:before="3" w:line="242" w:lineRule="auto"/>
              <w:ind w:left="159" w:right="148"/>
              <w:jc w:val="center"/>
              <w:rPr>
                <w:sz w:val="20"/>
              </w:rPr>
            </w:pPr>
            <w:r>
              <w:rPr>
                <w:w w:val="95"/>
                <w:sz w:val="20"/>
              </w:rPr>
              <w:t>声环境保护目标处噪声</w:t>
            </w:r>
            <w:r>
              <w:rPr>
                <w:sz w:val="20"/>
              </w:rPr>
              <w:t>值</w:t>
            </w:r>
          </w:p>
        </w:tc>
        <w:tc>
          <w:tcPr>
            <w:tcW w:w="6051" w:type="dxa"/>
            <w:gridSpan w:val="2"/>
          </w:tcPr>
          <w:p w14:paraId="6FBDFCA8">
            <w:pPr>
              <w:pStyle w:val="14"/>
              <w:spacing w:before="5"/>
              <w:rPr>
                <w:b/>
                <w:sz w:val="20"/>
              </w:rPr>
            </w:pPr>
          </w:p>
          <w:p w14:paraId="423329E1">
            <w:pPr>
              <w:pStyle w:val="14"/>
              <w:tabs>
                <w:tab w:val="left" w:pos="3859"/>
              </w:tabs>
              <w:ind w:left="946"/>
              <w:rPr>
                <w:sz w:val="20"/>
              </w:rPr>
            </w:pPr>
            <w:r>
              <w:rPr>
                <w:sz w:val="20"/>
              </w:rPr>
              <w:t>达标</w:t>
            </w:r>
            <w:r>
              <w:rPr>
                <w:rFonts w:ascii="Wingdings" w:hAnsi="Wingdings" w:eastAsia="Wingdings"/>
                <w:sz w:val="20"/>
              </w:rPr>
              <w:t></w:t>
            </w:r>
            <w:r>
              <w:rPr>
                <w:rFonts w:ascii="Times New Roman" w:hAnsi="Times New Roman" w:eastAsia="Times New Roman"/>
                <w:sz w:val="20"/>
              </w:rPr>
              <w:tab/>
            </w:r>
            <w:r>
              <w:rPr>
                <w:sz w:val="20"/>
              </w:rPr>
              <w:t>不达标□</w:t>
            </w:r>
          </w:p>
        </w:tc>
      </w:tr>
      <w:tr w14:paraId="025C3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1153" w:type="dxa"/>
            <w:vMerge w:val="restart"/>
          </w:tcPr>
          <w:p w14:paraId="3E403DBC">
            <w:pPr>
              <w:pStyle w:val="14"/>
              <w:rPr>
                <w:b/>
                <w:sz w:val="20"/>
              </w:rPr>
            </w:pPr>
          </w:p>
          <w:p w14:paraId="23FE5CB4">
            <w:pPr>
              <w:pStyle w:val="14"/>
              <w:spacing w:before="6"/>
              <w:rPr>
                <w:b/>
                <w:sz w:val="24"/>
              </w:rPr>
            </w:pPr>
          </w:p>
          <w:p w14:paraId="0F8BD0CC">
            <w:pPr>
              <w:pStyle w:val="14"/>
              <w:spacing w:line="242" w:lineRule="auto"/>
              <w:ind w:left="376" w:right="167" w:hanging="202"/>
              <w:rPr>
                <w:sz w:val="20"/>
              </w:rPr>
            </w:pPr>
            <w:r>
              <w:rPr>
                <w:sz w:val="20"/>
              </w:rPr>
              <w:t>环境监测计划</w:t>
            </w:r>
          </w:p>
        </w:tc>
        <w:tc>
          <w:tcPr>
            <w:tcW w:w="1318" w:type="dxa"/>
          </w:tcPr>
          <w:p w14:paraId="0D78AD93">
            <w:pPr>
              <w:pStyle w:val="14"/>
              <w:spacing w:before="4"/>
              <w:rPr>
                <w:b/>
                <w:sz w:val="20"/>
              </w:rPr>
            </w:pPr>
          </w:p>
          <w:p w14:paraId="372F5D6A">
            <w:pPr>
              <w:pStyle w:val="14"/>
              <w:ind w:left="136" w:right="130"/>
              <w:jc w:val="center"/>
              <w:rPr>
                <w:sz w:val="20"/>
              </w:rPr>
            </w:pPr>
            <w:r>
              <w:rPr>
                <w:sz w:val="20"/>
              </w:rPr>
              <w:t>排放监测</w:t>
            </w:r>
          </w:p>
        </w:tc>
        <w:tc>
          <w:tcPr>
            <w:tcW w:w="6051" w:type="dxa"/>
            <w:gridSpan w:val="2"/>
          </w:tcPr>
          <w:p w14:paraId="23C4808D">
            <w:pPr>
              <w:pStyle w:val="14"/>
              <w:spacing w:before="1" w:line="193" w:lineRule="exact"/>
              <w:ind w:left="3655"/>
              <w:rPr>
                <w:sz w:val="20"/>
              </w:rPr>
            </w:pPr>
            <w:r>
              <w:rPr>
                <w:sz w:val="20"/>
              </w:rPr>
              <w:t>平动</w:t>
            </w:r>
          </w:p>
          <w:p w14:paraId="7EFE8299">
            <w:pPr>
              <w:pStyle w:val="14"/>
              <w:tabs>
                <w:tab w:val="left" w:pos="1320"/>
                <w:tab w:val="left" w:pos="2674"/>
                <w:tab w:val="left" w:pos="3655"/>
                <w:tab w:val="left" w:pos="4740"/>
              </w:tabs>
              <w:spacing w:line="156" w:lineRule="auto"/>
              <w:ind w:left="185"/>
              <w:rPr>
                <w:sz w:val="20"/>
              </w:rPr>
            </w:pPr>
            <w:r>
              <w:rPr>
                <w:position w:val="-1"/>
                <w:sz w:val="20"/>
              </w:rPr>
              <w:t>厂界监测</w:t>
            </w:r>
            <w:r>
              <w:rPr>
                <w:position w:val="-1"/>
                <w:sz w:val="20"/>
              </w:rPr>
              <w:tab/>
            </w:r>
            <w:r>
              <w:rPr>
                <w:sz w:val="20"/>
              </w:rPr>
              <w:t>固定位置监</w:t>
            </w:r>
            <w:r>
              <w:rPr>
                <w:sz w:val="20"/>
              </w:rPr>
              <w:tab/>
            </w:r>
            <w:r>
              <w:rPr>
                <w:sz w:val="20"/>
              </w:rPr>
              <w:t>自动监</w:t>
            </w:r>
            <w:r>
              <w:rPr>
                <w:sz w:val="20"/>
              </w:rPr>
              <w:tab/>
            </w:r>
            <w:r>
              <w:rPr>
                <w:position w:val="-12"/>
                <w:sz w:val="20"/>
              </w:rPr>
              <w:t>监测</w:t>
            </w:r>
            <w:r>
              <w:rPr>
                <w:position w:val="-12"/>
                <w:sz w:val="20"/>
              </w:rPr>
              <w:tab/>
            </w:r>
            <w:r>
              <w:rPr>
                <w:position w:val="-12"/>
                <w:sz w:val="20"/>
              </w:rPr>
              <w:t>无监测□</w:t>
            </w:r>
          </w:p>
          <w:p w14:paraId="32B53FB3">
            <w:pPr>
              <w:pStyle w:val="14"/>
              <w:numPr>
                <w:ilvl w:val="0"/>
                <w:numId w:val="39"/>
              </w:numPr>
              <w:tabs>
                <w:tab w:val="left" w:pos="1632"/>
                <w:tab w:val="left" w:pos="1633"/>
                <w:tab w:val="left" w:pos="2774"/>
                <w:tab w:val="left" w:pos="3756"/>
              </w:tabs>
              <w:spacing w:before="0" w:after="0" w:line="160" w:lineRule="auto"/>
              <w:ind w:left="1632" w:right="0" w:hanging="1138"/>
              <w:jc w:val="left"/>
              <w:rPr>
                <w:sz w:val="20"/>
              </w:rPr>
            </w:pPr>
            <w:r>
              <w:rPr>
                <w:sz w:val="20"/>
              </w:rPr>
              <w:t>测</w:t>
            </w:r>
            <w:r>
              <w:rPr>
                <w:rFonts w:ascii="Wingdings" w:hAnsi="Wingdings" w:eastAsia="Wingdings"/>
                <w:sz w:val="20"/>
              </w:rPr>
              <w:t></w:t>
            </w:r>
            <w:r>
              <w:rPr>
                <w:rFonts w:ascii="Times New Roman" w:hAnsi="Times New Roman" w:eastAsia="Times New Roman"/>
                <w:sz w:val="20"/>
              </w:rPr>
              <w:tab/>
            </w:r>
            <w:r>
              <w:rPr>
                <w:sz w:val="20"/>
              </w:rPr>
              <w:t>测□</w:t>
            </w:r>
            <w:r>
              <w:rPr>
                <w:sz w:val="20"/>
              </w:rPr>
              <w:tab/>
            </w:r>
            <w:r>
              <w:rPr>
                <w:position w:val="-12"/>
                <w:sz w:val="20"/>
              </w:rPr>
              <w:t>□</w:t>
            </w:r>
          </w:p>
        </w:tc>
      </w:tr>
      <w:tr w14:paraId="73981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1153" w:type="dxa"/>
            <w:vMerge w:val="continue"/>
            <w:tcBorders>
              <w:top w:val="nil"/>
            </w:tcBorders>
          </w:tcPr>
          <w:p w14:paraId="32231E1C">
            <w:pPr>
              <w:rPr>
                <w:sz w:val="2"/>
                <w:szCs w:val="2"/>
              </w:rPr>
            </w:pPr>
          </w:p>
        </w:tc>
        <w:tc>
          <w:tcPr>
            <w:tcW w:w="1318" w:type="dxa"/>
          </w:tcPr>
          <w:p w14:paraId="735FBDCE">
            <w:pPr>
              <w:pStyle w:val="14"/>
              <w:spacing w:before="1" w:line="242" w:lineRule="auto"/>
              <w:ind w:left="159" w:right="148"/>
              <w:jc w:val="center"/>
              <w:rPr>
                <w:sz w:val="20"/>
              </w:rPr>
            </w:pPr>
            <w:r>
              <w:rPr>
                <w:w w:val="95"/>
                <w:sz w:val="20"/>
              </w:rPr>
              <w:t>声环境保护目标处噪声</w:t>
            </w:r>
            <w:r>
              <w:rPr>
                <w:sz w:val="20"/>
              </w:rPr>
              <w:t>监测</w:t>
            </w:r>
          </w:p>
        </w:tc>
        <w:tc>
          <w:tcPr>
            <w:tcW w:w="6051" w:type="dxa"/>
            <w:gridSpan w:val="2"/>
          </w:tcPr>
          <w:p w14:paraId="045C1947">
            <w:pPr>
              <w:pStyle w:val="14"/>
              <w:spacing w:before="10"/>
              <w:rPr>
                <w:b/>
                <w:sz w:val="17"/>
              </w:rPr>
            </w:pPr>
          </w:p>
          <w:p w14:paraId="1D9A9D7E">
            <w:pPr>
              <w:pStyle w:val="14"/>
              <w:tabs>
                <w:tab w:val="left" w:pos="2599"/>
                <w:tab w:val="left" w:pos="4740"/>
              </w:tabs>
              <w:spacing w:line="122" w:lineRule="auto"/>
              <w:ind w:left="1034" w:right="499" w:hanging="917"/>
              <w:rPr>
                <w:sz w:val="20"/>
              </w:rPr>
            </w:pPr>
            <w:r>
              <w:rPr>
                <w:position w:val="13"/>
                <w:sz w:val="20"/>
              </w:rPr>
              <w:t>监测因子（等效连续</w:t>
            </w:r>
            <w:r>
              <w:rPr>
                <w:spacing w:val="-51"/>
                <w:position w:val="13"/>
                <w:sz w:val="20"/>
              </w:rPr>
              <w:t xml:space="preserve"> </w:t>
            </w:r>
            <w:r>
              <w:rPr>
                <w:rFonts w:ascii="Times New Roman" w:hAnsi="Times New Roman" w:eastAsia="Times New Roman"/>
                <w:position w:val="13"/>
                <w:sz w:val="20"/>
              </w:rPr>
              <w:t>A</w:t>
            </w:r>
            <w:r>
              <w:rPr>
                <w:rFonts w:ascii="Times New Roman" w:hAnsi="Times New Roman" w:eastAsia="Times New Roman"/>
                <w:spacing w:val="-13"/>
                <w:position w:val="13"/>
                <w:sz w:val="20"/>
              </w:rPr>
              <w:t xml:space="preserve"> </w:t>
            </w:r>
            <w:r>
              <w:rPr>
                <w:position w:val="13"/>
                <w:sz w:val="20"/>
              </w:rPr>
              <w:t>声</w:t>
            </w:r>
            <w:r>
              <w:rPr>
                <w:position w:val="13"/>
                <w:sz w:val="20"/>
              </w:rPr>
              <w:tab/>
            </w:r>
            <w:r>
              <w:rPr>
                <w:sz w:val="20"/>
              </w:rPr>
              <w:t>监测点位数（</w:t>
            </w:r>
            <w:r>
              <w:rPr>
                <w:rFonts w:ascii="Times New Roman" w:hAnsi="Times New Roman" w:eastAsia="Times New Roman"/>
                <w:sz w:val="20"/>
              </w:rPr>
              <w:t>2</w:t>
            </w:r>
            <w:r>
              <w:rPr>
                <w:sz w:val="20"/>
              </w:rPr>
              <w:t>）</w:t>
            </w:r>
            <w:r>
              <w:rPr>
                <w:sz w:val="20"/>
              </w:rPr>
              <w:tab/>
            </w:r>
            <w:r>
              <w:rPr>
                <w:sz w:val="20"/>
              </w:rPr>
              <w:t>无监测□ 级）</w:t>
            </w:r>
          </w:p>
        </w:tc>
      </w:tr>
      <w:tr w14:paraId="03595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53" w:type="dxa"/>
          </w:tcPr>
          <w:p w14:paraId="77B0312B">
            <w:pPr>
              <w:pStyle w:val="14"/>
              <w:spacing w:before="51"/>
              <w:ind w:left="154" w:right="149"/>
              <w:jc w:val="center"/>
              <w:rPr>
                <w:sz w:val="20"/>
              </w:rPr>
            </w:pPr>
            <w:r>
              <w:rPr>
                <w:sz w:val="20"/>
              </w:rPr>
              <w:t>评价结论</w:t>
            </w:r>
          </w:p>
        </w:tc>
        <w:tc>
          <w:tcPr>
            <w:tcW w:w="1318" w:type="dxa"/>
          </w:tcPr>
          <w:p w14:paraId="56396FDA">
            <w:pPr>
              <w:pStyle w:val="14"/>
              <w:spacing w:before="51"/>
              <w:ind w:left="136" w:right="130"/>
              <w:jc w:val="center"/>
              <w:rPr>
                <w:sz w:val="20"/>
              </w:rPr>
            </w:pPr>
            <w:r>
              <w:rPr>
                <w:sz w:val="20"/>
              </w:rPr>
              <w:t>环境影响</w:t>
            </w:r>
          </w:p>
        </w:tc>
        <w:tc>
          <w:tcPr>
            <w:tcW w:w="6051" w:type="dxa"/>
            <w:gridSpan w:val="2"/>
          </w:tcPr>
          <w:p w14:paraId="643BF9D0">
            <w:pPr>
              <w:pStyle w:val="14"/>
              <w:tabs>
                <w:tab w:val="left" w:pos="3859"/>
              </w:tabs>
              <w:spacing w:before="51"/>
              <w:ind w:left="946"/>
              <w:rPr>
                <w:sz w:val="20"/>
              </w:rPr>
            </w:pPr>
            <w:r>
              <w:rPr>
                <w:sz w:val="20"/>
              </w:rPr>
              <w:t>可行</w:t>
            </w:r>
            <w:r>
              <w:rPr>
                <w:rFonts w:ascii="Wingdings" w:hAnsi="Wingdings" w:eastAsia="Wingdings"/>
                <w:sz w:val="20"/>
              </w:rPr>
              <w:t></w:t>
            </w:r>
            <w:r>
              <w:rPr>
                <w:rFonts w:ascii="Times New Roman" w:hAnsi="Times New Roman" w:eastAsia="Times New Roman"/>
                <w:sz w:val="20"/>
              </w:rPr>
              <w:tab/>
            </w:r>
            <w:r>
              <w:rPr>
                <w:sz w:val="20"/>
              </w:rPr>
              <w:t>不可行□</w:t>
            </w:r>
          </w:p>
        </w:tc>
      </w:tr>
      <w:tr w14:paraId="14159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522" w:type="dxa"/>
            <w:gridSpan w:val="4"/>
          </w:tcPr>
          <w:p w14:paraId="02698F97">
            <w:pPr>
              <w:pStyle w:val="14"/>
              <w:spacing w:before="50"/>
              <w:ind w:left="107"/>
              <w:rPr>
                <w:sz w:val="20"/>
              </w:rPr>
            </w:pPr>
            <w:r>
              <w:rPr>
                <w:spacing w:val="-28"/>
                <w:w w:val="99"/>
                <w:sz w:val="20"/>
              </w:rPr>
              <w:t>注：“□”为勾选项，填“√”；“</w:t>
            </w:r>
            <w:r>
              <w:rPr>
                <w:w w:val="99"/>
                <w:sz w:val="20"/>
              </w:rPr>
              <w:t>（</w:t>
            </w:r>
            <w:r>
              <w:rPr>
                <w:spacing w:val="-99"/>
                <w:w w:val="99"/>
                <w:sz w:val="20"/>
              </w:rPr>
              <w:t>）</w:t>
            </w:r>
            <w:r>
              <w:rPr>
                <w:w w:val="99"/>
                <w:sz w:val="20"/>
              </w:rPr>
              <w:t>”为内容填写项</w:t>
            </w:r>
          </w:p>
        </w:tc>
      </w:tr>
    </w:tbl>
    <w:p w14:paraId="0F506394">
      <w:pPr>
        <w:spacing w:after="0"/>
        <w:rPr>
          <w:sz w:val="20"/>
        </w:rPr>
        <w:sectPr>
          <w:footerReference r:id="rId50" w:type="default"/>
          <w:pgSz w:w="11910" w:h="16840"/>
          <w:pgMar w:top="1360" w:right="1140" w:bottom="1400" w:left="1680" w:header="878" w:footer="1204" w:gutter="0"/>
          <w:pgNumType w:start="210"/>
          <w:cols w:space="720" w:num="1"/>
        </w:sectPr>
      </w:pPr>
    </w:p>
    <w:p w14:paraId="20093755">
      <w:pPr>
        <w:pStyle w:val="7"/>
        <w:rPr>
          <w:b/>
          <w:sz w:val="20"/>
        </w:rPr>
      </w:pPr>
    </w:p>
    <w:p w14:paraId="0F6CE00B">
      <w:pPr>
        <w:pStyle w:val="7"/>
        <w:spacing w:before="10"/>
        <w:rPr>
          <w:b/>
          <w:sz w:val="28"/>
        </w:rPr>
      </w:pPr>
    </w:p>
    <w:p w14:paraId="0D5B0DAF">
      <w:pPr>
        <w:pStyle w:val="6"/>
        <w:spacing w:before="74"/>
        <w:ind w:left="5061" w:right="5063"/>
        <w:jc w:val="center"/>
      </w:pPr>
      <w:r>
        <w:t xml:space="preserve">附表 </w:t>
      </w:r>
      <w:r>
        <w:rPr>
          <w:rFonts w:ascii="Times New Roman" w:eastAsia="Times New Roman"/>
        </w:rPr>
        <w:t xml:space="preserve">3 </w:t>
      </w:r>
      <w:r>
        <w:t>地表水环境影响评价自查表</w:t>
      </w:r>
    </w:p>
    <w:p w14:paraId="2ED55D26">
      <w:pPr>
        <w:pStyle w:val="7"/>
        <w:spacing w:before="4"/>
        <w:rPr>
          <w:b/>
          <w:sz w:val="6"/>
        </w:r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2669"/>
        <w:gridCol w:w="2834"/>
        <w:gridCol w:w="2230"/>
        <w:gridCol w:w="2765"/>
        <w:gridCol w:w="2551"/>
      </w:tblGrid>
      <w:tr w14:paraId="3F59F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tcPr>
          <w:p w14:paraId="4B6CAD18">
            <w:pPr>
              <w:pStyle w:val="14"/>
              <w:spacing w:before="33"/>
              <w:ind w:left="1170" w:right="1165"/>
              <w:jc w:val="center"/>
              <w:rPr>
                <w:sz w:val="21"/>
              </w:rPr>
            </w:pPr>
            <w:r>
              <w:rPr>
                <w:sz w:val="21"/>
              </w:rPr>
              <w:t>工作内容</w:t>
            </w:r>
          </w:p>
        </w:tc>
        <w:tc>
          <w:tcPr>
            <w:tcW w:w="10380" w:type="dxa"/>
            <w:gridSpan w:val="4"/>
          </w:tcPr>
          <w:p w14:paraId="670D9D7A">
            <w:pPr>
              <w:pStyle w:val="14"/>
              <w:spacing w:before="33"/>
              <w:ind w:left="4748" w:right="4741"/>
              <w:jc w:val="center"/>
              <w:rPr>
                <w:sz w:val="21"/>
              </w:rPr>
            </w:pPr>
            <w:r>
              <w:rPr>
                <w:sz w:val="21"/>
              </w:rPr>
              <w:t>自查项目</w:t>
            </w:r>
          </w:p>
        </w:tc>
      </w:tr>
      <w:tr w14:paraId="3DF7C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restart"/>
          </w:tcPr>
          <w:p w14:paraId="74903C20">
            <w:pPr>
              <w:pStyle w:val="14"/>
              <w:rPr>
                <w:b/>
                <w:sz w:val="20"/>
              </w:rPr>
            </w:pPr>
          </w:p>
          <w:p w14:paraId="0B9D19D5">
            <w:pPr>
              <w:pStyle w:val="14"/>
              <w:rPr>
                <w:b/>
                <w:sz w:val="20"/>
              </w:rPr>
            </w:pPr>
          </w:p>
          <w:p w14:paraId="52F3537F">
            <w:pPr>
              <w:pStyle w:val="14"/>
              <w:spacing w:before="154" w:line="242" w:lineRule="auto"/>
              <w:ind w:left="171" w:right="164"/>
              <w:jc w:val="both"/>
              <w:rPr>
                <w:sz w:val="21"/>
              </w:rPr>
            </w:pPr>
            <w:r>
              <w:rPr>
                <w:sz w:val="21"/>
              </w:rPr>
              <w:t>影响识别</w:t>
            </w:r>
          </w:p>
        </w:tc>
        <w:tc>
          <w:tcPr>
            <w:tcW w:w="2669" w:type="dxa"/>
          </w:tcPr>
          <w:p w14:paraId="6F27BD23">
            <w:pPr>
              <w:pStyle w:val="14"/>
              <w:spacing w:before="33"/>
              <w:ind w:left="156" w:right="151"/>
              <w:jc w:val="center"/>
              <w:rPr>
                <w:sz w:val="21"/>
              </w:rPr>
            </w:pPr>
            <w:r>
              <w:rPr>
                <w:sz w:val="21"/>
              </w:rPr>
              <w:t>影响类型</w:t>
            </w:r>
          </w:p>
        </w:tc>
        <w:tc>
          <w:tcPr>
            <w:tcW w:w="10380" w:type="dxa"/>
            <w:gridSpan w:val="4"/>
          </w:tcPr>
          <w:p w14:paraId="2DAD2171">
            <w:pPr>
              <w:pStyle w:val="14"/>
              <w:spacing w:before="36"/>
              <w:ind w:left="106"/>
              <w:rPr>
                <w:rFonts w:ascii="Wingdings" w:hAnsi="Wingdings"/>
                <w:sz w:val="20"/>
              </w:rPr>
            </w:pPr>
            <w:r>
              <w:rPr>
                <w:sz w:val="21"/>
              </w:rPr>
              <w:t xml:space="preserve">水污染影响型 </w:t>
            </w:r>
            <w:r>
              <w:rPr>
                <w:rFonts w:ascii="Wingdings" w:hAnsi="Wingdings"/>
                <w:sz w:val="20"/>
              </w:rPr>
              <w:t></w:t>
            </w:r>
            <w:r>
              <w:rPr>
                <w:sz w:val="20"/>
              </w:rPr>
              <w:t xml:space="preserve">；水文要素影响型 </w:t>
            </w:r>
            <w:r>
              <w:rPr>
                <w:rFonts w:ascii="Wingdings" w:hAnsi="Wingdings"/>
                <w:sz w:val="20"/>
              </w:rPr>
              <w:t></w:t>
            </w:r>
          </w:p>
        </w:tc>
      </w:tr>
      <w:tr w14:paraId="031D8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557" w:type="dxa"/>
            <w:vMerge w:val="continue"/>
            <w:tcBorders>
              <w:top w:val="nil"/>
            </w:tcBorders>
          </w:tcPr>
          <w:p w14:paraId="47AD5E0B">
            <w:pPr>
              <w:rPr>
                <w:sz w:val="2"/>
                <w:szCs w:val="2"/>
              </w:rPr>
            </w:pPr>
          </w:p>
        </w:tc>
        <w:tc>
          <w:tcPr>
            <w:tcW w:w="2669" w:type="dxa"/>
          </w:tcPr>
          <w:p w14:paraId="6930DD59">
            <w:pPr>
              <w:pStyle w:val="14"/>
              <w:spacing w:before="4"/>
              <w:rPr>
                <w:b/>
                <w:sz w:val="21"/>
              </w:rPr>
            </w:pPr>
          </w:p>
          <w:p w14:paraId="0AD90CDA">
            <w:pPr>
              <w:pStyle w:val="14"/>
              <w:spacing w:before="1"/>
              <w:ind w:left="158" w:right="151"/>
              <w:jc w:val="center"/>
              <w:rPr>
                <w:sz w:val="21"/>
              </w:rPr>
            </w:pPr>
            <w:r>
              <w:rPr>
                <w:sz w:val="21"/>
              </w:rPr>
              <w:t>水环境保护目标</w:t>
            </w:r>
          </w:p>
        </w:tc>
        <w:tc>
          <w:tcPr>
            <w:tcW w:w="10380" w:type="dxa"/>
            <w:gridSpan w:val="4"/>
          </w:tcPr>
          <w:p w14:paraId="4FFF018A">
            <w:pPr>
              <w:pStyle w:val="14"/>
              <w:ind w:left="106"/>
              <w:rPr>
                <w:sz w:val="21"/>
              </w:rPr>
            </w:pPr>
            <w:r>
              <w:rPr>
                <w:sz w:val="21"/>
              </w:rPr>
              <w:t xml:space="preserve">饮用水水源保护区 </w:t>
            </w:r>
            <w:r>
              <w:rPr>
                <w:rFonts w:ascii="Wingdings" w:hAnsi="Wingdings" w:eastAsia="Wingdings"/>
                <w:sz w:val="20"/>
              </w:rPr>
              <w:t></w:t>
            </w:r>
            <w:r>
              <w:rPr>
                <w:sz w:val="21"/>
              </w:rPr>
              <w:t xml:space="preserve">；饮用水取水口 </w:t>
            </w:r>
            <w:r>
              <w:rPr>
                <w:rFonts w:ascii="Wingdings" w:hAnsi="Wingdings" w:eastAsia="Wingdings"/>
                <w:sz w:val="20"/>
              </w:rPr>
              <w:t></w:t>
            </w:r>
            <w:r>
              <w:rPr>
                <w:sz w:val="21"/>
              </w:rPr>
              <w:t xml:space="preserve">；涉水的自然保护区 </w:t>
            </w:r>
            <w:r>
              <w:rPr>
                <w:rFonts w:ascii="Wingdings" w:hAnsi="Wingdings" w:eastAsia="Wingdings"/>
                <w:sz w:val="20"/>
              </w:rPr>
              <w:t></w:t>
            </w:r>
            <w:r>
              <w:rPr>
                <w:sz w:val="21"/>
              </w:rPr>
              <w:t xml:space="preserve">；重要湿地 </w:t>
            </w:r>
            <w:r>
              <w:rPr>
                <w:rFonts w:ascii="Wingdings" w:hAnsi="Wingdings" w:eastAsia="Wingdings"/>
                <w:sz w:val="20"/>
              </w:rPr>
              <w:t></w:t>
            </w:r>
            <w:r>
              <w:rPr>
                <w:sz w:val="21"/>
              </w:rPr>
              <w:t>；</w:t>
            </w:r>
          </w:p>
          <w:p w14:paraId="4E60C1BF">
            <w:pPr>
              <w:pStyle w:val="14"/>
              <w:spacing w:before="4" w:line="270" w:lineRule="atLeast"/>
              <w:ind w:left="106" w:right="96"/>
              <w:rPr>
                <w:rFonts w:ascii="Wingdings" w:hAnsi="Wingdings"/>
                <w:sz w:val="20"/>
              </w:rPr>
            </w:pPr>
            <w:r>
              <w:rPr>
                <w:sz w:val="21"/>
              </w:rPr>
              <w:t xml:space="preserve">重点保护与珍稀水生生物的栖息地 </w:t>
            </w:r>
            <w:r>
              <w:rPr>
                <w:rFonts w:ascii="Wingdings" w:hAnsi="Wingdings"/>
                <w:sz w:val="20"/>
              </w:rPr>
              <w:t></w:t>
            </w:r>
            <w:r>
              <w:rPr>
                <w:sz w:val="21"/>
              </w:rPr>
              <w:t xml:space="preserve">；重要水生生物的自然产卵地及索耳场、越冬场和洄游通道、天然渔场等水体；涉水的风景名胜区 </w:t>
            </w:r>
            <w:r>
              <w:rPr>
                <w:rFonts w:ascii="Wingdings" w:hAnsi="Wingdings"/>
                <w:sz w:val="20"/>
              </w:rPr>
              <w:t></w:t>
            </w:r>
            <w:r>
              <w:rPr>
                <w:sz w:val="21"/>
              </w:rPr>
              <w:t xml:space="preserve">；其他 </w:t>
            </w:r>
            <w:r>
              <w:rPr>
                <w:rFonts w:ascii="Wingdings" w:hAnsi="Wingdings"/>
                <w:sz w:val="20"/>
              </w:rPr>
              <w:t></w:t>
            </w:r>
          </w:p>
        </w:tc>
      </w:tr>
      <w:tr w14:paraId="177E1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3008158C">
            <w:pPr>
              <w:rPr>
                <w:sz w:val="2"/>
                <w:szCs w:val="2"/>
              </w:rPr>
            </w:pPr>
          </w:p>
        </w:tc>
        <w:tc>
          <w:tcPr>
            <w:tcW w:w="2669" w:type="dxa"/>
            <w:vMerge w:val="restart"/>
          </w:tcPr>
          <w:p w14:paraId="67DFC4CF">
            <w:pPr>
              <w:pStyle w:val="14"/>
              <w:spacing w:before="5"/>
              <w:rPr>
                <w:b/>
                <w:sz w:val="16"/>
              </w:rPr>
            </w:pPr>
          </w:p>
          <w:p w14:paraId="2BF1467E">
            <w:pPr>
              <w:pStyle w:val="14"/>
              <w:ind w:left="156" w:right="151"/>
              <w:jc w:val="center"/>
              <w:rPr>
                <w:sz w:val="21"/>
              </w:rPr>
            </w:pPr>
            <w:r>
              <w:rPr>
                <w:sz w:val="21"/>
              </w:rPr>
              <w:t>影响途径</w:t>
            </w:r>
          </w:p>
        </w:tc>
        <w:tc>
          <w:tcPr>
            <w:tcW w:w="5064" w:type="dxa"/>
            <w:gridSpan w:val="2"/>
          </w:tcPr>
          <w:p w14:paraId="0E8CB3F1">
            <w:pPr>
              <w:pStyle w:val="14"/>
              <w:spacing w:before="35"/>
              <w:ind w:left="1880" w:right="1873"/>
              <w:jc w:val="center"/>
              <w:rPr>
                <w:sz w:val="21"/>
              </w:rPr>
            </w:pPr>
            <w:r>
              <w:rPr>
                <w:sz w:val="21"/>
              </w:rPr>
              <w:t>水污染影响型</w:t>
            </w:r>
          </w:p>
        </w:tc>
        <w:tc>
          <w:tcPr>
            <w:tcW w:w="5316" w:type="dxa"/>
            <w:gridSpan w:val="2"/>
          </w:tcPr>
          <w:p w14:paraId="6D9B6B7C">
            <w:pPr>
              <w:pStyle w:val="14"/>
              <w:spacing w:before="35"/>
              <w:ind w:left="1902" w:right="1893"/>
              <w:jc w:val="center"/>
              <w:rPr>
                <w:sz w:val="21"/>
              </w:rPr>
            </w:pPr>
            <w:r>
              <w:rPr>
                <w:sz w:val="21"/>
              </w:rPr>
              <w:t>水文要素影响型</w:t>
            </w:r>
          </w:p>
        </w:tc>
      </w:tr>
      <w:tr w14:paraId="1C15F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5154D865">
            <w:pPr>
              <w:rPr>
                <w:sz w:val="2"/>
                <w:szCs w:val="2"/>
              </w:rPr>
            </w:pPr>
          </w:p>
        </w:tc>
        <w:tc>
          <w:tcPr>
            <w:tcW w:w="2669" w:type="dxa"/>
            <w:vMerge w:val="continue"/>
            <w:tcBorders>
              <w:top w:val="nil"/>
            </w:tcBorders>
          </w:tcPr>
          <w:p w14:paraId="7CC29976">
            <w:pPr>
              <w:rPr>
                <w:sz w:val="2"/>
                <w:szCs w:val="2"/>
              </w:rPr>
            </w:pPr>
          </w:p>
        </w:tc>
        <w:tc>
          <w:tcPr>
            <w:tcW w:w="5064" w:type="dxa"/>
            <w:gridSpan w:val="2"/>
          </w:tcPr>
          <w:p w14:paraId="56E89CDE">
            <w:pPr>
              <w:pStyle w:val="14"/>
              <w:spacing w:before="33"/>
              <w:ind w:left="106"/>
              <w:rPr>
                <w:rFonts w:ascii="Wingdings" w:hAnsi="Wingdings"/>
                <w:sz w:val="20"/>
              </w:rPr>
            </w:pPr>
            <w:r>
              <w:rPr>
                <w:sz w:val="21"/>
              </w:rPr>
              <w:t xml:space="preserve">直接排放 </w:t>
            </w:r>
            <w:r>
              <w:rPr>
                <w:rFonts w:ascii="Wingdings" w:hAnsi="Wingdings"/>
                <w:sz w:val="20"/>
              </w:rPr>
              <w:t></w:t>
            </w:r>
            <w:r>
              <w:rPr>
                <w:sz w:val="21"/>
              </w:rPr>
              <w:t xml:space="preserve">；间接排放 </w:t>
            </w:r>
            <w:r>
              <w:rPr>
                <w:rFonts w:ascii="Wingdings" w:hAnsi="Wingdings"/>
                <w:sz w:val="20"/>
              </w:rPr>
              <w:t></w:t>
            </w:r>
            <w:r>
              <w:rPr>
                <w:sz w:val="21"/>
              </w:rPr>
              <w:t xml:space="preserve">；其他 </w:t>
            </w:r>
            <w:r>
              <w:rPr>
                <w:rFonts w:ascii="Wingdings" w:hAnsi="Wingdings"/>
                <w:sz w:val="20"/>
              </w:rPr>
              <w:t></w:t>
            </w:r>
          </w:p>
        </w:tc>
        <w:tc>
          <w:tcPr>
            <w:tcW w:w="5316" w:type="dxa"/>
            <w:gridSpan w:val="2"/>
          </w:tcPr>
          <w:p w14:paraId="5B80BD44">
            <w:pPr>
              <w:pStyle w:val="14"/>
              <w:spacing w:before="33"/>
              <w:ind w:left="106"/>
              <w:rPr>
                <w:rFonts w:ascii="Wingdings" w:hAnsi="Wingdings"/>
                <w:sz w:val="20"/>
              </w:rPr>
            </w:pPr>
            <w:r>
              <w:rPr>
                <w:sz w:val="21"/>
              </w:rPr>
              <w:t xml:space="preserve">水温 </w:t>
            </w:r>
            <w:r>
              <w:rPr>
                <w:rFonts w:ascii="Wingdings" w:hAnsi="Wingdings"/>
                <w:sz w:val="20"/>
              </w:rPr>
              <w:t></w:t>
            </w:r>
            <w:r>
              <w:rPr>
                <w:sz w:val="21"/>
              </w:rPr>
              <w:t xml:space="preserve">；径流 </w:t>
            </w:r>
            <w:r>
              <w:rPr>
                <w:rFonts w:ascii="Wingdings" w:hAnsi="Wingdings"/>
                <w:sz w:val="20"/>
              </w:rPr>
              <w:t></w:t>
            </w:r>
            <w:r>
              <w:rPr>
                <w:sz w:val="21"/>
              </w:rPr>
              <w:t xml:space="preserve">；水域面积 </w:t>
            </w:r>
            <w:r>
              <w:rPr>
                <w:rFonts w:ascii="Wingdings" w:hAnsi="Wingdings"/>
                <w:sz w:val="20"/>
              </w:rPr>
              <w:t></w:t>
            </w:r>
          </w:p>
        </w:tc>
      </w:tr>
      <w:tr w14:paraId="2C574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57" w:type="dxa"/>
            <w:vMerge w:val="continue"/>
            <w:tcBorders>
              <w:top w:val="nil"/>
            </w:tcBorders>
          </w:tcPr>
          <w:p w14:paraId="5BDF82AE">
            <w:pPr>
              <w:rPr>
                <w:sz w:val="2"/>
                <w:szCs w:val="2"/>
              </w:rPr>
            </w:pPr>
          </w:p>
        </w:tc>
        <w:tc>
          <w:tcPr>
            <w:tcW w:w="2669" w:type="dxa"/>
          </w:tcPr>
          <w:p w14:paraId="3F15F6F9">
            <w:pPr>
              <w:pStyle w:val="14"/>
              <w:spacing w:before="136"/>
              <w:ind w:left="156" w:right="151"/>
              <w:jc w:val="center"/>
              <w:rPr>
                <w:sz w:val="21"/>
              </w:rPr>
            </w:pPr>
            <w:r>
              <w:rPr>
                <w:sz w:val="21"/>
              </w:rPr>
              <w:t>影响因子</w:t>
            </w:r>
          </w:p>
        </w:tc>
        <w:tc>
          <w:tcPr>
            <w:tcW w:w="5064" w:type="dxa"/>
            <w:gridSpan w:val="2"/>
          </w:tcPr>
          <w:p w14:paraId="7F3F8D65">
            <w:pPr>
              <w:pStyle w:val="14"/>
              <w:spacing w:before="1" w:line="270" w:lineRule="atLeast"/>
              <w:ind w:left="106" w:right="133"/>
              <w:rPr>
                <w:rFonts w:ascii="Wingdings" w:hAnsi="Wingdings"/>
                <w:sz w:val="20"/>
              </w:rPr>
            </w:pPr>
            <w:r>
              <w:rPr>
                <w:spacing w:val="-8"/>
                <w:sz w:val="21"/>
              </w:rPr>
              <w:t xml:space="preserve">持久性污染物 </w:t>
            </w:r>
            <w:r>
              <w:rPr>
                <w:rFonts w:ascii="Wingdings" w:hAnsi="Wingdings"/>
                <w:sz w:val="20"/>
              </w:rPr>
              <w:t></w:t>
            </w:r>
            <w:r>
              <w:rPr>
                <w:spacing w:val="-6"/>
                <w:sz w:val="21"/>
              </w:rPr>
              <w:t xml:space="preserve">；有毒有害污染物 </w:t>
            </w:r>
            <w:r>
              <w:rPr>
                <w:rFonts w:ascii="Wingdings" w:hAnsi="Wingdings"/>
                <w:sz w:val="20"/>
              </w:rPr>
              <w:t></w:t>
            </w:r>
            <w:r>
              <w:rPr>
                <w:sz w:val="21"/>
              </w:rPr>
              <w:t>；非持久性污</w:t>
            </w:r>
            <w:r>
              <w:rPr>
                <w:spacing w:val="-18"/>
                <w:sz w:val="21"/>
              </w:rPr>
              <w:t xml:space="preserve">染物 </w:t>
            </w:r>
            <w:r>
              <w:rPr>
                <w:rFonts w:ascii="Wingdings" w:hAnsi="Wingdings"/>
                <w:sz w:val="20"/>
              </w:rPr>
              <w:t></w:t>
            </w:r>
            <w:r>
              <w:rPr>
                <w:sz w:val="21"/>
              </w:rPr>
              <w:t>；</w:t>
            </w:r>
            <w:r>
              <w:rPr>
                <w:rFonts w:ascii="Times New Roman" w:hAnsi="Times New Roman"/>
                <w:sz w:val="21"/>
              </w:rPr>
              <w:t xml:space="preserve">pH </w:t>
            </w:r>
            <w:r>
              <w:rPr>
                <w:spacing w:val="-27"/>
                <w:sz w:val="21"/>
              </w:rPr>
              <w:t xml:space="preserve">值 </w:t>
            </w:r>
            <w:r>
              <w:rPr>
                <w:rFonts w:ascii="Wingdings" w:hAnsi="Wingdings"/>
                <w:sz w:val="20"/>
              </w:rPr>
              <w:t></w:t>
            </w:r>
            <w:r>
              <w:rPr>
                <w:spacing w:val="-11"/>
                <w:sz w:val="21"/>
              </w:rPr>
              <w:t xml:space="preserve">；热污染 </w:t>
            </w:r>
            <w:r>
              <w:rPr>
                <w:rFonts w:ascii="Wingdings" w:hAnsi="Wingdings"/>
                <w:sz w:val="20"/>
              </w:rPr>
              <w:t></w:t>
            </w:r>
            <w:r>
              <w:rPr>
                <w:spacing w:val="-10"/>
                <w:sz w:val="21"/>
              </w:rPr>
              <w:t xml:space="preserve">；富营养化 </w:t>
            </w:r>
            <w:r>
              <w:rPr>
                <w:rFonts w:ascii="Wingdings" w:hAnsi="Wingdings"/>
                <w:sz w:val="20"/>
              </w:rPr>
              <w:t></w:t>
            </w:r>
            <w:r>
              <w:rPr>
                <w:spacing w:val="-14"/>
                <w:sz w:val="21"/>
              </w:rPr>
              <w:t xml:space="preserve">；其他 </w:t>
            </w:r>
            <w:r>
              <w:rPr>
                <w:rFonts w:ascii="Wingdings" w:hAnsi="Wingdings"/>
                <w:sz w:val="20"/>
              </w:rPr>
              <w:t></w:t>
            </w:r>
          </w:p>
        </w:tc>
        <w:tc>
          <w:tcPr>
            <w:tcW w:w="5316" w:type="dxa"/>
            <w:gridSpan w:val="2"/>
          </w:tcPr>
          <w:p w14:paraId="33BB6102">
            <w:pPr>
              <w:pStyle w:val="14"/>
              <w:spacing w:before="136"/>
              <w:ind w:left="106"/>
              <w:rPr>
                <w:rFonts w:ascii="Wingdings" w:hAnsi="Wingdings"/>
                <w:sz w:val="20"/>
              </w:rPr>
            </w:pPr>
            <w:r>
              <w:rPr>
                <w:spacing w:val="-18"/>
                <w:sz w:val="21"/>
              </w:rPr>
              <w:t xml:space="preserve">水温 </w:t>
            </w:r>
            <w:r>
              <w:rPr>
                <w:rFonts w:ascii="Wingdings" w:hAnsi="Wingdings"/>
                <w:sz w:val="20"/>
              </w:rPr>
              <w:t></w:t>
            </w:r>
            <w:r>
              <w:rPr>
                <w:sz w:val="21"/>
              </w:rPr>
              <w:t>；水位（水深）</w:t>
            </w:r>
            <w:r>
              <w:rPr>
                <w:spacing w:val="-52"/>
                <w:sz w:val="21"/>
              </w:rPr>
              <w:t xml:space="preserve"> </w:t>
            </w:r>
            <w:r>
              <w:rPr>
                <w:rFonts w:ascii="Wingdings" w:hAnsi="Wingdings"/>
                <w:sz w:val="20"/>
              </w:rPr>
              <w:t></w:t>
            </w:r>
            <w:r>
              <w:rPr>
                <w:spacing w:val="-14"/>
                <w:sz w:val="21"/>
              </w:rPr>
              <w:t xml:space="preserve">；流速 </w:t>
            </w:r>
            <w:r>
              <w:rPr>
                <w:rFonts w:ascii="Wingdings" w:hAnsi="Wingdings"/>
                <w:sz w:val="20"/>
              </w:rPr>
              <w:t></w:t>
            </w:r>
            <w:r>
              <w:rPr>
                <w:spacing w:val="-13"/>
                <w:sz w:val="21"/>
              </w:rPr>
              <w:t xml:space="preserve">；流量 </w:t>
            </w:r>
            <w:r>
              <w:rPr>
                <w:rFonts w:ascii="Wingdings" w:hAnsi="Wingdings"/>
                <w:sz w:val="20"/>
              </w:rPr>
              <w:t></w:t>
            </w:r>
            <w:r>
              <w:rPr>
                <w:spacing w:val="-14"/>
                <w:sz w:val="21"/>
              </w:rPr>
              <w:t xml:space="preserve">；其他 </w:t>
            </w:r>
            <w:r>
              <w:rPr>
                <w:rFonts w:ascii="Wingdings" w:hAnsi="Wingdings"/>
                <w:sz w:val="20"/>
              </w:rPr>
              <w:t></w:t>
            </w:r>
          </w:p>
        </w:tc>
      </w:tr>
      <w:tr w14:paraId="44B8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vMerge w:val="restart"/>
          </w:tcPr>
          <w:p w14:paraId="34E37A64">
            <w:pPr>
              <w:pStyle w:val="14"/>
              <w:spacing w:before="3"/>
              <w:rPr>
                <w:b/>
                <w:sz w:val="16"/>
              </w:rPr>
            </w:pPr>
          </w:p>
          <w:p w14:paraId="1D498E26">
            <w:pPr>
              <w:pStyle w:val="14"/>
              <w:ind w:left="1170" w:right="1165"/>
              <w:jc w:val="center"/>
              <w:rPr>
                <w:sz w:val="21"/>
              </w:rPr>
            </w:pPr>
            <w:r>
              <w:rPr>
                <w:sz w:val="21"/>
              </w:rPr>
              <w:t>评价等级</w:t>
            </w:r>
          </w:p>
        </w:tc>
        <w:tc>
          <w:tcPr>
            <w:tcW w:w="5064" w:type="dxa"/>
            <w:gridSpan w:val="2"/>
          </w:tcPr>
          <w:p w14:paraId="4184B26B">
            <w:pPr>
              <w:pStyle w:val="14"/>
              <w:spacing w:before="32"/>
              <w:ind w:left="1880" w:right="1873"/>
              <w:jc w:val="center"/>
              <w:rPr>
                <w:sz w:val="21"/>
              </w:rPr>
            </w:pPr>
            <w:r>
              <w:rPr>
                <w:sz w:val="21"/>
              </w:rPr>
              <w:t>水污染影响型</w:t>
            </w:r>
          </w:p>
        </w:tc>
        <w:tc>
          <w:tcPr>
            <w:tcW w:w="5316" w:type="dxa"/>
            <w:gridSpan w:val="2"/>
          </w:tcPr>
          <w:p w14:paraId="2FBCFD10">
            <w:pPr>
              <w:pStyle w:val="14"/>
              <w:spacing w:before="32"/>
              <w:ind w:left="1902" w:right="1893"/>
              <w:jc w:val="center"/>
              <w:rPr>
                <w:sz w:val="21"/>
              </w:rPr>
            </w:pPr>
            <w:r>
              <w:rPr>
                <w:sz w:val="21"/>
              </w:rPr>
              <w:t>水文要素影响型</w:t>
            </w:r>
          </w:p>
        </w:tc>
      </w:tr>
      <w:tr w14:paraId="238CF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vMerge w:val="continue"/>
            <w:tcBorders>
              <w:top w:val="nil"/>
            </w:tcBorders>
          </w:tcPr>
          <w:p w14:paraId="564AC4BC">
            <w:pPr>
              <w:rPr>
                <w:sz w:val="2"/>
                <w:szCs w:val="2"/>
              </w:rPr>
            </w:pPr>
          </w:p>
        </w:tc>
        <w:tc>
          <w:tcPr>
            <w:tcW w:w="5064" w:type="dxa"/>
            <w:gridSpan w:val="2"/>
          </w:tcPr>
          <w:p w14:paraId="7A00F635">
            <w:pPr>
              <w:pStyle w:val="14"/>
              <w:spacing w:before="33"/>
              <w:ind w:left="106"/>
              <w:rPr>
                <w:rFonts w:ascii="Wingdings" w:hAnsi="Wingdings"/>
                <w:sz w:val="20"/>
              </w:rPr>
            </w:pPr>
            <w:r>
              <w:rPr>
                <w:sz w:val="21"/>
              </w:rPr>
              <w:t xml:space="preserve">一级 </w:t>
            </w:r>
            <w:r>
              <w:rPr>
                <w:rFonts w:ascii="Wingdings" w:hAnsi="Wingdings"/>
                <w:sz w:val="20"/>
              </w:rPr>
              <w:t></w:t>
            </w:r>
            <w:r>
              <w:rPr>
                <w:sz w:val="21"/>
              </w:rPr>
              <w:t xml:space="preserve">；二级 </w:t>
            </w:r>
            <w:r>
              <w:rPr>
                <w:rFonts w:ascii="Wingdings" w:hAnsi="Wingdings"/>
                <w:sz w:val="20"/>
              </w:rPr>
              <w:t></w:t>
            </w:r>
            <w:r>
              <w:rPr>
                <w:sz w:val="21"/>
              </w:rPr>
              <w:t xml:space="preserve">；三级 </w:t>
            </w:r>
            <w:r>
              <w:rPr>
                <w:rFonts w:ascii="Times New Roman" w:hAnsi="Times New Roman"/>
                <w:sz w:val="21"/>
              </w:rPr>
              <w:t xml:space="preserve">A </w:t>
            </w:r>
            <w:r>
              <w:rPr>
                <w:rFonts w:ascii="Wingdings" w:hAnsi="Wingdings"/>
                <w:sz w:val="20"/>
              </w:rPr>
              <w:t></w:t>
            </w:r>
            <w:r>
              <w:rPr>
                <w:sz w:val="21"/>
              </w:rPr>
              <w:t xml:space="preserve">；三级 </w:t>
            </w:r>
            <w:r>
              <w:rPr>
                <w:rFonts w:ascii="Times New Roman" w:hAnsi="Times New Roman"/>
                <w:sz w:val="21"/>
              </w:rPr>
              <w:t xml:space="preserve">B </w:t>
            </w:r>
            <w:r>
              <w:rPr>
                <w:rFonts w:ascii="Wingdings" w:hAnsi="Wingdings"/>
                <w:sz w:val="20"/>
              </w:rPr>
              <w:t></w:t>
            </w:r>
          </w:p>
        </w:tc>
        <w:tc>
          <w:tcPr>
            <w:tcW w:w="5316" w:type="dxa"/>
            <w:gridSpan w:val="2"/>
          </w:tcPr>
          <w:p w14:paraId="66DB8174">
            <w:pPr>
              <w:pStyle w:val="14"/>
              <w:spacing w:before="33"/>
              <w:ind w:left="106"/>
              <w:rPr>
                <w:rFonts w:ascii="Wingdings" w:hAnsi="Wingdings"/>
                <w:sz w:val="20"/>
              </w:rPr>
            </w:pPr>
            <w:r>
              <w:rPr>
                <w:sz w:val="21"/>
              </w:rPr>
              <w:t xml:space="preserve">一级 </w:t>
            </w:r>
            <w:r>
              <w:rPr>
                <w:rFonts w:ascii="Wingdings" w:hAnsi="Wingdings"/>
                <w:sz w:val="20"/>
              </w:rPr>
              <w:t></w:t>
            </w:r>
            <w:r>
              <w:rPr>
                <w:sz w:val="21"/>
              </w:rPr>
              <w:t xml:space="preserve">；二级 </w:t>
            </w:r>
            <w:r>
              <w:rPr>
                <w:rFonts w:ascii="Wingdings" w:hAnsi="Wingdings"/>
                <w:sz w:val="20"/>
              </w:rPr>
              <w:t></w:t>
            </w:r>
            <w:r>
              <w:rPr>
                <w:sz w:val="21"/>
              </w:rPr>
              <w:t xml:space="preserve">；三级 </w:t>
            </w:r>
            <w:r>
              <w:rPr>
                <w:rFonts w:ascii="Wingdings" w:hAnsi="Wingdings"/>
                <w:sz w:val="20"/>
              </w:rPr>
              <w:t></w:t>
            </w:r>
          </w:p>
        </w:tc>
      </w:tr>
      <w:tr w14:paraId="668E9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restart"/>
          </w:tcPr>
          <w:p w14:paraId="5FB5AB24">
            <w:pPr>
              <w:pStyle w:val="14"/>
              <w:rPr>
                <w:b/>
                <w:sz w:val="20"/>
              </w:rPr>
            </w:pPr>
          </w:p>
          <w:p w14:paraId="6A0FB592">
            <w:pPr>
              <w:pStyle w:val="14"/>
              <w:rPr>
                <w:b/>
                <w:sz w:val="20"/>
              </w:rPr>
            </w:pPr>
          </w:p>
          <w:p w14:paraId="1339AA0D">
            <w:pPr>
              <w:pStyle w:val="14"/>
              <w:rPr>
                <w:b/>
                <w:sz w:val="20"/>
              </w:rPr>
            </w:pPr>
          </w:p>
          <w:p w14:paraId="736A3B44">
            <w:pPr>
              <w:pStyle w:val="14"/>
              <w:rPr>
                <w:b/>
                <w:sz w:val="20"/>
              </w:rPr>
            </w:pPr>
          </w:p>
          <w:p w14:paraId="5EF9085A">
            <w:pPr>
              <w:pStyle w:val="14"/>
              <w:rPr>
                <w:b/>
                <w:sz w:val="20"/>
              </w:rPr>
            </w:pPr>
          </w:p>
          <w:p w14:paraId="69E64B9A">
            <w:pPr>
              <w:pStyle w:val="14"/>
              <w:spacing w:before="154" w:line="242" w:lineRule="auto"/>
              <w:ind w:left="171" w:right="164"/>
              <w:jc w:val="both"/>
              <w:rPr>
                <w:sz w:val="21"/>
              </w:rPr>
            </w:pPr>
            <w:r>
              <w:rPr>
                <w:sz w:val="21"/>
              </w:rPr>
              <w:t>现状调查</w:t>
            </w:r>
          </w:p>
        </w:tc>
        <w:tc>
          <w:tcPr>
            <w:tcW w:w="2669" w:type="dxa"/>
            <w:vMerge w:val="restart"/>
          </w:tcPr>
          <w:p w14:paraId="09CF28A8">
            <w:pPr>
              <w:pStyle w:val="14"/>
              <w:spacing w:before="2"/>
              <w:rPr>
                <w:b/>
                <w:sz w:val="24"/>
              </w:rPr>
            </w:pPr>
          </w:p>
          <w:p w14:paraId="06402866">
            <w:pPr>
              <w:pStyle w:val="14"/>
              <w:ind w:left="807"/>
              <w:rPr>
                <w:sz w:val="21"/>
              </w:rPr>
            </w:pPr>
            <w:r>
              <w:rPr>
                <w:sz w:val="21"/>
              </w:rPr>
              <w:t>区域污染源</w:t>
            </w:r>
          </w:p>
        </w:tc>
        <w:tc>
          <w:tcPr>
            <w:tcW w:w="5064" w:type="dxa"/>
            <w:gridSpan w:val="2"/>
          </w:tcPr>
          <w:p w14:paraId="687F7E55">
            <w:pPr>
              <w:pStyle w:val="14"/>
              <w:spacing w:before="33"/>
              <w:ind w:left="1877" w:right="1873"/>
              <w:jc w:val="center"/>
              <w:rPr>
                <w:sz w:val="21"/>
              </w:rPr>
            </w:pPr>
            <w:r>
              <w:rPr>
                <w:sz w:val="21"/>
              </w:rPr>
              <w:t>调查项目</w:t>
            </w:r>
          </w:p>
        </w:tc>
        <w:tc>
          <w:tcPr>
            <w:tcW w:w="5316" w:type="dxa"/>
            <w:gridSpan w:val="2"/>
          </w:tcPr>
          <w:p w14:paraId="2CB7078B">
            <w:pPr>
              <w:pStyle w:val="14"/>
              <w:spacing w:before="33"/>
              <w:ind w:left="1900" w:right="1893"/>
              <w:jc w:val="center"/>
              <w:rPr>
                <w:sz w:val="21"/>
              </w:rPr>
            </w:pPr>
            <w:r>
              <w:rPr>
                <w:sz w:val="21"/>
              </w:rPr>
              <w:t>数据来源</w:t>
            </w:r>
          </w:p>
        </w:tc>
      </w:tr>
      <w:tr w14:paraId="16A9C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57" w:type="dxa"/>
            <w:vMerge w:val="continue"/>
            <w:tcBorders>
              <w:top w:val="nil"/>
            </w:tcBorders>
          </w:tcPr>
          <w:p w14:paraId="2996B0A3">
            <w:pPr>
              <w:rPr>
                <w:sz w:val="2"/>
                <w:szCs w:val="2"/>
              </w:rPr>
            </w:pPr>
          </w:p>
        </w:tc>
        <w:tc>
          <w:tcPr>
            <w:tcW w:w="2669" w:type="dxa"/>
            <w:vMerge w:val="continue"/>
            <w:tcBorders>
              <w:top w:val="nil"/>
            </w:tcBorders>
          </w:tcPr>
          <w:p w14:paraId="526D1B4A">
            <w:pPr>
              <w:rPr>
                <w:sz w:val="2"/>
                <w:szCs w:val="2"/>
              </w:rPr>
            </w:pPr>
          </w:p>
        </w:tc>
        <w:tc>
          <w:tcPr>
            <w:tcW w:w="2834" w:type="dxa"/>
          </w:tcPr>
          <w:p w14:paraId="77BE8E5B">
            <w:pPr>
              <w:pStyle w:val="14"/>
              <w:ind w:left="106"/>
              <w:rPr>
                <w:sz w:val="21"/>
              </w:rPr>
            </w:pPr>
            <w:r>
              <w:rPr>
                <w:spacing w:val="-18"/>
                <w:sz w:val="21"/>
              </w:rPr>
              <w:t xml:space="preserve">已建 </w:t>
            </w:r>
            <w:r>
              <w:rPr>
                <w:rFonts w:ascii="Wingdings" w:hAnsi="Wingdings" w:eastAsia="Wingdings"/>
                <w:sz w:val="20"/>
              </w:rPr>
              <w:t></w:t>
            </w:r>
            <w:r>
              <w:rPr>
                <w:spacing w:val="-13"/>
                <w:sz w:val="21"/>
              </w:rPr>
              <w:t xml:space="preserve">；在建 </w:t>
            </w:r>
            <w:r>
              <w:rPr>
                <w:rFonts w:ascii="Wingdings" w:hAnsi="Wingdings" w:eastAsia="Wingdings"/>
                <w:sz w:val="20"/>
              </w:rPr>
              <w:t></w:t>
            </w:r>
            <w:r>
              <w:rPr>
                <w:spacing w:val="-14"/>
                <w:sz w:val="21"/>
              </w:rPr>
              <w:t xml:space="preserve">；拟建 </w:t>
            </w:r>
            <w:r>
              <w:rPr>
                <w:rFonts w:ascii="Wingdings" w:hAnsi="Wingdings" w:eastAsia="Wingdings"/>
                <w:sz w:val="20"/>
              </w:rPr>
              <w:t></w:t>
            </w:r>
            <w:r>
              <w:rPr>
                <w:sz w:val="21"/>
              </w:rPr>
              <w:t>；</w:t>
            </w:r>
          </w:p>
          <w:p w14:paraId="3FD2B883">
            <w:pPr>
              <w:pStyle w:val="14"/>
              <w:spacing w:before="2" w:line="252" w:lineRule="exact"/>
              <w:ind w:left="106"/>
              <w:rPr>
                <w:sz w:val="21"/>
              </w:rPr>
            </w:pPr>
            <w:r>
              <w:rPr>
                <w:sz w:val="21"/>
              </w:rPr>
              <w:t xml:space="preserve">其他 </w:t>
            </w:r>
            <w:r>
              <w:rPr>
                <w:rFonts w:ascii="Wingdings" w:hAnsi="Wingdings" w:eastAsia="Wingdings"/>
                <w:sz w:val="20"/>
              </w:rPr>
              <w:t></w:t>
            </w:r>
            <w:r>
              <w:rPr>
                <w:sz w:val="21"/>
              </w:rPr>
              <w:t>；</w:t>
            </w:r>
          </w:p>
        </w:tc>
        <w:tc>
          <w:tcPr>
            <w:tcW w:w="2230" w:type="dxa"/>
          </w:tcPr>
          <w:p w14:paraId="3464D1D2">
            <w:pPr>
              <w:pStyle w:val="14"/>
              <w:spacing w:before="134"/>
              <w:ind w:left="106"/>
              <w:rPr>
                <w:rFonts w:ascii="Wingdings" w:hAnsi="Wingdings"/>
                <w:sz w:val="20"/>
              </w:rPr>
            </w:pPr>
            <w:r>
              <w:rPr>
                <w:sz w:val="21"/>
              </w:rPr>
              <w:t xml:space="preserve">拟替代的污染源 </w:t>
            </w:r>
            <w:r>
              <w:rPr>
                <w:rFonts w:ascii="Wingdings" w:hAnsi="Wingdings"/>
                <w:sz w:val="20"/>
              </w:rPr>
              <w:t></w:t>
            </w:r>
          </w:p>
        </w:tc>
        <w:tc>
          <w:tcPr>
            <w:tcW w:w="5316" w:type="dxa"/>
            <w:gridSpan w:val="2"/>
          </w:tcPr>
          <w:p w14:paraId="501FA45E">
            <w:pPr>
              <w:pStyle w:val="14"/>
              <w:ind w:left="106"/>
              <w:rPr>
                <w:sz w:val="21"/>
              </w:rPr>
            </w:pPr>
            <w:r>
              <w:rPr>
                <w:sz w:val="21"/>
              </w:rPr>
              <w:t xml:space="preserve">排污许可证 </w:t>
            </w:r>
            <w:r>
              <w:rPr>
                <w:rFonts w:ascii="Wingdings" w:hAnsi="Wingdings" w:eastAsia="Wingdings"/>
                <w:sz w:val="20"/>
              </w:rPr>
              <w:t></w:t>
            </w:r>
            <w:r>
              <w:rPr>
                <w:sz w:val="21"/>
              </w:rPr>
              <w:t xml:space="preserve">；环评 </w:t>
            </w:r>
            <w:r>
              <w:rPr>
                <w:rFonts w:ascii="Wingdings" w:hAnsi="Wingdings" w:eastAsia="Wingdings"/>
                <w:sz w:val="20"/>
              </w:rPr>
              <w:t></w:t>
            </w:r>
            <w:r>
              <w:rPr>
                <w:sz w:val="21"/>
              </w:rPr>
              <w:t xml:space="preserve">；环保验收 </w:t>
            </w:r>
            <w:r>
              <w:rPr>
                <w:rFonts w:ascii="Wingdings" w:hAnsi="Wingdings" w:eastAsia="Wingdings"/>
                <w:sz w:val="20"/>
              </w:rPr>
              <w:t></w:t>
            </w:r>
            <w:r>
              <w:rPr>
                <w:sz w:val="21"/>
              </w:rPr>
              <w:t xml:space="preserve">；即有实测 </w:t>
            </w:r>
            <w:r>
              <w:rPr>
                <w:rFonts w:ascii="Wingdings" w:hAnsi="Wingdings" w:eastAsia="Wingdings"/>
                <w:sz w:val="20"/>
              </w:rPr>
              <w:t></w:t>
            </w:r>
            <w:r>
              <w:rPr>
                <w:sz w:val="21"/>
              </w:rPr>
              <w:t>；</w:t>
            </w:r>
          </w:p>
          <w:p w14:paraId="7BA8F087">
            <w:pPr>
              <w:pStyle w:val="14"/>
              <w:spacing w:before="2" w:line="252" w:lineRule="exact"/>
              <w:ind w:left="106"/>
              <w:rPr>
                <w:rFonts w:ascii="Wingdings" w:hAnsi="Wingdings"/>
                <w:sz w:val="20"/>
              </w:rPr>
            </w:pPr>
            <w:r>
              <w:rPr>
                <w:sz w:val="21"/>
              </w:rPr>
              <w:t xml:space="preserve">现场监测 </w:t>
            </w:r>
            <w:r>
              <w:rPr>
                <w:rFonts w:ascii="Wingdings" w:hAnsi="Wingdings"/>
                <w:sz w:val="20"/>
              </w:rPr>
              <w:t></w:t>
            </w:r>
            <w:r>
              <w:rPr>
                <w:sz w:val="21"/>
              </w:rPr>
              <w:t xml:space="preserve">；入河排放口数据 </w:t>
            </w:r>
            <w:r>
              <w:rPr>
                <w:rFonts w:ascii="Wingdings" w:hAnsi="Wingdings"/>
                <w:sz w:val="20"/>
              </w:rPr>
              <w:t></w:t>
            </w:r>
            <w:r>
              <w:rPr>
                <w:sz w:val="21"/>
              </w:rPr>
              <w:t xml:space="preserve">；其他 </w:t>
            </w:r>
            <w:r>
              <w:rPr>
                <w:rFonts w:ascii="Wingdings" w:hAnsi="Wingdings"/>
                <w:sz w:val="20"/>
              </w:rPr>
              <w:t></w:t>
            </w:r>
          </w:p>
        </w:tc>
      </w:tr>
      <w:tr w14:paraId="73554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5C8E1376">
            <w:pPr>
              <w:rPr>
                <w:sz w:val="2"/>
                <w:szCs w:val="2"/>
              </w:rPr>
            </w:pPr>
          </w:p>
        </w:tc>
        <w:tc>
          <w:tcPr>
            <w:tcW w:w="2669" w:type="dxa"/>
            <w:vMerge w:val="restart"/>
          </w:tcPr>
          <w:p w14:paraId="7EE67D90">
            <w:pPr>
              <w:pStyle w:val="14"/>
              <w:spacing w:before="2"/>
              <w:rPr>
                <w:b/>
                <w:sz w:val="24"/>
              </w:rPr>
            </w:pPr>
          </w:p>
          <w:p w14:paraId="6E7FA3D7">
            <w:pPr>
              <w:pStyle w:val="14"/>
              <w:spacing w:before="1"/>
              <w:ind w:left="284"/>
              <w:rPr>
                <w:sz w:val="21"/>
              </w:rPr>
            </w:pPr>
            <w:r>
              <w:rPr>
                <w:sz w:val="21"/>
              </w:rPr>
              <w:t>受影响水体水环境质量</w:t>
            </w:r>
          </w:p>
        </w:tc>
        <w:tc>
          <w:tcPr>
            <w:tcW w:w="5064" w:type="dxa"/>
            <w:gridSpan w:val="2"/>
          </w:tcPr>
          <w:p w14:paraId="18582F19">
            <w:pPr>
              <w:pStyle w:val="14"/>
              <w:spacing w:before="34"/>
              <w:ind w:left="1877" w:right="1873"/>
              <w:jc w:val="center"/>
              <w:rPr>
                <w:sz w:val="21"/>
              </w:rPr>
            </w:pPr>
            <w:r>
              <w:rPr>
                <w:sz w:val="21"/>
              </w:rPr>
              <w:t>调查时期</w:t>
            </w:r>
          </w:p>
        </w:tc>
        <w:tc>
          <w:tcPr>
            <w:tcW w:w="5316" w:type="dxa"/>
            <w:gridSpan w:val="2"/>
          </w:tcPr>
          <w:p w14:paraId="7C1D77E6">
            <w:pPr>
              <w:pStyle w:val="14"/>
              <w:spacing w:before="34"/>
              <w:ind w:left="1900" w:right="1893"/>
              <w:jc w:val="center"/>
              <w:rPr>
                <w:sz w:val="21"/>
              </w:rPr>
            </w:pPr>
            <w:r>
              <w:rPr>
                <w:sz w:val="21"/>
              </w:rPr>
              <w:t>数据来源</w:t>
            </w:r>
          </w:p>
        </w:tc>
      </w:tr>
      <w:tr w14:paraId="7592F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57" w:type="dxa"/>
            <w:vMerge w:val="continue"/>
            <w:tcBorders>
              <w:top w:val="nil"/>
            </w:tcBorders>
          </w:tcPr>
          <w:p w14:paraId="3A7593AC">
            <w:pPr>
              <w:rPr>
                <w:sz w:val="2"/>
                <w:szCs w:val="2"/>
              </w:rPr>
            </w:pPr>
          </w:p>
        </w:tc>
        <w:tc>
          <w:tcPr>
            <w:tcW w:w="2669" w:type="dxa"/>
            <w:vMerge w:val="continue"/>
            <w:tcBorders>
              <w:top w:val="nil"/>
            </w:tcBorders>
          </w:tcPr>
          <w:p w14:paraId="40C2011F">
            <w:pPr>
              <w:rPr>
                <w:sz w:val="2"/>
                <w:szCs w:val="2"/>
              </w:rPr>
            </w:pPr>
          </w:p>
        </w:tc>
        <w:tc>
          <w:tcPr>
            <w:tcW w:w="5064" w:type="dxa"/>
            <w:gridSpan w:val="2"/>
          </w:tcPr>
          <w:p w14:paraId="474F3885">
            <w:pPr>
              <w:pStyle w:val="14"/>
              <w:spacing w:before="1"/>
              <w:ind w:left="106"/>
              <w:rPr>
                <w:sz w:val="21"/>
              </w:rPr>
            </w:pPr>
            <w:r>
              <w:rPr>
                <w:sz w:val="21"/>
              </w:rPr>
              <w:t xml:space="preserve">丰水期 </w:t>
            </w:r>
            <w:r>
              <w:rPr>
                <w:rFonts w:ascii="Wingdings" w:hAnsi="Wingdings" w:eastAsia="Wingdings"/>
                <w:sz w:val="20"/>
              </w:rPr>
              <w:t></w:t>
            </w:r>
            <w:r>
              <w:rPr>
                <w:sz w:val="21"/>
              </w:rPr>
              <w:t xml:space="preserve">；平水期 </w:t>
            </w:r>
            <w:r>
              <w:rPr>
                <w:rFonts w:ascii="Wingdings" w:hAnsi="Wingdings" w:eastAsia="Wingdings"/>
                <w:sz w:val="20"/>
              </w:rPr>
              <w:t></w:t>
            </w:r>
            <w:r>
              <w:rPr>
                <w:sz w:val="21"/>
              </w:rPr>
              <w:t xml:space="preserve">；枯水期 </w:t>
            </w:r>
            <w:r>
              <w:rPr>
                <w:rFonts w:ascii="Wingdings" w:hAnsi="Wingdings" w:eastAsia="Wingdings"/>
                <w:sz w:val="20"/>
              </w:rPr>
              <w:t></w:t>
            </w:r>
            <w:r>
              <w:rPr>
                <w:sz w:val="21"/>
              </w:rPr>
              <w:t xml:space="preserve">；冰封期 </w:t>
            </w:r>
            <w:r>
              <w:rPr>
                <w:rFonts w:ascii="Wingdings" w:hAnsi="Wingdings" w:eastAsia="Wingdings"/>
                <w:sz w:val="20"/>
              </w:rPr>
              <w:t></w:t>
            </w:r>
            <w:r>
              <w:rPr>
                <w:sz w:val="21"/>
              </w:rPr>
              <w:t>；</w:t>
            </w:r>
          </w:p>
          <w:p w14:paraId="4813A126">
            <w:pPr>
              <w:pStyle w:val="14"/>
              <w:spacing w:before="2" w:line="253" w:lineRule="exact"/>
              <w:ind w:left="106"/>
              <w:rPr>
                <w:rFonts w:ascii="Wingdings" w:hAnsi="Wingdings"/>
                <w:sz w:val="20"/>
              </w:rPr>
            </w:pPr>
            <w:r>
              <w:rPr>
                <w:sz w:val="21"/>
              </w:rPr>
              <w:t xml:space="preserve">春季 </w:t>
            </w:r>
            <w:r>
              <w:rPr>
                <w:rFonts w:ascii="Wingdings" w:hAnsi="Wingdings"/>
                <w:sz w:val="20"/>
              </w:rPr>
              <w:t></w:t>
            </w:r>
            <w:r>
              <w:rPr>
                <w:sz w:val="21"/>
              </w:rPr>
              <w:t xml:space="preserve">；夏季 </w:t>
            </w:r>
            <w:r>
              <w:rPr>
                <w:rFonts w:ascii="Wingdings" w:hAnsi="Wingdings"/>
                <w:sz w:val="20"/>
              </w:rPr>
              <w:t></w:t>
            </w:r>
            <w:r>
              <w:rPr>
                <w:sz w:val="21"/>
              </w:rPr>
              <w:t xml:space="preserve">；秋季 </w:t>
            </w:r>
            <w:r>
              <w:rPr>
                <w:rFonts w:ascii="Wingdings" w:hAnsi="Wingdings"/>
                <w:sz w:val="20"/>
              </w:rPr>
              <w:t></w:t>
            </w:r>
            <w:r>
              <w:rPr>
                <w:sz w:val="21"/>
              </w:rPr>
              <w:t xml:space="preserve">；冬季 </w:t>
            </w:r>
            <w:r>
              <w:rPr>
                <w:rFonts w:ascii="Wingdings" w:hAnsi="Wingdings"/>
                <w:sz w:val="20"/>
              </w:rPr>
              <w:t></w:t>
            </w:r>
          </w:p>
        </w:tc>
        <w:tc>
          <w:tcPr>
            <w:tcW w:w="5316" w:type="dxa"/>
            <w:gridSpan w:val="2"/>
          </w:tcPr>
          <w:p w14:paraId="4F66E475">
            <w:pPr>
              <w:pStyle w:val="14"/>
              <w:spacing w:before="135"/>
              <w:ind w:left="106"/>
              <w:rPr>
                <w:rFonts w:ascii="Wingdings" w:hAnsi="Wingdings"/>
                <w:sz w:val="20"/>
              </w:rPr>
            </w:pPr>
            <w:r>
              <w:rPr>
                <w:sz w:val="21"/>
              </w:rPr>
              <w:t xml:space="preserve">生态环境保护主管部门 </w:t>
            </w:r>
            <w:r>
              <w:rPr>
                <w:rFonts w:ascii="Wingdings" w:hAnsi="Wingdings"/>
                <w:sz w:val="20"/>
              </w:rPr>
              <w:t></w:t>
            </w:r>
            <w:r>
              <w:rPr>
                <w:sz w:val="21"/>
              </w:rPr>
              <w:t xml:space="preserve">；补充监测 </w:t>
            </w:r>
            <w:r>
              <w:rPr>
                <w:rFonts w:ascii="Wingdings" w:hAnsi="Wingdings"/>
                <w:sz w:val="20"/>
              </w:rPr>
              <w:t></w:t>
            </w:r>
            <w:r>
              <w:rPr>
                <w:sz w:val="21"/>
              </w:rPr>
              <w:t xml:space="preserve">；其他 </w:t>
            </w:r>
            <w:r>
              <w:rPr>
                <w:rFonts w:ascii="Wingdings" w:hAnsi="Wingdings"/>
                <w:sz w:val="20"/>
              </w:rPr>
              <w:t></w:t>
            </w:r>
          </w:p>
        </w:tc>
      </w:tr>
      <w:tr w14:paraId="2EBBB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451E9097">
            <w:pPr>
              <w:rPr>
                <w:sz w:val="2"/>
                <w:szCs w:val="2"/>
              </w:rPr>
            </w:pPr>
          </w:p>
        </w:tc>
        <w:tc>
          <w:tcPr>
            <w:tcW w:w="2669" w:type="dxa"/>
          </w:tcPr>
          <w:p w14:paraId="29084241">
            <w:pPr>
              <w:pStyle w:val="14"/>
              <w:spacing w:before="34"/>
              <w:ind w:left="158" w:right="151"/>
              <w:jc w:val="center"/>
              <w:rPr>
                <w:sz w:val="21"/>
              </w:rPr>
            </w:pPr>
            <w:r>
              <w:rPr>
                <w:sz w:val="21"/>
              </w:rPr>
              <w:t>区域水资源开发利用状况</w:t>
            </w:r>
          </w:p>
        </w:tc>
        <w:tc>
          <w:tcPr>
            <w:tcW w:w="10380" w:type="dxa"/>
            <w:gridSpan w:val="4"/>
          </w:tcPr>
          <w:p w14:paraId="60AE130B">
            <w:pPr>
              <w:pStyle w:val="14"/>
              <w:spacing w:before="34"/>
              <w:ind w:left="106"/>
              <w:rPr>
                <w:rFonts w:ascii="Wingdings" w:hAnsi="Wingdings"/>
                <w:sz w:val="20"/>
              </w:rPr>
            </w:pPr>
            <w:r>
              <w:rPr>
                <w:sz w:val="21"/>
              </w:rPr>
              <w:t xml:space="preserve">未开发 </w:t>
            </w:r>
            <w:r>
              <w:rPr>
                <w:rFonts w:ascii="Wingdings" w:hAnsi="Wingdings"/>
                <w:sz w:val="20"/>
              </w:rPr>
              <w:t></w:t>
            </w:r>
            <w:r>
              <w:rPr>
                <w:sz w:val="21"/>
              </w:rPr>
              <w:t xml:space="preserve">；开发量 </w:t>
            </w:r>
            <w:r>
              <w:rPr>
                <w:rFonts w:ascii="Times New Roman" w:hAnsi="Times New Roman"/>
                <w:sz w:val="21"/>
              </w:rPr>
              <w:t>40%</w:t>
            </w:r>
            <w:r>
              <w:rPr>
                <w:sz w:val="21"/>
              </w:rPr>
              <w:t xml:space="preserve">以下 </w:t>
            </w:r>
            <w:r>
              <w:rPr>
                <w:rFonts w:ascii="Wingdings" w:hAnsi="Wingdings"/>
                <w:sz w:val="20"/>
              </w:rPr>
              <w:t></w:t>
            </w:r>
            <w:r>
              <w:rPr>
                <w:sz w:val="21"/>
              </w:rPr>
              <w:t xml:space="preserve">；发量 </w:t>
            </w:r>
            <w:r>
              <w:rPr>
                <w:rFonts w:ascii="Times New Roman" w:hAnsi="Times New Roman"/>
                <w:sz w:val="21"/>
              </w:rPr>
              <w:t>40%</w:t>
            </w:r>
            <w:r>
              <w:rPr>
                <w:sz w:val="21"/>
              </w:rPr>
              <w:t xml:space="preserve">以上 </w:t>
            </w:r>
            <w:r>
              <w:rPr>
                <w:rFonts w:ascii="Wingdings" w:hAnsi="Wingdings"/>
                <w:sz w:val="20"/>
              </w:rPr>
              <w:t></w:t>
            </w:r>
          </w:p>
        </w:tc>
      </w:tr>
      <w:tr w14:paraId="14DFA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16953272">
            <w:pPr>
              <w:rPr>
                <w:sz w:val="2"/>
                <w:szCs w:val="2"/>
              </w:rPr>
            </w:pPr>
          </w:p>
        </w:tc>
        <w:tc>
          <w:tcPr>
            <w:tcW w:w="2669" w:type="dxa"/>
            <w:vMerge w:val="restart"/>
          </w:tcPr>
          <w:p w14:paraId="3591BDA2">
            <w:pPr>
              <w:pStyle w:val="14"/>
              <w:spacing w:before="3"/>
              <w:rPr>
                <w:b/>
                <w:sz w:val="24"/>
              </w:rPr>
            </w:pPr>
          </w:p>
          <w:p w14:paraId="0BDC7DA5">
            <w:pPr>
              <w:pStyle w:val="14"/>
              <w:ind w:left="704"/>
              <w:rPr>
                <w:sz w:val="21"/>
              </w:rPr>
            </w:pPr>
            <w:r>
              <w:rPr>
                <w:sz w:val="21"/>
              </w:rPr>
              <w:t>水文情势调查</w:t>
            </w:r>
          </w:p>
        </w:tc>
        <w:tc>
          <w:tcPr>
            <w:tcW w:w="5064" w:type="dxa"/>
            <w:gridSpan w:val="2"/>
          </w:tcPr>
          <w:p w14:paraId="698DFA82">
            <w:pPr>
              <w:pStyle w:val="14"/>
              <w:spacing w:before="34"/>
              <w:ind w:left="1877" w:right="1873"/>
              <w:jc w:val="center"/>
              <w:rPr>
                <w:sz w:val="21"/>
              </w:rPr>
            </w:pPr>
            <w:r>
              <w:rPr>
                <w:sz w:val="21"/>
              </w:rPr>
              <w:t>调查时期</w:t>
            </w:r>
          </w:p>
        </w:tc>
        <w:tc>
          <w:tcPr>
            <w:tcW w:w="5316" w:type="dxa"/>
            <w:gridSpan w:val="2"/>
          </w:tcPr>
          <w:p w14:paraId="219A3EDF">
            <w:pPr>
              <w:pStyle w:val="14"/>
              <w:spacing w:before="34"/>
              <w:ind w:left="1900" w:right="1893"/>
              <w:jc w:val="center"/>
              <w:rPr>
                <w:sz w:val="21"/>
              </w:rPr>
            </w:pPr>
            <w:r>
              <w:rPr>
                <w:sz w:val="21"/>
              </w:rPr>
              <w:t>数据来源</w:t>
            </w:r>
          </w:p>
        </w:tc>
      </w:tr>
      <w:tr w14:paraId="2F1DA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57" w:type="dxa"/>
            <w:vMerge w:val="continue"/>
            <w:tcBorders>
              <w:top w:val="nil"/>
            </w:tcBorders>
          </w:tcPr>
          <w:p w14:paraId="0D5BFF6B">
            <w:pPr>
              <w:rPr>
                <w:sz w:val="2"/>
                <w:szCs w:val="2"/>
              </w:rPr>
            </w:pPr>
          </w:p>
        </w:tc>
        <w:tc>
          <w:tcPr>
            <w:tcW w:w="2669" w:type="dxa"/>
            <w:vMerge w:val="continue"/>
            <w:tcBorders>
              <w:top w:val="nil"/>
            </w:tcBorders>
          </w:tcPr>
          <w:p w14:paraId="27CA8ACC">
            <w:pPr>
              <w:rPr>
                <w:sz w:val="2"/>
                <w:szCs w:val="2"/>
              </w:rPr>
            </w:pPr>
          </w:p>
        </w:tc>
        <w:tc>
          <w:tcPr>
            <w:tcW w:w="5064" w:type="dxa"/>
            <w:gridSpan w:val="2"/>
          </w:tcPr>
          <w:p w14:paraId="1E088484">
            <w:pPr>
              <w:pStyle w:val="14"/>
              <w:spacing w:before="1"/>
              <w:ind w:left="106"/>
              <w:rPr>
                <w:sz w:val="21"/>
              </w:rPr>
            </w:pPr>
            <w:r>
              <w:rPr>
                <w:sz w:val="21"/>
              </w:rPr>
              <w:t xml:space="preserve">丰水期 </w:t>
            </w:r>
            <w:r>
              <w:rPr>
                <w:rFonts w:ascii="Wingdings" w:hAnsi="Wingdings" w:eastAsia="Wingdings"/>
                <w:sz w:val="20"/>
              </w:rPr>
              <w:t></w:t>
            </w:r>
            <w:r>
              <w:rPr>
                <w:sz w:val="21"/>
              </w:rPr>
              <w:t xml:space="preserve">；平水期 </w:t>
            </w:r>
            <w:r>
              <w:rPr>
                <w:rFonts w:ascii="Wingdings" w:hAnsi="Wingdings" w:eastAsia="Wingdings"/>
                <w:sz w:val="20"/>
              </w:rPr>
              <w:t></w:t>
            </w:r>
            <w:r>
              <w:rPr>
                <w:sz w:val="21"/>
              </w:rPr>
              <w:t xml:space="preserve">；枯水期 </w:t>
            </w:r>
            <w:r>
              <w:rPr>
                <w:rFonts w:ascii="Wingdings" w:hAnsi="Wingdings" w:eastAsia="Wingdings"/>
                <w:sz w:val="20"/>
              </w:rPr>
              <w:t></w:t>
            </w:r>
            <w:r>
              <w:rPr>
                <w:sz w:val="21"/>
              </w:rPr>
              <w:t xml:space="preserve">；冰封期 </w:t>
            </w:r>
            <w:r>
              <w:rPr>
                <w:rFonts w:ascii="Wingdings" w:hAnsi="Wingdings" w:eastAsia="Wingdings"/>
                <w:sz w:val="20"/>
              </w:rPr>
              <w:t></w:t>
            </w:r>
            <w:r>
              <w:rPr>
                <w:sz w:val="21"/>
              </w:rPr>
              <w:t>；</w:t>
            </w:r>
          </w:p>
          <w:p w14:paraId="2D6010EF">
            <w:pPr>
              <w:pStyle w:val="14"/>
              <w:spacing w:before="2" w:line="252" w:lineRule="exact"/>
              <w:ind w:left="106"/>
              <w:rPr>
                <w:rFonts w:ascii="Wingdings" w:hAnsi="Wingdings"/>
                <w:sz w:val="20"/>
              </w:rPr>
            </w:pPr>
            <w:r>
              <w:rPr>
                <w:sz w:val="21"/>
              </w:rPr>
              <w:t xml:space="preserve">春季 </w:t>
            </w:r>
            <w:r>
              <w:rPr>
                <w:rFonts w:ascii="Wingdings" w:hAnsi="Wingdings"/>
                <w:sz w:val="20"/>
              </w:rPr>
              <w:t></w:t>
            </w:r>
            <w:r>
              <w:rPr>
                <w:sz w:val="21"/>
              </w:rPr>
              <w:t xml:space="preserve">；夏季 </w:t>
            </w:r>
            <w:r>
              <w:rPr>
                <w:rFonts w:ascii="Wingdings" w:hAnsi="Wingdings"/>
                <w:sz w:val="20"/>
              </w:rPr>
              <w:t></w:t>
            </w:r>
            <w:r>
              <w:rPr>
                <w:sz w:val="21"/>
              </w:rPr>
              <w:t xml:space="preserve">；秋季 </w:t>
            </w:r>
            <w:r>
              <w:rPr>
                <w:rFonts w:ascii="Wingdings" w:hAnsi="Wingdings"/>
                <w:sz w:val="20"/>
              </w:rPr>
              <w:t></w:t>
            </w:r>
            <w:r>
              <w:rPr>
                <w:sz w:val="21"/>
              </w:rPr>
              <w:t xml:space="preserve">；冬季 </w:t>
            </w:r>
            <w:r>
              <w:rPr>
                <w:rFonts w:ascii="Wingdings" w:hAnsi="Wingdings"/>
                <w:sz w:val="20"/>
              </w:rPr>
              <w:t></w:t>
            </w:r>
          </w:p>
        </w:tc>
        <w:tc>
          <w:tcPr>
            <w:tcW w:w="5316" w:type="dxa"/>
            <w:gridSpan w:val="2"/>
          </w:tcPr>
          <w:p w14:paraId="7074650A">
            <w:pPr>
              <w:pStyle w:val="14"/>
              <w:spacing w:before="135"/>
              <w:ind w:left="106"/>
              <w:rPr>
                <w:rFonts w:ascii="Wingdings" w:hAnsi="Wingdings"/>
                <w:sz w:val="20"/>
              </w:rPr>
            </w:pPr>
            <w:r>
              <w:rPr>
                <w:sz w:val="21"/>
              </w:rPr>
              <w:t xml:space="preserve">水行政主管部门 </w:t>
            </w:r>
            <w:r>
              <w:rPr>
                <w:rFonts w:ascii="Wingdings" w:hAnsi="Wingdings"/>
                <w:sz w:val="20"/>
              </w:rPr>
              <w:t></w:t>
            </w:r>
            <w:r>
              <w:rPr>
                <w:sz w:val="21"/>
              </w:rPr>
              <w:t xml:space="preserve">；补充监测 </w:t>
            </w:r>
            <w:r>
              <w:rPr>
                <w:rFonts w:ascii="Wingdings" w:hAnsi="Wingdings"/>
                <w:sz w:val="20"/>
              </w:rPr>
              <w:t></w:t>
            </w:r>
            <w:r>
              <w:rPr>
                <w:sz w:val="21"/>
              </w:rPr>
              <w:t xml:space="preserve">；其他 </w:t>
            </w:r>
            <w:r>
              <w:rPr>
                <w:rFonts w:ascii="Wingdings" w:hAnsi="Wingdings"/>
                <w:sz w:val="20"/>
              </w:rPr>
              <w:t></w:t>
            </w:r>
          </w:p>
        </w:tc>
      </w:tr>
      <w:tr w14:paraId="2449E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2E9F05DE">
            <w:pPr>
              <w:rPr>
                <w:sz w:val="2"/>
                <w:szCs w:val="2"/>
              </w:rPr>
            </w:pPr>
          </w:p>
        </w:tc>
        <w:tc>
          <w:tcPr>
            <w:tcW w:w="2669" w:type="dxa"/>
            <w:vMerge w:val="restart"/>
          </w:tcPr>
          <w:p w14:paraId="4C637713">
            <w:pPr>
              <w:pStyle w:val="14"/>
              <w:spacing w:before="2"/>
              <w:rPr>
                <w:b/>
                <w:sz w:val="24"/>
              </w:rPr>
            </w:pPr>
          </w:p>
          <w:p w14:paraId="1BE986CA">
            <w:pPr>
              <w:pStyle w:val="14"/>
              <w:spacing w:before="1"/>
              <w:ind w:left="156" w:right="151"/>
              <w:jc w:val="center"/>
              <w:rPr>
                <w:sz w:val="21"/>
              </w:rPr>
            </w:pPr>
            <w:r>
              <w:rPr>
                <w:sz w:val="21"/>
              </w:rPr>
              <w:t>补充监测</w:t>
            </w:r>
          </w:p>
        </w:tc>
        <w:tc>
          <w:tcPr>
            <w:tcW w:w="5064" w:type="dxa"/>
            <w:gridSpan w:val="2"/>
          </w:tcPr>
          <w:p w14:paraId="76DD268B">
            <w:pPr>
              <w:pStyle w:val="14"/>
              <w:spacing w:before="32"/>
              <w:ind w:left="1877" w:right="1873"/>
              <w:jc w:val="center"/>
              <w:rPr>
                <w:sz w:val="21"/>
              </w:rPr>
            </w:pPr>
            <w:r>
              <w:rPr>
                <w:sz w:val="21"/>
              </w:rPr>
              <w:t>监测时期</w:t>
            </w:r>
          </w:p>
        </w:tc>
        <w:tc>
          <w:tcPr>
            <w:tcW w:w="2765" w:type="dxa"/>
          </w:tcPr>
          <w:p w14:paraId="78C3DC70">
            <w:pPr>
              <w:pStyle w:val="14"/>
              <w:spacing w:before="32"/>
              <w:ind w:left="939" w:right="935"/>
              <w:jc w:val="center"/>
              <w:rPr>
                <w:sz w:val="21"/>
              </w:rPr>
            </w:pPr>
            <w:r>
              <w:rPr>
                <w:sz w:val="21"/>
              </w:rPr>
              <w:t>监测因子</w:t>
            </w:r>
          </w:p>
        </w:tc>
        <w:tc>
          <w:tcPr>
            <w:tcW w:w="2551" w:type="dxa"/>
          </w:tcPr>
          <w:p w14:paraId="01845DCD">
            <w:pPr>
              <w:pStyle w:val="14"/>
              <w:spacing w:before="32"/>
              <w:ind w:left="540"/>
              <w:rPr>
                <w:sz w:val="21"/>
              </w:rPr>
            </w:pPr>
            <w:r>
              <w:rPr>
                <w:sz w:val="21"/>
              </w:rPr>
              <w:t>监测断面或点位</w:t>
            </w:r>
          </w:p>
        </w:tc>
      </w:tr>
      <w:tr w14:paraId="4B364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57" w:type="dxa"/>
            <w:vMerge w:val="continue"/>
            <w:tcBorders>
              <w:top w:val="nil"/>
            </w:tcBorders>
          </w:tcPr>
          <w:p w14:paraId="0E814643">
            <w:pPr>
              <w:rPr>
                <w:sz w:val="2"/>
                <w:szCs w:val="2"/>
              </w:rPr>
            </w:pPr>
          </w:p>
        </w:tc>
        <w:tc>
          <w:tcPr>
            <w:tcW w:w="2669" w:type="dxa"/>
            <w:vMerge w:val="continue"/>
            <w:tcBorders>
              <w:top w:val="nil"/>
            </w:tcBorders>
          </w:tcPr>
          <w:p w14:paraId="40D75D23">
            <w:pPr>
              <w:rPr>
                <w:sz w:val="2"/>
                <w:szCs w:val="2"/>
              </w:rPr>
            </w:pPr>
          </w:p>
        </w:tc>
        <w:tc>
          <w:tcPr>
            <w:tcW w:w="5064" w:type="dxa"/>
            <w:gridSpan w:val="2"/>
          </w:tcPr>
          <w:p w14:paraId="5786F8FA">
            <w:pPr>
              <w:pStyle w:val="14"/>
              <w:spacing w:before="1"/>
              <w:ind w:left="106"/>
              <w:rPr>
                <w:sz w:val="21"/>
              </w:rPr>
            </w:pPr>
            <w:r>
              <w:rPr>
                <w:sz w:val="21"/>
              </w:rPr>
              <w:t xml:space="preserve">丰水期 </w:t>
            </w:r>
            <w:r>
              <w:rPr>
                <w:rFonts w:ascii="Wingdings" w:hAnsi="Wingdings" w:eastAsia="Wingdings"/>
                <w:sz w:val="20"/>
              </w:rPr>
              <w:t></w:t>
            </w:r>
            <w:r>
              <w:rPr>
                <w:sz w:val="21"/>
              </w:rPr>
              <w:t xml:space="preserve">；平水期 </w:t>
            </w:r>
            <w:r>
              <w:rPr>
                <w:rFonts w:ascii="Wingdings" w:hAnsi="Wingdings" w:eastAsia="Wingdings"/>
                <w:sz w:val="20"/>
              </w:rPr>
              <w:t></w:t>
            </w:r>
            <w:r>
              <w:rPr>
                <w:sz w:val="21"/>
              </w:rPr>
              <w:t xml:space="preserve">；枯水期 </w:t>
            </w:r>
            <w:r>
              <w:rPr>
                <w:rFonts w:ascii="Wingdings" w:hAnsi="Wingdings" w:eastAsia="Wingdings"/>
                <w:sz w:val="20"/>
              </w:rPr>
              <w:t></w:t>
            </w:r>
            <w:r>
              <w:rPr>
                <w:sz w:val="21"/>
              </w:rPr>
              <w:t xml:space="preserve">；冰封期 </w:t>
            </w:r>
            <w:r>
              <w:rPr>
                <w:rFonts w:ascii="Wingdings" w:hAnsi="Wingdings" w:eastAsia="Wingdings"/>
                <w:sz w:val="20"/>
              </w:rPr>
              <w:t></w:t>
            </w:r>
            <w:r>
              <w:rPr>
                <w:sz w:val="21"/>
              </w:rPr>
              <w:t>；</w:t>
            </w:r>
          </w:p>
          <w:p w14:paraId="1D3C1A87">
            <w:pPr>
              <w:pStyle w:val="14"/>
              <w:spacing w:before="2" w:line="252" w:lineRule="exact"/>
              <w:ind w:left="106"/>
              <w:rPr>
                <w:rFonts w:ascii="Wingdings" w:hAnsi="Wingdings"/>
                <w:sz w:val="20"/>
              </w:rPr>
            </w:pPr>
            <w:r>
              <w:rPr>
                <w:sz w:val="21"/>
              </w:rPr>
              <w:t xml:space="preserve">春季 </w:t>
            </w:r>
            <w:r>
              <w:rPr>
                <w:rFonts w:ascii="Wingdings" w:hAnsi="Wingdings"/>
                <w:sz w:val="20"/>
              </w:rPr>
              <w:t></w:t>
            </w:r>
            <w:r>
              <w:rPr>
                <w:sz w:val="21"/>
              </w:rPr>
              <w:t xml:space="preserve">；夏季 </w:t>
            </w:r>
            <w:r>
              <w:rPr>
                <w:rFonts w:ascii="Wingdings" w:hAnsi="Wingdings"/>
                <w:sz w:val="20"/>
              </w:rPr>
              <w:t></w:t>
            </w:r>
            <w:r>
              <w:rPr>
                <w:sz w:val="21"/>
              </w:rPr>
              <w:t xml:space="preserve">；秋季 </w:t>
            </w:r>
            <w:r>
              <w:rPr>
                <w:rFonts w:ascii="Wingdings" w:hAnsi="Wingdings"/>
                <w:sz w:val="20"/>
              </w:rPr>
              <w:t></w:t>
            </w:r>
            <w:r>
              <w:rPr>
                <w:sz w:val="21"/>
              </w:rPr>
              <w:t xml:space="preserve">；冬季 </w:t>
            </w:r>
            <w:r>
              <w:rPr>
                <w:rFonts w:ascii="Wingdings" w:hAnsi="Wingdings"/>
                <w:sz w:val="20"/>
              </w:rPr>
              <w:t></w:t>
            </w:r>
          </w:p>
        </w:tc>
        <w:tc>
          <w:tcPr>
            <w:tcW w:w="2765" w:type="dxa"/>
          </w:tcPr>
          <w:p w14:paraId="1D0A6AC3">
            <w:pPr>
              <w:pStyle w:val="14"/>
              <w:tabs>
                <w:tab w:val="left" w:pos="790"/>
              </w:tabs>
              <w:spacing w:before="135"/>
              <w:ind w:left="106"/>
              <w:rPr>
                <w:sz w:val="21"/>
              </w:rPr>
            </w:pPr>
            <w:r>
              <w:rPr>
                <w:sz w:val="21"/>
              </w:rPr>
              <w:t>（</w:t>
            </w:r>
            <w:r>
              <w:rPr>
                <w:sz w:val="21"/>
              </w:rPr>
              <w:tab/>
            </w:r>
            <w:r>
              <w:rPr>
                <w:sz w:val="21"/>
              </w:rPr>
              <w:t>）</w:t>
            </w:r>
          </w:p>
        </w:tc>
        <w:tc>
          <w:tcPr>
            <w:tcW w:w="2551" w:type="dxa"/>
          </w:tcPr>
          <w:p w14:paraId="7C80D747">
            <w:pPr>
              <w:pStyle w:val="14"/>
              <w:spacing w:before="1"/>
              <w:ind w:left="108"/>
              <w:rPr>
                <w:sz w:val="21"/>
              </w:rPr>
            </w:pPr>
            <w:r>
              <w:rPr>
                <w:sz w:val="21"/>
              </w:rPr>
              <w:t>监测断面或点位个数</w:t>
            </w:r>
          </w:p>
          <w:p w14:paraId="3F97279E">
            <w:pPr>
              <w:pStyle w:val="14"/>
              <w:spacing w:before="2" w:line="252" w:lineRule="exact"/>
              <w:ind w:left="108"/>
              <w:rPr>
                <w:sz w:val="21"/>
              </w:rPr>
            </w:pPr>
            <w:r>
              <w:rPr>
                <w:sz w:val="21"/>
              </w:rPr>
              <w:t>（ ）个</w:t>
            </w:r>
          </w:p>
        </w:tc>
      </w:tr>
      <w:tr w14:paraId="466CA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57" w:type="dxa"/>
          </w:tcPr>
          <w:p w14:paraId="1B80AB9B">
            <w:pPr>
              <w:pStyle w:val="14"/>
              <w:spacing w:before="35"/>
              <w:ind w:left="171"/>
              <w:rPr>
                <w:sz w:val="21"/>
              </w:rPr>
            </w:pPr>
            <w:r>
              <w:rPr>
                <w:w w:val="99"/>
                <w:sz w:val="21"/>
              </w:rPr>
              <w:t>现</w:t>
            </w:r>
          </w:p>
        </w:tc>
        <w:tc>
          <w:tcPr>
            <w:tcW w:w="2669" w:type="dxa"/>
          </w:tcPr>
          <w:p w14:paraId="5FA5C382">
            <w:pPr>
              <w:pStyle w:val="14"/>
              <w:spacing w:before="35"/>
              <w:ind w:left="156" w:right="151"/>
              <w:jc w:val="center"/>
              <w:rPr>
                <w:sz w:val="21"/>
              </w:rPr>
            </w:pPr>
            <w:r>
              <w:rPr>
                <w:sz w:val="21"/>
              </w:rPr>
              <w:t>评价范围</w:t>
            </w:r>
          </w:p>
        </w:tc>
        <w:tc>
          <w:tcPr>
            <w:tcW w:w="10380" w:type="dxa"/>
            <w:gridSpan w:val="4"/>
          </w:tcPr>
          <w:p w14:paraId="428D949E">
            <w:pPr>
              <w:pStyle w:val="14"/>
              <w:tabs>
                <w:tab w:val="left" w:pos="1577"/>
                <w:tab w:val="left" w:pos="5415"/>
              </w:tabs>
              <w:spacing w:before="35"/>
              <w:ind w:left="106"/>
              <w:rPr>
                <w:rFonts w:ascii="Times New Roman" w:eastAsia="Times New Roman"/>
                <w:sz w:val="13"/>
              </w:rPr>
            </w:pPr>
            <w:r>
              <w:rPr>
                <w:sz w:val="21"/>
              </w:rPr>
              <w:t>河流：长度（</w:t>
            </w:r>
            <w:r>
              <w:rPr>
                <w:sz w:val="21"/>
              </w:rPr>
              <w:tab/>
            </w:r>
            <w:r>
              <w:rPr>
                <w:sz w:val="21"/>
              </w:rPr>
              <w:t>）</w:t>
            </w:r>
            <w:r>
              <w:rPr>
                <w:rFonts w:ascii="Times New Roman" w:eastAsia="Times New Roman"/>
                <w:sz w:val="21"/>
              </w:rPr>
              <w:t>km</w:t>
            </w:r>
            <w:r>
              <w:rPr>
                <w:sz w:val="21"/>
              </w:rPr>
              <w:t>；湖库、河口及近岸海域：面积（</w:t>
            </w:r>
            <w:r>
              <w:rPr>
                <w:sz w:val="21"/>
              </w:rPr>
              <w:tab/>
            </w:r>
            <w:r>
              <w:rPr>
                <w:sz w:val="21"/>
              </w:rPr>
              <w:t>）</w:t>
            </w:r>
            <w:r>
              <w:rPr>
                <w:rFonts w:ascii="Times New Roman" w:eastAsia="Times New Roman"/>
                <w:sz w:val="21"/>
              </w:rPr>
              <w:t>km</w:t>
            </w:r>
            <w:r>
              <w:rPr>
                <w:rFonts w:ascii="Times New Roman" w:eastAsia="Times New Roman"/>
                <w:position w:val="7"/>
                <w:sz w:val="13"/>
              </w:rPr>
              <w:t>2</w:t>
            </w:r>
          </w:p>
        </w:tc>
      </w:tr>
    </w:tbl>
    <w:p w14:paraId="7852FCAE">
      <w:pPr>
        <w:spacing w:after="0"/>
        <w:rPr>
          <w:rFonts w:ascii="Times New Roman" w:eastAsia="Times New Roman"/>
          <w:sz w:val="13"/>
        </w:rPr>
        <w:sectPr>
          <w:headerReference r:id="rId51" w:type="default"/>
          <w:footerReference r:id="rId52" w:type="default"/>
          <w:pgSz w:w="16840" w:h="11910" w:orient="landscape"/>
          <w:pgMar w:top="1180" w:right="1500" w:bottom="1400" w:left="1500" w:header="878" w:footer="1204" w:gutter="0"/>
          <w:pgNumType w:start="211"/>
          <w:cols w:space="720" w:num="1"/>
        </w:sectPr>
      </w:pPr>
    </w:p>
    <w:p w14:paraId="5DFB12C0">
      <w:pPr>
        <w:pStyle w:val="7"/>
        <w:rPr>
          <w:rFonts w:ascii="Times New Roman"/>
          <w:sz w:val="20"/>
        </w:rPr>
      </w:pPr>
    </w:p>
    <w:p w14:paraId="5A65CF52">
      <w:pPr>
        <w:pStyle w:val="7"/>
        <w:rPr>
          <w:rFonts w:ascii="Times New Roman"/>
          <w:sz w:val="20"/>
        </w:rPr>
      </w:pPr>
    </w:p>
    <w:p w14:paraId="2783AD67">
      <w:pPr>
        <w:pStyle w:val="7"/>
        <w:spacing w:before="9" w:after="1"/>
        <w:rPr>
          <w:rFonts w:ascii="Times New Roman"/>
          <w:sz w:val="13"/>
        </w:r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2669"/>
        <w:gridCol w:w="8966"/>
        <w:gridCol w:w="1414"/>
      </w:tblGrid>
      <w:tr w14:paraId="37D87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tcPr>
          <w:p w14:paraId="663B4D92">
            <w:pPr>
              <w:pStyle w:val="14"/>
              <w:spacing w:before="33"/>
              <w:ind w:left="1170" w:right="1165"/>
              <w:jc w:val="center"/>
              <w:rPr>
                <w:sz w:val="21"/>
              </w:rPr>
            </w:pPr>
            <w:r>
              <w:rPr>
                <w:sz w:val="21"/>
              </w:rPr>
              <w:t>工作内容</w:t>
            </w:r>
          </w:p>
        </w:tc>
        <w:tc>
          <w:tcPr>
            <w:tcW w:w="10380" w:type="dxa"/>
            <w:gridSpan w:val="2"/>
          </w:tcPr>
          <w:p w14:paraId="520D78F3">
            <w:pPr>
              <w:pStyle w:val="14"/>
              <w:spacing w:before="33"/>
              <w:ind w:left="4748" w:right="4741"/>
              <w:jc w:val="center"/>
              <w:rPr>
                <w:sz w:val="21"/>
              </w:rPr>
            </w:pPr>
            <w:r>
              <w:rPr>
                <w:sz w:val="21"/>
              </w:rPr>
              <w:t>自查项目</w:t>
            </w:r>
          </w:p>
        </w:tc>
      </w:tr>
      <w:tr w14:paraId="762E8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restart"/>
          </w:tcPr>
          <w:p w14:paraId="6F53EC68">
            <w:pPr>
              <w:pStyle w:val="14"/>
              <w:spacing w:line="242" w:lineRule="auto"/>
              <w:ind w:left="171" w:right="164"/>
              <w:jc w:val="both"/>
              <w:rPr>
                <w:sz w:val="21"/>
              </w:rPr>
            </w:pPr>
            <w:r>
              <w:rPr>
                <w:sz w:val="21"/>
              </w:rPr>
              <w:t>状评价</w:t>
            </w:r>
          </w:p>
        </w:tc>
        <w:tc>
          <w:tcPr>
            <w:tcW w:w="2669" w:type="dxa"/>
          </w:tcPr>
          <w:p w14:paraId="70FA0872">
            <w:pPr>
              <w:pStyle w:val="14"/>
              <w:spacing w:before="33"/>
              <w:ind w:left="156" w:right="151"/>
              <w:jc w:val="center"/>
              <w:rPr>
                <w:sz w:val="21"/>
              </w:rPr>
            </w:pPr>
            <w:r>
              <w:rPr>
                <w:sz w:val="21"/>
              </w:rPr>
              <w:t>评价因子</w:t>
            </w:r>
          </w:p>
        </w:tc>
        <w:tc>
          <w:tcPr>
            <w:tcW w:w="10380" w:type="dxa"/>
            <w:gridSpan w:val="2"/>
          </w:tcPr>
          <w:p w14:paraId="6B2DAE9F">
            <w:pPr>
              <w:pStyle w:val="14"/>
              <w:spacing w:before="33"/>
              <w:ind w:left="106"/>
              <w:rPr>
                <w:sz w:val="21"/>
              </w:rPr>
            </w:pPr>
            <w:r>
              <w:rPr>
                <w:sz w:val="21"/>
              </w:rPr>
              <w:t>（</w:t>
            </w:r>
            <w:r>
              <w:rPr>
                <w:rFonts w:ascii="Times New Roman" w:eastAsia="Times New Roman"/>
                <w:sz w:val="21"/>
              </w:rPr>
              <w:t>pH</w:t>
            </w:r>
            <w:r>
              <w:rPr>
                <w:sz w:val="21"/>
              </w:rPr>
              <w:t>、溶解氧、高锰酸盐指数、化学需氧量、五日生化需氧量、氨氮、总磷、</w:t>
            </w:r>
            <w:r>
              <w:rPr>
                <w:rFonts w:ascii="Times New Roman" w:eastAsia="Times New Roman"/>
                <w:sz w:val="21"/>
              </w:rPr>
              <w:t>LAS</w:t>
            </w:r>
            <w:r>
              <w:rPr>
                <w:sz w:val="21"/>
              </w:rPr>
              <w:t>）</w:t>
            </w:r>
          </w:p>
        </w:tc>
      </w:tr>
      <w:tr w14:paraId="32610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557" w:type="dxa"/>
            <w:vMerge w:val="continue"/>
            <w:tcBorders>
              <w:top w:val="nil"/>
            </w:tcBorders>
          </w:tcPr>
          <w:p w14:paraId="4615EAC8">
            <w:pPr>
              <w:rPr>
                <w:sz w:val="2"/>
                <w:szCs w:val="2"/>
              </w:rPr>
            </w:pPr>
          </w:p>
        </w:tc>
        <w:tc>
          <w:tcPr>
            <w:tcW w:w="2669" w:type="dxa"/>
          </w:tcPr>
          <w:p w14:paraId="7F76E36F">
            <w:pPr>
              <w:pStyle w:val="14"/>
              <w:spacing w:before="2"/>
              <w:rPr>
                <w:rFonts w:ascii="Times New Roman"/>
                <w:sz w:val="23"/>
              </w:rPr>
            </w:pPr>
          </w:p>
          <w:p w14:paraId="355C9719">
            <w:pPr>
              <w:pStyle w:val="14"/>
              <w:ind w:left="156" w:right="151"/>
              <w:jc w:val="center"/>
              <w:rPr>
                <w:sz w:val="21"/>
              </w:rPr>
            </w:pPr>
            <w:r>
              <w:rPr>
                <w:sz w:val="21"/>
              </w:rPr>
              <w:t>评价标准</w:t>
            </w:r>
          </w:p>
        </w:tc>
        <w:tc>
          <w:tcPr>
            <w:tcW w:w="10380" w:type="dxa"/>
            <w:gridSpan w:val="2"/>
          </w:tcPr>
          <w:p w14:paraId="160686F4">
            <w:pPr>
              <w:pStyle w:val="14"/>
              <w:spacing w:line="244" w:lineRule="auto"/>
              <w:ind w:left="106" w:right="4069"/>
              <w:rPr>
                <w:rFonts w:ascii="Wingdings" w:hAnsi="Wingdings"/>
                <w:sz w:val="20"/>
              </w:rPr>
            </w:pPr>
            <w:r>
              <w:rPr>
                <w:spacing w:val="-5"/>
                <w:sz w:val="21"/>
              </w:rPr>
              <w:t xml:space="preserve">河流、湖库、河口：Ⅰ类 </w:t>
            </w:r>
            <w:r>
              <w:rPr>
                <w:rFonts w:ascii="Wingdings" w:hAnsi="Wingdings"/>
                <w:sz w:val="20"/>
              </w:rPr>
              <w:t></w:t>
            </w:r>
            <w:r>
              <w:rPr>
                <w:spacing w:val="-14"/>
                <w:sz w:val="21"/>
              </w:rPr>
              <w:t xml:space="preserve">；Ⅱ类 </w:t>
            </w:r>
            <w:r>
              <w:rPr>
                <w:rFonts w:ascii="Wingdings" w:hAnsi="Wingdings"/>
                <w:sz w:val="20"/>
              </w:rPr>
              <w:t></w:t>
            </w:r>
            <w:r>
              <w:rPr>
                <w:spacing w:val="-14"/>
                <w:sz w:val="21"/>
              </w:rPr>
              <w:t xml:space="preserve">；Ⅲ类 </w:t>
            </w:r>
            <w:r>
              <w:rPr>
                <w:rFonts w:ascii="Wingdings" w:hAnsi="Wingdings"/>
                <w:sz w:val="20"/>
              </w:rPr>
              <w:t></w:t>
            </w:r>
            <w:r>
              <w:rPr>
                <w:spacing w:val="-14"/>
                <w:sz w:val="21"/>
              </w:rPr>
              <w:t xml:space="preserve">；Ⅳ类 </w:t>
            </w:r>
            <w:r>
              <w:rPr>
                <w:rFonts w:ascii="Wingdings" w:hAnsi="Wingdings"/>
                <w:sz w:val="20"/>
              </w:rPr>
              <w:t></w:t>
            </w:r>
            <w:r>
              <w:rPr>
                <w:spacing w:val="-14"/>
                <w:sz w:val="21"/>
              </w:rPr>
              <w:t xml:space="preserve">；Ⅴ类 </w:t>
            </w:r>
            <w:r>
              <w:rPr>
                <w:rFonts w:ascii="Wingdings" w:hAnsi="Wingdings"/>
                <w:sz w:val="20"/>
              </w:rPr>
              <w:t></w:t>
            </w:r>
            <w:r>
              <w:rPr>
                <w:sz w:val="21"/>
              </w:rPr>
              <w:t xml:space="preserve">； </w:t>
            </w:r>
            <w:r>
              <w:rPr>
                <w:spacing w:val="-6"/>
                <w:sz w:val="21"/>
              </w:rPr>
              <w:t xml:space="preserve">近岸海域：第一类 </w:t>
            </w:r>
            <w:r>
              <w:rPr>
                <w:rFonts w:ascii="Wingdings" w:hAnsi="Wingdings"/>
                <w:sz w:val="20"/>
              </w:rPr>
              <w:t></w:t>
            </w:r>
            <w:r>
              <w:rPr>
                <w:spacing w:val="-11"/>
                <w:sz w:val="21"/>
              </w:rPr>
              <w:t xml:space="preserve">；第二类 </w:t>
            </w:r>
            <w:r>
              <w:rPr>
                <w:rFonts w:ascii="Wingdings" w:hAnsi="Wingdings"/>
                <w:sz w:val="20"/>
              </w:rPr>
              <w:t></w:t>
            </w:r>
            <w:r>
              <w:rPr>
                <w:spacing w:val="-11"/>
                <w:sz w:val="21"/>
              </w:rPr>
              <w:t xml:space="preserve">；第三类 </w:t>
            </w:r>
            <w:r>
              <w:rPr>
                <w:rFonts w:ascii="Wingdings" w:hAnsi="Wingdings"/>
                <w:sz w:val="20"/>
              </w:rPr>
              <w:t></w:t>
            </w:r>
            <w:r>
              <w:rPr>
                <w:spacing w:val="-11"/>
                <w:sz w:val="21"/>
              </w:rPr>
              <w:t xml:space="preserve">；第四类 </w:t>
            </w:r>
            <w:r>
              <w:rPr>
                <w:rFonts w:ascii="Wingdings" w:hAnsi="Wingdings"/>
                <w:sz w:val="20"/>
              </w:rPr>
              <w:t></w:t>
            </w:r>
          </w:p>
          <w:p w14:paraId="507DAFBA">
            <w:pPr>
              <w:pStyle w:val="14"/>
              <w:spacing w:line="235" w:lineRule="exact"/>
              <w:ind w:left="106"/>
              <w:rPr>
                <w:sz w:val="20"/>
              </w:rPr>
            </w:pPr>
            <w:r>
              <w:rPr>
                <w:sz w:val="20"/>
              </w:rPr>
              <w:t>规划年评价标准（</w:t>
            </w:r>
            <w:r>
              <w:rPr>
                <w:rFonts w:ascii="Times New Roman" w:eastAsia="Times New Roman"/>
                <w:sz w:val="20"/>
              </w:rPr>
              <w:t>2023</w:t>
            </w:r>
            <w:r>
              <w:rPr>
                <w:sz w:val="20"/>
              </w:rPr>
              <w:t>）</w:t>
            </w:r>
          </w:p>
        </w:tc>
      </w:tr>
      <w:tr w14:paraId="35A6E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614B904D">
            <w:pPr>
              <w:rPr>
                <w:sz w:val="2"/>
                <w:szCs w:val="2"/>
              </w:rPr>
            </w:pPr>
          </w:p>
        </w:tc>
        <w:tc>
          <w:tcPr>
            <w:tcW w:w="2669" w:type="dxa"/>
          </w:tcPr>
          <w:p w14:paraId="7082DB99">
            <w:pPr>
              <w:pStyle w:val="14"/>
              <w:spacing w:before="33"/>
              <w:ind w:left="156" w:right="151"/>
              <w:jc w:val="center"/>
              <w:rPr>
                <w:sz w:val="21"/>
              </w:rPr>
            </w:pPr>
            <w:r>
              <w:rPr>
                <w:sz w:val="21"/>
              </w:rPr>
              <w:t>评价时期</w:t>
            </w:r>
          </w:p>
        </w:tc>
        <w:tc>
          <w:tcPr>
            <w:tcW w:w="10380" w:type="dxa"/>
            <w:gridSpan w:val="2"/>
          </w:tcPr>
          <w:p w14:paraId="51BEDA84">
            <w:pPr>
              <w:pStyle w:val="14"/>
              <w:spacing w:before="33"/>
              <w:ind w:left="106"/>
              <w:rPr>
                <w:rFonts w:ascii="Wingdings" w:hAnsi="Wingdings"/>
                <w:sz w:val="20"/>
              </w:rPr>
            </w:pPr>
            <w:r>
              <w:rPr>
                <w:sz w:val="21"/>
              </w:rPr>
              <w:t xml:space="preserve">丰水期 </w:t>
            </w:r>
            <w:r>
              <w:rPr>
                <w:rFonts w:ascii="Wingdings" w:hAnsi="Wingdings"/>
                <w:sz w:val="20"/>
              </w:rPr>
              <w:t></w:t>
            </w:r>
            <w:r>
              <w:rPr>
                <w:sz w:val="21"/>
              </w:rPr>
              <w:t xml:space="preserve">；平水期 </w:t>
            </w:r>
            <w:r>
              <w:rPr>
                <w:rFonts w:ascii="Wingdings" w:hAnsi="Wingdings"/>
                <w:sz w:val="20"/>
              </w:rPr>
              <w:t></w:t>
            </w:r>
            <w:r>
              <w:rPr>
                <w:sz w:val="21"/>
              </w:rPr>
              <w:t xml:space="preserve">；枯水期 </w:t>
            </w:r>
            <w:r>
              <w:rPr>
                <w:rFonts w:ascii="Wingdings" w:hAnsi="Wingdings"/>
                <w:sz w:val="20"/>
              </w:rPr>
              <w:t></w:t>
            </w:r>
            <w:r>
              <w:rPr>
                <w:sz w:val="21"/>
              </w:rPr>
              <w:t xml:space="preserve">；冰封期 </w:t>
            </w:r>
            <w:r>
              <w:rPr>
                <w:rFonts w:ascii="Wingdings" w:hAnsi="Wingdings"/>
                <w:sz w:val="20"/>
              </w:rPr>
              <w:t></w:t>
            </w:r>
            <w:r>
              <w:rPr>
                <w:sz w:val="21"/>
              </w:rPr>
              <w:t xml:space="preserve">；春季 </w:t>
            </w:r>
            <w:r>
              <w:rPr>
                <w:rFonts w:ascii="Wingdings" w:hAnsi="Wingdings"/>
                <w:sz w:val="20"/>
              </w:rPr>
              <w:t></w:t>
            </w:r>
            <w:r>
              <w:rPr>
                <w:sz w:val="21"/>
              </w:rPr>
              <w:t xml:space="preserve">；夏季 </w:t>
            </w:r>
            <w:r>
              <w:rPr>
                <w:rFonts w:ascii="Wingdings" w:hAnsi="Wingdings"/>
                <w:sz w:val="20"/>
              </w:rPr>
              <w:t></w:t>
            </w:r>
            <w:r>
              <w:rPr>
                <w:sz w:val="21"/>
              </w:rPr>
              <w:t xml:space="preserve">；秋季 </w:t>
            </w:r>
            <w:r>
              <w:rPr>
                <w:rFonts w:ascii="Wingdings" w:hAnsi="Wingdings"/>
                <w:sz w:val="20"/>
              </w:rPr>
              <w:t></w:t>
            </w:r>
            <w:r>
              <w:rPr>
                <w:sz w:val="21"/>
              </w:rPr>
              <w:t xml:space="preserve">；冬季 </w:t>
            </w:r>
            <w:r>
              <w:rPr>
                <w:rFonts w:ascii="Wingdings" w:hAnsi="Wingdings"/>
                <w:sz w:val="20"/>
              </w:rPr>
              <w:t></w:t>
            </w:r>
          </w:p>
        </w:tc>
      </w:tr>
      <w:tr w14:paraId="5A9E4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1" w:hRule="atLeast"/>
        </w:trPr>
        <w:tc>
          <w:tcPr>
            <w:tcW w:w="557" w:type="dxa"/>
            <w:vMerge w:val="continue"/>
            <w:tcBorders>
              <w:top w:val="nil"/>
            </w:tcBorders>
          </w:tcPr>
          <w:p w14:paraId="34AA6AAA">
            <w:pPr>
              <w:rPr>
                <w:sz w:val="2"/>
                <w:szCs w:val="2"/>
              </w:rPr>
            </w:pPr>
          </w:p>
        </w:tc>
        <w:tc>
          <w:tcPr>
            <w:tcW w:w="2669" w:type="dxa"/>
          </w:tcPr>
          <w:p w14:paraId="7FEE6229">
            <w:pPr>
              <w:pStyle w:val="14"/>
              <w:rPr>
                <w:rFonts w:ascii="Times New Roman"/>
                <w:sz w:val="20"/>
              </w:rPr>
            </w:pPr>
          </w:p>
          <w:p w14:paraId="333855CB">
            <w:pPr>
              <w:pStyle w:val="14"/>
              <w:rPr>
                <w:rFonts w:ascii="Times New Roman"/>
                <w:sz w:val="20"/>
              </w:rPr>
            </w:pPr>
          </w:p>
          <w:p w14:paraId="7033AACB">
            <w:pPr>
              <w:pStyle w:val="14"/>
              <w:rPr>
                <w:rFonts w:ascii="Times New Roman"/>
                <w:sz w:val="20"/>
              </w:rPr>
            </w:pPr>
          </w:p>
          <w:p w14:paraId="4CDC18F9">
            <w:pPr>
              <w:pStyle w:val="14"/>
              <w:rPr>
                <w:rFonts w:ascii="Times New Roman"/>
                <w:sz w:val="20"/>
              </w:rPr>
            </w:pPr>
          </w:p>
          <w:p w14:paraId="2C871BD8">
            <w:pPr>
              <w:pStyle w:val="14"/>
              <w:spacing w:before="170"/>
              <w:ind w:left="156" w:right="151"/>
              <w:jc w:val="center"/>
              <w:rPr>
                <w:sz w:val="21"/>
              </w:rPr>
            </w:pPr>
            <w:r>
              <w:rPr>
                <w:sz w:val="21"/>
              </w:rPr>
              <w:t>评价结论</w:t>
            </w:r>
          </w:p>
        </w:tc>
        <w:tc>
          <w:tcPr>
            <w:tcW w:w="8966" w:type="dxa"/>
          </w:tcPr>
          <w:p w14:paraId="2D96527A">
            <w:pPr>
              <w:pStyle w:val="14"/>
              <w:ind w:left="106"/>
              <w:rPr>
                <w:rFonts w:ascii="Wingdings" w:hAnsi="Wingdings"/>
                <w:sz w:val="20"/>
              </w:rPr>
            </w:pPr>
            <w:r>
              <w:rPr>
                <w:sz w:val="21"/>
              </w:rPr>
              <w:t xml:space="preserve">水环境功能区或水功能区、近岸海域环境功能区水质达标状况：达标 </w:t>
            </w:r>
            <w:r>
              <w:rPr>
                <w:rFonts w:ascii="Wingdings" w:hAnsi="Wingdings"/>
                <w:sz w:val="20"/>
              </w:rPr>
              <w:t></w:t>
            </w:r>
            <w:r>
              <w:rPr>
                <w:sz w:val="21"/>
              </w:rPr>
              <w:t xml:space="preserve">；不达标 </w:t>
            </w:r>
            <w:r>
              <w:rPr>
                <w:rFonts w:ascii="Wingdings" w:hAnsi="Wingdings"/>
                <w:sz w:val="20"/>
              </w:rPr>
              <w:t></w:t>
            </w:r>
          </w:p>
          <w:p w14:paraId="13B0AD47">
            <w:pPr>
              <w:pStyle w:val="14"/>
              <w:spacing w:before="5"/>
              <w:ind w:left="106"/>
              <w:rPr>
                <w:rFonts w:ascii="Wingdings" w:hAnsi="Wingdings"/>
                <w:sz w:val="20"/>
              </w:rPr>
            </w:pPr>
            <w:r>
              <w:rPr>
                <w:sz w:val="21"/>
              </w:rPr>
              <w:t xml:space="preserve">水环境控制单元或断面水质达标状况 </w:t>
            </w:r>
            <w:r>
              <w:rPr>
                <w:rFonts w:ascii="Wingdings" w:hAnsi="Wingdings"/>
                <w:sz w:val="20"/>
              </w:rPr>
              <w:t></w:t>
            </w:r>
            <w:r>
              <w:rPr>
                <w:sz w:val="21"/>
              </w:rPr>
              <w:t xml:space="preserve">：达标 </w:t>
            </w:r>
            <w:r>
              <w:rPr>
                <w:rFonts w:ascii="Wingdings" w:hAnsi="Wingdings"/>
                <w:sz w:val="20"/>
              </w:rPr>
              <w:t></w:t>
            </w:r>
            <w:r>
              <w:rPr>
                <w:sz w:val="21"/>
              </w:rPr>
              <w:t xml:space="preserve">；不达标 </w:t>
            </w:r>
            <w:r>
              <w:rPr>
                <w:rFonts w:ascii="Wingdings" w:hAnsi="Wingdings"/>
                <w:sz w:val="20"/>
              </w:rPr>
              <w:t></w:t>
            </w:r>
          </w:p>
          <w:p w14:paraId="4CD63D1C">
            <w:pPr>
              <w:pStyle w:val="14"/>
              <w:spacing w:before="2"/>
              <w:ind w:left="106"/>
              <w:rPr>
                <w:rFonts w:ascii="Wingdings" w:hAnsi="Wingdings"/>
                <w:sz w:val="20"/>
              </w:rPr>
            </w:pPr>
            <w:r>
              <w:rPr>
                <w:sz w:val="21"/>
              </w:rPr>
              <w:t xml:space="preserve">水环境保护目标质量状况 </w:t>
            </w:r>
            <w:r>
              <w:rPr>
                <w:rFonts w:ascii="Wingdings" w:hAnsi="Wingdings"/>
                <w:sz w:val="20"/>
              </w:rPr>
              <w:t></w:t>
            </w:r>
            <w:r>
              <w:rPr>
                <w:sz w:val="21"/>
              </w:rPr>
              <w:t xml:space="preserve">：达标 </w:t>
            </w:r>
            <w:r>
              <w:rPr>
                <w:rFonts w:ascii="Wingdings" w:hAnsi="Wingdings"/>
                <w:sz w:val="20"/>
              </w:rPr>
              <w:t></w:t>
            </w:r>
            <w:r>
              <w:rPr>
                <w:sz w:val="21"/>
              </w:rPr>
              <w:t xml:space="preserve">；不达标 </w:t>
            </w:r>
            <w:r>
              <w:rPr>
                <w:rFonts w:ascii="Wingdings" w:hAnsi="Wingdings"/>
                <w:sz w:val="20"/>
              </w:rPr>
              <w:t></w:t>
            </w:r>
          </w:p>
          <w:p w14:paraId="0C72FC82">
            <w:pPr>
              <w:pStyle w:val="14"/>
              <w:spacing w:before="4"/>
              <w:ind w:left="106"/>
              <w:rPr>
                <w:rFonts w:ascii="Wingdings" w:hAnsi="Wingdings"/>
                <w:sz w:val="20"/>
              </w:rPr>
            </w:pPr>
            <w:r>
              <w:rPr>
                <w:sz w:val="21"/>
              </w:rPr>
              <w:t xml:space="preserve">对照断面、控制断面等代表性断面的水质状况 </w:t>
            </w:r>
            <w:r>
              <w:rPr>
                <w:rFonts w:ascii="Wingdings" w:hAnsi="Wingdings"/>
                <w:sz w:val="20"/>
              </w:rPr>
              <w:t></w:t>
            </w:r>
            <w:r>
              <w:rPr>
                <w:sz w:val="21"/>
              </w:rPr>
              <w:t xml:space="preserve">：达标 </w:t>
            </w:r>
            <w:r>
              <w:rPr>
                <w:rFonts w:ascii="Wingdings" w:hAnsi="Wingdings"/>
                <w:sz w:val="20"/>
              </w:rPr>
              <w:t></w:t>
            </w:r>
            <w:r>
              <w:rPr>
                <w:sz w:val="21"/>
              </w:rPr>
              <w:t xml:space="preserve">；不达标 </w:t>
            </w:r>
            <w:r>
              <w:rPr>
                <w:rFonts w:ascii="Wingdings" w:hAnsi="Wingdings"/>
                <w:sz w:val="20"/>
              </w:rPr>
              <w:t></w:t>
            </w:r>
          </w:p>
          <w:p w14:paraId="0639508D">
            <w:pPr>
              <w:pStyle w:val="14"/>
              <w:spacing w:before="2"/>
              <w:ind w:left="106"/>
              <w:rPr>
                <w:rFonts w:ascii="Wingdings" w:hAnsi="Wingdings"/>
                <w:sz w:val="20"/>
              </w:rPr>
            </w:pPr>
            <w:r>
              <w:rPr>
                <w:sz w:val="21"/>
              </w:rPr>
              <w:t xml:space="preserve">底泥污染评价 </w:t>
            </w:r>
            <w:r>
              <w:rPr>
                <w:rFonts w:ascii="Wingdings" w:hAnsi="Wingdings"/>
                <w:sz w:val="20"/>
              </w:rPr>
              <w:t></w:t>
            </w:r>
          </w:p>
          <w:p w14:paraId="1B853E64">
            <w:pPr>
              <w:pStyle w:val="14"/>
              <w:spacing w:before="3"/>
              <w:ind w:left="106"/>
              <w:rPr>
                <w:rFonts w:ascii="Wingdings" w:hAnsi="Wingdings"/>
                <w:sz w:val="20"/>
              </w:rPr>
            </w:pPr>
            <w:r>
              <w:rPr>
                <w:sz w:val="21"/>
              </w:rPr>
              <w:t xml:space="preserve">水资源与开发利用程度及其水文情势评价 </w:t>
            </w:r>
            <w:r>
              <w:rPr>
                <w:rFonts w:ascii="Wingdings" w:hAnsi="Wingdings"/>
                <w:sz w:val="20"/>
              </w:rPr>
              <w:t></w:t>
            </w:r>
          </w:p>
          <w:p w14:paraId="7C26CCA7">
            <w:pPr>
              <w:pStyle w:val="14"/>
              <w:spacing w:before="4"/>
              <w:ind w:left="106"/>
              <w:rPr>
                <w:rFonts w:ascii="Wingdings" w:hAnsi="Wingdings"/>
                <w:sz w:val="20"/>
              </w:rPr>
            </w:pPr>
            <w:r>
              <w:rPr>
                <w:sz w:val="21"/>
              </w:rPr>
              <w:t xml:space="preserve">水环境质量回顾评价 </w:t>
            </w:r>
            <w:r>
              <w:rPr>
                <w:rFonts w:ascii="Wingdings" w:hAnsi="Wingdings"/>
                <w:sz w:val="20"/>
              </w:rPr>
              <w:t></w:t>
            </w:r>
          </w:p>
          <w:p w14:paraId="2478C2E9">
            <w:pPr>
              <w:pStyle w:val="14"/>
              <w:spacing w:before="2"/>
              <w:ind w:left="106"/>
              <w:rPr>
                <w:sz w:val="21"/>
              </w:rPr>
            </w:pPr>
            <w:r>
              <w:rPr>
                <w:sz w:val="21"/>
              </w:rPr>
              <w:t>流域（区域）水资源（包括水能资源）与开发利用总体状况、生态流量管理要求与现状满足程</w:t>
            </w:r>
          </w:p>
          <w:p w14:paraId="0CA567E7">
            <w:pPr>
              <w:pStyle w:val="14"/>
              <w:spacing w:before="5" w:line="251" w:lineRule="exact"/>
              <w:ind w:left="106"/>
              <w:rPr>
                <w:rFonts w:ascii="Wingdings" w:hAnsi="Wingdings"/>
                <w:sz w:val="20"/>
              </w:rPr>
            </w:pPr>
            <w:r>
              <w:rPr>
                <w:sz w:val="21"/>
              </w:rPr>
              <w:t xml:space="preserve">度、建设项目占用水域空间的水流状况与河湖演变状况 </w:t>
            </w:r>
            <w:r>
              <w:rPr>
                <w:rFonts w:ascii="Wingdings" w:hAnsi="Wingdings"/>
                <w:sz w:val="20"/>
              </w:rPr>
              <w:t></w:t>
            </w:r>
          </w:p>
        </w:tc>
        <w:tc>
          <w:tcPr>
            <w:tcW w:w="1414" w:type="dxa"/>
          </w:tcPr>
          <w:p w14:paraId="5F3F42D3">
            <w:pPr>
              <w:pStyle w:val="14"/>
              <w:rPr>
                <w:rFonts w:ascii="Times New Roman"/>
                <w:sz w:val="22"/>
              </w:rPr>
            </w:pPr>
          </w:p>
          <w:p w14:paraId="6DCDEABE">
            <w:pPr>
              <w:pStyle w:val="14"/>
              <w:rPr>
                <w:rFonts w:ascii="Times New Roman"/>
                <w:sz w:val="22"/>
              </w:rPr>
            </w:pPr>
          </w:p>
          <w:p w14:paraId="602DE6D3">
            <w:pPr>
              <w:pStyle w:val="14"/>
              <w:rPr>
                <w:rFonts w:ascii="Times New Roman"/>
                <w:sz w:val="22"/>
              </w:rPr>
            </w:pPr>
          </w:p>
          <w:p w14:paraId="29837992">
            <w:pPr>
              <w:pStyle w:val="14"/>
              <w:spacing w:before="194"/>
              <w:ind w:left="106"/>
              <w:rPr>
                <w:rFonts w:ascii="Wingdings" w:hAnsi="Wingdings"/>
                <w:sz w:val="20"/>
              </w:rPr>
            </w:pPr>
            <w:r>
              <w:rPr>
                <w:sz w:val="21"/>
              </w:rPr>
              <w:t xml:space="preserve">达标区 </w:t>
            </w:r>
            <w:r>
              <w:rPr>
                <w:rFonts w:ascii="Wingdings" w:hAnsi="Wingdings"/>
                <w:sz w:val="20"/>
              </w:rPr>
              <w:t></w:t>
            </w:r>
          </w:p>
          <w:p w14:paraId="22B6DC30">
            <w:pPr>
              <w:pStyle w:val="14"/>
              <w:spacing w:before="5"/>
              <w:ind w:left="106"/>
              <w:rPr>
                <w:rFonts w:ascii="Wingdings" w:hAnsi="Wingdings"/>
                <w:sz w:val="20"/>
              </w:rPr>
            </w:pPr>
            <w:r>
              <w:rPr>
                <w:sz w:val="21"/>
              </w:rPr>
              <w:t xml:space="preserve">不达标区 </w:t>
            </w:r>
            <w:r>
              <w:rPr>
                <w:rFonts w:ascii="Wingdings" w:hAnsi="Wingdings"/>
                <w:sz w:val="20"/>
              </w:rPr>
              <w:t></w:t>
            </w:r>
          </w:p>
        </w:tc>
      </w:tr>
      <w:tr w14:paraId="1EB4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restart"/>
          </w:tcPr>
          <w:p w14:paraId="123FC8BF">
            <w:pPr>
              <w:pStyle w:val="14"/>
              <w:rPr>
                <w:rFonts w:ascii="Times New Roman"/>
                <w:sz w:val="20"/>
              </w:rPr>
            </w:pPr>
          </w:p>
          <w:p w14:paraId="10A899B5">
            <w:pPr>
              <w:pStyle w:val="14"/>
              <w:rPr>
                <w:rFonts w:ascii="Times New Roman"/>
                <w:sz w:val="20"/>
              </w:rPr>
            </w:pPr>
          </w:p>
          <w:p w14:paraId="4021947B">
            <w:pPr>
              <w:pStyle w:val="14"/>
              <w:rPr>
                <w:rFonts w:ascii="Times New Roman"/>
                <w:sz w:val="20"/>
              </w:rPr>
            </w:pPr>
          </w:p>
          <w:p w14:paraId="16B577DC">
            <w:pPr>
              <w:pStyle w:val="14"/>
              <w:rPr>
                <w:rFonts w:ascii="Times New Roman"/>
                <w:sz w:val="20"/>
              </w:rPr>
            </w:pPr>
          </w:p>
          <w:p w14:paraId="2EBA241D">
            <w:pPr>
              <w:pStyle w:val="14"/>
              <w:spacing w:before="116" w:line="242" w:lineRule="auto"/>
              <w:ind w:left="171" w:right="164"/>
              <w:jc w:val="both"/>
              <w:rPr>
                <w:sz w:val="21"/>
              </w:rPr>
            </w:pPr>
            <w:r>
              <w:rPr>
                <w:sz w:val="21"/>
              </w:rPr>
              <w:t>影响预测</w:t>
            </w:r>
          </w:p>
        </w:tc>
        <w:tc>
          <w:tcPr>
            <w:tcW w:w="2669" w:type="dxa"/>
          </w:tcPr>
          <w:p w14:paraId="5A2112C4">
            <w:pPr>
              <w:pStyle w:val="14"/>
              <w:spacing w:before="33"/>
              <w:ind w:left="156" w:right="151"/>
              <w:jc w:val="center"/>
              <w:rPr>
                <w:sz w:val="21"/>
              </w:rPr>
            </w:pPr>
            <w:r>
              <w:rPr>
                <w:sz w:val="21"/>
              </w:rPr>
              <w:t>预测范围</w:t>
            </w:r>
          </w:p>
        </w:tc>
        <w:tc>
          <w:tcPr>
            <w:tcW w:w="10380" w:type="dxa"/>
            <w:gridSpan w:val="2"/>
          </w:tcPr>
          <w:p w14:paraId="34829BC7">
            <w:pPr>
              <w:pStyle w:val="14"/>
              <w:tabs>
                <w:tab w:val="left" w:pos="5472"/>
              </w:tabs>
              <w:spacing w:before="33"/>
              <w:ind w:left="106"/>
              <w:rPr>
                <w:rFonts w:ascii="Times New Roman" w:eastAsia="Times New Roman"/>
                <w:sz w:val="13"/>
              </w:rPr>
            </w:pPr>
            <w:r>
              <w:rPr>
                <w:sz w:val="21"/>
              </w:rPr>
              <w:t>河流：长度（</w:t>
            </w:r>
            <w:r>
              <w:rPr>
                <w:spacing w:val="-3"/>
                <w:sz w:val="21"/>
              </w:rPr>
              <w:t xml:space="preserve"> </w:t>
            </w:r>
            <w:r>
              <w:rPr>
                <w:rFonts w:ascii="Times New Roman" w:eastAsia="Times New Roman"/>
                <w:sz w:val="21"/>
              </w:rPr>
              <w:t>/</w:t>
            </w:r>
            <w:r>
              <w:rPr>
                <w:rFonts w:ascii="Times New Roman" w:eastAsia="Times New Roman"/>
                <w:spacing w:val="46"/>
                <w:sz w:val="21"/>
              </w:rPr>
              <w:t xml:space="preserve"> </w:t>
            </w:r>
            <w:r>
              <w:rPr>
                <w:sz w:val="21"/>
              </w:rPr>
              <w:t>）</w:t>
            </w:r>
            <w:r>
              <w:rPr>
                <w:rFonts w:ascii="Times New Roman" w:eastAsia="Times New Roman"/>
                <w:sz w:val="21"/>
              </w:rPr>
              <w:t>km</w:t>
            </w:r>
            <w:r>
              <w:rPr>
                <w:sz w:val="21"/>
              </w:rPr>
              <w:t>；湖库、河口及近岸海域：面积（</w:t>
            </w:r>
            <w:r>
              <w:rPr>
                <w:sz w:val="21"/>
              </w:rPr>
              <w:tab/>
            </w:r>
            <w:r>
              <w:rPr>
                <w:sz w:val="21"/>
              </w:rPr>
              <w:t>）</w:t>
            </w:r>
            <w:r>
              <w:rPr>
                <w:rFonts w:ascii="Times New Roman" w:eastAsia="Times New Roman"/>
                <w:sz w:val="21"/>
              </w:rPr>
              <w:t>km</w:t>
            </w:r>
            <w:r>
              <w:rPr>
                <w:rFonts w:ascii="Times New Roman" w:eastAsia="Times New Roman"/>
                <w:position w:val="7"/>
                <w:sz w:val="13"/>
              </w:rPr>
              <w:t>2</w:t>
            </w:r>
          </w:p>
        </w:tc>
      </w:tr>
      <w:tr w14:paraId="482F4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0FDE3D80">
            <w:pPr>
              <w:rPr>
                <w:sz w:val="2"/>
                <w:szCs w:val="2"/>
              </w:rPr>
            </w:pPr>
          </w:p>
        </w:tc>
        <w:tc>
          <w:tcPr>
            <w:tcW w:w="2669" w:type="dxa"/>
          </w:tcPr>
          <w:p w14:paraId="77DD9AC3">
            <w:pPr>
              <w:pStyle w:val="14"/>
              <w:spacing w:before="33"/>
              <w:ind w:left="156" w:right="151"/>
              <w:jc w:val="center"/>
              <w:rPr>
                <w:sz w:val="21"/>
              </w:rPr>
            </w:pPr>
            <w:r>
              <w:rPr>
                <w:sz w:val="21"/>
              </w:rPr>
              <w:t>预测因子</w:t>
            </w:r>
          </w:p>
        </w:tc>
        <w:tc>
          <w:tcPr>
            <w:tcW w:w="10380" w:type="dxa"/>
            <w:gridSpan w:val="2"/>
          </w:tcPr>
          <w:p w14:paraId="2ABC89C1">
            <w:pPr>
              <w:pStyle w:val="14"/>
              <w:spacing w:before="33"/>
              <w:ind w:left="106"/>
              <w:rPr>
                <w:sz w:val="21"/>
              </w:rPr>
            </w:pPr>
            <w:r>
              <w:rPr>
                <w:sz w:val="21"/>
              </w:rPr>
              <w:t xml:space="preserve">（ </w:t>
            </w:r>
            <w:r>
              <w:rPr>
                <w:rFonts w:ascii="Times New Roman" w:eastAsia="Times New Roman"/>
                <w:sz w:val="21"/>
              </w:rPr>
              <w:t>/</w:t>
            </w:r>
            <w:r>
              <w:rPr>
                <w:rFonts w:ascii="Times New Roman" w:eastAsia="Times New Roman"/>
                <w:spacing w:val="51"/>
                <w:sz w:val="21"/>
              </w:rPr>
              <w:t xml:space="preserve"> </w:t>
            </w:r>
            <w:r>
              <w:rPr>
                <w:sz w:val="21"/>
              </w:rPr>
              <w:t>）</w:t>
            </w:r>
          </w:p>
        </w:tc>
      </w:tr>
      <w:tr w14:paraId="32B65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557" w:type="dxa"/>
            <w:vMerge w:val="continue"/>
            <w:tcBorders>
              <w:top w:val="nil"/>
            </w:tcBorders>
          </w:tcPr>
          <w:p w14:paraId="0DAF58B7">
            <w:pPr>
              <w:rPr>
                <w:sz w:val="2"/>
                <w:szCs w:val="2"/>
              </w:rPr>
            </w:pPr>
          </w:p>
        </w:tc>
        <w:tc>
          <w:tcPr>
            <w:tcW w:w="2669" w:type="dxa"/>
          </w:tcPr>
          <w:p w14:paraId="3EA290EB">
            <w:pPr>
              <w:pStyle w:val="14"/>
              <w:spacing w:before="2"/>
              <w:rPr>
                <w:rFonts w:ascii="Times New Roman"/>
                <w:sz w:val="23"/>
              </w:rPr>
            </w:pPr>
          </w:p>
          <w:p w14:paraId="3B45D525">
            <w:pPr>
              <w:pStyle w:val="14"/>
              <w:ind w:left="156" w:right="151"/>
              <w:jc w:val="center"/>
              <w:rPr>
                <w:sz w:val="21"/>
              </w:rPr>
            </w:pPr>
            <w:r>
              <w:rPr>
                <w:sz w:val="21"/>
              </w:rPr>
              <w:t>预测时期</w:t>
            </w:r>
          </w:p>
        </w:tc>
        <w:tc>
          <w:tcPr>
            <w:tcW w:w="10380" w:type="dxa"/>
            <w:gridSpan w:val="2"/>
          </w:tcPr>
          <w:p w14:paraId="0C8619E7">
            <w:pPr>
              <w:pStyle w:val="14"/>
              <w:spacing w:line="244" w:lineRule="auto"/>
              <w:ind w:left="106" w:right="5979"/>
              <w:rPr>
                <w:rFonts w:ascii="Wingdings" w:hAnsi="Wingdings"/>
                <w:sz w:val="20"/>
              </w:rPr>
            </w:pPr>
            <w:r>
              <w:rPr>
                <w:spacing w:val="-14"/>
                <w:sz w:val="21"/>
              </w:rPr>
              <w:t xml:space="preserve">丰水期 </w:t>
            </w:r>
            <w:r>
              <w:rPr>
                <w:rFonts w:ascii="Wingdings" w:hAnsi="Wingdings"/>
                <w:sz w:val="20"/>
              </w:rPr>
              <w:t></w:t>
            </w:r>
            <w:r>
              <w:rPr>
                <w:spacing w:val="-12"/>
                <w:sz w:val="21"/>
              </w:rPr>
              <w:t xml:space="preserve">；平水期 </w:t>
            </w:r>
            <w:r>
              <w:rPr>
                <w:rFonts w:ascii="Wingdings" w:hAnsi="Wingdings"/>
                <w:sz w:val="20"/>
              </w:rPr>
              <w:t></w:t>
            </w:r>
            <w:r>
              <w:rPr>
                <w:spacing w:val="-11"/>
                <w:sz w:val="21"/>
              </w:rPr>
              <w:t xml:space="preserve">；枯水期 </w:t>
            </w:r>
            <w:r>
              <w:rPr>
                <w:rFonts w:ascii="Wingdings" w:hAnsi="Wingdings"/>
                <w:sz w:val="20"/>
              </w:rPr>
              <w:t></w:t>
            </w:r>
            <w:r>
              <w:rPr>
                <w:spacing w:val="-11"/>
                <w:sz w:val="21"/>
              </w:rPr>
              <w:t xml:space="preserve">；冰封期 </w:t>
            </w:r>
            <w:r>
              <w:rPr>
                <w:rFonts w:ascii="Wingdings" w:hAnsi="Wingdings"/>
                <w:sz w:val="20"/>
              </w:rPr>
              <w:t></w:t>
            </w:r>
            <w:r>
              <w:rPr>
                <w:sz w:val="21"/>
              </w:rPr>
              <w:t xml:space="preserve">； </w:t>
            </w:r>
            <w:r>
              <w:rPr>
                <w:spacing w:val="-17"/>
                <w:sz w:val="21"/>
              </w:rPr>
              <w:t xml:space="preserve">春季 </w:t>
            </w:r>
            <w:r>
              <w:rPr>
                <w:rFonts w:ascii="Wingdings" w:hAnsi="Wingdings"/>
                <w:sz w:val="20"/>
              </w:rPr>
              <w:t></w:t>
            </w:r>
            <w:r>
              <w:rPr>
                <w:spacing w:val="-13"/>
                <w:sz w:val="21"/>
              </w:rPr>
              <w:t xml:space="preserve">；夏季 </w:t>
            </w:r>
            <w:r>
              <w:rPr>
                <w:rFonts w:ascii="Wingdings" w:hAnsi="Wingdings"/>
                <w:sz w:val="20"/>
              </w:rPr>
              <w:t></w:t>
            </w:r>
            <w:r>
              <w:rPr>
                <w:spacing w:val="-14"/>
                <w:sz w:val="21"/>
              </w:rPr>
              <w:t xml:space="preserve">；秋季 </w:t>
            </w:r>
            <w:r>
              <w:rPr>
                <w:rFonts w:ascii="Wingdings" w:hAnsi="Wingdings"/>
                <w:sz w:val="20"/>
              </w:rPr>
              <w:t></w:t>
            </w:r>
            <w:r>
              <w:rPr>
                <w:spacing w:val="-13"/>
                <w:sz w:val="21"/>
              </w:rPr>
              <w:t xml:space="preserve">；冬季 </w:t>
            </w:r>
            <w:r>
              <w:rPr>
                <w:rFonts w:ascii="Wingdings" w:hAnsi="Wingdings"/>
                <w:sz w:val="20"/>
              </w:rPr>
              <w:t></w:t>
            </w:r>
          </w:p>
          <w:p w14:paraId="7FD918A1">
            <w:pPr>
              <w:pStyle w:val="14"/>
              <w:spacing w:line="235" w:lineRule="exact"/>
              <w:ind w:left="106"/>
              <w:rPr>
                <w:rFonts w:ascii="Wingdings" w:hAnsi="Wingdings"/>
                <w:sz w:val="20"/>
              </w:rPr>
            </w:pPr>
            <w:r>
              <w:rPr>
                <w:sz w:val="20"/>
              </w:rPr>
              <w:t>设计水文条件</w:t>
            </w:r>
            <w:r>
              <w:rPr>
                <w:rFonts w:ascii="Wingdings" w:hAnsi="Wingdings"/>
                <w:sz w:val="20"/>
              </w:rPr>
              <w:t></w:t>
            </w:r>
          </w:p>
        </w:tc>
      </w:tr>
      <w:tr w14:paraId="75D9E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557" w:type="dxa"/>
            <w:vMerge w:val="continue"/>
            <w:tcBorders>
              <w:top w:val="nil"/>
            </w:tcBorders>
          </w:tcPr>
          <w:p w14:paraId="368B618B">
            <w:pPr>
              <w:rPr>
                <w:sz w:val="2"/>
                <w:szCs w:val="2"/>
              </w:rPr>
            </w:pPr>
          </w:p>
        </w:tc>
        <w:tc>
          <w:tcPr>
            <w:tcW w:w="2669" w:type="dxa"/>
          </w:tcPr>
          <w:p w14:paraId="513615C5">
            <w:pPr>
              <w:pStyle w:val="14"/>
              <w:rPr>
                <w:rFonts w:ascii="Times New Roman"/>
                <w:sz w:val="20"/>
              </w:rPr>
            </w:pPr>
          </w:p>
          <w:p w14:paraId="6F84EA25">
            <w:pPr>
              <w:pStyle w:val="14"/>
              <w:spacing w:before="7"/>
              <w:rPr>
                <w:rFonts w:ascii="Times New Roman"/>
                <w:sz w:val="15"/>
              </w:rPr>
            </w:pPr>
          </w:p>
          <w:p w14:paraId="38DA1797">
            <w:pPr>
              <w:pStyle w:val="14"/>
              <w:ind w:left="156" w:right="151"/>
              <w:jc w:val="center"/>
              <w:rPr>
                <w:sz w:val="21"/>
              </w:rPr>
            </w:pPr>
            <w:r>
              <w:rPr>
                <w:sz w:val="21"/>
              </w:rPr>
              <w:t>预测情景</w:t>
            </w:r>
          </w:p>
        </w:tc>
        <w:tc>
          <w:tcPr>
            <w:tcW w:w="10380" w:type="dxa"/>
            <w:gridSpan w:val="2"/>
          </w:tcPr>
          <w:p w14:paraId="43B76A17">
            <w:pPr>
              <w:pStyle w:val="14"/>
              <w:spacing w:before="2"/>
              <w:ind w:left="106"/>
              <w:rPr>
                <w:rFonts w:ascii="Wingdings" w:hAnsi="Wingdings"/>
                <w:sz w:val="20"/>
              </w:rPr>
            </w:pPr>
            <w:r>
              <w:rPr>
                <w:sz w:val="21"/>
              </w:rPr>
              <w:t xml:space="preserve">建设期 </w:t>
            </w:r>
            <w:r>
              <w:rPr>
                <w:rFonts w:ascii="Wingdings" w:hAnsi="Wingdings"/>
                <w:sz w:val="20"/>
              </w:rPr>
              <w:t></w:t>
            </w:r>
            <w:r>
              <w:rPr>
                <w:sz w:val="21"/>
              </w:rPr>
              <w:t xml:space="preserve">；生产运行期 </w:t>
            </w:r>
            <w:r>
              <w:rPr>
                <w:rFonts w:ascii="Wingdings" w:hAnsi="Wingdings"/>
                <w:sz w:val="20"/>
              </w:rPr>
              <w:t></w:t>
            </w:r>
            <w:r>
              <w:rPr>
                <w:sz w:val="21"/>
              </w:rPr>
              <w:t xml:space="preserve">；服务期满后 </w:t>
            </w:r>
            <w:r>
              <w:rPr>
                <w:rFonts w:ascii="Wingdings" w:hAnsi="Wingdings"/>
                <w:sz w:val="20"/>
              </w:rPr>
              <w:t></w:t>
            </w:r>
          </w:p>
          <w:p w14:paraId="678B8ADC">
            <w:pPr>
              <w:pStyle w:val="14"/>
              <w:spacing w:before="2"/>
              <w:ind w:left="106"/>
              <w:rPr>
                <w:rFonts w:ascii="Wingdings" w:hAnsi="Wingdings"/>
                <w:sz w:val="20"/>
              </w:rPr>
            </w:pPr>
            <w:r>
              <w:rPr>
                <w:sz w:val="21"/>
              </w:rPr>
              <w:t xml:space="preserve">正常工况 </w:t>
            </w:r>
            <w:r>
              <w:rPr>
                <w:rFonts w:ascii="Wingdings" w:hAnsi="Wingdings"/>
                <w:sz w:val="20"/>
              </w:rPr>
              <w:t></w:t>
            </w:r>
            <w:r>
              <w:rPr>
                <w:sz w:val="21"/>
              </w:rPr>
              <w:t xml:space="preserve">；非正常工况 </w:t>
            </w:r>
            <w:r>
              <w:rPr>
                <w:rFonts w:ascii="Wingdings" w:hAnsi="Wingdings"/>
                <w:sz w:val="20"/>
              </w:rPr>
              <w:t></w:t>
            </w:r>
          </w:p>
          <w:p w14:paraId="5F98D75E">
            <w:pPr>
              <w:pStyle w:val="14"/>
              <w:spacing w:before="2"/>
              <w:ind w:left="106"/>
              <w:rPr>
                <w:rFonts w:ascii="Wingdings" w:hAnsi="Wingdings"/>
                <w:sz w:val="20"/>
              </w:rPr>
            </w:pPr>
            <w:r>
              <w:rPr>
                <w:sz w:val="21"/>
              </w:rPr>
              <w:t xml:space="preserve">污染控制可减缓措施方案 </w:t>
            </w:r>
            <w:r>
              <w:rPr>
                <w:rFonts w:ascii="Wingdings" w:hAnsi="Wingdings"/>
                <w:sz w:val="20"/>
              </w:rPr>
              <w:t></w:t>
            </w:r>
          </w:p>
          <w:p w14:paraId="141D4532">
            <w:pPr>
              <w:pStyle w:val="14"/>
              <w:spacing w:before="5" w:line="252" w:lineRule="exact"/>
              <w:ind w:left="106"/>
              <w:rPr>
                <w:rFonts w:ascii="Wingdings" w:hAnsi="Wingdings"/>
                <w:sz w:val="20"/>
              </w:rPr>
            </w:pPr>
            <w:r>
              <w:rPr>
                <w:sz w:val="21"/>
              </w:rPr>
              <w:t xml:space="preserve">区（流）域环境质量改善目标要求情景 </w:t>
            </w:r>
            <w:r>
              <w:rPr>
                <w:rFonts w:ascii="Wingdings" w:hAnsi="Wingdings"/>
                <w:sz w:val="20"/>
              </w:rPr>
              <w:t></w:t>
            </w:r>
          </w:p>
        </w:tc>
      </w:tr>
      <w:tr w14:paraId="6C350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57" w:type="dxa"/>
            <w:vMerge w:val="continue"/>
            <w:tcBorders>
              <w:top w:val="nil"/>
            </w:tcBorders>
          </w:tcPr>
          <w:p w14:paraId="38F83D2A">
            <w:pPr>
              <w:rPr>
                <w:sz w:val="2"/>
                <w:szCs w:val="2"/>
              </w:rPr>
            </w:pPr>
          </w:p>
        </w:tc>
        <w:tc>
          <w:tcPr>
            <w:tcW w:w="2669" w:type="dxa"/>
          </w:tcPr>
          <w:p w14:paraId="33B7E186">
            <w:pPr>
              <w:pStyle w:val="14"/>
              <w:spacing w:before="135"/>
              <w:ind w:left="156" w:right="151"/>
              <w:jc w:val="center"/>
              <w:rPr>
                <w:sz w:val="21"/>
              </w:rPr>
            </w:pPr>
            <w:r>
              <w:rPr>
                <w:sz w:val="21"/>
              </w:rPr>
              <w:t>预测方法</w:t>
            </w:r>
          </w:p>
        </w:tc>
        <w:tc>
          <w:tcPr>
            <w:tcW w:w="10380" w:type="dxa"/>
            <w:gridSpan w:val="2"/>
          </w:tcPr>
          <w:p w14:paraId="59EF11BC">
            <w:pPr>
              <w:pStyle w:val="14"/>
              <w:spacing w:line="268" w:lineRule="exact"/>
              <w:ind w:left="106"/>
              <w:rPr>
                <w:rFonts w:ascii="Wingdings" w:hAnsi="Wingdings"/>
                <w:sz w:val="20"/>
              </w:rPr>
            </w:pPr>
            <w:r>
              <w:rPr>
                <w:sz w:val="21"/>
              </w:rPr>
              <w:t xml:space="preserve">数值解 </w:t>
            </w:r>
            <w:r>
              <w:rPr>
                <w:rFonts w:ascii="Wingdings" w:hAnsi="Wingdings"/>
                <w:sz w:val="20"/>
              </w:rPr>
              <w:t></w:t>
            </w:r>
            <w:r>
              <w:rPr>
                <w:sz w:val="21"/>
              </w:rPr>
              <w:t xml:space="preserve">；解析解 </w:t>
            </w:r>
            <w:r>
              <w:rPr>
                <w:rFonts w:ascii="Wingdings" w:hAnsi="Wingdings"/>
                <w:sz w:val="20"/>
              </w:rPr>
              <w:t></w:t>
            </w:r>
            <w:r>
              <w:rPr>
                <w:sz w:val="21"/>
              </w:rPr>
              <w:t xml:space="preserve">；其他 </w:t>
            </w:r>
            <w:r>
              <w:rPr>
                <w:rFonts w:ascii="Wingdings" w:hAnsi="Wingdings"/>
                <w:sz w:val="20"/>
              </w:rPr>
              <w:t></w:t>
            </w:r>
          </w:p>
          <w:p w14:paraId="24CF6FF8">
            <w:pPr>
              <w:pStyle w:val="14"/>
              <w:spacing w:before="4" w:line="251" w:lineRule="exact"/>
              <w:ind w:left="106"/>
              <w:rPr>
                <w:rFonts w:ascii="Wingdings" w:hAnsi="Wingdings"/>
                <w:sz w:val="20"/>
              </w:rPr>
            </w:pPr>
            <w:r>
              <w:rPr>
                <w:sz w:val="21"/>
              </w:rPr>
              <w:t xml:space="preserve">导则推荐模式 </w:t>
            </w:r>
            <w:r>
              <w:rPr>
                <w:rFonts w:ascii="Wingdings" w:hAnsi="Wingdings"/>
                <w:sz w:val="20"/>
              </w:rPr>
              <w:t></w:t>
            </w:r>
            <w:r>
              <w:rPr>
                <w:sz w:val="21"/>
              </w:rPr>
              <w:t xml:space="preserve">；其他 </w:t>
            </w:r>
            <w:r>
              <w:rPr>
                <w:rFonts w:ascii="Wingdings" w:hAnsi="Wingdings"/>
                <w:sz w:val="20"/>
              </w:rPr>
              <w:t></w:t>
            </w:r>
          </w:p>
        </w:tc>
      </w:tr>
      <w:tr w14:paraId="3EE82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57" w:type="dxa"/>
          </w:tcPr>
          <w:p w14:paraId="218B812D">
            <w:pPr>
              <w:pStyle w:val="14"/>
              <w:spacing w:before="2"/>
              <w:ind w:left="171"/>
              <w:rPr>
                <w:sz w:val="21"/>
              </w:rPr>
            </w:pPr>
            <w:r>
              <w:rPr>
                <w:w w:val="99"/>
                <w:sz w:val="21"/>
              </w:rPr>
              <w:t>影</w:t>
            </w:r>
          </w:p>
          <w:p w14:paraId="0A66ECB2">
            <w:pPr>
              <w:pStyle w:val="14"/>
              <w:spacing w:before="2" w:line="250" w:lineRule="exact"/>
              <w:ind w:left="171"/>
              <w:rPr>
                <w:sz w:val="21"/>
              </w:rPr>
            </w:pPr>
            <w:r>
              <w:rPr>
                <w:w w:val="99"/>
                <w:sz w:val="21"/>
              </w:rPr>
              <w:t>响</w:t>
            </w:r>
          </w:p>
        </w:tc>
        <w:tc>
          <w:tcPr>
            <w:tcW w:w="2669" w:type="dxa"/>
          </w:tcPr>
          <w:p w14:paraId="376507A9">
            <w:pPr>
              <w:pStyle w:val="14"/>
              <w:spacing w:before="2"/>
              <w:ind w:left="158" w:right="151"/>
              <w:jc w:val="center"/>
              <w:rPr>
                <w:sz w:val="21"/>
              </w:rPr>
            </w:pPr>
            <w:r>
              <w:rPr>
                <w:sz w:val="21"/>
              </w:rPr>
              <w:t>水污染控制和水环境影响</w:t>
            </w:r>
          </w:p>
          <w:p w14:paraId="7FF7742B">
            <w:pPr>
              <w:pStyle w:val="14"/>
              <w:spacing w:before="2" w:line="250" w:lineRule="exact"/>
              <w:ind w:left="156" w:right="151"/>
              <w:jc w:val="center"/>
              <w:rPr>
                <w:sz w:val="21"/>
              </w:rPr>
            </w:pPr>
            <w:r>
              <w:rPr>
                <w:sz w:val="21"/>
              </w:rPr>
              <w:t>减缓措施有效性评价</w:t>
            </w:r>
          </w:p>
        </w:tc>
        <w:tc>
          <w:tcPr>
            <w:tcW w:w="10380" w:type="dxa"/>
            <w:gridSpan w:val="2"/>
          </w:tcPr>
          <w:p w14:paraId="4BDBE666">
            <w:pPr>
              <w:pStyle w:val="14"/>
              <w:spacing w:before="136"/>
              <w:ind w:left="106"/>
              <w:rPr>
                <w:rFonts w:ascii="Wingdings" w:hAnsi="Wingdings"/>
                <w:sz w:val="20"/>
              </w:rPr>
            </w:pPr>
            <w:r>
              <w:rPr>
                <w:sz w:val="21"/>
              </w:rPr>
              <w:t xml:space="preserve">区（流）域环境质量改善目标 </w:t>
            </w:r>
            <w:r>
              <w:rPr>
                <w:rFonts w:ascii="Wingdings" w:hAnsi="Wingdings"/>
                <w:sz w:val="20"/>
              </w:rPr>
              <w:t></w:t>
            </w:r>
            <w:r>
              <w:rPr>
                <w:sz w:val="21"/>
              </w:rPr>
              <w:t xml:space="preserve">； 替代消减源 </w:t>
            </w:r>
            <w:r>
              <w:rPr>
                <w:rFonts w:ascii="Wingdings" w:hAnsi="Wingdings"/>
                <w:sz w:val="20"/>
              </w:rPr>
              <w:t></w:t>
            </w:r>
          </w:p>
        </w:tc>
      </w:tr>
    </w:tbl>
    <w:p w14:paraId="5BF7D4CE">
      <w:pPr>
        <w:spacing w:after="0"/>
        <w:rPr>
          <w:rFonts w:ascii="Wingdings" w:hAnsi="Wingdings"/>
          <w:sz w:val="20"/>
        </w:rPr>
        <w:sectPr>
          <w:pgSz w:w="16840" w:h="11910" w:orient="landscape"/>
          <w:pgMar w:top="1180" w:right="1500" w:bottom="1400" w:left="1500" w:header="878" w:footer="1204" w:gutter="0"/>
          <w:cols w:space="720" w:num="1"/>
        </w:sectPr>
      </w:pPr>
    </w:p>
    <w:p w14:paraId="6DB9C7E2">
      <w:pPr>
        <w:pStyle w:val="7"/>
        <w:rPr>
          <w:rFonts w:ascii="Times New Roman"/>
          <w:sz w:val="20"/>
        </w:rPr>
      </w:pPr>
    </w:p>
    <w:p w14:paraId="2827E7C6">
      <w:pPr>
        <w:pStyle w:val="7"/>
        <w:rPr>
          <w:rFonts w:ascii="Times New Roman"/>
          <w:sz w:val="20"/>
        </w:rPr>
      </w:pPr>
    </w:p>
    <w:p w14:paraId="13157F9C">
      <w:pPr>
        <w:pStyle w:val="7"/>
        <w:spacing w:before="9" w:after="1"/>
        <w:rPr>
          <w:rFonts w:ascii="Times New Roman"/>
          <w:sz w:val="13"/>
        </w:r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2669"/>
        <w:gridCol w:w="1608"/>
        <w:gridCol w:w="749"/>
        <w:gridCol w:w="173"/>
        <w:gridCol w:w="1612"/>
        <w:gridCol w:w="1700"/>
        <w:gridCol w:w="539"/>
        <w:gridCol w:w="1303"/>
        <w:gridCol w:w="2694"/>
      </w:tblGrid>
      <w:tr w14:paraId="52A87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tcPr>
          <w:p w14:paraId="30869161">
            <w:pPr>
              <w:pStyle w:val="14"/>
              <w:spacing w:before="33"/>
              <w:ind w:left="1170" w:right="1165"/>
              <w:jc w:val="center"/>
              <w:rPr>
                <w:sz w:val="21"/>
              </w:rPr>
            </w:pPr>
            <w:r>
              <w:rPr>
                <w:sz w:val="21"/>
              </w:rPr>
              <w:t>工作内容</w:t>
            </w:r>
          </w:p>
        </w:tc>
        <w:tc>
          <w:tcPr>
            <w:tcW w:w="10378" w:type="dxa"/>
            <w:gridSpan w:val="8"/>
          </w:tcPr>
          <w:p w14:paraId="7CE89D21">
            <w:pPr>
              <w:pStyle w:val="14"/>
              <w:spacing w:before="33"/>
              <w:ind w:left="4748" w:right="4739"/>
              <w:jc w:val="center"/>
              <w:rPr>
                <w:sz w:val="21"/>
              </w:rPr>
            </w:pPr>
            <w:r>
              <w:rPr>
                <w:sz w:val="21"/>
              </w:rPr>
              <w:t>自查项目</w:t>
            </w:r>
          </w:p>
        </w:tc>
      </w:tr>
      <w:tr w14:paraId="59CA8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0" w:hRule="atLeast"/>
        </w:trPr>
        <w:tc>
          <w:tcPr>
            <w:tcW w:w="557" w:type="dxa"/>
            <w:vMerge w:val="restart"/>
          </w:tcPr>
          <w:p w14:paraId="18FB29A3">
            <w:pPr>
              <w:pStyle w:val="14"/>
              <w:spacing w:line="244" w:lineRule="auto"/>
              <w:ind w:left="171" w:right="164"/>
              <w:rPr>
                <w:sz w:val="21"/>
              </w:rPr>
            </w:pPr>
            <w:r>
              <w:rPr>
                <w:sz w:val="21"/>
              </w:rPr>
              <w:t>评价</w:t>
            </w:r>
          </w:p>
        </w:tc>
        <w:tc>
          <w:tcPr>
            <w:tcW w:w="2669" w:type="dxa"/>
          </w:tcPr>
          <w:p w14:paraId="5DACAD1A">
            <w:pPr>
              <w:pStyle w:val="14"/>
              <w:rPr>
                <w:rFonts w:ascii="Times New Roman"/>
                <w:sz w:val="20"/>
              </w:rPr>
            </w:pPr>
          </w:p>
          <w:p w14:paraId="34F34791">
            <w:pPr>
              <w:pStyle w:val="14"/>
              <w:rPr>
                <w:rFonts w:ascii="Times New Roman"/>
                <w:sz w:val="20"/>
              </w:rPr>
            </w:pPr>
          </w:p>
          <w:p w14:paraId="61796615">
            <w:pPr>
              <w:pStyle w:val="14"/>
              <w:rPr>
                <w:rFonts w:ascii="Times New Roman"/>
                <w:sz w:val="20"/>
              </w:rPr>
            </w:pPr>
          </w:p>
          <w:p w14:paraId="4EFAA4BB">
            <w:pPr>
              <w:pStyle w:val="14"/>
              <w:rPr>
                <w:rFonts w:ascii="Times New Roman"/>
                <w:sz w:val="20"/>
              </w:rPr>
            </w:pPr>
          </w:p>
          <w:p w14:paraId="6C50FFE4">
            <w:pPr>
              <w:pStyle w:val="14"/>
              <w:spacing w:before="169"/>
              <w:ind w:left="158" w:right="151"/>
              <w:jc w:val="center"/>
              <w:rPr>
                <w:sz w:val="21"/>
              </w:rPr>
            </w:pPr>
            <w:r>
              <w:rPr>
                <w:sz w:val="21"/>
              </w:rPr>
              <w:t>水环境影响评价</w:t>
            </w:r>
          </w:p>
        </w:tc>
        <w:tc>
          <w:tcPr>
            <w:tcW w:w="10378" w:type="dxa"/>
            <w:gridSpan w:val="8"/>
          </w:tcPr>
          <w:p w14:paraId="2480785C">
            <w:pPr>
              <w:pStyle w:val="14"/>
              <w:ind w:left="106"/>
              <w:rPr>
                <w:rFonts w:ascii="Wingdings" w:hAnsi="Wingdings"/>
                <w:sz w:val="20"/>
              </w:rPr>
            </w:pPr>
            <w:r>
              <w:rPr>
                <w:sz w:val="21"/>
              </w:rPr>
              <w:t xml:space="preserve">排放口混合去外满足水环境保护要求 </w:t>
            </w:r>
            <w:r>
              <w:rPr>
                <w:rFonts w:ascii="Wingdings" w:hAnsi="Wingdings"/>
                <w:sz w:val="20"/>
              </w:rPr>
              <w:t></w:t>
            </w:r>
          </w:p>
          <w:p w14:paraId="2ABB31FB">
            <w:pPr>
              <w:pStyle w:val="14"/>
              <w:spacing w:before="4"/>
              <w:ind w:left="106"/>
              <w:rPr>
                <w:rFonts w:ascii="Wingdings" w:hAnsi="Wingdings"/>
                <w:sz w:val="20"/>
              </w:rPr>
            </w:pPr>
            <w:r>
              <w:rPr>
                <w:sz w:val="21"/>
              </w:rPr>
              <w:t xml:space="preserve">水环境功能区或水功能区、近岸海域环境功能区水质达标 </w:t>
            </w:r>
            <w:r>
              <w:rPr>
                <w:rFonts w:ascii="Wingdings" w:hAnsi="Wingdings"/>
                <w:sz w:val="20"/>
              </w:rPr>
              <w:t></w:t>
            </w:r>
          </w:p>
          <w:p w14:paraId="00E0858E">
            <w:pPr>
              <w:pStyle w:val="14"/>
              <w:spacing w:before="2"/>
              <w:ind w:left="106"/>
              <w:rPr>
                <w:rFonts w:ascii="Wingdings" w:hAnsi="Wingdings"/>
                <w:sz w:val="20"/>
              </w:rPr>
            </w:pPr>
            <w:r>
              <w:rPr>
                <w:sz w:val="21"/>
              </w:rPr>
              <w:t xml:space="preserve">满足水环境保护目标水域水环境质量要求 </w:t>
            </w:r>
            <w:r>
              <w:rPr>
                <w:rFonts w:ascii="Wingdings" w:hAnsi="Wingdings"/>
                <w:sz w:val="20"/>
              </w:rPr>
              <w:t></w:t>
            </w:r>
          </w:p>
          <w:p w14:paraId="4F58FA91">
            <w:pPr>
              <w:pStyle w:val="14"/>
              <w:spacing w:before="5"/>
              <w:ind w:left="106"/>
              <w:rPr>
                <w:rFonts w:ascii="Wingdings" w:hAnsi="Wingdings"/>
                <w:sz w:val="20"/>
              </w:rPr>
            </w:pPr>
            <w:r>
              <w:rPr>
                <w:sz w:val="21"/>
              </w:rPr>
              <w:t xml:space="preserve">水环境控制单元或断面水质达标 </w:t>
            </w:r>
            <w:r>
              <w:rPr>
                <w:rFonts w:ascii="Wingdings" w:hAnsi="Wingdings"/>
                <w:sz w:val="20"/>
              </w:rPr>
              <w:t></w:t>
            </w:r>
          </w:p>
          <w:p w14:paraId="42E9385A">
            <w:pPr>
              <w:pStyle w:val="14"/>
              <w:spacing w:before="2"/>
              <w:ind w:left="106"/>
              <w:rPr>
                <w:rFonts w:ascii="Wingdings" w:hAnsi="Wingdings"/>
                <w:sz w:val="20"/>
              </w:rPr>
            </w:pPr>
            <w:r>
              <w:rPr>
                <w:sz w:val="21"/>
              </w:rPr>
              <w:t xml:space="preserve">满足重点水污染物排放总量控制指标要求，重点行业建设项目，主要污染物排放满足等量或减量替代要求 </w:t>
            </w:r>
            <w:r>
              <w:rPr>
                <w:rFonts w:ascii="Wingdings" w:hAnsi="Wingdings"/>
                <w:sz w:val="20"/>
              </w:rPr>
              <w:t></w:t>
            </w:r>
          </w:p>
          <w:p w14:paraId="37D768D6">
            <w:pPr>
              <w:pStyle w:val="14"/>
              <w:spacing w:before="5"/>
              <w:ind w:left="106"/>
              <w:rPr>
                <w:rFonts w:ascii="Wingdings" w:hAnsi="Wingdings"/>
                <w:sz w:val="20"/>
              </w:rPr>
            </w:pPr>
            <w:r>
              <w:rPr>
                <w:sz w:val="21"/>
              </w:rPr>
              <w:t xml:space="preserve">满足区（流）域环境质量改善目标要求 </w:t>
            </w:r>
            <w:r>
              <w:rPr>
                <w:rFonts w:ascii="Wingdings" w:hAnsi="Wingdings"/>
                <w:sz w:val="20"/>
              </w:rPr>
              <w:t></w:t>
            </w:r>
          </w:p>
          <w:p w14:paraId="5E269B85">
            <w:pPr>
              <w:pStyle w:val="14"/>
              <w:spacing w:before="2"/>
              <w:ind w:left="106"/>
              <w:rPr>
                <w:rFonts w:ascii="Wingdings" w:hAnsi="Wingdings"/>
                <w:sz w:val="20"/>
              </w:rPr>
            </w:pPr>
            <w:r>
              <w:rPr>
                <w:sz w:val="21"/>
              </w:rPr>
              <w:t xml:space="preserve">水文要素影响型建设项目同时应包括水文情势变化评价、主要水文特征值影响评价、生态流量符合性评价 </w:t>
            </w:r>
            <w:r>
              <w:rPr>
                <w:rFonts w:ascii="Wingdings" w:hAnsi="Wingdings"/>
                <w:sz w:val="20"/>
              </w:rPr>
              <w:t></w:t>
            </w:r>
          </w:p>
          <w:p w14:paraId="3591044C">
            <w:pPr>
              <w:pStyle w:val="14"/>
              <w:spacing w:before="4"/>
              <w:ind w:left="106"/>
              <w:rPr>
                <w:rFonts w:ascii="Wingdings" w:hAnsi="Wingdings"/>
                <w:sz w:val="20"/>
              </w:rPr>
            </w:pPr>
            <w:r>
              <w:rPr>
                <w:sz w:val="21"/>
              </w:rPr>
              <w:t xml:space="preserve">对于新设或调整入河（湖库、近岸海域）排放口的建设项目，应包括排放口设置的环境合理性评价 </w:t>
            </w:r>
            <w:r>
              <w:rPr>
                <w:rFonts w:ascii="Wingdings" w:hAnsi="Wingdings"/>
                <w:sz w:val="20"/>
              </w:rPr>
              <w:t></w:t>
            </w:r>
          </w:p>
          <w:p w14:paraId="650F734F">
            <w:pPr>
              <w:pStyle w:val="14"/>
              <w:spacing w:before="2" w:line="252" w:lineRule="exact"/>
              <w:ind w:left="106"/>
              <w:rPr>
                <w:rFonts w:ascii="Wingdings" w:hAnsi="Wingdings"/>
                <w:sz w:val="20"/>
              </w:rPr>
            </w:pPr>
            <w:r>
              <w:rPr>
                <w:sz w:val="21"/>
              </w:rPr>
              <w:t xml:space="preserve">满足生态保护红线、水环境质量底线、资源利用上线和环境准入清单管理要求 </w:t>
            </w:r>
            <w:r>
              <w:rPr>
                <w:rFonts w:ascii="Wingdings" w:hAnsi="Wingdings"/>
                <w:sz w:val="20"/>
              </w:rPr>
              <w:t></w:t>
            </w:r>
          </w:p>
        </w:tc>
      </w:tr>
      <w:tr w14:paraId="32F5C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4E824034">
            <w:pPr>
              <w:rPr>
                <w:sz w:val="2"/>
                <w:szCs w:val="2"/>
              </w:rPr>
            </w:pPr>
          </w:p>
        </w:tc>
        <w:tc>
          <w:tcPr>
            <w:tcW w:w="2669" w:type="dxa"/>
            <w:vMerge w:val="restart"/>
          </w:tcPr>
          <w:p w14:paraId="4994E4DE">
            <w:pPr>
              <w:pStyle w:val="14"/>
              <w:rPr>
                <w:rFonts w:ascii="Times New Roman"/>
                <w:sz w:val="20"/>
              </w:rPr>
            </w:pPr>
          </w:p>
          <w:p w14:paraId="2161B70F">
            <w:pPr>
              <w:pStyle w:val="14"/>
              <w:rPr>
                <w:rFonts w:ascii="Times New Roman"/>
                <w:sz w:val="20"/>
              </w:rPr>
            </w:pPr>
          </w:p>
          <w:p w14:paraId="052DD849">
            <w:pPr>
              <w:pStyle w:val="14"/>
              <w:rPr>
                <w:rFonts w:ascii="Times New Roman"/>
                <w:sz w:val="20"/>
              </w:rPr>
            </w:pPr>
          </w:p>
          <w:p w14:paraId="5A8E1AC8">
            <w:pPr>
              <w:pStyle w:val="14"/>
              <w:rPr>
                <w:rFonts w:ascii="Times New Roman"/>
                <w:sz w:val="20"/>
              </w:rPr>
            </w:pPr>
          </w:p>
          <w:p w14:paraId="34FDEB00">
            <w:pPr>
              <w:pStyle w:val="14"/>
              <w:spacing w:before="5"/>
              <w:rPr>
                <w:rFonts w:ascii="Times New Roman"/>
                <w:sz w:val="29"/>
              </w:rPr>
            </w:pPr>
          </w:p>
          <w:p w14:paraId="4DAC02CE">
            <w:pPr>
              <w:pStyle w:val="14"/>
              <w:ind w:left="493"/>
              <w:rPr>
                <w:sz w:val="21"/>
              </w:rPr>
            </w:pPr>
            <w:r>
              <w:rPr>
                <w:sz w:val="21"/>
              </w:rPr>
              <w:t>污染源排放量核算</w:t>
            </w:r>
          </w:p>
        </w:tc>
        <w:tc>
          <w:tcPr>
            <w:tcW w:w="2530" w:type="dxa"/>
            <w:gridSpan w:val="3"/>
          </w:tcPr>
          <w:p w14:paraId="665B9ABC">
            <w:pPr>
              <w:pStyle w:val="14"/>
              <w:spacing w:before="35"/>
              <w:ind w:left="740"/>
              <w:rPr>
                <w:sz w:val="21"/>
              </w:rPr>
            </w:pPr>
            <w:r>
              <w:rPr>
                <w:sz w:val="21"/>
              </w:rPr>
              <w:t>污染物名称</w:t>
            </w:r>
          </w:p>
        </w:tc>
        <w:tc>
          <w:tcPr>
            <w:tcW w:w="3851" w:type="dxa"/>
            <w:gridSpan w:val="3"/>
          </w:tcPr>
          <w:p w14:paraId="7657F6E2">
            <w:pPr>
              <w:pStyle w:val="14"/>
              <w:spacing w:before="35"/>
              <w:ind w:left="1262"/>
              <w:rPr>
                <w:sz w:val="21"/>
              </w:rPr>
            </w:pPr>
            <w:r>
              <w:rPr>
                <w:sz w:val="21"/>
              </w:rPr>
              <w:t>排放量</w:t>
            </w:r>
            <w:r>
              <w:rPr>
                <w:rFonts w:ascii="Times New Roman" w:eastAsia="Times New Roman"/>
                <w:sz w:val="21"/>
              </w:rPr>
              <w:t>/</w:t>
            </w:r>
            <w:r>
              <w:rPr>
                <w:sz w:val="21"/>
              </w:rPr>
              <w:t>（</w:t>
            </w:r>
            <w:r>
              <w:rPr>
                <w:rFonts w:ascii="Times New Roman" w:eastAsia="Times New Roman"/>
                <w:sz w:val="21"/>
              </w:rPr>
              <w:t>t/a</w:t>
            </w:r>
            <w:r>
              <w:rPr>
                <w:sz w:val="21"/>
              </w:rPr>
              <w:t>）</w:t>
            </w:r>
          </w:p>
        </w:tc>
        <w:tc>
          <w:tcPr>
            <w:tcW w:w="3997" w:type="dxa"/>
            <w:gridSpan w:val="2"/>
          </w:tcPr>
          <w:p w14:paraId="406BC8AD">
            <w:pPr>
              <w:pStyle w:val="14"/>
              <w:spacing w:before="35"/>
              <w:ind w:left="1107"/>
              <w:rPr>
                <w:sz w:val="21"/>
              </w:rPr>
            </w:pPr>
            <w:r>
              <w:rPr>
                <w:sz w:val="21"/>
              </w:rPr>
              <w:t>排放浓度</w:t>
            </w:r>
            <w:r>
              <w:rPr>
                <w:rFonts w:ascii="Times New Roman" w:eastAsia="Times New Roman"/>
                <w:sz w:val="21"/>
              </w:rPr>
              <w:t>/</w:t>
            </w:r>
            <w:r>
              <w:rPr>
                <w:sz w:val="21"/>
              </w:rPr>
              <w:t>（</w:t>
            </w:r>
            <w:r>
              <w:rPr>
                <w:rFonts w:ascii="Times New Roman" w:eastAsia="Times New Roman"/>
                <w:sz w:val="21"/>
              </w:rPr>
              <w:t>mg/L</w:t>
            </w:r>
            <w:r>
              <w:rPr>
                <w:sz w:val="21"/>
              </w:rPr>
              <w:t>）</w:t>
            </w:r>
          </w:p>
        </w:tc>
      </w:tr>
      <w:tr w14:paraId="2ED09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35F3683B">
            <w:pPr>
              <w:rPr>
                <w:sz w:val="2"/>
                <w:szCs w:val="2"/>
              </w:rPr>
            </w:pPr>
          </w:p>
        </w:tc>
        <w:tc>
          <w:tcPr>
            <w:tcW w:w="2669" w:type="dxa"/>
            <w:vMerge w:val="continue"/>
            <w:tcBorders>
              <w:top w:val="nil"/>
            </w:tcBorders>
          </w:tcPr>
          <w:p w14:paraId="2FA7C6ED">
            <w:pPr>
              <w:rPr>
                <w:sz w:val="2"/>
                <w:szCs w:val="2"/>
              </w:rPr>
            </w:pPr>
          </w:p>
        </w:tc>
        <w:tc>
          <w:tcPr>
            <w:tcW w:w="2530" w:type="dxa"/>
            <w:gridSpan w:val="3"/>
          </w:tcPr>
          <w:p w14:paraId="7671F837">
            <w:pPr>
              <w:pStyle w:val="14"/>
              <w:spacing w:before="46"/>
              <w:ind w:left="969" w:right="960"/>
              <w:jc w:val="center"/>
              <w:rPr>
                <w:rFonts w:ascii="Times New Roman"/>
                <w:sz w:val="21"/>
              </w:rPr>
            </w:pPr>
            <w:r>
              <w:rPr>
                <w:rFonts w:ascii="Times New Roman"/>
                <w:position w:val="2"/>
                <w:sz w:val="21"/>
              </w:rPr>
              <w:t>COD</w:t>
            </w:r>
            <w:r>
              <w:rPr>
                <w:rFonts w:ascii="Times New Roman"/>
                <w:position w:val="2"/>
                <w:sz w:val="21"/>
                <w:vertAlign w:val="subscript"/>
              </w:rPr>
              <w:t>cr</w:t>
            </w:r>
          </w:p>
        </w:tc>
        <w:tc>
          <w:tcPr>
            <w:tcW w:w="3851" w:type="dxa"/>
            <w:gridSpan w:val="3"/>
          </w:tcPr>
          <w:p w14:paraId="047797BA">
            <w:pPr>
              <w:pStyle w:val="14"/>
              <w:spacing w:before="49"/>
              <w:ind w:left="1718" w:right="1715"/>
              <w:jc w:val="center"/>
              <w:rPr>
                <w:rFonts w:ascii="Times New Roman"/>
                <w:sz w:val="21"/>
              </w:rPr>
            </w:pPr>
            <w:r>
              <w:rPr>
                <w:rFonts w:ascii="Times New Roman"/>
                <w:sz w:val="21"/>
              </w:rPr>
              <w:t>58.8</w:t>
            </w:r>
          </w:p>
        </w:tc>
        <w:tc>
          <w:tcPr>
            <w:tcW w:w="3997" w:type="dxa"/>
            <w:gridSpan w:val="2"/>
          </w:tcPr>
          <w:p w14:paraId="6661CB05">
            <w:pPr>
              <w:pStyle w:val="14"/>
              <w:spacing w:before="49"/>
              <w:ind w:left="1652" w:right="1649"/>
              <w:jc w:val="center"/>
              <w:rPr>
                <w:rFonts w:ascii="Times New Roman"/>
                <w:sz w:val="21"/>
              </w:rPr>
            </w:pPr>
            <w:r>
              <w:rPr>
                <w:rFonts w:ascii="Times New Roman"/>
                <w:sz w:val="21"/>
              </w:rPr>
              <w:t>245.6</w:t>
            </w:r>
          </w:p>
        </w:tc>
      </w:tr>
      <w:tr w14:paraId="13417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6F8C8C59">
            <w:pPr>
              <w:rPr>
                <w:sz w:val="2"/>
                <w:szCs w:val="2"/>
              </w:rPr>
            </w:pPr>
          </w:p>
        </w:tc>
        <w:tc>
          <w:tcPr>
            <w:tcW w:w="2669" w:type="dxa"/>
            <w:vMerge w:val="continue"/>
            <w:tcBorders>
              <w:top w:val="nil"/>
            </w:tcBorders>
          </w:tcPr>
          <w:p w14:paraId="2D341153">
            <w:pPr>
              <w:rPr>
                <w:sz w:val="2"/>
                <w:szCs w:val="2"/>
              </w:rPr>
            </w:pPr>
          </w:p>
        </w:tc>
        <w:tc>
          <w:tcPr>
            <w:tcW w:w="2530" w:type="dxa"/>
            <w:gridSpan w:val="3"/>
          </w:tcPr>
          <w:p w14:paraId="22351F0C">
            <w:pPr>
              <w:pStyle w:val="14"/>
              <w:spacing w:before="46"/>
              <w:ind w:left="968" w:right="960"/>
              <w:jc w:val="center"/>
              <w:rPr>
                <w:rFonts w:ascii="Times New Roman"/>
                <w:sz w:val="21"/>
              </w:rPr>
            </w:pPr>
            <w:r>
              <w:rPr>
                <w:rFonts w:ascii="Times New Roman"/>
                <w:position w:val="2"/>
                <w:sz w:val="21"/>
              </w:rPr>
              <w:t>BOD</w:t>
            </w:r>
            <w:r>
              <w:rPr>
                <w:rFonts w:ascii="Times New Roman"/>
                <w:position w:val="2"/>
                <w:sz w:val="21"/>
                <w:vertAlign w:val="subscript"/>
              </w:rPr>
              <w:t>5</w:t>
            </w:r>
          </w:p>
        </w:tc>
        <w:tc>
          <w:tcPr>
            <w:tcW w:w="3851" w:type="dxa"/>
            <w:gridSpan w:val="3"/>
          </w:tcPr>
          <w:p w14:paraId="5E8A8333">
            <w:pPr>
              <w:pStyle w:val="14"/>
              <w:spacing w:before="49"/>
              <w:ind w:left="1718" w:right="1715"/>
              <w:jc w:val="center"/>
              <w:rPr>
                <w:rFonts w:ascii="Times New Roman"/>
                <w:sz w:val="21"/>
              </w:rPr>
            </w:pPr>
            <w:r>
              <w:rPr>
                <w:rFonts w:ascii="Times New Roman"/>
                <w:sz w:val="21"/>
              </w:rPr>
              <w:t>10.4</w:t>
            </w:r>
          </w:p>
        </w:tc>
        <w:tc>
          <w:tcPr>
            <w:tcW w:w="3997" w:type="dxa"/>
            <w:gridSpan w:val="2"/>
          </w:tcPr>
          <w:p w14:paraId="64994EA0">
            <w:pPr>
              <w:pStyle w:val="14"/>
              <w:spacing w:before="49"/>
              <w:ind w:left="1652" w:right="1649"/>
              <w:jc w:val="center"/>
              <w:rPr>
                <w:rFonts w:ascii="Times New Roman"/>
                <w:sz w:val="21"/>
              </w:rPr>
            </w:pPr>
            <w:r>
              <w:rPr>
                <w:rFonts w:ascii="Times New Roman"/>
                <w:sz w:val="21"/>
              </w:rPr>
              <w:t>43.4</w:t>
            </w:r>
          </w:p>
        </w:tc>
      </w:tr>
      <w:tr w14:paraId="2698C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10D66DC2">
            <w:pPr>
              <w:rPr>
                <w:sz w:val="2"/>
                <w:szCs w:val="2"/>
              </w:rPr>
            </w:pPr>
          </w:p>
        </w:tc>
        <w:tc>
          <w:tcPr>
            <w:tcW w:w="2669" w:type="dxa"/>
            <w:vMerge w:val="continue"/>
            <w:tcBorders>
              <w:top w:val="nil"/>
            </w:tcBorders>
          </w:tcPr>
          <w:p w14:paraId="41C82751">
            <w:pPr>
              <w:rPr>
                <w:sz w:val="2"/>
                <w:szCs w:val="2"/>
              </w:rPr>
            </w:pPr>
          </w:p>
        </w:tc>
        <w:tc>
          <w:tcPr>
            <w:tcW w:w="2530" w:type="dxa"/>
            <w:gridSpan w:val="3"/>
          </w:tcPr>
          <w:p w14:paraId="4B873706">
            <w:pPr>
              <w:pStyle w:val="14"/>
              <w:spacing w:before="50"/>
              <w:ind w:left="967" w:right="960"/>
              <w:jc w:val="center"/>
              <w:rPr>
                <w:rFonts w:ascii="Times New Roman"/>
                <w:sz w:val="21"/>
              </w:rPr>
            </w:pPr>
            <w:r>
              <w:rPr>
                <w:rFonts w:ascii="Times New Roman"/>
                <w:sz w:val="21"/>
              </w:rPr>
              <w:t>SS</w:t>
            </w:r>
          </w:p>
        </w:tc>
        <w:tc>
          <w:tcPr>
            <w:tcW w:w="3851" w:type="dxa"/>
            <w:gridSpan w:val="3"/>
          </w:tcPr>
          <w:p w14:paraId="413948E8">
            <w:pPr>
              <w:pStyle w:val="14"/>
              <w:spacing w:before="50"/>
              <w:ind w:left="1718" w:right="1715"/>
              <w:jc w:val="center"/>
              <w:rPr>
                <w:rFonts w:ascii="Times New Roman"/>
                <w:sz w:val="21"/>
              </w:rPr>
            </w:pPr>
            <w:r>
              <w:rPr>
                <w:rFonts w:ascii="Times New Roman"/>
                <w:sz w:val="21"/>
              </w:rPr>
              <w:t>38.7</w:t>
            </w:r>
          </w:p>
        </w:tc>
        <w:tc>
          <w:tcPr>
            <w:tcW w:w="3997" w:type="dxa"/>
            <w:gridSpan w:val="2"/>
          </w:tcPr>
          <w:p w14:paraId="1428894B">
            <w:pPr>
              <w:pStyle w:val="14"/>
              <w:spacing w:before="50"/>
              <w:ind w:left="1652" w:right="1649"/>
              <w:jc w:val="center"/>
              <w:rPr>
                <w:rFonts w:ascii="Times New Roman"/>
                <w:sz w:val="21"/>
              </w:rPr>
            </w:pPr>
            <w:r>
              <w:rPr>
                <w:rFonts w:ascii="Times New Roman"/>
                <w:sz w:val="21"/>
              </w:rPr>
              <w:t>161.6</w:t>
            </w:r>
          </w:p>
        </w:tc>
      </w:tr>
      <w:tr w14:paraId="567CB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08315281">
            <w:pPr>
              <w:rPr>
                <w:sz w:val="2"/>
                <w:szCs w:val="2"/>
              </w:rPr>
            </w:pPr>
          </w:p>
        </w:tc>
        <w:tc>
          <w:tcPr>
            <w:tcW w:w="2669" w:type="dxa"/>
            <w:vMerge w:val="continue"/>
            <w:tcBorders>
              <w:top w:val="nil"/>
            </w:tcBorders>
          </w:tcPr>
          <w:p w14:paraId="34C3E848">
            <w:pPr>
              <w:rPr>
                <w:sz w:val="2"/>
                <w:szCs w:val="2"/>
              </w:rPr>
            </w:pPr>
          </w:p>
        </w:tc>
        <w:tc>
          <w:tcPr>
            <w:tcW w:w="2530" w:type="dxa"/>
            <w:gridSpan w:val="3"/>
          </w:tcPr>
          <w:p w14:paraId="4699988C">
            <w:pPr>
              <w:pStyle w:val="14"/>
              <w:spacing w:before="34"/>
              <w:ind w:left="966" w:right="960"/>
              <w:jc w:val="center"/>
              <w:rPr>
                <w:sz w:val="21"/>
              </w:rPr>
            </w:pPr>
            <w:r>
              <w:rPr>
                <w:sz w:val="21"/>
              </w:rPr>
              <w:t>氨氮</w:t>
            </w:r>
          </w:p>
        </w:tc>
        <w:tc>
          <w:tcPr>
            <w:tcW w:w="3851" w:type="dxa"/>
            <w:gridSpan w:val="3"/>
          </w:tcPr>
          <w:p w14:paraId="0DE3D180">
            <w:pPr>
              <w:pStyle w:val="14"/>
              <w:spacing w:before="48"/>
              <w:ind w:left="1715" w:right="1715"/>
              <w:jc w:val="center"/>
              <w:rPr>
                <w:rFonts w:ascii="Times New Roman"/>
                <w:sz w:val="21"/>
              </w:rPr>
            </w:pPr>
            <w:r>
              <w:rPr>
                <w:rFonts w:ascii="Times New Roman"/>
                <w:sz w:val="21"/>
              </w:rPr>
              <w:t>6.8</w:t>
            </w:r>
          </w:p>
        </w:tc>
        <w:tc>
          <w:tcPr>
            <w:tcW w:w="3997" w:type="dxa"/>
            <w:gridSpan w:val="2"/>
          </w:tcPr>
          <w:p w14:paraId="7F782078">
            <w:pPr>
              <w:pStyle w:val="14"/>
              <w:spacing w:before="48"/>
              <w:ind w:left="1652" w:right="1649"/>
              <w:jc w:val="center"/>
              <w:rPr>
                <w:rFonts w:ascii="Times New Roman"/>
                <w:sz w:val="21"/>
              </w:rPr>
            </w:pPr>
            <w:r>
              <w:rPr>
                <w:rFonts w:ascii="Times New Roman"/>
                <w:sz w:val="21"/>
              </w:rPr>
              <w:t>28.4</w:t>
            </w:r>
          </w:p>
        </w:tc>
      </w:tr>
      <w:tr w14:paraId="63260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258E4329">
            <w:pPr>
              <w:rPr>
                <w:sz w:val="2"/>
                <w:szCs w:val="2"/>
              </w:rPr>
            </w:pPr>
          </w:p>
        </w:tc>
        <w:tc>
          <w:tcPr>
            <w:tcW w:w="2669" w:type="dxa"/>
            <w:vMerge w:val="continue"/>
            <w:tcBorders>
              <w:top w:val="nil"/>
            </w:tcBorders>
          </w:tcPr>
          <w:p w14:paraId="1EA026D1">
            <w:pPr>
              <w:rPr>
                <w:sz w:val="2"/>
                <w:szCs w:val="2"/>
              </w:rPr>
            </w:pPr>
          </w:p>
        </w:tc>
        <w:tc>
          <w:tcPr>
            <w:tcW w:w="2530" w:type="dxa"/>
            <w:gridSpan w:val="3"/>
          </w:tcPr>
          <w:p w14:paraId="7BF8EE24">
            <w:pPr>
              <w:pStyle w:val="14"/>
              <w:spacing w:before="34"/>
              <w:ind w:left="845"/>
              <w:rPr>
                <w:sz w:val="21"/>
              </w:rPr>
            </w:pPr>
            <w:r>
              <w:rPr>
                <w:sz w:val="21"/>
              </w:rPr>
              <w:t>动植物油</w:t>
            </w:r>
          </w:p>
        </w:tc>
        <w:tc>
          <w:tcPr>
            <w:tcW w:w="3851" w:type="dxa"/>
            <w:gridSpan w:val="3"/>
          </w:tcPr>
          <w:p w14:paraId="6C660BC7">
            <w:pPr>
              <w:pStyle w:val="14"/>
              <w:spacing w:before="48"/>
              <w:ind w:left="1715" w:right="1715"/>
              <w:jc w:val="center"/>
              <w:rPr>
                <w:rFonts w:ascii="Times New Roman"/>
                <w:sz w:val="21"/>
              </w:rPr>
            </w:pPr>
            <w:r>
              <w:rPr>
                <w:rFonts w:ascii="Times New Roman"/>
                <w:sz w:val="21"/>
              </w:rPr>
              <w:t>9.8</w:t>
            </w:r>
          </w:p>
        </w:tc>
        <w:tc>
          <w:tcPr>
            <w:tcW w:w="3997" w:type="dxa"/>
            <w:gridSpan w:val="2"/>
          </w:tcPr>
          <w:p w14:paraId="36BBF7EA">
            <w:pPr>
              <w:pStyle w:val="14"/>
              <w:spacing w:before="48"/>
              <w:ind w:left="1652" w:right="1649"/>
              <w:jc w:val="center"/>
              <w:rPr>
                <w:rFonts w:ascii="Times New Roman"/>
                <w:sz w:val="21"/>
              </w:rPr>
            </w:pPr>
            <w:r>
              <w:rPr>
                <w:rFonts w:ascii="Times New Roman"/>
                <w:sz w:val="21"/>
              </w:rPr>
              <w:t>40.9</w:t>
            </w:r>
          </w:p>
        </w:tc>
      </w:tr>
      <w:tr w14:paraId="1470B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1073F968">
            <w:pPr>
              <w:rPr>
                <w:sz w:val="2"/>
                <w:szCs w:val="2"/>
              </w:rPr>
            </w:pPr>
          </w:p>
        </w:tc>
        <w:tc>
          <w:tcPr>
            <w:tcW w:w="2669" w:type="dxa"/>
            <w:vMerge w:val="continue"/>
            <w:tcBorders>
              <w:top w:val="nil"/>
            </w:tcBorders>
          </w:tcPr>
          <w:p w14:paraId="13979BD6">
            <w:pPr>
              <w:rPr>
                <w:sz w:val="2"/>
                <w:szCs w:val="2"/>
              </w:rPr>
            </w:pPr>
          </w:p>
        </w:tc>
        <w:tc>
          <w:tcPr>
            <w:tcW w:w="2530" w:type="dxa"/>
            <w:gridSpan w:val="3"/>
          </w:tcPr>
          <w:p w14:paraId="2E004C00">
            <w:pPr>
              <w:pStyle w:val="14"/>
              <w:spacing w:before="35"/>
              <w:ind w:left="966" w:right="960"/>
              <w:jc w:val="center"/>
              <w:rPr>
                <w:sz w:val="21"/>
              </w:rPr>
            </w:pPr>
            <w:r>
              <w:rPr>
                <w:sz w:val="21"/>
              </w:rPr>
              <w:t>总氮</w:t>
            </w:r>
          </w:p>
        </w:tc>
        <w:tc>
          <w:tcPr>
            <w:tcW w:w="3851" w:type="dxa"/>
            <w:gridSpan w:val="3"/>
          </w:tcPr>
          <w:p w14:paraId="418B0ADE">
            <w:pPr>
              <w:pStyle w:val="14"/>
              <w:spacing w:before="49"/>
              <w:ind w:left="1715" w:right="1715"/>
              <w:jc w:val="center"/>
              <w:rPr>
                <w:rFonts w:ascii="Times New Roman"/>
                <w:sz w:val="21"/>
              </w:rPr>
            </w:pPr>
            <w:r>
              <w:rPr>
                <w:rFonts w:ascii="Times New Roman"/>
                <w:sz w:val="21"/>
              </w:rPr>
              <w:t>6.1</w:t>
            </w:r>
          </w:p>
        </w:tc>
        <w:tc>
          <w:tcPr>
            <w:tcW w:w="3997" w:type="dxa"/>
            <w:gridSpan w:val="2"/>
          </w:tcPr>
          <w:p w14:paraId="14BEA265">
            <w:pPr>
              <w:pStyle w:val="14"/>
              <w:spacing w:before="49"/>
              <w:ind w:left="1652" w:right="1649"/>
              <w:jc w:val="center"/>
              <w:rPr>
                <w:rFonts w:ascii="Times New Roman"/>
                <w:sz w:val="21"/>
              </w:rPr>
            </w:pPr>
            <w:r>
              <w:rPr>
                <w:rFonts w:ascii="Times New Roman"/>
                <w:sz w:val="21"/>
              </w:rPr>
              <w:t>25.5</w:t>
            </w:r>
          </w:p>
        </w:tc>
      </w:tr>
      <w:tr w14:paraId="6618A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1F96D774">
            <w:pPr>
              <w:rPr>
                <w:sz w:val="2"/>
                <w:szCs w:val="2"/>
              </w:rPr>
            </w:pPr>
          </w:p>
        </w:tc>
        <w:tc>
          <w:tcPr>
            <w:tcW w:w="2669" w:type="dxa"/>
            <w:vMerge w:val="continue"/>
            <w:tcBorders>
              <w:top w:val="nil"/>
            </w:tcBorders>
          </w:tcPr>
          <w:p w14:paraId="55D82AE9">
            <w:pPr>
              <w:rPr>
                <w:sz w:val="2"/>
                <w:szCs w:val="2"/>
              </w:rPr>
            </w:pPr>
          </w:p>
        </w:tc>
        <w:tc>
          <w:tcPr>
            <w:tcW w:w="2530" w:type="dxa"/>
            <w:gridSpan w:val="3"/>
          </w:tcPr>
          <w:p w14:paraId="706C15CA">
            <w:pPr>
              <w:pStyle w:val="14"/>
              <w:spacing w:before="33"/>
              <w:ind w:left="966" w:right="960"/>
              <w:jc w:val="center"/>
              <w:rPr>
                <w:sz w:val="21"/>
              </w:rPr>
            </w:pPr>
            <w:r>
              <w:rPr>
                <w:sz w:val="21"/>
              </w:rPr>
              <w:t>总磷</w:t>
            </w:r>
          </w:p>
        </w:tc>
        <w:tc>
          <w:tcPr>
            <w:tcW w:w="3851" w:type="dxa"/>
            <w:gridSpan w:val="3"/>
          </w:tcPr>
          <w:p w14:paraId="4721EC96">
            <w:pPr>
              <w:pStyle w:val="14"/>
              <w:spacing w:before="49"/>
              <w:ind w:left="1715" w:right="1715"/>
              <w:jc w:val="center"/>
              <w:rPr>
                <w:rFonts w:ascii="Times New Roman"/>
                <w:sz w:val="21"/>
              </w:rPr>
            </w:pPr>
            <w:r>
              <w:rPr>
                <w:rFonts w:ascii="Times New Roman"/>
                <w:sz w:val="21"/>
              </w:rPr>
              <w:t>0.7</w:t>
            </w:r>
          </w:p>
        </w:tc>
        <w:tc>
          <w:tcPr>
            <w:tcW w:w="3997" w:type="dxa"/>
            <w:gridSpan w:val="2"/>
          </w:tcPr>
          <w:p w14:paraId="007E6BB0">
            <w:pPr>
              <w:pStyle w:val="14"/>
              <w:spacing w:before="49"/>
              <w:ind w:left="1652" w:right="1649"/>
              <w:jc w:val="center"/>
              <w:rPr>
                <w:rFonts w:ascii="Times New Roman"/>
                <w:sz w:val="21"/>
              </w:rPr>
            </w:pPr>
            <w:r>
              <w:rPr>
                <w:rFonts w:ascii="Times New Roman"/>
                <w:sz w:val="21"/>
              </w:rPr>
              <w:t>2.9</w:t>
            </w:r>
          </w:p>
        </w:tc>
      </w:tr>
      <w:tr w14:paraId="503A3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235C3E29">
            <w:pPr>
              <w:rPr>
                <w:sz w:val="2"/>
                <w:szCs w:val="2"/>
              </w:rPr>
            </w:pPr>
          </w:p>
        </w:tc>
        <w:tc>
          <w:tcPr>
            <w:tcW w:w="2669" w:type="dxa"/>
            <w:vMerge w:val="restart"/>
          </w:tcPr>
          <w:p w14:paraId="55F56822">
            <w:pPr>
              <w:pStyle w:val="14"/>
              <w:spacing w:before="1"/>
              <w:rPr>
                <w:rFonts w:ascii="Times New Roman"/>
                <w:sz w:val="18"/>
              </w:rPr>
            </w:pPr>
          </w:p>
          <w:p w14:paraId="35BE8170">
            <w:pPr>
              <w:pStyle w:val="14"/>
              <w:ind w:left="493"/>
              <w:rPr>
                <w:sz w:val="21"/>
              </w:rPr>
            </w:pPr>
            <w:r>
              <w:rPr>
                <w:sz w:val="21"/>
              </w:rPr>
              <w:t>替代源排放量情况</w:t>
            </w:r>
          </w:p>
        </w:tc>
        <w:tc>
          <w:tcPr>
            <w:tcW w:w="1608" w:type="dxa"/>
          </w:tcPr>
          <w:p w14:paraId="58F42050">
            <w:pPr>
              <w:pStyle w:val="14"/>
              <w:spacing w:before="33"/>
              <w:ind w:left="9"/>
              <w:jc w:val="center"/>
              <w:rPr>
                <w:sz w:val="21"/>
              </w:rPr>
            </w:pPr>
            <w:r>
              <w:rPr>
                <w:sz w:val="21"/>
              </w:rPr>
              <w:t>污染源名称</w:t>
            </w:r>
          </w:p>
        </w:tc>
        <w:tc>
          <w:tcPr>
            <w:tcW w:w="2534" w:type="dxa"/>
            <w:gridSpan w:val="3"/>
          </w:tcPr>
          <w:p w14:paraId="62BE38AC">
            <w:pPr>
              <w:pStyle w:val="14"/>
              <w:spacing w:before="33"/>
              <w:ind w:left="531"/>
              <w:rPr>
                <w:sz w:val="21"/>
              </w:rPr>
            </w:pPr>
            <w:r>
              <w:rPr>
                <w:sz w:val="21"/>
              </w:rPr>
              <w:t>排污许可证编号</w:t>
            </w:r>
          </w:p>
        </w:tc>
        <w:tc>
          <w:tcPr>
            <w:tcW w:w="1700" w:type="dxa"/>
          </w:tcPr>
          <w:p w14:paraId="0129F6A5">
            <w:pPr>
              <w:pStyle w:val="14"/>
              <w:spacing w:before="33"/>
              <w:ind w:left="9"/>
              <w:jc w:val="center"/>
              <w:rPr>
                <w:sz w:val="21"/>
              </w:rPr>
            </w:pPr>
            <w:r>
              <w:rPr>
                <w:sz w:val="21"/>
              </w:rPr>
              <w:t>污染物名称</w:t>
            </w:r>
          </w:p>
        </w:tc>
        <w:tc>
          <w:tcPr>
            <w:tcW w:w="1842" w:type="dxa"/>
            <w:gridSpan w:val="2"/>
          </w:tcPr>
          <w:p w14:paraId="3E5ACD7B">
            <w:pPr>
              <w:pStyle w:val="14"/>
              <w:spacing w:before="33"/>
              <w:ind w:left="605"/>
              <w:rPr>
                <w:sz w:val="21"/>
              </w:rPr>
            </w:pPr>
            <w:r>
              <w:rPr>
                <w:sz w:val="21"/>
              </w:rPr>
              <w:t>排放量</w:t>
            </w:r>
          </w:p>
        </w:tc>
        <w:tc>
          <w:tcPr>
            <w:tcW w:w="2694" w:type="dxa"/>
          </w:tcPr>
          <w:p w14:paraId="2ADF23BA">
            <w:pPr>
              <w:pStyle w:val="14"/>
              <w:spacing w:before="33"/>
              <w:ind w:left="12"/>
              <w:jc w:val="center"/>
              <w:rPr>
                <w:sz w:val="21"/>
              </w:rPr>
            </w:pPr>
            <w:r>
              <w:rPr>
                <w:sz w:val="21"/>
              </w:rPr>
              <w:t>排放浓度</w:t>
            </w:r>
            <w:r>
              <w:rPr>
                <w:rFonts w:ascii="Times New Roman" w:eastAsia="Times New Roman"/>
                <w:sz w:val="21"/>
              </w:rPr>
              <w:t>/</w:t>
            </w:r>
            <w:r>
              <w:rPr>
                <w:sz w:val="21"/>
              </w:rPr>
              <w:t>（</w:t>
            </w:r>
            <w:r>
              <w:rPr>
                <w:rFonts w:ascii="Times New Roman" w:eastAsia="Times New Roman"/>
                <w:sz w:val="21"/>
              </w:rPr>
              <w:t>mg/L</w:t>
            </w:r>
            <w:r>
              <w:rPr>
                <w:sz w:val="21"/>
              </w:rPr>
              <w:t>）</w:t>
            </w:r>
          </w:p>
        </w:tc>
      </w:tr>
      <w:tr w14:paraId="369E3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12162AB8">
            <w:pPr>
              <w:rPr>
                <w:sz w:val="2"/>
                <w:szCs w:val="2"/>
              </w:rPr>
            </w:pPr>
          </w:p>
        </w:tc>
        <w:tc>
          <w:tcPr>
            <w:tcW w:w="2669" w:type="dxa"/>
            <w:vMerge w:val="continue"/>
            <w:tcBorders>
              <w:top w:val="nil"/>
            </w:tcBorders>
          </w:tcPr>
          <w:p w14:paraId="2909F77C">
            <w:pPr>
              <w:rPr>
                <w:sz w:val="2"/>
                <w:szCs w:val="2"/>
              </w:rPr>
            </w:pPr>
          </w:p>
        </w:tc>
        <w:tc>
          <w:tcPr>
            <w:tcW w:w="1608" w:type="dxa"/>
          </w:tcPr>
          <w:p w14:paraId="6A6B100C">
            <w:pPr>
              <w:pStyle w:val="14"/>
              <w:tabs>
                <w:tab w:val="left" w:pos="427"/>
              </w:tabs>
              <w:spacing w:before="33"/>
              <w:ind w:left="7"/>
              <w:jc w:val="center"/>
              <w:rPr>
                <w:sz w:val="21"/>
              </w:rPr>
            </w:pPr>
            <w:r>
              <w:rPr>
                <w:sz w:val="21"/>
              </w:rPr>
              <w:t>（</w:t>
            </w:r>
            <w:r>
              <w:rPr>
                <w:sz w:val="21"/>
              </w:rPr>
              <w:tab/>
            </w:r>
            <w:r>
              <w:rPr>
                <w:sz w:val="21"/>
              </w:rPr>
              <w:t>）</w:t>
            </w:r>
          </w:p>
        </w:tc>
        <w:tc>
          <w:tcPr>
            <w:tcW w:w="2534" w:type="dxa"/>
            <w:gridSpan w:val="3"/>
          </w:tcPr>
          <w:p w14:paraId="6271D3AB">
            <w:pPr>
              <w:pStyle w:val="14"/>
              <w:tabs>
                <w:tab w:val="left" w:pos="427"/>
              </w:tabs>
              <w:spacing w:before="33"/>
              <w:ind w:left="7"/>
              <w:jc w:val="center"/>
              <w:rPr>
                <w:sz w:val="21"/>
              </w:rPr>
            </w:pPr>
            <w:r>
              <w:rPr>
                <w:sz w:val="21"/>
              </w:rPr>
              <w:t>（</w:t>
            </w:r>
            <w:r>
              <w:rPr>
                <w:sz w:val="21"/>
              </w:rPr>
              <w:tab/>
            </w:r>
            <w:r>
              <w:rPr>
                <w:sz w:val="21"/>
              </w:rPr>
              <w:t>）</w:t>
            </w:r>
          </w:p>
        </w:tc>
        <w:tc>
          <w:tcPr>
            <w:tcW w:w="1700" w:type="dxa"/>
          </w:tcPr>
          <w:p w14:paraId="79777614">
            <w:pPr>
              <w:pStyle w:val="14"/>
              <w:tabs>
                <w:tab w:val="left" w:pos="427"/>
              </w:tabs>
              <w:spacing w:before="33"/>
              <w:ind w:left="7"/>
              <w:jc w:val="center"/>
              <w:rPr>
                <w:sz w:val="21"/>
              </w:rPr>
            </w:pPr>
            <w:r>
              <w:rPr>
                <w:sz w:val="21"/>
              </w:rPr>
              <w:t>（</w:t>
            </w:r>
            <w:r>
              <w:rPr>
                <w:sz w:val="21"/>
              </w:rPr>
              <w:tab/>
            </w:r>
            <w:r>
              <w:rPr>
                <w:sz w:val="21"/>
              </w:rPr>
              <w:t>）</w:t>
            </w:r>
          </w:p>
        </w:tc>
        <w:tc>
          <w:tcPr>
            <w:tcW w:w="1842" w:type="dxa"/>
            <w:gridSpan w:val="2"/>
          </w:tcPr>
          <w:p w14:paraId="1A76F054">
            <w:pPr>
              <w:pStyle w:val="14"/>
              <w:tabs>
                <w:tab w:val="left" w:pos="1025"/>
              </w:tabs>
              <w:spacing w:before="33"/>
              <w:ind w:left="605"/>
              <w:rPr>
                <w:sz w:val="21"/>
              </w:rPr>
            </w:pPr>
            <w:r>
              <w:rPr>
                <w:sz w:val="21"/>
              </w:rPr>
              <w:t>（</w:t>
            </w:r>
            <w:r>
              <w:rPr>
                <w:sz w:val="21"/>
              </w:rPr>
              <w:tab/>
            </w:r>
            <w:r>
              <w:rPr>
                <w:sz w:val="21"/>
              </w:rPr>
              <w:t>）</w:t>
            </w:r>
          </w:p>
        </w:tc>
        <w:tc>
          <w:tcPr>
            <w:tcW w:w="2694" w:type="dxa"/>
          </w:tcPr>
          <w:p w14:paraId="538B7648">
            <w:pPr>
              <w:pStyle w:val="14"/>
              <w:tabs>
                <w:tab w:val="left" w:pos="432"/>
              </w:tabs>
              <w:spacing w:before="33"/>
              <w:ind w:left="12"/>
              <w:jc w:val="center"/>
              <w:rPr>
                <w:sz w:val="21"/>
              </w:rPr>
            </w:pPr>
            <w:r>
              <w:rPr>
                <w:sz w:val="21"/>
              </w:rPr>
              <w:t>（</w:t>
            </w:r>
            <w:r>
              <w:rPr>
                <w:sz w:val="21"/>
              </w:rPr>
              <w:tab/>
            </w:r>
            <w:r>
              <w:rPr>
                <w:sz w:val="21"/>
              </w:rPr>
              <w:t>）</w:t>
            </w:r>
          </w:p>
        </w:tc>
      </w:tr>
      <w:tr w14:paraId="1038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57" w:type="dxa"/>
            <w:vMerge w:val="continue"/>
            <w:tcBorders>
              <w:top w:val="nil"/>
            </w:tcBorders>
          </w:tcPr>
          <w:p w14:paraId="1B1C4C6B">
            <w:pPr>
              <w:rPr>
                <w:sz w:val="2"/>
                <w:szCs w:val="2"/>
              </w:rPr>
            </w:pPr>
          </w:p>
        </w:tc>
        <w:tc>
          <w:tcPr>
            <w:tcW w:w="2669" w:type="dxa"/>
          </w:tcPr>
          <w:p w14:paraId="4C9A1EA0">
            <w:pPr>
              <w:pStyle w:val="14"/>
              <w:spacing w:before="135"/>
              <w:ind w:left="158" w:right="151"/>
              <w:jc w:val="center"/>
              <w:rPr>
                <w:sz w:val="21"/>
              </w:rPr>
            </w:pPr>
            <w:r>
              <w:rPr>
                <w:sz w:val="21"/>
              </w:rPr>
              <w:t>生态流量确定</w:t>
            </w:r>
          </w:p>
        </w:tc>
        <w:tc>
          <w:tcPr>
            <w:tcW w:w="10378" w:type="dxa"/>
            <w:gridSpan w:val="8"/>
          </w:tcPr>
          <w:p w14:paraId="580DB477">
            <w:pPr>
              <w:pStyle w:val="14"/>
              <w:ind w:left="106"/>
              <w:rPr>
                <w:rFonts w:ascii="Times New Roman" w:eastAsia="Times New Roman"/>
                <w:sz w:val="21"/>
              </w:rPr>
            </w:pPr>
            <w:r>
              <w:rPr>
                <w:sz w:val="21"/>
              </w:rPr>
              <w:t>生态流量：一般水期（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；鱼类繁殖期（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；其他（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p>
          <w:p w14:paraId="2E9B2E7D">
            <w:pPr>
              <w:pStyle w:val="14"/>
              <w:spacing w:before="5" w:line="251" w:lineRule="exact"/>
              <w:ind w:left="106"/>
              <w:rPr>
                <w:rFonts w:ascii="Times New Roman" w:eastAsia="Times New Roman"/>
                <w:sz w:val="21"/>
              </w:rPr>
            </w:pPr>
            <w:r>
              <w:rPr>
                <w:sz w:val="21"/>
              </w:rPr>
              <w:t>生态水位：一般水期（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；鱼类繁殖期（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r>
              <w:rPr>
                <w:sz w:val="21"/>
              </w:rPr>
              <w:t>；其他（ ）</w:t>
            </w:r>
            <w:r>
              <w:rPr>
                <w:rFonts w:ascii="Times New Roman" w:eastAsia="Times New Roman"/>
                <w:sz w:val="21"/>
              </w:rPr>
              <w:t>m</w:t>
            </w:r>
            <w:r>
              <w:rPr>
                <w:rFonts w:ascii="Times New Roman" w:eastAsia="Times New Roman"/>
                <w:position w:val="7"/>
                <w:sz w:val="13"/>
              </w:rPr>
              <w:t>3</w:t>
            </w:r>
            <w:r>
              <w:rPr>
                <w:rFonts w:ascii="Times New Roman" w:eastAsia="Times New Roman"/>
                <w:sz w:val="21"/>
              </w:rPr>
              <w:t>/s</w:t>
            </w:r>
          </w:p>
        </w:tc>
      </w:tr>
      <w:tr w14:paraId="744E6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restart"/>
          </w:tcPr>
          <w:p w14:paraId="549B023B">
            <w:pPr>
              <w:pStyle w:val="14"/>
              <w:spacing w:before="151" w:line="242" w:lineRule="auto"/>
              <w:ind w:left="171" w:right="164"/>
              <w:jc w:val="both"/>
              <w:rPr>
                <w:sz w:val="21"/>
              </w:rPr>
            </w:pPr>
            <w:r>
              <w:rPr>
                <w:sz w:val="21"/>
              </w:rPr>
              <w:t>防治措施</w:t>
            </w:r>
          </w:p>
        </w:tc>
        <w:tc>
          <w:tcPr>
            <w:tcW w:w="2669" w:type="dxa"/>
          </w:tcPr>
          <w:p w14:paraId="7435132B">
            <w:pPr>
              <w:pStyle w:val="14"/>
              <w:spacing w:before="33"/>
              <w:ind w:left="156" w:right="151"/>
              <w:jc w:val="center"/>
              <w:rPr>
                <w:sz w:val="21"/>
              </w:rPr>
            </w:pPr>
            <w:r>
              <w:rPr>
                <w:sz w:val="21"/>
              </w:rPr>
              <w:t>环保措施</w:t>
            </w:r>
          </w:p>
        </w:tc>
        <w:tc>
          <w:tcPr>
            <w:tcW w:w="10378" w:type="dxa"/>
            <w:gridSpan w:val="8"/>
          </w:tcPr>
          <w:p w14:paraId="42E76A94">
            <w:pPr>
              <w:pStyle w:val="14"/>
              <w:spacing w:before="33"/>
              <w:ind w:left="106"/>
              <w:rPr>
                <w:rFonts w:ascii="Wingdings" w:hAnsi="Wingdings"/>
                <w:sz w:val="20"/>
              </w:rPr>
            </w:pPr>
            <w:r>
              <w:rPr>
                <w:sz w:val="21"/>
              </w:rPr>
              <w:t xml:space="preserve">污水处理设施 </w:t>
            </w:r>
            <w:r>
              <w:rPr>
                <w:rFonts w:ascii="Wingdings" w:hAnsi="Wingdings"/>
                <w:sz w:val="20"/>
              </w:rPr>
              <w:t></w:t>
            </w:r>
            <w:r>
              <w:rPr>
                <w:sz w:val="21"/>
              </w:rPr>
              <w:t xml:space="preserve">；水文减缓设施 </w:t>
            </w:r>
            <w:r>
              <w:rPr>
                <w:rFonts w:ascii="Wingdings" w:hAnsi="Wingdings"/>
                <w:sz w:val="20"/>
              </w:rPr>
              <w:t></w:t>
            </w:r>
            <w:r>
              <w:rPr>
                <w:sz w:val="21"/>
              </w:rPr>
              <w:t xml:space="preserve">；生态流量保障设施 </w:t>
            </w:r>
            <w:r>
              <w:rPr>
                <w:rFonts w:ascii="Wingdings" w:hAnsi="Wingdings"/>
                <w:sz w:val="20"/>
              </w:rPr>
              <w:t></w:t>
            </w:r>
            <w:r>
              <w:rPr>
                <w:sz w:val="21"/>
              </w:rPr>
              <w:t xml:space="preserve">；区域消减依托其他工程措施 </w:t>
            </w:r>
            <w:r>
              <w:rPr>
                <w:rFonts w:ascii="Wingdings" w:hAnsi="Wingdings"/>
                <w:sz w:val="20"/>
              </w:rPr>
              <w:t></w:t>
            </w:r>
            <w:r>
              <w:rPr>
                <w:sz w:val="21"/>
              </w:rPr>
              <w:t xml:space="preserve">；其他 </w:t>
            </w:r>
            <w:r>
              <w:rPr>
                <w:rFonts w:ascii="Wingdings" w:hAnsi="Wingdings"/>
                <w:sz w:val="20"/>
              </w:rPr>
              <w:t></w:t>
            </w:r>
          </w:p>
        </w:tc>
      </w:tr>
      <w:tr w14:paraId="1EEBD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650CCE15">
            <w:pPr>
              <w:rPr>
                <w:sz w:val="2"/>
                <w:szCs w:val="2"/>
              </w:rPr>
            </w:pPr>
          </w:p>
        </w:tc>
        <w:tc>
          <w:tcPr>
            <w:tcW w:w="2669" w:type="dxa"/>
            <w:vMerge w:val="restart"/>
          </w:tcPr>
          <w:p w14:paraId="1238B658">
            <w:pPr>
              <w:pStyle w:val="14"/>
              <w:rPr>
                <w:rFonts w:ascii="Times New Roman"/>
                <w:sz w:val="20"/>
              </w:rPr>
            </w:pPr>
          </w:p>
          <w:p w14:paraId="4ABA95B9">
            <w:pPr>
              <w:pStyle w:val="14"/>
              <w:spacing w:before="152"/>
              <w:ind w:left="156" w:right="151"/>
              <w:jc w:val="center"/>
              <w:rPr>
                <w:sz w:val="21"/>
              </w:rPr>
            </w:pPr>
            <w:r>
              <w:rPr>
                <w:sz w:val="21"/>
              </w:rPr>
              <w:t>监测计划</w:t>
            </w:r>
          </w:p>
        </w:tc>
        <w:tc>
          <w:tcPr>
            <w:tcW w:w="2357" w:type="dxa"/>
            <w:gridSpan w:val="2"/>
          </w:tcPr>
          <w:p w14:paraId="4D877BF8">
            <w:pPr>
              <w:pStyle w:val="14"/>
              <w:rPr>
                <w:rFonts w:ascii="Times New Roman"/>
                <w:sz w:val="20"/>
              </w:rPr>
            </w:pPr>
          </w:p>
        </w:tc>
        <w:tc>
          <w:tcPr>
            <w:tcW w:w="4024" w:type="dxa"/>
            <w:gridSpan w:val="4"/>
          </w:tcPr>
          <w:p w14:paraId="4250C37F">
            <w:pPr>
              <w:pStyle w:val="14"/>
              <w:spacing w:before="34"/>
              <w:ind w:left="17"/>
              <w:jc w:val="center"/>
              <w:rPr>
                <w:sz w:val="21"/>
              </w:rPr>
            </w:pPr>
            <w:r>
              <w:rPr>
                <w:sz w:val="21"/>
              </w:rPr>
              <w:t>环境质量</w:t>
            </w:r>
          </w:p>
        </w:tc>
        <w:tc>
          <w:tcPr>
            <w:tcW w:w="3997" w:type="dxa"/>
            <w:gridSpan w:val="2"/>
          </w:tcPr>
          <w:p w14:paraId="58A5D917">
            <w:pPr>
              <w:pStyle w:val="14"/>
              <w:spacing w:before="34"/>
              <w:ind w:left="1668" w:right="1649"/>
              <w:jc w:val="center"/>
              <w:rPr>
                <w:sz w:val="21"/>
              </w:rPr>
            </w:pPr>
            <w:r>
              <w:rPr>
                <w:sz w:val="21"/>
              </w:rPr>
              <w:t>污染源</w:t>
            </w:r>
          </w:p>
        </w:tc>
      </w:tr>
      <w:tr w14:paraId="292EE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38309D8C">
            <w:pPr>
              <w:rPr>
                <w:sz w:val="2"/>
                <w:szCs w:val="2"/>
              </w:rPr>
            </w:pPr>
          </w:p>
        </w:tc>
        <w:tc>
          <w:tcPr>
            <w:tcW w:w="2669" w:type="dxa"/>
            <w:vMerge w:val="continue"/>
            <w:tcBorders>
              <w:top w:val="nil"/>
            </w:tcBorders>
          </w:tcPr>
          <w:p w14:paraId="4D2FB59B">
            <w:pPr>
              <w:rPr>
                <w:sz w:val="2"/>
                <w:szCs w:val="2"/>
              </w:rPr>
            </w:pPr>
          </w:p>
        </w:tc>
        <w:tc>
          <w:tcPr>
            <w:tcW w:w="2357" w:type="dxa"/>
            <w:gridSpan w:val="2"/>
          </w:tcPr>
          <w:p w14:paraId="37523271">
            <w:pPr>
              <w:pStyle w:val="14"/>
              <w:spacing w:before="32"/>
              <w:ind w:left="756"/>
              <w:rPr>
                <w:sz w:val="21"/>
              </w:rPr>
            </w:pPr>
            <w:r>
              <w:rPr>
                <w:sz w:val="21"/>
              </w:rPr>
              <w:t>监测方法</w:t>
            </w:r>
          </w:p>
        </w:tc>
        <w:tc>
          <w:tcPr>
            <w:tcW w:w="4024" w:type="dxa"/>
            <w:gridSpan w:val="4"/>
          </w:tcPr>
          <w:p w14:paraId="7C513547">
            <w:pPr>
              <w:pStyle w:val="14"/>
              <w:spacing w:before="32"/>
              <w:ind w:left="725"/>
              <w:rPr>
                <w:rFonts w:ascii="Wingdings" w:hAnsi="Wingdings"/>
                <w:sz w:val="20"/>
              </w:rPr>
            </w:pPr>
            <w:r>
              <w:rPr>
                <w:sz w:val="21"/>
              </w:rPr>
              <w:t xml:space="preserve">手动 </w:t>
            </w:r>
            <w:r>
              <w:rPr>
                <w:rFonts w:ascii="Wingdings" w:hAnsi="Wingdings"/>
                <w:sz w:val="20"/>
              </w:rPr>
              <w:t></w:t>
            </w:r>
            <w:r>
              <w:rPr>
                <w:sz w:val="21"/>
              </w:rPr>
              <w:t xml:space="preserve">；自动 </w:t>
            </w:r>
            <w:r>
              <w:rPr>
                <w:rFonts w:ascii="Wingdings" w:hAnsi="Wingdings"/>
                <w:sz w:val="20"/>
              </w:rPr>
              <w:t></w:t>
            </w:r>
            <w:r>
              <w:rPr>
                <w:sz w:val="21"/>
              </w:rPr>
              <w:t xml:space="preserve">；无检测 </w:t>
            </w:r>
            <w:r>
              <w:rPr>
                <w:rFonts w:ascii="Wingdings" w:hAnsi="Wingdings"/>
                <w:sz w:val="20"/>
              </w:rPr>
              <w:t></w:t>
            </w:r>
          </w:p>
        </w:tc>
        <w:tc>
          <w:tcPr>
            <w:tcW w:w="3997" w:type="dxa"/>
            <w:gridSpan w:val="2"/>
          </w:tcPr>
          <w:p w14:paraId="051E8F3C">
            <w:pPr>
              <w:pStyle w:val="14"/>
              <w:spacing w:before="32"/>
              <w:ind w:left="711"/>
              <w:rPr>
                <w:rFonts w:ascii="Wingdings" w:hAnsi="Wingdings"/>
                <w:sz w:val="20"/>
              </w:rPr>
            </w:pPr>
            <w:r>
              <w:rPr>
                <w:sz w:val="21"/>
              </w:rPr>
              <w:t xml:space="preserve">手动 </w:t>
            </w:r>
            <w:r>
              <w:rPr>
                <w:rFonts w:ascii="Wingdings" w:hAnsi="Wingdings"/>
                <w:sz w:val="20"/>
              </w:rPr>
              <w:t></w:t>
            </w:r>
            <w:r>
              <w:rPr>
                <w:sz w:val="21"/>
              </w:rPr>
              <w:t xml:space="preserve">；自动 </w:t>
            </w:r>
            <w:r>
              <w:rPr>
                <w:rFonts w:ascii="Wingdings" w:hAnsi="Wingdings"/>
                <w:sz w:val="20"/>
              </w:rPr>
              <w:t></w:t>
            </w:r>
            <w:r>
              <w:rPr>
                <w:sz w:val="21"/>
              </w:rPr>
              <w:t xml:space="preserve">；无检测 </w:t>
            </w:r>
            <w:r>
              <w:rPr>
                <w:rFonts w:ascii="Wingdings" w:hAnsi="Wingdings"/>
                <w:sz w:val="20"/>
              </w:rPr>
              <w:t></w:t>
            </w:r>
          </w:p>
        </w:tc>
      </w:tr>
      <w:tr w14:paraId="03BB2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57" w:type="dxa"/>
            <w:vMerge w:val="continue"/>
            <w:tcBorders>
              <w:top w:val="nil"/>
            </w:tcBorders>
          </w:tcPr>
          <w:p w14:paraId="10C6C6F1">
            <w:pPr>
              <w:rPr>
                <w:sz w:val="2"/>
                <w:szCs w:val="2"/>
              </w:rPr>
            </w:pPr>
          </w:p>
        </w:tc>
        <w:tc>
          <w:tcPr>
            <w:tcW w:w="2669" w:type="dxa"/>
            <w:vMerge w:val="continue"/>
            <w:tcBorders>
              <w:top w:val="nil"/>
            </w:tcBorders>
          </w:tcPr>
          <w:p w14:paraId="41631129">
            <w:pPr>
              <w:rPr>
                <w:sz w:val="2"/>
                <w:szCs w:val="2"/>
              </w:rPr>
            </w:pPr>
          </w:p>
        </w:tc>
        <w:tc>
          <w:tcPr>
            <w:tcW w:w="2357" w:type="dxa"/>
            <w:gridSpan w:val="2"/>
          </w:tcPr>
          <w:p w14:paraId="440111D1">
            <w:pPr>
              <w:pStyle w:val="14"/>
              <w:spacing w:before="32"/>
              <w:ind w:left="756"/>
              <w:rPr>
                <w:sz w:val="21"/>
              </w:rPr>
            </w:pPr>
            <w:r>
              <w:rPr>
                <w:sz w:val="21"/>
              </w:rPr>
              <w:t>监测点位</w:t>
            </w:r>
          </w:p>
        </w:tc>
        <w:tc>
          <w:tcPr>
            <w:tcW w:w="4024" w:type="dxa"/>
            <w:gridSpan w:val="4"/>
          </w:tcPr>
          <w:p w14:paraId="71337DA1">
            <w:pPr>
              <w:pStyle w:val="14"/>
              <w:tabs>
                <w:tab w:val="left" w:pos="540"/>
              </w:tabs>
              <w:spacing w:before="32"/>
              <w:ind w:left="15"/>
              <w:jc w:val="center"/>
              <w:rPr>
                <w:sz w:val="21"/>
              </w:rPr>
            </w:pPr>
            <w:r>
              <w:rPr>
                <w:sz w:val="21"/>
              </w:rPr>
              <w:t>（</w:t>
            </w:r>
            <w:r>
              <w:rPr>
                <w:sz w:val="21"/>
              </w:rPr>
              <w:tab/>
            </w:r>
            <w:r>
              <w:rPr>
                <w:sz w:val="21"/>
              </w:rPr>
              <w:t>）</w:t>
            </w:r>
          </w:p>
        </w:tc>
        <w:tc>
          <w:tcPr>
            <w:tcW w:w="3997" w:type="dxa"/>
            <w:gridSpan w:val="2"/>
          </w:tcPr>
          <w:p w14:paraId="6AD3B961">
            <w:pPr>
              <w:pStyle w:val="14"/>
              <w:spacing w:before="32"/>
              <w:ind w:left="385"/>
              <w:rPr>
                <w:sz w:val="21"/>
              </w:rPr>
            </w:pPr>
            <w:r>
              <w:rPr>
                <w:sz w:val="21"/>
              </w:rPr>
              <w:t xml:space="preserve">废水总排放口 </w:t>
            </w:r>
            <w:r>
              <w:rPr>
                <w:rFonts w:ascii="Times New Roman" w:eastAsia="Times New Roman"/>
                <w:sz w:val="21"/>
              </w:rPr>
              <w:t>DW001</w:t>
            </w:r>
            <w:r>
              <w:rPr>
                <w:sz w:val="21"/>
              </w:rPr>
              <w:t>、雨水排放口</w:t>
            </w:r>
          </w:p>
        </w:tc>
      </w:tr>
    </w:tbl>
    <w:p w14:paraId="23D2BBAB">
      <w:pPr>
        <w:spacing w:after="0"/>
        <w:rPr>
          <w:sz w:val="21"/>
        </w:rPr>
        <w:sectPr>
          <w:pgSz w:w="16840" w:h="11910" w:orient="landscape"/>
          <w:pgMar w:top="1180" w:right="1500" w:bottom="1400" w:left="1500" w:header="878" w:footer="1204" w:gutter="0"/>
          <w:cols w:space="720" w:num="1"/>
        </w:sectPr>
      </w:pPr>
    </w:p>
    <w:p w14:paraId="7D700B37">
      <w:pPr>
        <w:pStyle w:val="7"/>
        <w:rPr>
          <w:rFonts w:ascii="Times New Roman"/>
          <w:sz w:val="20"/>
        </w:rPr>
      </w:pPr>
    </w:p>
    <w:p w14:paraId="5202E380">
      <w:pPr>
        <w:pStyle w:val="7"/>
        <w:rPr>
          <w:rFonts w:ascii="Times New Roman"/>
          <w:sz w:val="20"/>
        </w:rPr>
      </w:pPr>
    </w:p>
    <w:p w14:paraId="4690C036">
      <w:pPr>
        <w:pStyle w:val="7"/>
        <w:spacing w:before="9" w:after="1"/>
        <w:rPr>
          <w:rFonts w:ascii="Times New Roman"/>
          <w:sz w:val="13"/>
        </w:rPr>
      </w:pPr>
    </w:p>
    <w:tbl>
      <w:tblPr>
        <w:tblStyle w:val="10"/>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2669"/>
        <w:gridCol w:w="2357"/>
        <w:gridCol w:w="4032"/>
        <w:gridCol w:w="3991"/>
      </w:tblGrid>
      <w:tr w14:paraId="79B9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tcPr>
          <w:p w14:paraId="678A5196">
            <w:pPr>
              <w:pStyle w:val="14"/>
              <w:spacing w:before="33"/>
              <w:ind w:left="1170" w:right="1165"/>
              <w:jc w:val="center"/>
              <w:rPr>
                <w:sz w:val="21"/>
              </w:rPr>
            </w:pPr>
            <w:r>
              <w:rPr>
                <w:sz w:val="21"/>
              </w:rPr>
              <w:t>工作内容</w:t>
            </w:r>
          </w:p>
        </w:tc>
        <w:tc>
          <w:tcPr>
            <w:tcW w:w="10380" w:type="dxa"/>
            <w:gridSpan w:val="3"/>
          </w:tcPr>
          <w:p w14:paraId="7F838C50">
            <w:pPr>
              <w:pStyle w:val="14"/>
              <w:spacing w:before="33"/>
              <w:ind w:left="4748" w:right="4741"/>
              <w:jc w:val="center"/>
              <w:rPr>
                <w:sz w:val="21"/>
              </w:rPr>
            </w:pPr>
            <w:r>
              <w:rPr>
                <w:sz w:val="21"/>
              </w:rPr>
              <w:t>自查项目</w:t>
            </w:r>
          </w:p>
        </w:tc>
      </w:tr>
      <w:tr w14:paraId="04316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restart"/>
          </w:tcPr>
          <w:p w14:paraId="110F1B1F">
            <w:pPr>
              <w:pStyle w:val="14"/>
              <w:rPr>
                <w:rFonts w:ascii="Times New Roman"/>
                <w:sz w:val="18"/>
              </w:rPr>
            </w:pPr>
          </w:p>
        </w:tc>
        <w:tc>
          <w:tcPr>
            <w:tcW w:w="2669" w:type="dxa"/>
            <w:vMerge w:val="restart"/>
          </w:tcPr>
          <w:p w14:paraId="119B0F07">
            <w:pPr>
              <w:pStyle w:val="14"/>
              <w:rPr>
                <w:rFonts w:ascii="Times New Roman"/>
                <w:sz w:val="18"/>
              </w:rPr>
            </w:pPr>
          </w:p>
        </w:tc>
        <w:tc>
          <w:tcPr>
            <w:tcW w:w="2357" w:type="dxa"/>
          </w:tcPr>
          <w:p w14:paraId="64CF4659">
            <w:pPr>
              <w:pStyle w:val="14"/>
              <w:rPr>
                <w:rFonts w:ascii="Times New Roman"/>
                <w:sz w:val="18"/>
              </w:rPr>
            </w:pPr>
          </w:p>
        </w:tc>
        <w:tc>
          <w:tcPr>
            <w:tcW w:w="4032" w:type="dxa"/>
          </w:tcPr>
          <w:p w14:paraId="2E0A36DF">
            <w:pPr>
              <w:pStyle w:val="14"/>
              <w:rPr>
                <w:rFonts w:ascii="Times New Roman"/>
                <w:sz w:val="18"/>
              </w:rPr>
            </w:pPr>
          </w:p>
        </w:tc>
        <w:tc>
          <w:tcPr>
            <w:tcW w:w="3991" w:type="dxa"/>
          </w:tcPr>
          <w:p w14:paraId="23D1387B">
            <w:pPr>
              <w:pStyle w:val="14"/>
              <w:spacing w:line="241" w:lineRule="exact"/>
              <w:ind w:left="1683" w:right="1673"/>
              <w:jc w:val="center"/>
              <w:rPr>
                <w:rFonts w:ascii="Times New Roman"/>
                <w:sz w:val="21"/>
              </w:rPr>
            </w:pPr>
            <w:r>
              <w:rPr>
                <w:rFonts w:ascii="Times New Roman"/>
                <w:sz w:val="21"/>
              </w:rPr>
              <w:t>YS001</w:t>
            </w:r>
          </w:p>
        </w:tc>
      </w:tr>
      <w:tr w14:paraId="273EA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557" w:type="dxa"/>
            <w:vMerge w:val="continue"/>
            <w:tcBorders>
              <w:top w:val="nil"/>
            </w:tcBorders>
          </w:tcPr>
          <w:p w14:paraId="754EE2C9">
            <w:pPr>
              <w:rPr>
                <w:sz w:val="2"/>
                <w:szCs w:val="2"/>
              </w:rPr>
            </w:pPr>
          </w:p>
        </w:tc>
        <w:tc>
          <w:tcPr>
            <w:tcW w:w="2669" w:type="dxa"/>
            <w:vMerge w:val="continue"/>
            <w:tcBorders>
              <w:top w:val="nil"/>
            </w:tcBorders>
          </w:tcPr>
          <w:p w14:paraId="2087EABF">
            <w:pPr>
              <w:rPr>
                <w:sz w:val="2"/>
                <w:szCs w:val="2"/>
              </w:rPr>
            </w:pPr>
          </w:p>
        </w:tc>
        <w:tc>
          <w:tcPr>
            <w:tcW w:w="2357" w:type="dxa"/>
          </w:tcPr>
          <w:p w14:paraId="320574AC">
            <w:pPr>
              <w:pStyle w:val="14"/>
              <w:rPr>
                <w:rFonts w:ascii="Times New Roman"/>
                <w:sz w:val="20"/>
              </w:rPr>
            </w:pPr>
          </w:p>
          <w:p w14:paraId="168A9A23">
            <w:pPr>
              <w:pStyle w:val="14"/>
              <w:rPr>
                <w:rFonts w:ascii="Times New Roman"/>
                <w:sz w:val="20"/>
              </w:rPr>
            </w:pPr>
          </w:p>
          <w:p w14:paraId="57048FBA">
            <w:pPr>
              <w:pStyle w:val="14"/>
              <w:spacing w:before="3"/>
              <w:rPr>
                <w:rFonts w:ascii="Times New Roman"/>
                <w:sz w:val="19"/>
              </w:rPr>
            </w:pPr>
          </w:p>
          <w:p w14:paraId="204B4232">
            <w:pPr>
              <w:pStyle w:val="14"/>
              <w:ind w:left="756"/>
              <w:rPr>
                <w:sz w:val="21"/>
              </w:rPr>
            </w:pPr>
            <w:r>
              <w:rPr>
                <w:sz w:val="21"/>
              </w:rPr>
              <w:t>监测因子</w:t>
            </w:r>
          </w:p>
        </w:tc>
        <w:tc>
          <w:tcPr>
            <w:tcW w:w="4032" w:type="dxa"/>
          </w:tcPr>
          <w:p w14:paraId="392FF5B8">
            <w:pPr>
              <w:pStyle w:val="14"/>
              <w:rPr>
                <w:rFonts w:ascii="Times New Roman"/>
                <w:sz w:val="20"/>
              </w:rPr>
            </w:pPr>
          </w:p>
          <w:p w14:paraId="3103C0A2">
            <w:pPr>
              <w:pStyle w:val="14"/>
              <w:rPr>
                <w:rFonts w:ascii="Times New Roman"/>
                <w:sz w:val="20"/>
              </w:rPr>
            </w:pPr>
          </w:p>
          <w:p w14:paraId="6DF7A64F">
            <w:pPr>
              <w:pStyle w:val="14"/>
              <w:spacing w:before="3"/>
              <w:rPr>
                <w:rFonts w:ascii="Times New Roman"/>
                <w:sz w:val="19"/>
              </w:rPr>
            </w:pPr>
          </w:p>
          <w:p w14:paraId="1983AFB4">
            <w:pPr>
              <w:pStyle w:val="14"/>
              <w:tabs>
                <w:tab w:val="left" w:pos="532"/>
              </w:tabs>
              <w:ind w:left="7"/>
              <w:jc w:val="center"/>
              <w:rPr>
                <w:sz w:val="21"/>
              </w:rPr>
            </w:pPr>
            <w:r>
              <w:rPr>
                <w:sz w:val="21"/>
              </w:rPr>
              <w:t>（</w:t>
            </w:r>
            <w:r>
              <w:rPr>
                <w:sz w:val="21"/>
              </w:rPr>
              <w:tab/>
            </w:r>
            <w:r>
              <w:rPr>
                <w:sz w:val="21"/>
              </w:rPr>
              <w:t>）</w:t>
            </w:r>
          </w:p>
        </w:tc>
        <w:tc>
          <w:tcPr>
            <w:tcW w:w="3991" w:type="dxa"/>
          </w:tcPr>
          <w:p w14:paraId="12C19A2C">
            <w:pPr>
              <w:pStyle w:val="14"/>
              <w:spacing w:line="237" w:lineRule="auto"/>
              <w:ind w:left="108" w:right="188"/>
              <w:jc w:val="both"/>
              <w:rPr>
                <w:sz w:val="21"/>
              </w:rPr>
            </w:pPr>
            <w:r>
              <w:rPr>
                <w:position w:val="2"/>
                <w:sz w:val="21"/>
              </w:rPr>
              <w:t>流量、</w:t>
            </w:r>
            <w:r>
              <w:rPr>
                <w:rFonts w:ascii="Times New Roman" w:eastAsia="Times New Roman"/>
                <w:position w:val="2"/>
                <w:sz w:val="21"/>
              </w:rPr>
              <w:t xml:space="preserve">pH </w:t>
            </w:r>
            <w:r>
              <w:rPr>
                <w:position w:val="2"/>
                <w:sz w:val="21"/>
              </w:rPr>
              <w:t>值、</w:t>
            </w: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3</w:t>
            </w:r>
            <w:r>
              <w:rPr>
                <w:rFonts w:ascii="Times New Roman" w:eastAsia="Times New Roman"/>
                <w:position w:val="2"/>
                <w:sz w:val="21"/>
                <w:vertAlign w:val="baseline"/>
              </w:rPr>
              <w:t xml:space="preserve">-N </w:t>
            </w:r>
            <w:r>
              <w:rPr>
                <w:position w:val="2"/>
                <w:sz w:val="21"/>
                <w:vertAlign w:val="baseline"/>
              </w:rPr>
              <w:t>自动监测</w:t>
            </w:r>
            <w:r>
              <w:rPr>
                <w:w w:val="95"/>
                <w:position w:val="2"/>
                <w:sz w:val="21"/>
                <w:vertAlign w:val="baseline"/>
              </w:rPr>
              <w:t>总磷、总氮、</w:t>
            </w:r>
            <w:r>
              <w:rPr>
                <w:rFonts w:ascii="Times New Roman" w:eastAsia="Times New Roman"/>
                <w:w w:val="95"/>
                <w:position w:val="2"/>
                <w:sz w:val="21"/>
                <w:vertAlign w:val="baseline"/>
              </w:rPr>
              <w:t>BOD</w:t>
            </w:r>
            <w:r>
              <w:rPr>
                <w:rFonts w:ascii="Times New Roman" w:eastAsia="Times New Roman"/>
                <w:w w:val="95"/>
                <w:position w:val="2"/>
                <w:sz w:val="21"/>
                <w:vertAlign w:val="subscript"/>
              </w:rPr>
              <w:t>5</w:t>
            </w:r>
            <w:r>
              <w:rPr>
                <w:w w:val="95"/>
                <w:position w:val="2"/>
                <w:sz w:val="21"/>
                <w:vertAlign w:val="baseline"/>
              </w:rPr>
              <w:t>、</w:t>
            </w:r>
            <w:r>
              <w:rPr>
                <w:rFonts w:ascii="Times New Roman" w:eastAsia="Times New Roman"/>
                <w:w w:val="95"/>
                <w:position w:val="2"/>
                <w:sz w:val="21"/>
                <w:vertAlign w:val="baseline"/>
              </w:rPr>
              <w:t>SS</w:t>
            </w:r>
            <w:r>
              <w:rPr>
                <w:w w:val="95"/>
                <w:position w:val="2"/>
                <w:sz w:val="21"/>
                <w:vertAlign w:val="baseline"/>
              </w:rPr>
              <w:t>、动植物油、大</w:t>
            </w:r>
            <w:r>
              <w:rPr>
                <w:sz w:val="21"/>
                <w:vertAlign w:val="baseline"/>
              </w:rPr>
              <w:t>肠菌群数 每季度一次</w:t>
            </w:r>
          </w:p>
          <w:p w14:paraId="7656FBE9">
            <w:pPr>
              <w:pStyle w:val="14"/>
              <w:spacing w:before="3"/>
              <w:ind w:left="108" w:right="279"/>
              <w:jc w:val="both"/>
              <w:rPr>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vertAlign w:val="baseline"/>
              </w:rPr>
              <w:t>、</w:t>
            </w:r>
            <w:r>
              <w:rPr>
                <w:rFonts w:ascii="Times New Roman" w:eastAsia="Times New Roman"/>
                <w:position w:val="2"/>
                <w:sz w:val="21"/>
                <w:vertAlign w:val="baseline"/>
              </w:rPr>
              <w:t>SS</w:t>
            </w:r>
            <w:r>
              <w:rPr>
                <w:rFonts w:ascii="Times New Roman" w:eastAsia="Times New Roman"/>
                <w:spacing w:val="-9"/>
                <w:position w:val="2"/>
                <w:sz w:val="21"/>
                <w:vertAlign w:val="baseline"/>
              </w:rPr>
              <w:t xml:space="preserve"> </w:t>
            </w:r>
            <w:r>
              <w:rPr>
                <w:position w:val="2"/>
                <w:sz w:val="21"/>
                <w:vertAlign w:val="baseline"/>
              </w:rPr>
              <w:t>雨水排放口有流动水排放时</w:t>
            </w:r>
            <w:r>
              <w:rPr>
                <w:sz w:val="21"/>
                <w:vertAlign w:val="baseline"/>
              </w:rPr>
              <w:t>按日监测。若监测一年无异常情况，可</w:t>
            </w:r>
          </w:p>
          <w:p w14:paraId="2A981671">
            <w:pPr>
              <w:pStyle w:val="14"/>
              <w:spacing w:before="2" w:line="253" w:lineRule="exact"/>
              <w:ind w:left="108"/>
              <w:jc w:val="both"/>
              <w:rPr>
                <w:sz w:val="21"/>
              </w:rPr>
            </w:pPr>
            <w:r>
              <w:rPr>
                <w:sz w:val="21"/>
              </w:rPr>
              <w:t>放宽至每季度开展一次监测</w:t>
            </w:r>
          </w:p>
        </w:tc>
      </w:tr>
      <w:tr w14:paraId="5892D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7" w:type="dxa"/>
            <w:vMerge w:val="continue"/>
            <w:tcBorders>
              <w:top w:val="nil"/>
            </w:tcBorders>
          </w:tcPr>
          <w:p w14:paraId="493066AF">
            <w:pPr>
              <w:rPr>
                <w:sz w:val="2"/>
                <w:szCs w:val="2"/>
              </w:rPr>
            </w:pPr>
          </w:p>
        </w:tc>
        <w:tc>
          <w:tcPr>
            <w:tcW w:w="2669" w:type="dxa"/>
          </w:tcPr>
          <w:p w14:paraId="5930EFDB">
            <w:pPr>
              <w:pStyle w:val="14"/>
              <w:spacing w:before="34"/>
              <w:ind w:left="598"/>
              <w:rPr>
                <w:sz w:val="21"/>
              </w:rPr>
            </w:pPr>
            <w:r>
              <w:rPr>
                <w:sz w:val="21"/>
              </w:rPr>
              <w:t>污染物排放清单</w:t>
            </w:r>
          </w:p>
        </w:tc>
        <w:tc>
          <w:tcPr>
            <w:tcW w:w="10380" w:type="dxa"/>
            <w:gridSpan w:val="3"/>
          </w:tcPr>
          <w:p w14:paraId="2AFD53E8">
            <w:pPr>
              <w:pStyle w:val="14"/>
              <w:spacing w:before="52"/>
              <w:ind w:left="106"/>
              <w:rPr>
                <w:rFonts w:ascii="Wingdings" w:hAnsi="Wingdings"/>
                <w:sz w:val="20"/>
              </w:rPr>
            </w:pPr>
            <w:r>
              <w:rPr>
                <w:rFonts w:ascii="Wingdings" w:hAnsi="Wingdings"/>
                <w:w w:val="99"/>
                <w:sz w:val="20"/>
              </w:rPr>
              <w:t></w:t>
            </w:r>
          </w:p>
        </w:tc>
      </w:tr>
      <w:tr w14:paraId="15F12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26" w:type="dxa"/>
            <w:gridSpan w:val="2"/>
          </w:tcPr>
          <w:p w14:paraId="3BA8C15F">
            <w:pPr>
              <w:pStyle w:val="14"/>
              <w:spacing w:before="34"/>
              <w:ind w:left="1170" w:right="1165"/>
              <w:jc w:val="center"/>
              <w:rPr>
                <w:sz w:val="21"/>
              </w:rPr>
            </w:pPr>
            <w:r>
              <w:rPr>
                <w:sz w:val="21"/>
              </w:rPr>
              <w:t>评价结论</w:t>
            </w:r>
          </w:p>
        </w:tc>
        <w:tc>
          <w:tcPr>
            <w:tcW w:w="10380" w:type="dxa"/>
            <w:gridSpan w:val="3"/>
          </w:tcPr>
          <w:p w14:paraId="5312B08F">
            <w:pPr>
              <w:pStyle w:val="14"/>
              <w:spacing w:before="34"/>
              <w:ind w:left="106"/>
              <w:rPr>
                <w:sz w:val="21"/>
              </w:rPr>
            </w:pPr>
            <w:r>
              <w:rPr>
                <w:sz w:val="21"/>
              </w:rPr>
              <w:t xml:space="preserve">可以接受 </w:t>
            </w:r>
            <w:r>
              <w:rPr>
                <w:rFonts w:ascii="Wingdings" w:hAnsi="Wingdings" w:eastAsia="Wingdings"/>
                <w:sz w:val="20"/>
              </w:rPr>
              <w:t></w:t>
            </w:r>
            <w:r>
              <w:rPr>
                <w:sz w:val="21"/>
              </w:rPr>
              <w:t xml:space="preserve">；不可以接受 </w:t>
            </w:r>
            <w:r>
              <w:rPr>
                <w:rFonts w:ascii="Wingdings" w:hAnsi="Wingdings" w:eastAsia="Wingdings"/>
                <w:sz w:val="20"/>
              </w:rPr>
              <w:t></w:t>
            </w:r>
            <w:r>
              <w:rPr>
                <w:sz w:val="21"/>
              </w:rPr>
              <w:t>；</w:t>
            </w:r>
          </w:p>
        </w:tc>
      </w:tr>
      <w:tr w14:paraId="67AA3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06" w:type="dxa"/>
            <w:gridSpan w:val="5"/>
          </w:tcPr>
          <w:p w14:paraId="149217DB">
            <w:pPr>
              <w:pStyle w:val="14"/>
              <w:spacing w:before="35"/>
              <w:ind w:left="106"/>
              <w:rPr>
                <w:sz w:val="21"/>
              </w:rPr>
            </w:pPr>
            <w:r>
              <w:rPr>
                <w:sz w:val="21"/>
              </w:rPr>
              <w:t>注：“</w:t>
            </w:r>
            <w:r>
              <w:rPr>
                <w:rFonts w:ascii="Wingdings" w:hAnsi="Wingdings" w:eastAsia="Wingdings"/>
                <w:sz w:val="20"/>
              </w:rPr>
              <w:t></w:t>
            </w:r>
            <w:r>
              <w:rPr>
                <w:sz w:val="21"/>
              </w:rPr>
              <w:t>”为勾选项，可√；“（ ）”为内容填写项：“备注”为其他补充内容。</w:t>
            </w:r>
          </w:p>
        </w:tc>
      </w:tr>
    </w:tbl>
    <w:p w14:paraId="2DF50773">
      <w:pPr>
        <w:spacing w:after="0"/>
        <w:rPr>
          <w:sz w:val="21"/>
        </w:rPr>
        <w:sectPr>
          <w:pgSz w:w="16840" w:h="11910" w:orient="landscape"/>
          <w:pgMar w:top="1180" w:right="1500" w:bottom="1400" w:left="1500" w:header="878" w:footer="1204" w:gutter="0"/>
          <w:cols w:space="720" w:num="1"/>
        </w:sectPr>
      </w:pPr>
    </w:p>
    <w:p w14:paraId="62651519">
      <w:pPr>
        <w:pStyle w:val="6"/>
        <w:spacing w:before="90"/>
        <w:ind w:left="3198" w:right="3220"/>
        <w:jc w:val="center"/>
      </w:pPr>
      <w:r>
        <w:t xml:space="preserve">表 </w:t>
      </w:r>
      <w:r>
        <w:rPr>
          <w:rFonts w:ascii="Times New Roman" w:eastAsia="Times New Roman"/>
        </w:rPr>
        <w:t xml:space="preserve">4 </w:t>
      </w:r>
      <w:r>
        <w:t>环境风险评价自查表</w:t>
      </w:r>
    </w:p>
    <w:p w14:paraId="06E03E7C">
      <w:pPr>
        <w:pStyle w:val="7"/>
        <w:spacing w:before="3"/>
        <w:rPr>
          <w:b/>
          <w:sz w:val="6"/>
        </w:rPr>
      </w:pP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
        <w:gridCol w:w="1198"/>
        <w:gridCol w:w="1308"/>
        <w:gridCol w:w="1374"/>
        <w:gridCol w:w="264"/>
        <w:gridCol w:w="396"/>
        <w:gridCol w:w="340"/>
        <w:gridCol w:w="474"/>
        <w:gridCol w:w="260"/>
        <w:gridCol w:w="133"/>
        <w:gridCol w:w="566"/>
        <w:gridCol w:w="509"/>
        <w:gridCol w:w="262"/>
        <w:gridCol w:w="137"/>
        <w:gridCol w:w="597"/>
        <w:gridCol w:w="722"/>
      </w:tblGrid>
      <w:tr w14:paraId="34805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02" w:type="dxa"/>
            <w:gridSpan w:val="2"/>
          </w:tcPr>
          <w:p w14:paraId="6CCA351D">
            <w:pPr>
              <w:pStyle w:val="14"/>
              <w:spacing w:before="2"/>
              <w:ind w:left="400"/>
              <w:rPr>
                <w:sz w:val="20"/>
              </w:rPr>
            </w:pPr>
            <w:r>
              <w:rPr>
                <w:sz w:val="20"/>
              </w:rPr>
              <w:t>工作内容</w:t>
            </w:r>
          </w:p>
        </w:tc>
        <w:tc>
          <w:tcPr>
            <w:tcW w:w="7342" w:type="dxa"/>
            <w:gridSpan w:val="14"/>
          </w:tcPr>
          <w:p w14:paraId="6D465C4E">
            <w:pPr>
              <w:pStyle w:val="14"/>
              <w:spacing w:before="2"/>
              <w:ind w:left="3243" w:right="3248"/>
              <w:jc w:val="center"/>
              <w:rPr>
                <w:sz w:val="20"/>
              </w:rPr>
            </w:pPr>
            <w:r>
              <w:rPr>
                <w:sz w:val="20"/>
              </w:rPr>
              <w:t>完成情况</w:t>
            </w:r>
          </w:p>
        </w:tc>
      </w:tr>
      <w:tr w14:paraId="7A18B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404" w:type="dxa"/>
            <w:vMerge w:val="restart"/>
          </w:tcPr>
          <w:p w14:paraId="2B7AE22F">
            <w:pPr>
              <w:pStyle w:val="14"/>
              <w:rPr>
                <w:b/>
                <w:sz w:val="20"/>
              </w:rPr>
            </w:pPr>
          </w:p>
          <w:p w14:paraId="05156A4F">
            <w:pPr>
              <w:pStyle w:val="14"/>
              <w:rPr>
                <w:b/>
                <w:sz w:val="20"/>
              </w:rPr>
            </w:pPr>
          </w:p>
          <w:p w14:paraId="1ED659C8">
            <w:pPr>
              <w:pStyle w:val="14"/>
              <w:rPr>
                <w:b/>
                <w:sz w:val="20"/>
              </w:rPr>
            </w:pPr>
          </w:p>
          <w:p w14:paraId="7485A704">
            <w:pPr>
              <w:pStyle w:val="14"/>
              <w:spacing w:before="10"/>
              <w:rPr>
                <w:b/>
                <w:sz w:val="19"/>
              </w:rPr>
            </w:pPr>
          </w:p>
          <w:p w14:paraId="162E858A">
            <w:pPr>
              <w:pStyle w:val="14"/>
              <w:spacing w:line="242" w:lineRule="auto"/>
              <w:ind w:left="107" w:right="85"/>
              <w:jc w:val="both"/>
              <w:rPr>
                <w:sz w:val="20"/>
              </w:rPr>
            </w:pPr>
            <w:r>
              <w:rPr>
                <w:sz w:val="20"/>
              </w:rPr>
              <w:t>风险调查</w:t>
            </w:r>
          </w:p>
        </w:tc>
        <w:tc>
          <w:tcPr>
            <w:tcW w:w="1198" w:type="dxa"/>
            <w:vMerge w:val="restart"/>
          </w:tcPr>
          <w:p w14:paraId="1884742E">
            <w:pPr>
              <w:pStyle w:val="14"/>
              <w:spacing w:before="4"/>
              <w:rPr>
                <w:b/>
                <w:sz w:val="24"/>
              </w:rPr>
            </w:pPr>
          </w:p>
          <w:p w14:paraId="40744D5B">
            <w:pPr>
              <w:pStyle w:val="14"/>
              <w:spacing w:before="1"/>
              <w:ind w:left="202"/>
              <w:rPr>
                <w:sz w:val="20"/>
              </w:rPr>
            </w:pPr>
            <w:r>
              <w:rPr>
                <w:sz w:val="20"/>
              </w:rPr>
              <w:t>危险物质</w:t>
            </w:r>
          </w:p>
        </w:tc>
        <w:tc>
          <w:tcPr>
            <w:tcW w:w="1308" w:type="dxa"/>
          </w:tcPr>
          <w:p w14:paraId="485E9504">
            <w:pPr>
              <w:pStyle w:val="14"/>
              <w:spacing w:before="130"/>
              <w:ind w:left="173" w:right="169"/>
              <w:jc w:val="center"/>
              <w:rPr>
                <w:sz w:val="20"/>
              </w:rPr>
            </w:pPr>
            <w:r>
              <w:rPr>
                <w:sz w:val="20"/>
              </w:rPr>
              <w:t>名称</w:t>
            </w:r>
          </w:p>
        </w:tc>
        <w:tc>
          <w:tcPr>
            <w:tcW w:w="1638" w:type="dxa"/>
            <w:gridSpan w:val="2"/>
          </w:tcPr>
          <w:p w14:paraId="012B0F27">
            <w:pPr>
              <w:pStyle w:val="14"/>
              <w:spacing w:before="130"/>
              <w:ind w:left="416"/>
              <w:rPr>
                <w:sz w:val="20"/>
              </w:rPr>
            </w:pPr>
            <w:r>
              <w:rPr>
                <w:sz w:val="20"/>
              </w:rPr>
              <w:t>次氯酸钠</w:t>
            </w:r>
          </w:p>
        </w:tc>
        <w:tc>
          <w:tcPr>
            <w:tcW w:w="736" w:type="dxa"/>
            <w:gridSpan w:val="2"/>
          </w:tcPr>
          <w:p w14:paraId="6B9F85E3">
            <w:pPr>
              <w:pStyle w:val="14"/>
              <w:spacing w:before="2" w:line="242" w:lineRule="auto"/>
              <w:ind w:left="162" w:right="162"/>
              <w:rPr>
                <w:sz w:val="20"/>
              </w:rPr>
            </w:pPr>
            <w:r>
              <w:rPr>
                <w:sz w:val="20"/>
              </w:rPr>
              <w:t>过氧乙酸</w:t>
            </w:r>
          </w:p>
        </w:tc>
        <w:tc>
          <w:tcPr>
            <w:tcW w:w="734" w:type="dxa"/>
            <w:gridSpan w:val="2"/>
          </w:tcPr>
          <w:p w14:paraId="6CFACE73">
            <w:pPr>
              <w:pStyle w:val="14"/>
              <w:rPr>
                <w:rFonts w:ascii="Times New Roman"/>
                <w:sz w:val="18"/>
              </w:rPr>
            </w:pPr>
          </w:p>
        </w:tc>
        <w:tc>
          <w:tcPr>
            <w:tcW w:w="699" w:type="dxa"/>
            <w:gridSpan w:val="2"/>
          </w:tcPr>
          <w:p w14:paraId="72B7FEE3">
            <w:pPr>
              <w:pStyle w:val="14"/>
              <w:rPr>
                <w:rFonts w:ascii="Times New Roman"/>
                <w:sz w:val="18"/>
              </w:rPr>
            </w:pPr>
          </w:p>
        </w:tc>
        <w:tc>
          <w:tcPr>
            <w:tcW w:w="771" w:type="dxa"/>
            <w:gridSpan w:val="2"/>
          </w:tcPr>
          <w:p w14:paraId="321A4B23">
            <w:pPr>
              <w:pStyle w:val="14"/>
              <w:rPr>
                <w:rFonts w:ascii="Times New Roman"/>
                <w:sz w:val="18"/>
              </w:rPr>
            </w:pPr>
          </w:p>
        </w:tc>
        <w:tc>
          <w:tcPr>
            <w:tcW w:w="734" w:type="dxa"/>
            <w:gridSpan w:val="2"/>
          </w:tcPr>
          <w:p w14:paraId="2556277A">
            <w:pPr>
              <w:pStyle w:val="14"/>
              <w:rPr>
                <w:rFonts w:ascii="Times New Roman"/>
                <w:sz w:val="18"/>
              </w:rPr>
            </w:pPr>
          </w:p>
        </w:tc>
        <w:tc>
          <w:tcPr>
            <w:tcW w:w="722" w:type="dxa"/>
          </w:tcPr>
          <w:p w14:paraId="3556B4D5">
            <w:pPr>
              <w:pStyle w:val="14"/>
              <w:rPr>
                <w:rFonts w:ascii="Times New Roman"/>
                <w:sz w:val="18"/>
              </w:rPr>
            </w:pPr>
          </w:p>
        </w:tc>
      </w:tr>
      <w:tr w14:paraId="737D0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04" w:type="dxa"/>
            <w:vMerge w:val="continue"/>
            <w:tcBorders>
              <w:top w:val="nil"/>
            </w:tcBorders>
          </w:tcPr>
          <w:p w14:paraId="1935B9AA">
            <w:pPr>
              <w:rPr>
                <w:sz w:val="2"/>
                <w:szCs w:val="2"/>
              </w:rPr>
            </w:pPr>
          </w:p>
        </w:tc>
        <w:tc>
          <w:tcPr>
            <w:tcW w:w="1198" w:type="dxa"/>
            <w:vMerge w:val="continue"/>
            <w:tcBorders>
              <w:top w:val="nil"/>
            </w:tcBorders>
          </w:tcPr>
          <w:p w14:paraId="67036BA7">
            <w:pPr>
              <w:rPr>
                <w:sz w:val="2"/>
                <w:szCs w:val="2"/>
              </w:rPr>
            </w:pPr>
          </w:p>
        </w:tc>
        <w:tc>
          <w:tcPr>
            <w:tcW w:w="1308" w:type="dxa"/>
          </w:tcPr>
          <w:p w14:paraId="7609AD8D">
            <w:pPr>
              <w:pStyle w:val="14"/>
              <w:spacing w:before="2"/>
              <w:ind w:left="176" w:right="169"/>
              <w:jc w:val="center"/>
              <w:rPr>
                <w:rFonts w:ascii="Times New Roman" w:eastAsia="Times New Roman"/>
                <w:sz w:val="20"/>
              </w:rPr>
            </w:pPr>
            <w:r>
              <w:rPr>
                <w:sz w:val="20"/>
              </w:rPr>
              <w:t>存在总量</w:t>
            </w:r>
            <w:r>
              <w:rPr>
                <w:rFonts w:ascii="Times New Roman" w:eastAsia="Times New Roman"/>
                <w:sz w:val="20"/>
              </w:rPr>
              <w:t>/t</w:t>
            </w:r>
          </w:p>
        </w:tc>
        <w:tc>
          <w:tcPr>
            <w:tcW w:w="1638" w:type="dxa"/>
            <w:gridSpan w:val="2"/>
          </w:tcPr>
          <w:p w14:paraId="11A30734">
            <w:pPr>
              <w:pStyle w:val="14"/>
              <w:spacing w:before="13"/>
              <w:ind w:left="670" w:right="668"/>
              <w:jc w:val="center"/>
              <w:rPr>
                <w:rFonts w:ascii="Times New Roman"/>
                <w:sz w:val="20"/>
              </w:rPr>
            </w:pPr>
            <w:r>
              <w:rPr>
                <w:rFonts w:ascii="Times New Roman"/>
                <w:sz w:val="20"/>
              </w:rPr>
              <w:t>1.7</w:t>
            </w:r>
          </w:p>
        </w:tc>
        <w:tc>
          <w:tcPr>
            <w:tcW w:w="736" w:type="dxa"/>
            <w:gridSpan w:val="2"/>
          </w:tcPr>
          <w:p w14:paraId="5C34E35D">
            <w:pPr>
              <w:pStyle w:val="14"/>
              <w:spacing w:before="13"/>
              <w:ind w:left="237"/>
              <w:rPr>
                <w:rFonts w:ascii="Times New Roman"/>
                <w:sz w:val="20"/>
              </w:rPr>
            </w:pPr>
            <w:r>
              <w:rPr>
                <w:rFonts w:ascii="Times New Roman"/>
                <w:sz w:val="20"/>
              </w:rPr>
              <w:t>0.1</w:t>
            </w:r>
          </w:p>
        </w:tc>
        <w:tc>
          <w:tcPr>
            <w:tcW w:w="734" w:type="dxa"/>
            <w:gridSpan w:val="2"/>
          </w:tcPr>
          <w:p w14:paraId="635134B0">
            <w:pPr>
              <w:pStyle w:val="14"/>
              <w:rPr>
                <w:rFonts w:ascii="Times New Roman"/>
                <w:sz w:val="18"/>
              </w:rPr>
            </w:pPr>
          </w:p>
        </w:tc>
        <w:tc>
          <w:tcPr>
            <w:tcW w:w="699" w:type="dxa"/>
            <w:gridSpan w:val="2"/>
          </w:tcPr>
          <w:p w14:paraId="7E1C9649">
            <w:pPr>
              <w:pStyle w:val="14"/>
              <w:rPr>
                <w:rFonts w:ascii="Times New Roman"/>
                <w:sz w:val="18"/>
              </w:rPr>
            </w:pPr>
          </w:p>
        </w:tc>
        <w:tc>
          <w:tcPr>
            <w:tcW w:w="771" w:type="dxa"/>
            <w:gridSpan w:val="2"/>
          </w:tcPr>
          <w:p w14:paraId="7A46408A">
            <w:pPr>
              <w:pStyle w:val="14"/>
              <w:rPr>
                <w:rFonts w:ascii="Times New Roman"/>
                <w:sz w:val="18"/>
              </w:rPr>
            </w:pPr>
          </w:p>
        </w:tc>
        <w:tc>
          <w:tcPr>
            <w:tcW w:w="734" w:type="dxa"/>
            <w:gridSpan w:val="2"/>
          </w:tcPr>
          <w:p w14:paraId="709CAE02">
            <w:pPr>
              <w:pStyle w:val="14"/>
              <w:rPr>
                <w:rFonts w:ascii="Times New Roman"/>
                <w:sz w:val="18"/>
              </w:rPr>
            </w:pPr>
          </w:p>
        </w:tc>
        <w:tc>
          <w:tcPr>
            <w:tcW w:w="722" w:type="dxa"/>
          </w:tcPr>
          <w:p w14:paraId="50D574F2">
            <w:pPr>
              <w:pStyle w:val="14"/>
              <w:rPr>
                <w:rFonts w:ascii="Times New Roman"/>
                <w:sz w:val="18"/>
              </w:rPr>
            </w:pPr>
          </w:p>
        </w:tc>
      </w:tr>
      <w:tr w14:paraId="5C268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04" w:type="dxa"/>
            <w:vMerge w:val="continue"/>
            <w:tcBorders>
              <w:top w:val="nil"/>
            </w:tcBorders>
          </w:tcPr>
          <w:p w14:paraId="6D8735A4">
            <w:pPr>
              <w:rPr>
                <w:sz w:val="2"/>
                <w:szCs w:val="2"/>
              </w:rPr>
            </w:pPr>
          </w:p>
        </w:tc>
        <w:tc>
          <w:tcPr>
            <w:tcW w:w="1198" w:type="dxa"/>
            <w:vMerge w:val="restart"/>
          </w:tcPr>
          <w:p w14:paraId="52AF4F7A">
            <w:pPr>
              <w:pStyle w:val="14"/>
              <w:rPr>
                <w:b/>
                <w:sz w:val="20"/>
              </w:rPr>
            </w:pPr>
          </w:p>
          <w:p w14:paraId="5EFC6EE1">
            <w:pPr>
              <w:pStyle w:val="14"/>
              <w:rPr>
                <w:b/>
                <w:sz w:val="20"/>
              </w:rPr>
            </w:pPr>
          </w:p>
          <w:p w14:paraId="1AF90880">
            <w:pPr>
              <w:pStyle w:val="14"/>
              <w:spacing w:before="7"/>
              <w:rPr>
                <w:b/>
                <w:sz w:val="21"/>
              </w:rPr>
            </w:pPr>
          </w:p>
          <w:p w14:paraId="49F1E306">
            <w:pPr>
              <w:pStyle w:val="14"/>
              <w:spacing w:line="242" w:lineRule="auto"/>
              <w:ind w:left="502" w:right="184" w:hanging="300"/>
              <w:rPr>
                <w:sz w:val="20"/>
              </w:rPr>
            </w:pPr>
            <w:r>
              <w:rPr>
                <w:sz w:val="20"/>
              </w:rPr>
              <w:t>环境敏感性</w:t>
            </w:r>
          </w:p>
        </w:tc>
        <w:tc>
          <w:tcPr>
            <w:tcW w:w="1308" w:type="dxa"/>
            <w:vMerge w:val="restart"/>
          </w:tcPr>
          <w:p w14:paraId="30A2D6E5">
            <w:pPr>
              <w:pStyle w:val="14"/>
              <w:spacing w:before="2"/>
              <w:rPr>
                <w:b/>
                <w:sz w:val="14"/>
              </w:rPr>
            </w:pPr>
          </w:p>
          <w:p w14:paraId="49109F76">
            <w:pPr>
              <w:pStyle w:val="14"/>
              <w:ind w:left="173" w:right="169"/>
              <w:jc w:val="center"/>
              <w:rPr>
                <w:sz w:val="20"/>
              </w:rPr>
            </w:pPr>
            <w:r>
              <w:rPr>
                <w:sz w:val="20"/>
              </w:rPr>
              <w:t>大气</w:t>
            </w:r>
          </w:p>
        </w:tc>
        <w:tc>
          <w:tcPr>
            <w:tcW w:w="2848" w:type="dxa"/>
            <w:gridSpan w:val="5"/>
          </w:tcPr>
          <w:p w14:paraId="4274B0B1">
            <w:pPr>
              <w:pStyle w:val="14"/>
              <w:tabs>
                <w:tab w:val="left" w:pos="2339"/>
              </w:tabs>
              <w:spacing w:before="1"/>
              <w:ind w:left="296"/>
              <w:rPr>
                <w:sz w:val="20"/>
              </w:rPr>
            </w:pPr>
            <w:r>
              <w:rPr>
                <w:rFonts w:ascii="Times New Roman" w:eastAsia="Times New Roman"/>
                <w:sz w:val="20"/>
              </w:rPr>
              <w:t>500m</w:t>
            </w:r>
            <w:r>
              <w:rPr>
                <w:rFonts w:ascii="Times New Roman" w:eastAsia="Times New Roman"/>
                <w:spacing w:val="-13"/>
                <w:sz w:val="20"/>
              </w:rPr>
              <w:t xml:space="preserve"> </w:t>
            </w:r>
            <w:r>
              <w:rPr>
                <w:sz w:val="20"/>
              </w:rPr>
              <w:t>范围内人口数</w:t>
            </w:r>
            <w:r>
              <w:rPr>
                <w:sz w:val="20"/>
                <w:u w:val="single"/>
              </w:rPr>
              <w:t xml:space="preserve"> </w:t>
            </w:r>
            <w:r>
              <w:rPr>
                <w:sz w:val="20"/>
                <w:u w:val="single"/>
              </w:rPr>
              <w:tab/>
            </w:r>
            <w:r>
              <w:rPr>
                <w:sz w:val="20"/>
              </w:rPr>
              <w:t>人</w:t>
            </w:r>
          </w:p>
        </w:tc>
        <w:tc>
          <w:tcPr>
            <w:tcW w:w="3186" w:type="dxa"/>
            <w:gridSpan w:val="8"/>
          </w:tcPr>
          <w:p w14:paraId="086FF7B1">
            <w:pPr>
              <w:pStyle w:val="14"/>
              <w:tabs>
                <w:tab w:val="left" w:pos="2478"/>
              </w:tabs>
              <w:spacing w:before="1"/>
              <w:ind w:left="484"/>
              <w:rPr>
                <w:sz w:val="20"/>
              </w:rPr>
            </w:pPr>
            <w:r>
              <w:rPr>
                <w:rFonts w:ascii="Times New Roman" w:eastAsia="Times New Roman"/>
                <w:sz w:val="20"/>
              </w:rPr>
              <w:t>5km</w:t>
            </w:r>
            <w:r>
              <w:rPr>
                <w:rFonts w:ascii="Times New Roman" w:eastAsia="Times New Roman"/>
                <w:spacing w:val="-13"/>
                <w:sz w:val="20"/>
              </w:rPr>
              <w:t xml:space="preserve"> </w:t>
            </w:r>
            <w:r>
              <w:rPr>
                <w:sz w:val="20"/>
              </w:rPr>
              <w:t>范围内人口数</w:t>
            </w:r>
            <w:r>
              <w:rPr>
                <w:sz w:val="20"/>
                <w:u w:val="single"/>
              </w:rPr>
              <w:t xml:space="preserve"> </w:t>
            </w:r>
            <w:r>
              <w:rPr>
                <w:sz w:val="20"/>
                <w:u w:val="single"/>
              </w:rPr>
              <w:tab/>
            </w:r>
            <w:r>
              <w:rPr>
                <w:sz w:val="20"/>
              </w:rPr>
              <w:t>人</w:t>
            </w:r>
          </w:p>
        </w:tc>
      </w:tr>
      <w:tr w14:paraId="7F1FA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404" w:type="dxa"/>
            <w:vMerge w:val="continue"/>
            <w:tcBorders>
              <w:top w:val="nil"/>
            </w:tcBorders>
          </w:tcPr>
          <w:p w14:paraId="28D13B66">
            <w:pPr>
              <w:rPr>
                <w:sz w:val="2"/>
                <w:szCs w:val="2"/>
              </w:rPr>
            </w:pPr>
          </w:p>
        </w:tc>
        <w:tc>
          <w:tcPr>
            <w:tcW w:w="1198" w:type="dxa"/>
            <w:vMerge w:val="continue"/>
            <w:tcBorders>
              <w:top w:val="nil"/>
            </w:tcBorders>
          </w:tcPr>
          <w:p w14:paraId="3EAE3466">
            <w:pPr>
              <w:rPr>
                <w:sz w:val="2"/>
                <w:szCs w:val="2"/>
              </w:rPr>
            </w:pPr>
          </w:p>
        </w:tc>
        <w:tc>
          <w:tcPr>
            <w:tcW w:w="1308" w:type="dxa"/>
            <w:vMerge w:val="continue"/>
            <w:tcBorders>
              <w:top w:val="nil"/>
            </w:tcBorders>
          </w:tcPr>
          <w:p w14:paraId="7BEC1322">
            <w:pPr>
              <w:rPr>
                <w:sz w:val="2"/>
                <w:szCs w:val="2"/>
              </w:rPr>
            </w:pPr>
          </w:p>
        </w:tc>
        <w:tc>
          <w:tcPr>
            <w:tcW w:w="4715" w:type="dxa"/>
            <w:gridSpan w:val="11"/>
          </w:tcPr>
          <w:p w14:paraId="00118309">
            <w:pPr>
              <w:pStyle w:val="14"/>
              <w:spacing w:before="2"/>
              <w:ind w:left="377"/>
              <w:rPr>
                <w:sz w:val="20"/>
              </w:rPr>
            </w:pPr>
            <w:r>
              <w:rPr>
                <w:sz w:val="20"/>
              </w:rPr>
              <w:t xml:space="preserve">每公里管段周边 </w:t>
            </w:r>
            <w:r>
              <w:rPr>
                <w:rFonts w:ascii="Times New Roman" w:eastAsia="Times New Roman"/>
                <w:sz w:val="20"/>
              </w:rPr>
              <w:t xml:space="preserve">200m </w:t>
            </w:r>
            <w:r>
              <w:rPr>
                <w:sz w:val="20"/>
              </w:rPr>
              <w:t>范围内人口数（最大）</w:t>
            </w:r>
          </w:p>
        </w:tc>
        <w:tc>
          <w:tcPr>
            <w:tcW w:w="1319" w:type="dxa"/>
            <w:gridSpan w:val="2"/>
          </w:tcPr>
          <w:p w14:paraId="4CF19279">
            <w:pPr>
              <w:pStyle w:val="14"/>
              <w:spacing w:before="2"/>
              <w:ind w:left="743"/>
              <w:rPr>
                <w:sz w:val="20"/>
              </w:rPr>
            </w:pPr>
            <w:r>
              <w:rPr>
                <w:w w:val="99"/>
                <w:sz w:val="20"/>
              </w:rPr>
              <w:t>人</w:t>
            </w:r>
          </w:p>
        </w:tc>
      </w:tr>
      <w:tr w14:paraId="11E5F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4" w:type="dxa"/>
            <w:vMerge w:val="continue"/>
            <w:tcBorders>
              <w:top w:val="nil"/>
            </w:tcBorders>
          </w:tcPr>
          <w:p w14:paraId="1133BC1D">
            <w:pPr>
              <w:rPr>
                <w:sz w:val="2"/>
                <w:szCs w:val="2"/>
              </w:rPr>
            </w:pPr>
          </w:p>
        </w:tc>
        <w:tc>
          <w:tcPr>
            <w:tcW w:w="1198" w:type="dxa"/>
            <w:vMerge w:val="continue"/>
            <w:tcBorders>
              <w:top w:val="nil"/>
            </w:tcBorders>
          </w:tcPr>
          <w:p w14:paraId="793656F7">
            <w:pPr>
              <w:rPr>
                <w:sz w:val="2"/>
                <w:szCs w:val="2"/>
              </w:rPr>
            </w:pPr>
          </w:p>
        </w:tc>
        <w:tc>
          <w:tcPr>
            <w:tcW w:w="1308" w:type="dxa"/>
            <w:vMerge w:val="restart"/>
          </w:tcPr>
          <w:p w14:paraId="65B2C29E">
            <w:pPr>
              <w:pStyle w:val="14"/>
              <w:spacing w:before="10"/>
              <w:rPr>
                <w:b/>
                <w:sz w:val="14"/>
              </w:rPr>
            </w:pPr>
          </w:p>
          <w:p w14:paraId="703FC425">
            <w:pPr>
              <w:pStyle w:val="14"/>
              <w:ind w:left="351"/>
              <w:rPr>
                <w:sz w:val="20"/>
              </w:rPr>
            </w:pPr>
            <w:r>
              <w:rPr>
                <w:sz w:val="20"/>
              </w:rPr>
              <w:t>地表水</w:t>
            </w:r>
          </w:p>
        </w:tc>
        <w:tc>
          <w:tcPr>
            <w:tcW w:w="2034" w:type="dxa"/>
            <w:gridSpan w:val="3"/>
          </w:tcPr>
          <w:p w14:paraId="4C014B31">
            <w:pPr>
              <w:pStyle w:val="14"/>
              <w:spacing w:before="5"/>
              <w:ind w:left="212"/>
              <w:rPr>
                <w:sz w:val="20"/>
              </w:rPr>
            </w:pPr>
            <w:r>
              <w:rPr>
                <w:sz w:val="20"/>
              </w:rPr>
              <w:t>地表水功能敏感性</w:t>
            </w:r>
          </w:p>
        </w:tc>
        <w:tc>
          <w:tcPr>
            <w:tcW w:w="1207" w:type="dxa"/>
            <w:gridSpan w:val="4"/>
          </w:tcPr>
          <w:p w14:paraId="0FE75609">
            <w:pPr>
              <w:pStyle w:val="14"/>
              <w:spacing w:before="1"/>
              <w:ind w:left="378"/>
              <w:rPr>
                <w:rFonts w:ascii="Segoe UI Symbol" w:hAnsi="Segoe UI Symbol"/>
                <w:sz w:val="20"/>
              </w:rPr>
            </w:pPr>
            <w:r>
              <w:rPr>
                <w:rFonts w:ascii="Times New Roman" w:hAnsi="Times New Roman"/>
                <w:sz w:val="20"/>
              </w:rPr>
              <w:t xml:space="preserve">F1 </w:t>
            </w:r>
            <w:r>
              <w:rPr>
                <w:rFonts w:ascii="Segoe UI Symbol" w:hAnsi="Segoe UI Symbol"/>
                <w:sz w:val="20"/>
              </w:rPr>
              <w:t>☐</w:t>
            </w:r>
          </w:p>
        </w:tc>
        <w:tc>
          <w:tcPr>
            <w:tcW w:w="1474" w:type="dxa"/>
            <w:gridSpan w:val="4"/>
          </w:tcPr>
          <w:p w14:paraId="43B97F45">
            <w:pPr>
              <w:pStyle w:val="14"/>
              <w:spacing w:before="1"/>
              <w:ind w:left="472" w:right="483"/>
              <w:jc w:val="center"/>
              <w:rPr>
                <w:rFonts w:ascii="Segoe UI Symbol" w:hAnsi="Segoe UI Symbol"/>
                <w:sz w:val="20"/>
              </w:rPr>
            </w:pPr>
            <w:r>
              <w:rPr>
                <w:rFonts w:ascii="Times New Roman" w:hAnsi="Times New Roman"/>
                <w:sz w:val="20"/>
              </w:rPr>
              <w:t xml:space="preserve">F2 </w:t>
            </w:r>
            <w:r>
              <w:rPr>
                <w:rFonts w:ascii="Segoe UI Symbol" w:hAnsi="Segoe UI Symbol"/>
                <w:sz w:val="20"/>
              </w:rPr>
              <w:t>☐</w:t>
            </w:r>
          </w:p>
        </w:tc>
        <w:tc>
          <w:tcPr>
            <w:tcW w:w="1319" w:type="dxa"/>
            <w:gridSpan w:val="2"/>
          </w:tcPr>
          <w:p w14:paraId="4E3BB3AE">
            <w:pPr>
              <w:pStyle w:val="14"/>
              <w:spacing w:before="1"/>
              <w:ind w:left="429"/>
              <w:rPr>
                <w:rFonts w:ascii="Segoe UI Symbol" w:hAnsi="Segoe UI Symbol"/>
                <w:sz w:val="20"/>
              </w:rPr>
            </w:pPr>
            <w:r>
              <w:rPr>
                <w:rFonts w:ascii="Times New Roman" w:hAnsi="Times New Roman"/>
                <w:sz w:val="20"/>
              </w:rPr>
              <w:t xml:space="preserve">F3 </w:t>
            </w:r>
            <w:r>
              <w:rPr>
                <w:rFonts w:ascii="Segoe UI Symbol" w:hAnsi="Segoe UI Symbol"/>
                <w:sz w:val="20"/>
              </w:rPr>
              <w:t>☐</w:t>
            </w:r>
          </w:p>
        </w:tc>
      </w:tr>
      <w:tr w14:paraId="75C37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4" w:type="dxa"/>
            <w:vMerge w:val="continue"/>
            <w:tcBorders>
              <w:top w:val="nil"/>
            </w:tcBorders>
          </w:tcPr>
          <w:p w14:paraId="2363B864">
            <w:pPr>
              <w:rPr>
                <w:sz w:val="2"/>
                <w:szCs w:val="2"/>
              </w:rPr>
            </w:pPr>
          </w:p>
        </w:tc>
        <w:tc>
          <w:tcPr>
            <w:tcW w:w="1198" w:type="dxa"/>
            <w:vMerge w:val="continue"/>
            <w:tcBorders>
              <w:top w:val="nil"/>
            </w:tcBorders>
          </w:tcPr>
          <w:p w14:paraId="4F1822F6">
            <w:pPr>
              <w:rPr>
                <w:sz w:val="2"/>
                <w:szCs w:val="2"/>
              </w:rPr>
            </w:pPr>
          </w:p>
        </w:tc>
        <w:tc>
          <w:tcPr>
            <w:tcW w:w="1308" w:type="dxa"/>
            <w:vMerge w:val="continue"/>
            <w:tcBorders>
              <w:top w:val="nil"/>
            </w:tcBorders>
          </w:tcPr>
          <w:p w14:paraId="40C1015E">
            <w:pPr>
              <w:rPr>
                <w:sz w:val="2"/>
                <w:szCs w:val="2"/>
              </w:rPr>
            </w:pPr>
          </w:p>
        </w:tc>
        <w:tc>
          <w:tcPr>
            <w:tcW w:w="2034" w:type="dxa"/>
            <w:gridSpan w:val="3"/>
          </w:tcPr>
          <w:p w14:paraId="565F1F5F">
            <w:pPr>
              <w:pStyle w:val="14"/>
              <w:spacing w:before="5"/>
              <w:ind w:left="212"/>
              <w:rPr>
                <w:sz w:val="20"/>
              </w:rPr>
            </w:pPr>
            <w:r>
              <w:rPr>
                <w:sz w:val="20"/>
              </w:rPr>
              <w:t>环境敏感目标分级</w:t>
            </w:r>
          </w:p>
        </w:tc>
        <w:tc>
          <w:tcPr>
            <w:tcW w:w="1207" w:type="dxa"/>
            <w:gridSpan w:val="4"/>
          </w:tcPr>
          <w:p w14:paraId="12C515FC">
            <w:pPr>
              <w:pStyle w:val="14"/>
              <w:spacing w:line="265" w:lineRule="exact"/>
              <w:ind w:left="378"/>
              <w:rPr>
                <w:rFonts w:ascii="Segoe UI Symbol" w:hAnsi="Segoe UI Symbol"/>
                <w:sz w:val="20"/>
              </w:rPr>
            </w:pPr>
            <w:r>
              <w:rPr>
                <w:rFonts w:ascii="Times New Roman" w:hAnsi="Times New Roman"/>
                <w:sz w:val="20"/>
              </w:rPr>
              <w:t xml:space="preserve">S1 </w:t>
            </w:r>
            <w:r>
              <w:rPr>
                <w:rFonts w:ascii="Segoe UI Symbol" w:hAnsi="Segoe UI Symbol"/>
                <w:sz w:val="20"/>
              </w:rPr>
              <w:t>☐</w:t>
            </w:r>
          </w:p>
        </w:tc>
        <w:tc>
          <w:tcPr>
            <w:tcW w:w="1474" w:type="dxa"/>
            <w:gridSpan w:val="4"/>
          </w:tcPr>
          <w:p w14:paraId="08BC7F97">
            <w:pPr>
              <w:pStyle w:val="14"/>
              <w:spacing w:line="265" w:lineRule="exact"/>
              <w:ind w:left="472" w:right="483"/>
              <w:jc w:val="center"/>
              <w:rPr>
                <w:rFonts w:ascii="Segoe UI Symbol" w:hAnsi="Segoe UI Symbol"/>
                <w:sz w:val="20"/>
              </w:rPr>
            </w:pPr>
            <w:r>
              <w:rPr>
                <w:rFonts w:ascii="Times New Roman" w:hAnsi="Times New Roman"/>
                <w:sz w:val="20"/>
              </w:rPr>
              <w:t xml:space="preserve">S2 </w:t>
            </w:r>
            <w:r>
              <w:rPr>
                <w:rFonts w:ascii="Segoe UI Symbol" w:hAnsi="Segoe UI Symbol"/>
                <w:sz w:val="20"/>
              </w:rPr>
              <w:t>☐</w:t>
            </w:r>
          </w:p>
        </w:tc>
        <w:tc>
          <w:tcPr>
            <w:tcW w:w="1319" w:type="dxa"/>
            <w:gridSpan w:val="2"/>
          </w:tcPr>
          <w:p w14:paraId="4EC51C80">
            <w:pPr>
              <w:pStyle w:val="14"/>
              <w:spacing w:line="265" w:lineRule="exact"/>
              <w:ind w:left="429"/>
              <w:rPr>
                <w:rFonts w:ascii="Segoe UI Symbol" w:hAnsi="Segoe UI Symbol"/>
                <w:sz w:val="20"/>
              </w:rPr>
            </w:pPr>
            <w:r>
              <w:rPr>
                <w:rFonts w:ascii="Times New Roman" w:hAnsi="Times New Roman"/>
                <w:sz w:val="20"/>
              </w:rPr>
              <w:t xml:space="preserve">S3 </w:t>
            </w:r>
            <w:r>
              <w:rPr>
                <w:rFonts w:ascii="Segoe UI Symbol" w:hAnsi="Segoe UI Symbol"/>
                <w:sz w:val="20"/>
              </w:rPr>
              <w:t>☐</w:t>
            </w:r>
          </w:p>
        </w:tc>
      </w:tr>
      <w:tr w14:paraId="0B551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4" w:type="dxa"/>
            <w:vMerge w:val="continue"/>
            <w:tcBorders>
              <w:top w:val="nil"/>
            </w:tcBorders>
          </w:tcPr>
          <w:p w14:paraId="072B40FA">
            <w:pPr>
              <w:rPr>
                <w:sz w:val="2"/>
                <w:szCs w:val="2"/>
              </w:rPr>
            </w:pPr>
          </w:p>
        </w:tc>
        <w:tc>
          <w:tcPr>
            <w:tcW w:w="1198" w:type="dxa"/>
            <w:vMerge w:val="continue"/>
            <w:tcBorders>
              <w:top w:val="nil"/>
            </w:tcBorders>
          </w:tcPr>
          <w:p w14:paraId="0D987D2C">
            <w:pPr>
              <w:rPr>
                <w:sz w:val="2"/>
                <w:szCs w:val="2"/>
              </w:rPr>
            </w:pPr>
          </w:p>
        </w:tc>
        <w:tc>
          <w:tcPr>
            <w:tcW w:w="1308" w:type="dxa"/>
            <w:vMerge w:val="restart"/>
          </w:tcPr>
          <w:p w14:paraId="6CAF48BF">
            <w:pPr>
              <w:pStyle w:val="14"/>
              <w:spacing w:before="9"/>
              <w:rPr>
                <w:b/>
                <w:sz w:val="14"/>
              </w:rPr>
            </w:pPr>
          </w:p>
          <w:p w14:paraId="233207D5">
            <w:pPr>
              <w:pStyle w:val="14"/>
              <w:ind w:left="351"/>
              <w:rPr>
                <w:sz w:val="20"/>
              </w:rPr>
            </w:pPr>
            <w:r>
              <w:rPr>
                <w:sz w:val="20"/>
              </w:rPr>
              <w:t>地下水</w:t>
            </w:r>
          </w:p>
        </w:tc>
        <w:tc>
          <w:tcPr>
            <w:tcW w:w="2034" w:type="dxa"/>
            <w:gridSpan w:val="3"/>
          </w:tcPr>
          <w:p w14:paraId="0A6C74C0">
            <w:pPr>
              <w:pStyle w:val="14"/>
              <w:spacing w:before="6"/>
              <w:ind w:left="212"/>
              <w:rPr>
                <w:sz w:val="20"/>
              </w:rPr>
            </w:pPr>
            <w:r>
              <w:rPr>
                <w:sz w:val="20"/>
              </w:rPr>
              <w:t>地下水功能敏感性</w:t>
            </w:r>
          </w:p>
        </w:tc>
        <w:tc>
          <w:tcPr>
            <w:tcW w:w="1207" w:type="dxa"/>
            <w:gridSpan w:val="4"/>
          </w:tcPr>
          <w:p w14:paraId="071CB7C8">
            <w:pPr>
              <w:pStyle w:val="14"/>
              <w:ind w:left="362"/>
              <w:rPr>
                <w:rFonts w:ascii="Segoe UI Symbol" w:hAnsi="Segoe UI Symbol"/>
                <w:sz w:val="20"/>
              </w:rPr>
            </w:pPr>
            <w:r>
              <w:rPr>
                <w:rFonts w:ascii="Times New Roman" w:hAnsi="Times New Roman"/>
                <w:sz w:val="20"/>
              </w:rPr>
              <w:t xml:space="preserve">G1 </w:t>
            </w:r>
            <w:r>
              <w:rPr>
                <w:rFonts w:ascii="Segoe UI Symbol" w:hAnsi="Segoe UI Symbol"/>
                <w:sz w:val="20"/>
              </w:rPr>
              <w:t>☐</w:t>
            </w:r>
          </w:p>
        </w:tc>
        <w:tc>
          <w:tcPr>
            <w:tcW w:w="1474" w:type="dxa"/>
            <w:gridSpan w:val="4"/>
          </w:tcPr>
          <w:p w14:paraId="1E83640B">
            <w:pPr>
              <w:pStyle w:val="14"/>
              <w:ind w:left="472" w:right="485"/>
              <w:jc w:val="center"/>
              <w:rPr>
                <w:rFonts w:ascii="Segoe UI Symbol" w:hAnsi="Segoe UI Symbol"/>
                <w:sz w:val="20"/>
              </w:rPr>
            </w:pPr>
            <w:r>
              <w:rPr>
                <w:rFonts w:ascii="Times New Roman" w:hAnsi="Times New Roman"/>
                <w:sz w:val="20"/>
              </w:rPr>
              <w:t xml:space="preserve">G2 </w:t>
            </w:r>
            <w:r>
              <w:rPr>
                <w:rFonts w:ascii="Segoe UI Symbol" w:hAnsi="Segoe UI Symbol"/>
                <w:sz w:val="20"/>
              </w:rPr>
              <w:t>☐</w:t>
            </w:r>
          </w:p>
        </w:tc>
        <w:tc>
          <w:tcPr>
            <w:tcW w:w="1319" w:type="dxa"/>
            <w:gridSpan w:val="2"/>
          </w:tcPr>
          <w:p w14:paraId="22E6D60E">
            <w:pPr>
              <w:pStyle w:val="14"/>
              <w:ind w:left="412"/>
              <w:rPr>
                <w:rFonts w:ascii="Segoe UI Symbol" w:hAnsi="Segoe UI Symbol"/>
                <w:sz w:val="20"/>
              </w:rPr>
            </w:pPr>
            <w:r>
              <w:rPr>
                <w:rFonts w:ascii="Times New Roman" w:hAnsi="Times New Roman"/>
                <w:sz w:val="20"/>
              </w:rPr>
              <w:t xml:space="preserve">G3 </w:t>
            </w:r>
            <w:r>
              <w:rPr>
                <w:rFonts w:ascii="Segoe UI Symbol" w:hAnsi="Segoe UI Symbol"/>
                <w:sz w:val="20"/>
              </w:rPr>
              <w:t>☐</w:t>
            </w:r>
          </w:p>
        </w:tc>
      </w:tr>
      <w:tr w14:paraId="1AD35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4" w:type="dxa"/>
            <w:vMerge w:val="continue"/>
            <w:tcBorders>
              <w:top w:val="nil"/>
            </w:tcBorders>
          </w:tcPr>
          <w:p w14:paraId="6C15BB86">
            <w:pPr>
              <w:rPr>
                <w:sz w:val="2"/>
                <w:szCs w:val="2"/>
              </w:rPr>
            </w:pPr>
          </w:p>
        </w:tc>
        <w:tc>
          <w:tcPr>
            <w:tcW w:w="1198" w:type="dxa"/>
            <w:vMerge w:val="continue"/>
            <w:tcBorders>
              <w:top w:val="nil"/>
            </w:tcBorders>
          </w:tcPr>
          <w:p w14:paraId="03DF730E">
            <w:pPr>
              <w:rPr>
                <w:sz w:val="2"/>
                <w:szCs w:val="2"/>
              </w:rPr>
            </w:pPr>
          </w:p>
        </w:tc>
        <w:tc>
          <w:tcPr>
            <w:tcW w:w="1308" w:type="dxa"/>
            <w:vMerge w:val="continue"/>
            <w:tcBorders>
              <w:top w:val="nil"/>
            </w:tcBorders>
          </w:tcPr>
          <w:p w14:paraId="575E1AAF">
            <w:pPr>
              <w:rPr>
                <w:sz w:val="2"/>
                <w:szCs w:val="2"/>
              </w:rPr>
            </w:pPr>
          </w:p>
        </w:tc>
        <w:tc>
          <w:tcPr>
            <w:tcW w:w="2034" w:type="dxa"/>
            <w:gridSpan w:val="3"/>
          </w:tcPr>
          <w:p w14:paraId="081A1C9F">
            <w:pPr>
              <w:pStyle w:val="14"/>
              <w:spacing w:before="4"/>
              <w:ind w:left="312"/>
              <w:rPr>
                <w:sz w:val="20"/>
              </w:rPr>
            </w:pPr>
            <w:r>
              <w:rPr>
                <w:sz w:val="20"/>
              </w:rPr>
              <w:t>包气带防污性能</w:t>
            </w:r>
          </w:p>
        </w:tc>
        <w:tc>
          <w:tcPr>
            <w:tcW w:w="1207" w:type="dxa"/>
            <w:gridSpan w:val="4"/>
          </w:tcPr>
          <w:p w14:paraId="4C8077AD">
            <w:pPr>
              <w:pStyle w:val="14"/>
              <w:ind w:left="362"/>
              <w:rPr>
                <w:rFonts w:ascii="Segoe UI Symbol" w:hAnsi="Segoe UI Symbol"/>
                <w:sz w:val="20"/>
              </w:rPr>
            </w:pPr>
            <w:r>
              <w:rPr>
                <w:rFonts w:ascii="Times New Roman" w:hAnsi="Times New Roman"/>
                <w:sz w:val="20"/>
              </w:rPr>
              <w:t xml:space="preserve">D1 </w:t>
            </w:r>
            <w:r>
              <w:rPr>
                <w:rFonts w:ascii="Segoe UI Symbol" w:hAnsi="Segoe UI Symbol"/>
                <w:sz w:val="20"/>
              </w:rPr>
              <w:t>☐</w:t>
            </w:r>
          </w:p>
        </w:tc>
        <w:tc>
          <w:tcPr>
            <w:tcW w:w="1474" w:type="dxa"/>
            <w:gridSpan w:val="4"/>
          </w:tcPr>
          <w:p w14:paraId="656509ED">
            <w:pPr>
              <w:pStyle w:val="14"/>
              <w:ind w:left="472" w:right="485"/>
              <w:jc w:val="center"/>
              <w:rPr>
                <w:rFonts w:ascii="Segoe UI Symbol" w:hAnsi="Segoe UI Symbol"/>
                <w:sz w:val="20"/>
              </w:rPr>
            </w:pPr>
            <w:r>
              <w:rPr>
                <w:rFonts w:ascii="Times New Roman" w:hAnsi="Times New Roman"/>
                <w:sz w:val="20"/>
              </w:rPr>
              <w:t xml:space="preserve">D2 </w:t>
            </w:r>
            <w:r>
              <w:rPr>
                <w:rFonts w:ascii="Segoe UI Symbol" w:hAnsi="Segoe UI Symbol"/>
                <w:sz w:val="20"/>
              </w:rPr>
              <w:t>☐</w:t>
            </w:r>
          </w:p>
        </w:tc>
        <w:tc>
          <w:tcPr>
            <w:tcW w:w="1319" w:type="dxa"/>
            <w:gridSpan w:val="2"/>
          </w:tcPr>
          <w:p w14:paraId="777BD961">
            <w:pPr>
              <w:pStyle w:val="14"/>
              <w:ind w:left="412"/>
              <w:rPr>
                <w:rFonts w:ascii="Segoe UI Symbol" w:hAnsi="Segoe UI Symbol"/>
                <w:sz w:val="20"/>
              </w:rPr>
            </w:pPr>
            <w:r>
              <w:rPr>
                <w:rFonts w:ascii="Times New Roman" w:hAnsi="Times New Roman"/>
                <w:sz w:val="20"/>
              </w:rPr>
              <w:t xml:space="preserve">D3 </w:t>
            </w:r>
            <w:r>
              <w:rPr>
                <w:rFonts w:ascii="Segoe UI Symbol" w:hAnsi="Segoe UI Symbol"/>
                <w:sz w:val="20"/>
              </w:rPr>
              <w:t>☐</w:t>
            </w:r>
          </w:p>
        </w:tc>
      </w:tr>
      <w:tr w14:paraId="3EED4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02" w:type="dxa"/>
            <w:gridSpan w:val="2"/>
            <w:vMerge w:val="restart"/>
          </w:tcPr>
          <w:p w14:paraId="2AB055D3">
            <w:pPr>
              <w:pStyle w:val="14"/>
              <w:spacing w:before="1"/>
              <w:rPr>
                <w:b/>
                <w:sz w:val="19"/>
              </w:rPr>
            </w:pPr>
          </w:p>
          <w:p w14:paraId="7A64380C">
            <w:pPr>
              <w:pStyle w:val="14"/>
              <w:spacing w:line="242" w:lineRule="auto"/>
              <w:ind w:left="400" w:right="191" w:hanging="202"/>
              <w:rPr>
                <w:sz w:val="20"/>
              </w:rPr>
            </w:pPr>
            <w:r>
              <w:rPr>
                <w:sz w:val="20"/>
              </w:rPr>
              <w:t>物质及工艺系统危险性</w:t>
            </w:r>
          </w:p>
        </w:tc>
        <w:tc>
          <w:tcPr>
            <w:tcW w:w="1308" w:type="dxa"/>
          </w:tcPr>
          <w:p w14:paraId="71FFA112">
            <w:pPr>
              <w:pStyle w:val="14"/>
              <w:spacing w:before="5"/>
              <w:ind w:left="173" w:right="169"/>
              <w:jc w:val="center"/>
              <w:rPr>
                <w:sz w:val="20"/>
              </w:rPr>
            </w:pPr>
            <w:r>
              <w:rPr>
                <w:rFonts w:ascii="Times New Roman" w:eastAsia="Times New Roman"/>
                <w:sz w:val="20"/>
              </w:rPr>
              <w:t xml:space="preserve">Q </w:t>
            </w:r>
            <w:r>
              <w:rPr>
                <w:sz w:val="20"/>
              </w:rPr>
              <w:t>值</w:t>
            </w:r>
          </w:p>
        </w:tc>
        <w:tc>
          <w:tcPr>
            <w:tcW w:w="2034" w:type="dxa"/>
            <w:gridSpan w:val="3"/>
          </w:tcPr>
          <w:p w14:paraId="10811AAD">
            <w:pPr>
              <w:pStyle w:val="14"/>
              <w:spacing w:before="18"/>
              <w:ind w:left="700" w:right="699"/>
              <w:jc w:val="center"/>
              <w:rPr>
                <w:rFonts w:ascii="Wingdings" w:hAnsi="Wingdings"/>
                <w:sz w:val="20"/>
              </w:rPr>
            </w:pPr>
            <w:r>
              <w:rPr>
                <w:rFonts w:ascii="Times New Roman" w:hAnsi="Times New Roman"/>
                <w:sz w:val="20"/>
              </w:rPr>
              <w:t xml:space="preserve">Q&lt;1 </w:t>
            </w:r>
            <w:r>
              <w:rPr>
                <w:rFonts w:ascii="Wingdings" w:hAnsi="Wingdings"/>
                <w:sz w:val="20"/>
              </w:rPr>
              <w:t></w:t>
            </w:r>
          </w:p>
        </w:tc>
        <w:tc>
          <w:tcPr>
            <w:tcW w:w="1207" w:type="dxa"/>
            <w:gridSpan w:val="4"/>
          </w:tcPr>
          <w:p w14:paraId="335316A3">
            <w:pPr>
              <w:pStyle w:val="14"/>
              <w:spacing w:before="1"/>
              <w:ind w:left="150"/>
              <w:rPr>
                <w:rFonts w:ascii="Segoe UI Symbol" w:hAnsi="Segoe UI Symbol"/>
                <w:sz w:val="20"/>
              </w:rPr>
            </w:pPr>
            <w:r>
              <w:rPr>
                <w:rFonts w:ascii="Times New Roman" w:hAnsi="Times New Roman"/>
                <w:sz w:val="20"/>
              </w:rPr>
              <w:t xml:space="preserve">1≤Q&lt;10 </w:t>
            </w:r>
            <w:r>
              <w:rPr>
                <w:rFonts w:ascii="Segoe UI Symbol" w:hAnsi="Segoe UI Symbol"/>
                <w:sz w:val="20"/>
              </w:rPr>
              <w:t>☐</w:t>
            </w:r>
          </w:p>
        </w:tc>
        <w:tc>
          <w:tcPr>
            <w:tcW w:w="1474" w:type="dxa"/>
            <w:gridSpan w:val="4"/>
          </w:tcPr>
          <w:p w14:paraId="483E2D5C">
            <w:pPr>
              <w:pStyle w:val="14"/>
              <w:spacing w:before="1"/>
              <w:ind w:left="179"/>
              <w:rPr>
                <w:rFonts w:ascii="Segoe UI Symbol" w:hAnsi="Segoe UI Symbol"/>
                <w:sz w:val="20"/>
              </w:rPr>
            </w:pPr>
            <w:r>
              <w:rPr>
                <w:rFonts w:ascii="Times New Roman" w:hAnsi="Times New Roman"/>
                <w:sz w:val="20"/>
              </w:rPr>
              <w:t xml:space="preserve">10≤Q&lt;100 </w:t>
            </w:r>
            <w:r>
              <w:rPr>
                <w:rFonts w:ascii="Segoe UI Symbol" w:hAnsi="Segoe UI Symbol"/>
                <w:sz w:val="20"/>
              </w:rPr>
              <w:t>☐</w:t>
            </w:r>
          </w:p>
        </w:tc>
        <w:tc>
          <w:tcPr>
            <w:tcW w:w="1319" w:type="dxa"/>
            <w:gridSpan w:val="2"/>
          </w:tcPr>
          <w:p w14:paraId="7F0A1F8D">
            <w:pPr>
              <w:pStyle w:val="14"/>
              <w:spacing w:before="1"/>
              <w:ind w:left="256"/>
              <w:rPr>
                <w:rFonts w:ascii="Segoe UI Symbol" w:hAnsi="Segoe UI Symbol"/>
                <w:sz w:val="20"/>
              </w:rPr>
            </w:pPr>
            <w:r>
              <w:rPr>
                <w:rFonts w:ascii="Times New Roman" w:hAnsi="Times New Roman"/>
                <w:sz w:val="20"/>
              </w:rPr>
              <w:t xml:space="preserve">Q&gt;100 </w:t>
            </w:r>
            <w:r>
              <w:rPr>
                <w:rFonts w:ascii="Segoe UI Symbol" w:hAnsi="Segoe UI Symbol"/>
                <w:sz w:val="20"/>
              </w:rPr>
              <w:t>☐</w:t>
            </w:r>
          </w:p>
        </w:tc>
      </w:tr>
      <w:tr w14:paraId="2B2C1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02" w:type="dxa"/>
            <w:gridSpan w:val="2"/>
            <w:vMerge w:val="continue"/>
            <w:tcBorders>
              <w:top w:val="nil"/>
            </w:tcBorders>
          </w:tcPr>
          <w:p w14:paraId="00D00B97">
            <w:pPr>
              <w:rPr>
                <w:sz w:val="2"/>
                <w:szCs w:val="2"/>
              </w:rPr>
            </w:pPr>
          </w:p>
        </w:tc>
        <w:tc>
          <w:tcPr>
            <w:tcW w:w="1308" w:type="dxa"/>
          </w:tcPr>
          <w:p w14:paraId="3AF19213">
            <w:pPr>
              <w:pStyle w:val="14"/>
              <w:spacing w:before="5"/>
              <w:ind w:left="171" w:right="169"/>
              <w:jc w:val="center"/>
              <w:rPr>
                <w:sz w:val="20"/>
              </w:rPr>
            </w:pPr>
            <w:r>
              <w:rPr>
                <w:rFonts w:ascii="Times New Roman" w:eastAsia="Times New Roman"/>
                <w:sz w:val="20"/>
              </w:rPr>
              <w:t xml:space="preserve">M </w:t>
            </w:r>
            <w:r>
              <w:rPr>
                <w:sz w:val="20"/>
              </w:rPr>
              <w:t>值</w:t>
            </w:r>
          </w:p>
        </w:tc>
        <w:tc>
          <w:tcPr>
            <w:tcW w:w="2034" w:type="dxa"/>
            <w:gridSpan w:val="3"/>
          </w:tcPr>
          <w:p w14:paraId="449AA1ED">
            <w:pPr>
              <w:pStyle w:val="14"/>
              <w:spacing w:line="265" w:lineRule="exact"/>
              <w:ind w:left="699" w:right="699"/>
              <w:jc w:val="center"/>
              <w:rPr>
                <w:rFonts w:ascii="Segoe UI Symbol" w:hAnsi="Segoe UI Symbol"/>
                <w:sz w:val="20"/>
              </w:rPr>
            </w:pPr>
            <w:r>
              <w:rPr>
                <w:rFonts w:ascii="Times New Roman" w:hAnsi="Times New Roman"/>
                <w:sz w:val="20"/>
              </w:rPr>
              <w:t xml:space="preserve">M1 </w:t>
            </w:r>
            <w:r>
              <w:rPr>
                <w:rFonts w:ascii="Segoe UI Symbol" w:hAnsi="Segoe UI Symbol"/>
                <w:sz w:val="20"/>
              </w:rPr>
              <w:t>☐</w:t>
            </w:r>
          </w:p>
        </w:tc>
        <w:tc>
          <w:tcPr>
            <w:tcW w:w="1207" w:type="dxa"/>
            <w:gridSpan w:val="4"/>
          </w:tcPr>
          <w:p w14:paraId="3E8AA258">
            <w:pPr>
              <w:pStyle w:val="14"/>
              <w:spacing w:line="265" w:lineRule="exact"/>
              <w:ind w:left="345"/>
              <w:rPr>
                <w:rFonts w:ascii="Segoe UI Symbol" w:hAnsi="Segoe UI Symbol"/>
                <w:sz w:val="20"/>
              </w:rPr>
            </w:pPr>
            <w:r>
              <w:rPr>
                <w:rFonts w:ascii="Times New Roman" w:hAnsi="Times New Roman"/>
                <w:sz w:val="20"/>
              </w:rPr>
              <w:t xml:space="preserve">M2 </w:t>
            </w:r>
            <w:r>
              <w:rPr>
                <w:rFonts w:ascii="Segoe UI Symbol" w:hAnsi="Segoe UI Symbol"/>
                <w:sz w:val="20"/>
              </w:rPr>
              <w:t>☐</w:t>
            </w:r>
          </w:p>
        </w:tc>
        <w:tc>
          <w:tcPr>
            <w:tcW w:w="1474" w:type="dxa"/>
            <w:gridSpan w:val="4"/>
          </w:tcPr>
          <w:p w14:paraId="59D26009">
            <w:pPr>
              <w:pStyle w:val="14"/>
              <w:spacing w:line="265" w:lineRule="exact"/>
              <w:ind w:left="475"/>
              <w:rPr>
                <w:rFonts w:ascii="Segoe UI Symbol" w:hAnsi="Segoe UI Symbol"/>
                <w:sz w:val="20"/>
              </w:rPr>
            </w:pPr>
            <w:r>
              <w:rPr>
                <w:rFonts w:ascii="Times New Roman" w:hAnsi="Times New Roman"/>
                <w:sz w:val="20"/>
              </w:rPr>
              <w:t xml:space="preserve">M3 </w:t>
            </w:r>
            <w:r>
              <w:rPr>
                <w:rFonts w:ascii="Segoe UI Symbol" w:hAnsi="Segoe UI Symbol"/>
                <w:sz w:val="20"/>
              </w:rPr>
              <w:t>☐</w:t>
            </w:r>
          </w:p>
        </w:tc>
        <w:tc>
          <w:tcPr>
            <w:tcW w:w="1319" w:type="dxa"/>
            <w:gridSpan w:val="2"/>
          </w:tcPr>
          <w:p w14:paraId="17ABD967">
            <w:pPr>
              <w:pStyle w:val="14"/>
              <w:spacing w:line="265" w:lineRule="exact"/>
              <w:ind w:left="395"/>
              <w:rPr>
                <w:rFonts w:ascii="Segoe UI Symbol" w:hAnsi="Segoe UI Symbol"/>
                <w:sz w:val="20"/>
              </w:rPr>
            </w:pPr>
            <w:r>
              <w:rPr>
                <w:rFonts w:ascii="Times New Roman" w:hAnsi="Times New Roman"/>
                <w:sz w:val="20"/>
              </w:rPr>
              <w:t xml:space="preserve">M4 </w:t>
            </w:r>
            <w:r>
              <w:rPr>
                <w:rFonts w:ascii="Segoe UI Symbol" w:hAnsi="Segoe UI Symbol"/>
                <w:sz w:val="20"/>
              </w:rPr>
              <w:t>☐</w:t>
            </w:r>
          </w:p>
        </w:tc>
      </w:tr>
      <w:tr w14:paraId="62030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02" w:type="dxa"/>
            <w:gridSpan w:val="2"/>
            <w:vMerge w:val="continue"/>
            <w:tcBorders>
              <w:top w:val="nil"/>
            </w:tcBorders>
          </w:tcPr>
          <w:p w14:paraId="11A97084">
            <w:pPr>
              <w:rPr>
                <w:sz w:val="2"/>
                <w:szCs w:val="2"/>
              </w:rPr>
            </w:pPr>
          </w:p>
        </w:tc>
        <w:tc>
          <w:tcPr>
            <w:tcW w:w="1308" w:type="dxa"/>
          </w:tcPr>
          <w:p w14:paraId="7FF391C8">
            <w:pPr>
              <w:pStyle w:val="14"/>
              <w:spacing w:before="6"/>
              <w:ind w:left="173" w:right="169"/>
              <w:jc w:val="center"/>
              <w:rPr>
                <w:sz w:val="20"/>
              </w:rPr>
            </w:pPr>
            <w:r>
              <w:rPr>
                <w:rFonts w:ascii="Times New Roman" w:eastAsia="Times New Roman"/>
                <w:sz w:val="20"/>
              </w:rPr>
              <w:t xml:space="preserve">P </w:t>
            </w:r>
            <w:r>
              <w:rPr>
                <w:sz w:val="20"/>
              </w:rPr>
              <w:t>值</w:t>
            </w:r>
          </w:p>
        </w:tc>
        <w:tc>
          <w:tcPr>
            <w:tcW w:w="2034" w:type="dxa"/>
            <w:gridSpan w:val="3"/>
          </w:tcPr>
          <w:p w14:paraId="41867A24">
            <w:pPr>
              <w:pStyle w:val="14"/>
              <w:ind w:left="700" w:right="698"/>
              <w:jc w:val="center"/>
              <w:rPr>
                <w:rFonts w:ascii="Segoe UI Symbol" w:hAnsi="Segoe UI Symbol"/>
                <w:sz w:val="20"/>
              </w:rPr>
            </w:pPr>
            <w:r>
              <w:rPr>
                <w:rFonts w:ascii="Times New Roman" w:hAnsi="Times New Roman"/>
                <w:sz w:val="20"/>
              </w:rPr>
              <w:t xml:space="preserve">P1 </w:t>
            </w:r>
            <w:r>
              <w:rPr>
                <w:rFonts w:ascii="Segoe UI Symbol" w:hAnsi="Segoe UI Symbol"/>
                <w:sz w:val="20"/>
              </w:rPr>
              <w:t>☐</w:t>
            </w:r>
          </w:p>
        </w:tc>
        <w:tc>
          <w:tcPr>
            <w:tcW w:w="1207" w:type="dxa"/>
            <w:gridSpan w:val="4"/>
          </w:tcPr>
          <w:p w14:paraId="1EC1A04A">
            <w:pPr>
              <w:pStyle w:val="14"/>
              <w:ind w:left="378"/>
              <w:rPr>
                <w:rFonts w:ascii="Segoe UI Symbol" w:hAnsi="Segoe UI Symbol"/>
                <w:sz w:val="20"/>
              </w:rPr>
            </w:pPr>
            <w:r>
              <w:rPr>
                <w:rFonts w:ascii="Times New Roman" w:hAnsi="Times New Roman"/>
                <w:sz w:val="20"/>
              </w:rPr>
              <w:t xml:space="preserve">P2 </w:t>
            </w:r>
            <w:r>
              <w:rPr>
                <w:rFonts w:ascii="Segoe UI Symbol" w:hAnsi="Segoe UI Symbol"/>
                <w:sz w:val="20"/>
              </w:rPr>
              <w:t>☐</w:t>
            </w:r>
          </w:p>
        </w:tc>
        <w:tc>
          <w:tcPr>
            <w:tcW w:w="1474" w:type="dxa"/>
            <w:gridSpan w:val="4"/>
          </w:tcPr>
          <w:p w14:paraId="45497B3D">
            <w:pPr>
              <w:pStyle w:val="14"/>
              <w:ind w:left="472" w:right="483"/>
              <w:jc w:val="center"/>
              <w:rPr>
                <w:rFonts w:ascii="Segoe UI Symbol" w:hAnsi="Segoe UI Symbol"/>
                <w:sz w:val="20"/>
              </w:rPr>
            </w:pPr>
            <w:r>
              <w:rPr>
                <w:rFonts w:ascii="Times New Roman" w:hAnsi="Times New Roman"/>
                <w:sz w:val="20"/>
              </w:rPr>
              <w:t xml:space="preserve">P3 </w:t>
            </w:r>
            <w:r>
              <w:rPr>
                <w:rFonts w:ascii="Segoe UI Symbol" w:hAnsi="Segoe UI Symbol"/>
                <w:sz w:val="20"/>
              </w:rPr>
              <w:t>☐</w:t>
            </w:r>
          </w:p>
        </w:tc>
        <w:tc>
          <w:tcPr>
            <w:tcW w:w="1319" w:type="dxa"/>
            <w:gridSpan w:val="2"/>
          </w:tcPr>
          <w:p w14:paraId="753E18B9">
            <w:pPr>
              <w:pStyle w:val="14"/>
              <w:ind w:left="429"/>
              <w:rPr>
                <w:rFonts w:ascii="Segoe UI Symbol" w:hAnsi="Segoe UI Symbol"/>
                <w:sz w:val="20"/>
              </w:rPr>
            </w:pPr>
            <w:r>
              <w:rPr>
                <w:rFonts w:ascii="Times New Roman" w:hAnsi="Times New Roman"/>
                <w:sz w:val="20"/>
              </w:rPr>
              <w:t xml:space="preserve">P4 </w:t>
            </w:r>
            <w:r>
              <w:rPr>
                <w:rFonts w:ascii="Segoe UI Symbol" w:hAnsi="Segoe UI Symbol"/>
                <w:sz w:val="20"/>
              </w:rPr>
              <w:t>☐</w:t>
            </w:r>
          </w:p>
        </w:tc>
      </w:tr>
      <w:tr w14:paraId="7AE7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02" w:type="dxa"/>
            <w:gridSpan w:val="2"/>
            <w:vMerge w:val="restart"/>
          </w:tcPr>
          <w:p w14:paraId="31F39B2F">
            <w:pPr>
              <w:pStyle w:val="14"/>
              <w:spacing w:before="2"/>
              <w:rPr>
                <w:b/>
                <w:sz w:val="29"/>
              </w:rPr>
            </w:pPr>
          </w:p>
          <w:p w14:paraId="5FA8274D">
            <w:pPr>
              <w:pStyle w:val="14"/>
              <w:ind w:left="198"/>
              <w:rPr>
                <w:sz w:val="20"/>
              </w:rPr>
            </w:pPr>
            <w:r>
              <w:rPr>
                <w:sz w:val="20"/>
              </w:rPr>
              <w:t>环境敏感程度</w:t>
            </w:r>
          </w:p>
        </w:tc>
        <w:tc>
          <w:tcPr>
            <w:tcW w:w="1308" w:type="dxa"/>
          </w:tcPr>
          <w:p w14:paraId="3A71D2CF">
            <w:pPr>
              <w:pStyle w:val="14"/>
              <w:spacing w:before="4"/>
              <w:ind w:left="173" w:right="169"/>
              <w:jc w:val="center"/>
              <w:rPr>
                <w:sz w:val="20"/>
              </w:rPr>
            </w:pPr>
            <w:r>
              <w:rPr>
                <w:sz w:val="20"/>
              </w:rPr>
              <w:t>大气</w:t>
            </w:r>
          </w:p>
        </w:tc>
        <w:tc>
          <w:tcPr>
            <w:tcW w:w="2034" w:type="dxa"/>
            <w:gridSpan w:val="3"/>
          </w:tcPr>
          <w:p w14:paraId="5FB53B03">
            <w:pPr>
              <w:pStyle w:val="14"/>
              <w:ind w:left="699" w:right="699"/>
              <w:jc w:val="center"/>
              <w:rPr>
                <w:rFonts w:ascii="Segoe UI Symbol" w:hAnsi="Segoe UI Symbol"/>
                <w:sz w:val="20"/>
              </w:rPr>
            </w:pPr>
            <w:r>
              <w:rPr>
                <w:rFonts w:ascii="Times New Roman" w:hAnsi="Times New Roman"/>
                <w:sz w:val="20"/>
              </w:rPr>
              <w:t xml:space="preserve">E1 </w:t>
            </w:r>
            <w:r>
              <w:rPr>
                <w:rFonts w:ascii="Segoe UI Symbol" w:hAnsi="Segoe UI Symbol"/>
                <w:sz w:val="20"/>
              </w:rPr>
              <w:t>☐</w:t>
            </w:r>
          </w:p>
        </w:tc>
        <w:tc>
          <w:tcPr>
            <w:tcW w:w="1773" w:type="dxa"/>
            <w:gridSpan w:val="5"/>
          </w:tcPr>
          <w:p w14:paraId="13CEBD32">
            <w:pPr>
              <w:pStyle w:val="14"/>
              <w:spacing w:before="17"/>
              <w:ind w:left="617" w:right="657"/>
              <w:jc w:val="center"/>
              <w:rPr>
                <w:rFonts w:ascii="Wingdings" w:hAnsi="Wingdings"/>
                <w:sz w:val="20"/>
              </w:rPr>
            </w:pPr>
            <w:r>
              <w:rPr>
                <w:rFonts w:ascii="Times New Roman" w:hAnsi="Times New Roman"/>
                <w:sz w:val="20"/>
              </w:rPr>
              <w:t xml:space="preserve">E2 </w:t>
            </w:r>
            <w:r>
              <w:rPr>
                <w:rFonts w:ascii="Wingdings" w:hAnsi="Wingdings"/>
                <w:sz w:val="20"/>
              </w:rPr>
              <w:t></w:t>
            </w:r>
          </w:p>
        </w:tc>
        <w:tc>
          <w:tcPr>
            <w:tcW w:w="2227" w:type="dxa"/>
            <w:gridSpan w:val="5"/>
          </w:tcPr>
          <w:p w14:paraId="663EACBD">
            <w:pPr>
              <w:pStyle w:val="14"/>
              <w:ind w:left="841" w:right="891"/>
              <w:jc w:val="center"/>
              <w:rPr>
                <w:rFonts w:ascii="Segoe UI Symbol" w:hAnsi="Segoe UI Symbol"/>
                <w:sz w:val="20"/>
              </w:rPr>
            </w:pPr>
            <w:r>
              <w:rPr>
                <w:rFonts w:ascii="Times New Roman" w:hAnsi="Times New Roman"/>
                <w:sz w:val="20"/>
              </w:rPr>
              <w:t xml:space="preserve">E3 </w:t>
            </w:r>
            <w:r>
              <w:rPr>
                <w:rFonts w:ascii="Segoe UI Symbol" w:hAnsi="Segoe UI Symbol"/>
                <w:sz w:val="20"/>
              </w:rPr>
              <w:t>☐</w:t>
            </w:r>
          </w:p>
        </w:tc>
      </w:tr>
      <w:tr w14:paraId="1094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02" w:type="dxa"/>
            <w:gridSpan w:val="2"/>
            <w:vMerge w:val="continue"/>
            <w:tcBorders>
              <w:top w:val="nil"/>
            </w:tcBorders>
          </w:tcPr>
          <w:p w14:paraId="53EB114E">
            <w:pPr>
              <w:rPr>
                <w:sz w:val="2"/>
                <w:szCs w:val="2"/>
              </w:rPr>
            </w:pPr>
          </w:p>
        </w:tc>
        <w:tc>
          <w:tcPr>
            <w:tcW w:w="1308" w:type="dxa"/>
          </w:tcPr>
          <w:p w14:paraId="285BAC85">
            <w:pPr>
              <w:pStyle w:val="14"/>
              <w:spacing w:before="5"/>
              <w:ind w:left="173" w:right="169"/>
              <w:jc w:val="center"/>
              <w:rPr>
                <w:sz w:val="20"/>
              </w:rPr>
            </w:pPr>
            <w:r>
              <w:rPr>
                <w:sz w:val="20"/>
              </w:rPr>
              <w:t>地表水</w:t>
            </w:r>
          </w:p>
        </w:tc>
        <w:tc>
          <w:tcPr>
            <w:tcW w:w="2034" w:type="dxa"/>
            <w:gridSpan w:val="3"/>
          </w:tcPr>
          <w:p w14:paraId="29CA0DB6">
            <w:pPr>
              <w:pStyle w:val="14"/>
              <w:spacing w:before="1"/>
              <w:ind w:left="699" w:right="699"/>
              <w:jc w:val="center"/>
              <w:rPr>
                <w:rFonts w:ascii="Segoe UI Symbol" w:hAnsi="Segoe UI Symbol"/>
                <w:sz w:val="20"/>
              </w:rPr>
            </w:pPr>
            <w:r>
              <w:rPr>
                <w:rFonts w:ascii="Times New Roman" w:hAnsi="Times New Roman"/>
                <w:sz w:val="20"/>
              </w:rPr>
              <w:t xml:space="preserve">E1 </w:t>
            </w:r>
            <w:r>
              <w:rPr>
                <w:rFonts w:ascii="Segoe UI Symbol" w:hAnsi="Segoe UI Symbol"/>
                <w:sz w:val="20"/>
              </w:rPr>
              <w:t>☐</w:t>
            </w:r>
          </w:p>
        </w:tc>
        <w:tc>
          <w:tcPr>
            <w:tcW w:w="1773" w:type="dxa"/>
            <w:gridSpan w:val="5"/>
          </w:tcPr>
          <w:p w14:paraId="58DB1570">
            <w:pPr>
              <w:pStyle w:val="14"/>
              <w:spacing w:before="1"/>
              <w:ind w:left="617" w:right="656"/>
              <w:jc w:val="center"/>
              <w:rPr>
                <w:rFonts w:ascii="Segoe UI Symbol" w:hAnsi="Segoe UI Symbol"/>
                <w:sz w:val="20"/>
              </w:rPr>
            </w:pPr>
            <w:r>
              <w:rPr>
                <w:rFonts w:ascii="Times New Roman" w:hAnsi="Times New Roman"/>
                <w:sz w:val="20"/>
              </w:rPr>
              <w:t xml:space="preserve">E2 </w:t>
            </w:r>
            <w:r>
              <w:rPr>
                <w:rFonts w:ascii="Segoe UI Symbol" w:hAnsi="Segoe UI Symbol"/>
                <w:sz w:val="20"/>
              </w:rPr>
              <w:t>☐</w:t>
            </w:r>
          </w:p>
        </w:tc>
        <w:tc>
          <w:tcPr>
            <w:tcW w:w="2227" w:type="dxa"/>
            <w:gridSpan w:val="5"/>
          </w:tcPr>
          <w:p w14:paraId="07E4615C">
            <w:pPr>
              <w:pStyle w:val="14"/>
              <w:spacing w:before="1"/>
              <w:ind w:left="841" w:right="891"/>
              <w:jc w:val="center"/>
              <w:rPr>
                <w:rFonts w:ascii="Segoe UI Symbol" w:hAnsi="Segoe UI Symbol"/>
                <w:sz w:val="20"/>
              </w:rPr>
            </w:pPr>
            <w:r>
              <w:rPr>
                <w:rFonts w:ascii="Times New Roman" w:hAnsi="Times New Roman"/>
                <w:sz w:val="20"/>
              </w:rPr>
              <w:t xml:space="preserve">E3 </w:t>
            </w:r>
            <w:r>
              <w:rPr>
                <w:rFonts w:ascii="Segoe UI Symbol" w:hAnsi="Segoe UI Symbol"/>
                <w:sz w:val="20"/>
              </w:rPr>
              <w:t>☐</w:t>
            </w:r>
          </w:p>
        </w:tc>
      </w:tr>
      <w:tr w14:paraId="5803F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602" w:type="dxa"/>
            <w:gridSpan w:val="2"/>
            <w:vMerge w:val="continue"/>
            <w:tcBorders>
              <w:top w:val="nil"/>
            </w:tcBorders>
          </w:tcPr>
          <w:p w14:paraId="0E9DF06A">
            <w:pPr>
              <w:rPr>
                <w:sz w:val="2"/>
                <w:szCs w:val="2"/>
              </w:rPr>
            </w:pPr>
          </w:p>
        </w:tc>
        <w:tc>
          <w:tcPr>
            <w:tcW w:w="1308" w:type="dxa"/>
          </w:tcPr>
          <w:p w14:paraId="73E74794">
            <w:pPr>
              <w:pStyle w:val="14"/>
              <w:spacing w:before="5"/>
              <w:ind w:left="173" w:right="169"/>
              <w:jc w:val="center"/>
              <w:rPr>
                <w:sz w:val="20"/>
              </w:rPr>
            </w:pPr>
            <w:r>
              <w:rPr>
                <w:sz w:val="20"/>
              </w:rPr>
              <w:t>地下水</w:t>
            </w:r>
          </w:p>
        </w:tc>
        <w:tc>
          <w:tcPr>
            <w:tcW w:w="2034" w:type="dxa"/>
            <w:gridSpan w:val="3"/>
          </w:tcPr>
          <w:p w14:paraId="5231CE89">
            <w:pPr>
              <w:pStyle w:val="14"/>
              <w:spacing w:line="265" w:lineRule="exact"/>
              <w:ind w:left="699" w:right="699"/>
              <w:jc w:val="center"/>
              <w:rPr>
                <w:rFonts w:ascii="Segoe UI Symbol" w:hAnsi="Segoe UI Symbol"/>
                <w:sz w:val="20"/>
              </w:rPr>
            </w:pPr>
            <w:r>
              <w:rPr>
                <w:rFonts w:ascii="Times New Roman" w:hAnsi="Times New Roman"/>
                <w:sz w:val="20"/>
              </w:rPr>
              <w:t xml:space="preserve">E1 </w:t>
            </w:r>
            <w:r>
              <w:rPr>
                <w:rFonts w:ascii="Segoe UI Symbol" w:hAnsi="Segoe UI Symbol"/>
                <w:sz w:val="20"/>
              </w:rPr>
              <w:t>☐</w:t>
            </w:r>
          </w:p>
        </w:tc>
        <w:tc>
          <w:tcPr>
            <w:tcW w:w="1773" w:type="dxa"/>
            <w:gridSpan w:val="5"/>
          </w:tcPr>
          <w:p w14:paraId="080425E0">
            <w:pPr>
              <w:pStyle w:val="14"/>
              <w:spacing w:line="265" w:lineRule="exact"/>
              <w:ind w:left="617" w:right="656"/>
              <w:jc w:val="center"/>
              <w:rPr>
                <w:rFonts w:ascii="Segoe UI Symbol" w:hAnsi="Segoe UI Symbol"/>
                <w:sz w:val="20"/>
              </w:rPr>
            </w:pPr>
            <w:r>
              <w:rPr>
                <w:rFonts w:ascii="Times New Roman" w:hAnsi="Times New Roman"/>
                <w:sz w:val="20"/>
              </w:rPr>
              <w:t xml:space="preserve">E2 </w:t>
            </w:r>
            <w:r>
              <w:rPr>
                <w:rFonts w:ascii="Segoe UI Symbol" w:hAnsi="Segoe UI Symbol"/>
                <w:sz w:val="20"/>
              </w:rPr>
              <w:t>☐</w:t>
            </w:r>
          </w:p>
        </w:tc>
        <w:tc>
          <w:tcPr>
            <w:tcW w:w="2227" w:type="dxa"/>
            <w:gridSpan w:val="5"/>
          </w:tcPr>
          <w:p w14:paraId="7D281640">
            <w:pPr>
              <w:pStyle w:val="14"/>
              <w:spacing w:line="265" w:lineRule="exact"/>
              <w:ind w:left="841" w:right="891"/>
              <w:jc w:val="center"/>
              <w:rPr>
                <w:rFonts w:ascii="Segoe UI Symbol" w:hAnsi="Segoe UI Symbol"/>
                <w:sz w:val="20"/>
              </w:rPr>
            </w:pPr>
            <w:r>
              <w:rPr>
                <w:rFonts w:ascii="Times New Roman" w:hAnsi="Times New Roman"/>
                <w:sz w:val="20"/>
              </w:rPr>
              <w:t xml:space="preserve">E3 </w:t>
            </w:r>
            <w:r>
              <w:rPr>
                <w:rFonts w:ascii="Segoe UI Symbol" w:hAnsi="Segoe UI Symbol"/>
                <w:sz w:val="20"/>
              </w:rPr>
              <w:t>☐</w:t>
            </w:r>
          </w:p>
        </w:tc>
      </w:tr>
      <w:tr w14:paraId="1822B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602" w:type="dxa"/>
            <w:gridSpan w:val="2"/>
          </w:tcPr>
          <w:p w14:paraId="7B269E1E">
            <w:pPr>
              <w:pStyle w:val="14"/>
              <w:spacing w:before="8"/>
              <w:ind w:left="198"/>
              <w:rPr>
                <w:sz w:val="20"/>
              </w:rPr>
            </w:pPr>
            <w:r>
              <w:rPr>
                <w:sz w:val="20"/>
              </w:rPr>
              <w:t>环境风险潜势</w:t>
            </w:r>
          </w:p>
        </w:tc>
        <w:tc>
          <w:tcPr>
            <w:tcW w:w="1308" w:type="dxa"/>
          </w:tcPr>
          <w:p w14:paraId="597898AC">
            <w:pPr>
              <w:pStyle w:val="14"/>
              <w:ind w:left="174" w:right="169"/>
              <w:jc w:val="center"/>
              <w:rPr>
                <w:rFonts w:ascii="Segoe UI Symbol" w:hAnsi="Segoe UI Symbol"/>
                <w:sz w:val="20"/>
              </w:rPr>
            </w:pPr>
            <w:r>
              <w:rPr>
                <w:sz w:val="20"/>
              </w:rPr>
              <w:t>Ⅳ</w:t>
            </w:r>
            <w:r>
              <w:rPr>
                <w:rFonts w:ascii="Times New Roman" w:hAnsi="Times New Roman"/>
                <w:sz w:val="20"/>
              </w:rPr>
              <w:t xml:space="preserve">+ </w:t>
            </w:r>
            <w:r>
              <w:rPr>
                <w:rFonts w:ascii="Segoe UI Symbol" w:hAnsi="Segoe UI Symbol"/>
                <w:sz w:val="20"/>
              </w:rPr>
              <w:t>☐</w:t>
            </w:r>
          </w:p>
        </w:tc>
        <w:tc>
          <w:tcPr>
            <w:tcW w:w="1374" w:type="dxa"/>
          </w:tcPr>
          <w:p w14:paraId="3EB3AFD8">
            <w:pPr>
              <w:pStyle w:val="14"/>
              <w:ind w:left="226" w:right="222"/>
              <w:jc w:val="center"/>
              <w:rPr>
                <w:rFonts w:ascii="Segoe UI Symbol" w:hAnsi="Segoe UI Symbol"/>
                <w:sz w:val="20"/>
              </w:rPr>
            </w:pPr>
            <w:r>
              <w:rPr>
                <w:sz w:val="20"/>
              </w:rPr>
              <w:t>Ⅳ</w:t>
            </w:r>
            <w:r>
              <w:rPr>
                <w:spacing w:val="-51"/>
                <w:sz w:val="20"/>
              </w:rPr>
              <w:t xml:space="preserve"> </w:t>
            </w:r>
            <w:r>
              <w:rPr>
                <w:rFonts w:ascii="Segoe UI Symbol" w:hAnsi="Segoe UI Symbol"/>
                <w:sz w:val="20"/>
              </w:rPr>
              <w:t>☐</w:t>
            </w:r>
          </w:p>
        </w:tc>
        <w:tc>
          <w:tcPr>
            <w:tcW w:w="1474" w:type="dxa"/>
            <w:gridSpan w:val="4"/>
          </w:tcPr>
          <w:p w14:paraId="5857CE67">
            <w:pPr>
              <w:pStyle w:val="14"/>
              <w:ind w:left="472" w:right="473"/>
              <w:jc w:val="center"/>
              <w:rPr>
                <w:rFonts w:ascii="Segoe UI Symbol" w:hAnsi="Segoe UI Symbol"/>
                <w:sz w:val="20"/>
              </w:rPr>
            </w:pPr>
            <w:r>
              <w:rPr>
                <w:sz w:val="20"/>
              </w:rPr>
              <w:t>Ⅲ</w:t>
            </w:r>
            <w:r>
              <w:rPr>
                <w:spacing w:val="-51"/>
                <w:sz w:val="20"/>
              </w:rPr>
              <w:t xml:space="preserve"> </w:t>
            </w:r>
            <w:r>
              <w:rPr>
                <w:rFonts w:ascii="Segoe UI Symbol" w:hAnsi="Segoe UI Symbol"/>
                <w:sz w:val="20"/>
              </w:rPr>
              <w:t>☐</w:t>
            </w:r>
          </w:p>
        </w:tc>
        <w:tc>
          <w:tcPr>
            <w:tcW w:w="1468" w:type="dxa"/>
            <w:gridSpan w:val="4"/>
          </w:tcPr>
          <w:p w14:paraId="1B83A50B">
            <w:pPr>
              <w:pStyle w:val="14"/>
              <w:ind w:left="493" w:right="502"/>
              <w:jc w:val="center"/>
              <w:rPr>
                <w:rFonts w:ascii="Segoe UI Symbol" w:hAnsi="Segoe UI Symbol"/>
                <w:sz w:val="20"/>
              </w:rPr>
            </w:pPr>
            <w:r>
              <w:rPr>
                <w:sz w:val="20"/>
              </w:rPr>
              <w:t>Ⅱ</w:t>
            </w:r>
            <w:r>
              <w:rPr>
                <w:spacing w:val="-51"/>
                <w:sz w:val="20"/>
              </w:rPr>
              <w:t xml:space="preserve"> </w:t>
            </w:r>
            <w:r>
              <w:rPr>
                <w:rFonts w:ascii="Segoe UI Symbol" w:hAnsi="Segoe UI Symbol"/>
                <w:sz w:val="20"/>
              </w:rPr>
              <w:t>☐</w:t>
            </w:r>
          </w:p>
        </w:tc>
        <w:tc>
          <w:tcPr>
            <w:tcW w:w="1718" w:type="dxa"/>
            <w:gridSpan w:val="4"/>
          </w:tcPr>
          <w:p w14:paraId="7D6A35D9">
            <w:pPr>
              <w:pStyle w:val="14"/>
              <w:spacing w:before="8"/>
              <w:ind w:left="613" w:right="629"/>
              <w:jc w:val="center"/>
              <w:rPr>
                <w:rFonts w:ascii="Wingdings" w:hAnsi="Wingdings"/>
                <w:sz w:val="20"/>
              </w:rPr>
            </w:pPr>
            <w:r>
              <w:rPr>
                <w:sz w:val="20"/>
              </w:rPr>
              <w:t>Ⅰ</w:t>
            </w:r>
            <w:r>
              <w:rPr>
                <w:spacing w:val="-51"/>
                <w:sz w:val="20"/>
              </w:rPr>
              <w:t xml:space="preserve"> </w:t>
            </w:r>
            <w:r>
              <w:rPr>
                <w:rFonts w:ascii="Wingdings" w:hAnsi="Wingdings"/>
                <w:sz w:val="20"/>
              </w:rPr>
              <w:t></w:t>
            </w:r>
          </w:p>
        </w:tc>
      </w:tr>
      <w:tr w14:paraId="17F09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602" w:type="dxa"/>
            <w:gridSpan w:val="2"/>
          </w:tcPr>
          <w:p w14:paraId="28301FCC">
            <w:pPr>
              <w:pStyle w:val="14"/>
              <w:spacing w:before="8"/>
              <w:ind w:left="400"/>
              <w:rPr>
                <w:sz w:val="20"/>
              </w:rPr>
            </w:pPr>
            <w:r>
              <w:rPr>
                <w:sz w:val="20"/>
              </w:rPr>
              <w:t>评价等级</w:t>
            </w:r>
          </w:p>
        </w:tc>
        <w:tc>
          <w:tcPr>
            <w:tcW w:w="2682" w:type="dxa"/>
            <w:gridSpan w:val="2"/>
          </w:tcPr>
          <w:p w14:paraId="2E51E815">
            <w:pPr>
              <w:pStyle w:val="14"/>
              <w:spacing w:line="272" w:lineRule="exact"/>
              <w:ind w:left="979" w:right="975"/>
              <w:jc w:val="center"/>
              <w:rPr>
                <w:rFonts w:ascii="Segoe UI Symbol" w:hAnsi="Segoe UI Symbol" w:eastAsia="Segoe UI Symbol"/>
                <w:sz w:val="20"/>
              </w:rPr>
            </w:pPr>
            <w:r>
              <w:rPr>
                <w:sz w:val="20"/>
              </w:rPr>
              <w:t xml:space="preserve">一级 </w:t>
            </w:r>
            <w:r>
              <w:rPr>
                <w:rFonts w:ascii="Segoe UI Symbol" w:hAnsi="Segoe UI Symbol" w:eastAsia="Segoe UI Symbol"/>
                <w:sz w:val="20"/>
              </w:rPr>
              <w:t>☐</w:t>
            </w:r>
          </w:p>
        </w:tc>
        <w:tc>
          <w:tcPr>
            <w:tcW w:w="1474" w:type="dxa"/>
            <w:gridSpan w:val="4"/>
          </w:tcPr>
          <w:p w14:paraId="16FCF81F">
            <w:pPr>
              <w:pStyle w:val="14"/>
              <w:spacing w:line="272" w:lineRule="exact"/>
              <w:ind w:left="419"/>
              <w:rPr>
                <w:rFonts w:ascii="Segoe UI Symbol" w:hAnsi="Segoe UI Symbol" w:eastAsia="Segoe UI Symbol"/>
                <w:sz w:val="20"/>
              </w:rPr>
            </w:pPr>
            <w:r>
              <w:rPr>
                <w:sz w:val="20"/>
              </w:rPr>
              <w:t xml:space="preserve">二级 </w:t>
            </w:r>
            <w:r>
              <w:rPr>
                <w:rFonts w:ascii="Segoe UI Symbol" w:hAnsi="Segoe UI Symbol" w:eastAsia="Segoe UI Symbol"/>
                <w:sz w:val="20"/>
              </w:rPr>
              <w:t>☐</w:t>
            </w:r>
          </w:p>
        </w:tc>
        <w:tc>
          <w:tcPr>
            <w:tcW w:w="1468" w:type="dxa"/>
            <w:gridSpan w:val="4"/>
          </w:tcPr>
          <w:p w14:paraId="2A6610FF">
            <w:pPr>
              <w:pStyle w:val="14"/>
              <w:spacing w:line="272" w:lineRule="exact"/>
              <w:ind w:left="414"/>
              <w:rPr>
                <w:rFonts w:ascii="Segoe UI Symbol" w:hAnsi="Segoe UI Symbol" w:eastAsia="Segoe UI Symbol"/>
                <w:sz w:val="20"/>
              </w:rPr>
            </w:pPr>
            <w:r>
              <w:rPr>
                <w:sz w:val="20"/>
              </w:rPr>
              <w:t xml:space="preserve">三级 </w:t>
            </w:r>
            <w:r>
              <w:rPr>
                <w:rFonts w:ascii="Segoe UI Symbol" w:hAnsi="Segoe UI Symbol" w:eastAsia="Segoe UI Symbol"/>
                <w:sz w:val="20"/>
              </w:rPr>
              <w:t>☐</w:t>
            </w:r>
          </w:p>
        </w:tc>
        <w:tc>
          <w:tcPr>
            <w:tcW w:w="1718" w:type="dxa"/>
            <w:gridSpan w:val="4"/>
          </w:tcPr>
          <w:p w14:paraId="7AA5A417">
            <w:pPr>
              <w:pStyle w:val="14"/>
              <w:spacing w:before="8"/>
              <w:ind w:left="331"/>
              <w:rPr>
                <w:rFonts w:ascii="Wingdings" w:hAnsi="Wingdings"/>
                <w:sz w:val="20"/>
              </w:rPr>
            </w:pPr>
            <w:r>
              <w:rPr>
                <w:sz w:val="20"/>
              </w:rPr>
              <w:t xml:space="preserve">简单分析 </w:t>
            </w:r>
            <w:r>
              <w:rPr>
                <w:rFonts w:ascii="Wingdings" w:hAnsi="Wingdings"/>
                <w:sz w:val="20"/>
              </w:rPr>
              <w:t></w:t>
            </w:r>
          </w:p>
        </w:tc>
      </w:tr>
      <w:tr w14:paraId="5C51D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404" w:type="dxa"/>
            <w:vMerge w:val="restart"/>
          </w:tcPr>
          <w:p w14:paraId="140A75CC">
            <w:pPr>
              <w:pStyle w:val="14"/>
              <w:spacing w:before="8"/>
              <w:rPr>
                <w:b/>
                <w:sz w:val="29"/>
              </w:rPr>
            </w:pPr>
          </w:p>
          <w:p w14:paraId="1106CAEB">
            <w:pPr>
              <w:pStyle w:val="14"/>
              <w:spacing w:line="242" w:lineRule="auto"/>
              <w:ind w:left="107" w:right="85"/>
              <w:jc w:val="both"/>
              <w:rPr>
                <w:sz w:val="20"/>
              </w:rPr>
            </w:pPr>
            <w:r>
              <w:rPr>
                <w:sz w:val="20"/>
              </w:rPr>
              <w:t>风险识别</w:t>
            </w:r>
          </w:p>
        </w:tc>
        <w:tc>
          <w:tcPr>
            <w:tcW w:w="1198" w:type="dxa"/>
          </w:tcPr>
          <w:p w14:paraId="2D08F980">
            <w:pPr>
              <w:pStyle w:val="14"/>
              <w:spacing w:before="1" w:line="242" w:lineRule="auto"/>
              <w:ind w:left="495" w:right="191" w:hanging="300"/>
              <w:rPr>
                <w:sz w:val="20"/>
              </w:rPr>
            </w:pPr>
            <w:r>
              <w:rPr>
                <w:sz w:val="20"/>
              </w:rPr>
              <w:t>物质危险性</w:t>
            </w:r>
          </w:p>
        </w:tc>
        <w:tc>
          <w:tcPr>
            <w:tcW w:w="2682" w:type="dxa"/>
            <w:gridSpan w:val="2"/>
          </w:tcPr>
          <w:p w14:paraId="4F16C913">
            <w:pPr>
              <w:pStyle w:val="14"/>
              <w:spacing w:before="130"/>
              <w:ind w:left="824"/>
              <w:rPr>
                <w:rFonts w:ascii="Wingdings" w:hAnsi="Wingdings"/>
                <w:sz w:val="20"/>
              </w:rPr>
            </w:pPr>
            <w:r>
              <w:rPr>
                <w:sz w:val="20"/>
              </w:rPr>
              <w:t xml:space="preserve">有毒有害 </w:t>
            </w:r>
            <w:r>
              <w:rPr>
                <w:rFonts w:ascii="Wingdings" w:hAnsi="Wingdings"/>
                <w:sz w:val="20"/>
              </w:rPr>
              <w:t></w:t>
            </w:r>
          </w:p>
        </w:tc>
        <w:tc>
          <w:tcPr>
            <w:tcW w:w="4660" w:type="dxa"/>
            <w:gridSpan w:val="12"/>
          </w:tcPr>
          <w:p w14:paraId="22522362">
            <w:pPr>
              <w:pStyle w:val="14"/>
              <w:spacing w:before="122"/>
              <w:ind w:left="1764" w:right="1772"/>
              <w:jc w:val="center"/>
              <w:rPr>
                <w:rFonts w:ascii="Segoe UI Symbol" w:hAnsi="Segoe UI Symbol" w:eastAsia="Segoe UI Symbol"/>
                <w:sz w:val="20"/>
              </w:rPr>
            </w:pPr>
            <w:r>
              <w:rPr>
                <w:sz w:val="20"/>
              </w:rPr>
              <w:t xml:space="preserve">易燃易爆 </w:t>
            </w:r>
            <w:r>
              <w:rPr>
                <w:rFonts w:ascii="Segoe UI Symbol" w:hAnsi="Segoe UI Symbol" w:eastAsia="Segoe UI Symbol"/>
                <w:sz w:val="20"/>
              </w:rPr>
              <w:t>☐</w:t>
            </w:r>
          </w:p>
        </w:tc>
      </w:tr>
      <w:tr w14:paraId="446E3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404" w:type="dxa"/>
            <w:vMerge w:val="continue"/>
            <w:tcBorders>
              <w:top w:val="nil"/>
            </w:tcBorders>
          </w:tcPr>
          <w:p w14:paraId="32C98915">
            <w:pPr>
              <w:rPr>
                <w:sz w:val="2"/>
                <w:szCs w:val="2"/>
              </w:rPr>
            </w:pPr>
          </w:p>
        </w:tc>
        <w:tc>
          <w:tcPr>
            <w:tcW w:w="1198" w:type="dxa"/>
          </w:tcPr>
          <w:p w14:paraId="1C07811E">
            <w:pPr>
              <w:pStyle w:val="14"/>
              <w:spacing w:before="1"/>
              <w:ind w:left="175" w:right="173"/>
              <w:jc w:val="center"/>
              <w:rPr>
                <w:sz w:val="20"/>
              </w:rPr>
            </w:pPr>
            <w:r>
              <w:rPr>
                <w:sz w:val="20"/>
              </w:rPr>
              <w:t>环境风险</w:t>
            </w:r>
          </w:p>
          <w:p w14:paraId="2D1D2F41">
            <w:pPr>
              <w:pStyle w:val="14"/>
              <w:spacing w:before="2"/>
              <w:rPr>
                <w:b/>
                <w:sz w:val="22"/>
              </w:rPr>
            </w:pPr>
          </w:p>
          <w:p w14:paraId="678151A9">
            <w:pPr>
              <w:pStyle w:val="14"/>
              <w:ind w:left="173" w:right="173"/>
              <w:jc w:val="center"/>
              <w:rPr>
                <w:sz w:val="20"/>
              </w:rPr>
            </w:pPr>
            <w:r>
              <w:rPr>
                <w:sz w:val="20"/>
              </w:rPr>
              <w:t>类型</w:t>
            </w:r>
          </w:p>
        </w:tc>
        <w:tc>
          <w:tcPr>
            <w:tcW w:w="2682" w:type="dxa"/>
            <w:gridSpan w:val="2"/>
          </w:tcPr>
          <w:p w14:paraId="5424518B">
            <w:pPr>
              <w:pStyle w:val="14"/>
              <w:spacing w:before="1"/>
              <w:rPr>
                <w:b/>
                <w:sz w:val="21"/>
              </w:rPr>
            </w:pPr>
          </w:p>
          <w:p w14:paraId="51FDB5A1">
            <w:pPr>
              <w:pStyle w:val="14"/>
              <w:ind w:left="980" w:right="975"/>
              <w:jc w:val="center"/>
              <w:rPr>
                <w:rFonts w:ascii="Wingdings" w:hAnsi="Wingdings"/>
                <w:sz w:val="20"/>
              </w:rPr>
            </w:pPr>
            <w:r>
              <w:rPr>
                <w:sz w:val="20"/>
              </w:rPr>
              <w:t xml:space="preserve">泄露 </w:t>
            </w:r>
            <w:r>
              <w:rPr>
                <w:rFonts w:ascii="Wingdings" w:hAnsi="Wingdings"/>
                <w:sz w:val="20"/>
              </w:rPr>
              <w:t></w:t>
            </w:r>
          </w:p>
        </w:tc>
        <w:tc>
          <w:tcPr>
            <w:tcW w:w="4660" w:type="dxa"/>
            <w:gridSpan w:val="12"/>
          </w:tcPr>
          <w:p w14:paraId="5D3B13FE">
            <w:pPr>
              <w:pStyle w:val="14"/>
              <w:spacing w:before="1"/>
              <w:rPr>
                <w:b/>
                <w:sz w:val="21"/>
              </w:rPr>
            </w:pPr>
          </w:p>
          <w:p w14:paraId="0608673C">
            <w:pPr>
              <w:pStyle w:val="14"/>
              <w:ind w:left="578"/>
              <w:rPr>
                <w:rFonts w:ascii="Wingdings" w:hAnsi="Wingdings"/>
                <w:sz w:val="20"/>
              </w:rPr>
            </w:pPr>
            <w:r>
              <w:rPr>
                <w:sz w:val="20"/>
              </w:rPr>
              <w:t>火灾、爆炸引发伴生</w:t>
            </w:r>
            <w:r>
              <w:rPr>
                <w:rFonts w:ascii="Times New Roman" w:hAnsi="Times New Roman"/>
                <w:sz w:val="20"/>
              </w:rPr>
              <w:t>/</w:t>
            </w:r>
            <w:r>
              <w:rPr>
                <w:sz w:val="20"/>
              </w:rPr>
              <w:t xml:space="preserve">次生污染物排放 </w:t>
            </w:r>
            <w:r>
              <w:rPr>
                <w:rFonts w:ascii="Wingdings" w:hAnsi="Wingdings"/>
                <w:sz w:val="20"/>
              </w:rPr>
              <w:t></w:t>
            </w:r>
          </w:p>
        </w:tc>
      </w:tr>
      <w:tr w14:paraId="272ED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404" w:type="dxa"/>
            <w:vMerge w:val="continue"/>
            <w:tcBorders>
              <w:top w:val="nil"/>
            </w:tcBorders>
          </w:tcPr>
          <w:p w14:paraId="2026279F">
            <w:pPr>
              <w:rPr>
                <w:sz w:val="2"/>
                <w:szCs w:val="2"/>
              </w:rPr>
            </w:pPr>
          </w:p>
        </w:tc>
        <w:tc>
          <w:tcPr>
            <w:tcW w:w="1198" w:type="dxa"/>
          </w:tcPr>
          <w:p w14:paraId="6FA6C18B">
            <w:pPr>
              <w:pStyle w:val="14"/>
              <w:spacing w:before="9"/>
              <w:ind w:left="175" w:right="173"/>
              <w:jc w:val="center"/>
              <w:rPr>
                <w:sz w:val="20"/>
              </w:rPr>
            </w:pPr>
            <w:r>
              <w:rPr>
                <w:sz w:val="20"/>
              </w:rPr>
              <w:t>影响途径</w:t>
            </w:r>
          </w:p>
        </w:tc>
        <w:tc>
          <w:tcPr>
            <w:tcW w:w="2682" w:type="dxa"/>
            <w:gridSpan w:val="2"/>
          </w:tcPr>
          <w:p w14:paraId="5791E3A2">
            <w:pPr>
              <w:pStyle w:val="14"/>
              <w:spacing w:before="9"/>
              <w:ind w:left="980" w:right="975"/>
              <w:jc w:val="center"/>
              <w:rPr>
                <w:rFonts w:ascii="Wingdings" w:hAnsi="Wingdings"/>
                <w:sz w:val="20"/>
              </w:rPr>
            </w:pPr>
            <w:r>
              <w:rPr>
                <w:sz w:val="20"/>
              </w:rPr>
              <w:t xml:space="preserve">大气 </w:t>
            </w:r>
            <w:r>
              <w:rPr>
                <w:rFonts w:ascii="Wingdings" w:hAnsi="Wingdings"/>
                <w:sz w:val="20"/>
              </w:rPr>
              <w:t></w:t>
            </w:r>
          </w:p>
        </w:tc>
        <w:tc>
          <w:tcPr>
            <w:tcW w:w="1474" w:type="dxa"/>
            <w:gridSpan w:val="4"/>
          </w:tcPr>
          <w:p w14:paraId="4BF5D252">
            <w:pPr>
              <w:pStyle w:val="14"/>
              <w:spacing w:before="9"/>
              <w:ind w:left="316"/>
              <w:rPr>
                <w:rFonts w:ascii="Wingdings" w:hAnsi="Wingdings"/>
                <w:sz w:val="20"/>
              </w:rPr>
            </w:pPr>
            <w:r>
              <w:rPr>
                <w:sz w:val="20"/>
              </w:rPr>
              <w:t xml:space="preserve">地表水 </w:t>
            </w:r>
            <w:r>
              <w:rPr>
                <w:rFonts w:ascii="Wingdings" w:hAnsi="Wingdings"/>
                <w:sz w:val="20"/>
              </w:rPr>
              <w:t></w:t>
            </w:r>
          </w:p>
        </w:tc>
        <w:tc>
          <w:tcPr>
            <w:tcW w:w="3186" w:type="dxa"/>
            <w:gridSpan w:val="8"/>
          </w:tcPr>
          <w:p w14:paraId="38C9293C">
            <w:pPr>
              <w:pStyle w:val="14"/>
              <w:ind w:left="1126" w:right="1137"/>
              <w:jc w:val="center"/>
              <w:rPr>
                <w:rFonts w:ascii="Segoe UI Symbol" w:hAnsi="Segoe UI Symbol" w:eastAsia="Segoe UI Symbol"/>
                <w:sz w:val="20"/>
              </w:rPr>
            </w:pPr>
            <w:r>
              <w:rPr>
                <w:sz w:val="20"/>
              </w:rPr>
              <w:t xml:space="preserve">地下水 </w:t>
            </w:r>
            <w:r>
              <w:rPr>
                <w:rFonts w:ascii="Segoe UI Symbol" w:hAnsi="Segoe UI Symbol" w:eastAsia="Segoe UI Symbol"/>
                <w:sz w:val="20"/>
              </w:rPr>
              <w:t>☐</w:t>
            </w:r>
          </w:p>
        </w:tc>
      </w:tr>
      <w:tr w14:paraId="06733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602" w:type="dxa"/>
            <w:gridSpan w:val="2"/>
          </w:tcPr>
          <w:p w14:paraId="3F9DD188">
            <w:pPr>
              <w:pStyle w:val="14"/>
              <w:spacing w:before="129"/>
              <w:ind w:left="198"/>
              <w:rPr>
                <w:sz w:val="20"/>
              </w:rPr>
            </w:pPr>
            <w:r>
              <w:rPr>
                <w:sz w:val="20"/>
              </w:rPr>
              <w:t>事故情形分析</w:t>
            </w:r>
          </w:p>
        </w:tc>
        <w:tc>
          <w:tcPr>
            <w:tcW w:w="1308" w:type="dxa"/>
          </w:tcPr>
          <w:p w14:paraId="30239A95">
            <w:pPr>
              <w:pStyle w:val="14"/>
              <w:spacing w:before="1" w:line="242" w:lineRule="auto"/>
              <w:ind w:left="550" w:right="145" w:hanging="399"/>
              <w:rPr>
                <w:sz w:val="20"/>
              </w:rPr>
            </w:pPr>
            <w:r>
              <w:rPr>
                <w:sz w:val="20"/>
              </w:rPr>
              <w:t>源强设定方法</w:t>
            </w:r>
          </w:p>
        </w:tc>
        <w:tc>
          <w:tcPr>
            <w:tcW w:w="1374" w:type="dxa"/>
          </w:tcPr>
          <w:p w14:paraId="457D22A9">
            <w:pPr>
              <w:pStyle w:val="14"/>
              <w:spacing w:before="120"/>
              <w:ind w:left="226" w:right="224"/>
              <w:jc w:val="center"/>
              <w:rPr>
                <w:rFonts w:ascii="Segoe UI Symbol" w:hAnsi="Segoe UI Symbol" w:eastAsia="Segoe UI Symbol"/>
                <w:sz w:val="20"/>
              </w:rPr>
            </w:pPr>
            <w:r>
              <w:rPr>
                <w:sz w:val="20"/>
              </w:rPr>
              <w:t xml:space="preserve">计算法 </w:t>
            </w:r>
            <w:r>
              <w:rPr>
                <w:rFonts w:ascii="Segoe UI Symbol" w:hAnsi="Segoe UI Symbol" w:eastAsia="Segoe UI Symbol"/>
                <w:sz w:val="20"/>
              </w:rPr>
              <w:t>☐</w:t>
            </w:r>
          </w:p>
        </w:tc>
        <w:tc>
          <w:tcPr>
            <w:tcW w:w="1474" w:type="dxa"/>
            <w:gridSpan w:val="4"/>
          </w:tcPr>
          <w:p w14:paraId="4D26B04D">
            <w:pPr>
              <w:pStyle w:val="14"/>
              <w:spacing w:before="120"/>
              <w:ind w:left="119"/>
              <w:rPr>
                <w:rFonts w:ascii="Segoe UI Symbol" w:hAnsi="Segoe UI Symbol" w:eastAsia="Segoe UI Symbol"/>
                <w:sz w:val="20"/>
              </w:rPr>
            </w:pPr>
            <w:r>
              <w:rPr>
                <w:sz w:val="20"/>
              </w:rPr>
              <w:t xml:space="preserve">经验估计法 </w:t>
            </w:r>
            <w:r>
              <w:rPr>
                <w:rFonts w:ascii="Segoe UI Symbol" w:hAnsi="Segoe UI Symbol" w:eastAsia="Segoe UI Symbol"/>
                <w:sz w:val="20"/>
              </w:rPr>
              <w:t>☐</w:t>
            </w:r>
          </w:p>
        </w:tc>
        <w:tc>
          <w:tcPr>
            <w:tcW w:w="3186" w:type="dxa"/>
            <w:gridSpan w:val="8"/>
          </w:tcPr>
          <w:p w14:paraId="2C8282D3">
            <w:pPr>
              <w:pStyle w:val="14"/>
              <w:spacing w:before="120"/>
              <w:ind w:left="971"/>
              <w:rPr>
                <w:rFonts w:ascii="Segoe UI Symbol" w:hAnsi="Segoe UI Symbol" w:eastAsia="Segoe UI Symbol"/>
                <w:sz w:val="20"/>
              </w:rPr>
            </w:pPr>
            <w:r>
              <w:rPr>
                <w:sz w:val="20"/>
              </w:rPr>
              <w:t xml:space="preserve">其他估算法 </w:t>
            </w:r>
            <w:r>
              <w:rPr>
                <w:rFonts w:ascii="Segoe UI Symbol" w:hAnsi="Segoe UI Symbol" w:eastAsia="Segoe UI Symbol"/>
                <w:sz w:val="20"/>
              </w:rPr>
              <w:t>☐</w:t>
            </w:r>
          </w:p>
        </w:tc>
      </w:tr>
      <w:tr w14:paraId="7D413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4" w:type="dxa"/>
            <w:vMerge w:val="restart"/>
          </w:tcPr>
          <w:p w14:paraId="563B6357">
            <w:pPr>
              <w:pStyle w:val="14"/>
              <w:spacing w:before="136" w:line="242" w:lineRule="auto"/>
              <w:ind w:left="107" w:right="85"/>
              <w:jc w:val="both"/>
              <w:rPr>
                <w:sz w:val="20"/>
              </w:rPr>
            </w:pPr>
            <w:r>
              <w:rPr>
                <w:sz w:val="20"/>
              </w:rPr>
              <w:t>风险预测与评价</w:t>
            </w:r>
          </w:p>
        </w:tc>
        <w:tc>
          <w:tcPr>
            <w:tcW w:w="1198" w:type="dxa"/>
            <w:vMerge w:val="restart"/>
          </w:tcPr>
          <w:p w14:paraId="5EF091E7">
            <w:pPr>
              <w:pStyle w:val="14"/>
              <w:spacing w:before="12"/>
              <w:rPr>
                <w:b/>
                <w:sz w:val="28"/>
              </w:rPr>
            </w:pPr>
          </w:p>
          <w:p w14:paraId="4064D8D3">
            <w:pPr>
              <w:pStyle w:val="14"/>
              <w:ind w:left="394"/>
              <w:rPr>
                <w:sz w:val="20"/>
              </w:rPr>
            </w:pPr>
            <w:r>
              <w:rPr>
                <w:sz w:val="20"/>
              </w:rPr>
              <w:t>大气</w:t>
            </w:r>
          </w:p>
        </w:tc>
        <w:tc>
          <w:tcPr>
            <w:tcW w:w="1308" w:type="dxa"/>
          </w:tcPr>
          <w:p w14:paraId="2C8AE9CF">
            <w:pPr>
              <w:pStyle w:val="14"/>
              <w:spacing w:before="6"/>
              <w:ind w:left="171" w:right="169"/>
              <w:jc w:val="center"/>
              <w:rPr>
                <w:sz w:val="20"/>
              </w:rPr>
            </w:pPr>
            <w:r>
              <w:rPr>
                <w:sz w:val="20"/>
              </w:rPr>
              <w:t>预测模型</w:t>
            </w:r>
          </w:p>
        </w:tc>
        <w:tc>
          <w:tcPr>
            <w:tcW w:w="1374" w:type="dxa"/>
          </w:tcPr>
          <w:p w14:paraId="6024DD22">
            <w:pPr>
              <w:pStyle w:val="14"/>
              <w:spacing w:before="2"/>
              <w:ind w:left="226" w:right="222"/>
              <w:jc w:val="center"/>
              <w:rPr>
                <w:rFonts w:ascii="Segoe UI Symbol" w:hAnsi="Segoe UI Symbol"/>
                <w:sz w:val="20"/>
              </w:rPr>
            </w:pPr>
            <w:r>
              <w:rPr>
                <w:rFonts w:ascii="Times New Roman" w:hAnsi="Times New Roman"/>
                <w:sz w:val="20"/>
              </w:rPr>
              <w:t xml:space="preserve">SLAB </w:t>
            </w:r>
            <w:r>
              <w:rPr>
                <w:rFonts w:ascii="Segoe UI Symbol" w:hAnsi="Segoe UI Symbol"/>
                <w:sz w:val="20"/>
              </w:rPr>
              <w:t>☐</w:t>
            </w:r>
          </w:p>
        </w:tc>
        <w:tc>
          <w:tcPr>
            <w:tcW w:w="1474" w:type="dxa"/>
            <w:gridSpan w:val="4"/>
          </w:tcPr>
          <w:p w14:paraId="7A47CC10">
            <w:pPr>
              <w:pStyle w:val="14"/>
              <w:spacing w:before="2"/>
              <w:ind w:left="287"/>
              <w:rPr>
                <w:rFonts w:ascii="Segoe UI Symbol" w:hAnsi="Segoe UI Symbol"/>
                <w:sz w:val="20"/>
              </w:rPr>
            </w:pPr>
            <w:r>
              <w:rPr>
                <w:rFonts w:ascii="Times New Roman" w:hAnsi="Times New Roman"/>
                <w:sz w:val="20"/>
              </w:rPr>
              <w:t xml:space="preserve">AFTOX </w:t>
            </w:r>
            <w:r>
              <w:rPr>
                <w:rFonts w:ascii="Segoe UI Symbol" w:hAnsi="Segoe UI Symbol"/>
                <w:sz w:val="20"/>
              </w:rPr>
              <w:t>☐</w:t>
            </w:r>
          </w:p>
        </w:tc>
        <w:tc>
          <w:tcPr>
            <w:tcW w:w="3186" w:type="dxa"/>
            <w:gridSpan w:val="8"/>
          </w:tcPr>
          <w:p w14:paraId="63DF5713">
            <w:pPr>
              <w:pStyle w:val="14"/>
              <w:ind w:left="1126" w:right="1136"/>
              <w:jc w:val="center"/>
              <w:rPr>
                <w:rFonts w:ascii="Segoe UI Symbol" w:hAnsi="Segoe UI Symbol" w:eastAsia="Segoe UI Symbol"/>
                <w:sz w:val="20"/>
              </w:rPr>
            </w:pPr>
            <w:r>
              <w:rPr>
                <w:sz w:val="20"/>
              </w:rPr>
              <w:t xml:space="preserve">其他 </w:t>
            </w:r>
            <w:r>
              <w:rPr>
                <w:rFonts w:ascii="Segoe UI Symbol" w:hAnsi="Segoe UI Symbol" w:eastAsia="Segoe UI Symbol"/>
                <w:sz w:val="20"/>
              </w:rPr>
              <w:t>☐</w:t>
            </w:r>
          </w:p>
        </w:tc>
      </w:tr>
      <w:tr w14:paraId="151B9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04" w:type="dxa"/>
            <w:vMerge w:val="continue"/>
            <w:tcBorders>
              <w:top w:val="nil"/>
            </w:tcBorders>
          </w:tcPr>
          <w:p w14:paraId="4DB6FDEE">
            <w:pPr>
              <w:rPr>
                <w:sz w:val="2"/>
                <w:szCs w:val="2"/>
              </w:rPr>
            </w:pPr>
          </w:p>
        </w:tc>
        <w:tc>
          <w:tcPr>
            <w:tcW w:w="1198" w:type="dxa"/>
            <w:vMerge w:val="continue"/>
            <w:tcBorders>
              <w:top w:val="nil"/>
            </w:tcBorders>
          </w:tcPr>
          <w:p w14:paraId="6E3EDEE0">
            <w:pPr>
              <w:rPr>
                <w:sz w:val="2"/>
                <w:szCs w:val="2"/>
              </w:rPr>
            </w:pPr>
          </w:p>
        </w:tc>
        <w:tc>
          <w:tcPr>
            <w:tcW w:w="1308" w:type="dxa"/>
            <w:vMerge w:val="restart"/>
          </w:tcPr>
          <w:p w14:paraId="3E735F09">
            <w:pPr>
              <w:pStyle w:val="14"/>
              <w:spacing w:before="2"/>
              <w:rPr>
                <w:b/>
                <w:sz w:val="14"/>
              </w:rPr>
            </w:pPr>
          </w:p>
          <w:p w14:paraId="68157425">
            <w:pPr>
              <w:pStyle w:val="14"/>
              <w:spacing w:before="1"/>
              <w:ind w:left="250"/>
              <w:rPr>
                <w:sz w:val="20"/>
              </w:rPr>
            </w:pPr>
            <w:r>
              <w:rPr>
                <w:sz w:val="20"/>
              </w:rPr>
              <w:t>预测结果</w:t>
            </w:r>
          </w:p>
        </w:tc>
        <w:tc>
          <w:tcPr>
            <w:tcW w:w="6034" w:type="dxa"/>
            <w:gridSpan w:val="13"/>
          </w:tcPr>
          <w:p w14:paraId="2D2135E5">
            <w:pPr>
              <w:pStyle w:val="14"/>
              <w:tabs>
                <w:tab w:val="left" w:pos="4587"/>
              </w:tabs>
              <w:spacing w:before="2"/>
              <w:ind w:left="1270"/>
              <w:rPr>
                <w:rFonts w:ascii="Times New Roman" w:eastAsia="Times New Roman"/>
                <w:sz w:val="20"/>
              </w:rPr>
            </w:pPr>
            <w:r>
              <w:rPr>
                <w:sz w:val="20"/>
              </w:rPr>
              <w:t>大气毒性终点浓度</w:t>
            </w:r>
            <w:r>
              <w:rPr>
                <w:rFonts w:ascii="Times New Roman" w:eastAsia="Times New Roman"/>
                <w:sz w:val="20"/>
              </w:rPr>
              <w:t>-1</w:t>
            </w:r>
            <w:r>
              <w:rPr>
                <w:rFonts w:ascii="Times New Roman" w:eastAsia="Times New Roman"/>
                <w:spacing w:val="-1"/>
                <w:sz w:val="20"/>
              </w:rPr>
              <w:t xml:space="preserve"> </w:t>
            </w:r>
            <w:r>
              <w:rPr>
                <w:sz w:val="20"/>
              </w:rPr>
              <w:t>最大影响范围</w:t>
            </w:r>
            <w:r>
              <w:rPr>
                <w:sz w:val="20"/>
              </w:rPr>
              <w:tab/>
            </w:r>
            <w:r>
              <w:rPr>
                <w:rFonts w:ascii="Times New Roman" w:eastAsia="Times New Roman"/>
                <w:sz w:val="20"/>
              </w:rPr>
              <w:t>m</w:t>
            </w:r>
          </w:p>
        </w:tc>
      </w:tr>
      <w:tr w14:paraId="49E08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404" w:type="dxa"/>
            <w:vMerge w:val="continue"/>
            <w:tcBorders>
              <w:top w:val="nil"/>
            </w:tcBorders>
          </w:tcPr>
          <w:p w14:paraId="5C7FB1A2">
            <w:pPr>
              <w:rPr>
                <w:sz w:val="2"/>
                <w:szCs w:val="2"/>
              </w:rPr>
            </w:pPr>
          </w:p>
        </w:tc>
        <w:tc>
          <w:tcPr>
            <w:tcW w:w="1198" w:type="dxa"/>
            <w:vMerge w:val="continue"/>
            <w:tcBorders>
              <w:top w:val="nil"/>
            </w:tcBorders>
          </w:tcPr>
          <w:p w14:paraId="63B65649">
            <w:pPr>
              <w:rPr>
                <w:sz w:val="2"/>
                <w:szCs w:val="2"/>
              </w:rPr>
            </w:pPr>
          </w:p>
        </w:tc>
        <w:tc>
          <w:tcPr>
            <w:tcW w:w="1308" w:type="dxa"/>
            <w:vMerge w:val="continue"/>
            <w:tcBorders>
              <w:top w:val="nil"/>
            </w:tcBorders>
          </w:tcPr>
          <w:p w14:paraId="671C534F">
            <w:pPr>
              <w:rPr>
                <w:sz w:val="2"/>
                <w:szCs w:val="2"/>
              </w:rPr>
            </w:pPr>
          </w:p>
        </w:tc>
        <w:tc>
          <w:tcPr>
            <w:tcW w:w="6034" w:type="dxa"/>
            <w:gridSpan w:val="13"/>
          </w:tcPr>
          <w:p w14:paraId="2EB9E995">
            <w:pPr>
              <w:pStyle w:val="14"/>
              <w:tabs>
                <w:tab w:val="left" w:pos="4587"/>
              </w:tabs>
              <w:spacing w:before="1"/>
              <w:ind w:left="1270"/>
              <w:rPr>
                <w:rFonts w:ascii="Times New Roman" w:eastAsia="Times New Roman"/>
                <w:sz w:val="20"/>
              </w:rPr>
            </w:pPr>
            <w:r>
              <w:rPr>
                <w:sz w:val="20"/>
              </w:rPr>
              <w:t>大气毒性终点浓度</w:t>
            </w:r>
            <w:r>
              <w:rPr>
                <w:rFonts w:ascii="Times New Roman" w:eastAsia="Times New Roman"/>
                <w:sz w:val="20"/>
              </w:rPr>
              <w:t>-2</w:t>
            </w:r>
            <w:r>
              <w:rPr>
                <w:rFonts w:ascii="Times New Roman" w:eastAsia="Times New Roman"/>
                <w:spacing w:val="-1"/>
                <w:sz w:val="20"/>
              </w:rPr>
              <w:t xml:space="preserve"> </w:t>
            </w:r>
            <w:r>
              <w:rPr>
                <w:sz w:val="20"/>
              </w:rPr>
              <w:t>最大影响范围</w:t>
            </w:r>
            <w:r>
              <w:rPr>
                <w:sz w:val="20"/>
              </w:rPr>
              <w:tab/>
            </w:r>
            <w:r>
              <w:rPr>
                <w:rFonts w:ascii="Times New Roman" w:eastAsia="Times New Roman"/>
                <w:sz w:val="20"/>
              </w:rPr>
              <w:t>m</w:t>
            </w:r>
          </w:p>
        </w:tc>
      </w:tr>
      <w:tr w14:paraId="5E03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04" w:type="dxa"/>
            <w:vMerge w:val="continue"/>
            <w:tcBorders>
              <w:top w:val="nil"/>
            </w:tcBorders>
          </w:tcPr>
          <w:p w14:paraId="71E085C2">
            <w:pPr>
              <w:rPr>
                <w:sz w:val="2"/>
                <w:szCs w:val="2"/>
              </w:rPr>
            </w:pPr>
          </w:p>
        </w:tc>
        <w:tc>
          <w:tcPr>
            <w:tcW w:w="1198" w:type="dxa"/>
          </w:tcPr>
          <w:p w14:paraId="04FE6ABC">
            <w:pPr>
              <w:pStyle w:val="14"/>
              <w:spacing w:before="2"/>
              <w:ind w:left="175" w:right="171"/>
              <w:jc w:val="center"/>
              <w:rPr>
                <w:sz w:val="20"/>
              </w:rPr>
            </w:pPr>
            <w:r>
              <w:rPr>
                <w:sz w:val="20"/>
              </w:rPr>
              <w:t>地表水</w:t>
            </w:r>
          </w:p>
        </w:tc>
        <w:tc>
          <w:tcPr>
            <w:tcW w:w="7342" w:type="dxa"/>
            <w:gridSpan w:val="14"/>
          </w:tcPr>
          <w:p w14:paraId="3C76B810">
            <w:pPr>
              <w:pStyle w:val="14"/>
              <w:tabs>
                <w:tab w:val="left" w:pos="3862"/>
                <w:tab w:val="left" w:pos="5213"/>
              </w:tabs>
              <w:spacing w:before="2"/>
              <w:ind w:left="2012"/>
              <w:rPr>
                <w:rFonts w:ascii="Times New Roman" w:eastAsia="Times New Roman"/>
                <w:sz w:val="20"/>
              </w:rPr>
            </w:pPr>
            <w:r>
              <w:rPr>
                <w:sz w:val="20"/>
              </w:rPr>
              <w:t>最近环境敏感目标</w:t>
            </w:r>
            <w:r>
              <w:rPr>
                <w:sz w:val="20"/>
              </w:rPr>
              <w:tab/>
            </w:r>
            <w:r>
              <w:rPr>
                <w:sz w:val="20"/>
              </w:rPr>
              <w:t>，到达时间</w:t>
            </w:r>
            <w:r>
              <w:rPr>
                <w:sz w:val="20"/>
              </w:rPr>
              <w:tab/>
            </w:r>
            <w:r>
              <w:rPr>
                <w:rFonts w:ascii="Times New Roman" w:eastAsia="Times New Roman"/>
                <w:sz w:val="20"/>
              </w:rPr>
              <w:t>h</w:t>
            </w:r>
          </w:p>
        </w:tc>
      </w:tr>
      <w:tr w14:paraId="1113A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04" w:type="dxa"/>
            <w:vMerge w:val="continue"/>
            <w:tcBorders>
              <w:top w:val="nil"/>
            </w:tcBorders>
          </w:tcPr>
          <w:p w14:paraId="4E57BBE0">
            <w:pPr>
              <w:rPr>
                <w:sz w:val="2"/>
                <w:szCs w:val="2"/>
              </w:rPr>
            </w:pPr>
          </w:p>
        </w:tc>
        <w:tc>
          <w:tcPr>
            <w:tcW w:w="1198" w:type="dxa"/>
            <w:vMerge w:val="restart"/>
          </w:tcPr>
          <w:p w14:paraId="787B0D29">
            <w:pPr>
              <w:pStyle w:val="14"/>
              <w:spacing w:before="3"/>
              <w:rPr>
                <w:b/>
                <w:sz w:val="14"/>
              </w:rPr>
            </w:pPr>
          </w:p>
          <w:p w14:paraId="12244982">
            <w:pPr>
              <w:pStyle w:val="14"/>
              <w:ind w:left="296"/>
              <w:rPr>
                <w:sz w:val="20"/>
              </w:rPr>
            </w:pPr>
            <w:r>
              <w:rPr>
                <w:sz w:val="20"/>
              </w:rPr>
              <w:t>地下水</w:t>
            </w:r>
          </w:p>
        </w:tc>
        <w:tc>
          <w:tcPr>
            <w:tcW w:w="7342" w:type="dxa"/>
            <w:gridSpan w:val="14"/>
          </w:tcPr>
          <w:p w14:paraId="1524ADE4">
            <w:pPr>
              <w:pStyle w:val="14"/>
              <w:tabs>
                <w:tab w:val="left" w:pos="4786"/>
              </w:tabs>
              <w:spacing w:before="2"/>
              <w:ind w:left="2436"/>
              <w:rPr>
                <w:rFonts w:ascii="Times New Roman" w:eastAsia="Times New Roman"/>
                <w:sz w:val="20"/>
              </w:rPr>
            </w:pPr>
            <w:r>
              <w:rPr>
                <w:sz w:val="20"/>
              </w:rPr>
              <w:t>下游厂区边界到达时间</w:t>
            </w:r>
            <w:r>
              <w:rPr>
                <w:sz w:val="20"/>
              </w:rPr>
              <w:tab/>
            </w:r>
            <w:r>
              <w:rPr>
                <w:rFonts w:ascii="Times New Roman" w:eastAsia="Times New Roman"/>
                <w:sz w:val="20"/>
              </w:rPr>
              <w:t>d</w:t>
            </w:r>
          </w:p>
        </w:tc>
      </w:tr>
      <w:tr w14:paraId="2872F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04" w:type="dxa"/>
            <w:vMerge w:val="continue"/>
            <w:tcBorders>
              <w:top w:val="nil"/>
            </w:tcBorders>
          </w:tcPr>
          <w:p w14:paraId="6AD3451B">
            <w:pPr>
              <w:rPr>
                <w:sz w:val="2"/>
                <w:szCs w:val="2"/>
              </w:rPr>
            </w:pPr>
          </w:p>
        </w:tc>
        <w:tc>
          <w:tcPr>
            <w:tcW w:w="1198" w:type="dxa"/>
            <w:vMerge w:val="continue"/>
            <w:tcBorders>
              <w:top w:val="nil"/>
            </w:tcBorders>
          </w:tcPr>
          <w:p w14:paraId="66C0DF3A">
            <w:pPr>
              <w:rPr>
                <w:sz w:val="2"/>
                <w:szCs w:val="2"/>
              </w:rPr>
            </w:pPr>
          </w:p>
        </w:tc>
        <w:tc>
          <w:tcPr>
            <w:tcW w:w="7342" w:type="dxa"/>
            <w:gridSpan w:val="14"/>
          </w:tcPr>
          <w:p w14:paraId="7E2FC7B6">
            <w:pPr>
              <w:pStyle w:val="14"/>
              <w:tabs>
                <w:tab w:val="left" w:pos="3936"/>
                <w:tab w:val="left" w:pos="5237"/>
              </w:tabs>
              <w:spacing w:before="1"/>
              <w:ind w:left="1988"/>
              <w:rPr>
                <w:rFonts w:ascii="Times New Roman" w:eastAsia="Times New Roman"/>
                <w:sz w:val="20"/>
              </w:rPr>
            </w:pPr>
            <w:r>
              <w:rPr>
                <w:sz w:val="20"/>
              </w:rPr>
              <w:t>最近环境敏感目标</w:t>
            </w:r>
            <w:r>
              <w:rPr>
                <w:sz w:val="20"/>
              </w:rPr>
              <w:tab/>
            </w:r>
            <w:r>
              <w:rPr>
                <w:sz w:val="20"/>
              </w:rPr>
              <w:t>，到达时间</w:t>
            </w:r>
            <w:r>
              <w:rPr>
                <w:sz w:val="20"/>
              </w:rPr>
              <w:tab/>
            </w:r>
            <w:r>
              <w:rPr>
                <w:rFonts w:ascii="Times New Roman" w:eastAsia="Times New Roman"/>
                <w:sz w:val="20"/>
              </w:rPr>
              <w:t>d</w:t>
            </w:r>
          </w:p>
        </w:tc>
      </w:tr>
      <w:tr w14:paraId="14F4B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1602" w:type="dxa"/>
            <w:gridSpan w:val="2"/>
          </w:tcPr>
          <w:p w14:paraId="0DA592BC">
            <w:pPr>
              <w:pStyle w:val="14"/>
              <w:rPr>
                <w:b/>
                <w:sz w:val="20"/>
              </w:rPr>
            </w:pPr>
          </w:p>
          <w:p w14:paraId="76D0B912">
            <w:pPr>
              <w:pStyle w:val="14"/>
              <w:rPr>
                <w:b/>
                <w:sz w:val="20"/>
              </w:rPr>
            </w:pPr>
          </w:p>
          <w:p w14:paraId="4FD45B78">
            <w:pPr>
              <w:pStyle w:val="14"/>
              <w:spacing w:before="3"/>
              <w:rPr>
                <w:b/>
                <w:sz w:val="17"/>
              </w:rPr>
            </w:pPr>
          </w:p>
          <w:p w14:paraId="2BF8E76A">
            <w:pPr>
              <w:pStyle w:val="14"/>
              <w:spacing w:before="1"/>
              <w:ind w:left="599" w:right="191" w:hanging="401"/>
              <w:rPr>
                <w:sz w:val="20"/>
              </w:rPr>
            </w:pPr>
            <w:r>
              <w:rPr>
                <w:sz w:val="20"/>
              </w:rPr>
              <w:t>重点风险防范措施</w:t>
            </w:r>
          </w:p>
        </w:tc>
        <w:tc>
          <w:tcPr>
            <w:tcW w:w="7342" w:type="dxa"/>
            <w:gridSpan w:val="14"/>
          </w:tcPr>
          <w:p w14:paraId="37F41E29">
            <w:pPr>
              <w:pStyle w:val="14"/>
              <w:spacing w:before="2"/>
              <w:ind w:left="106"/>
              <w:rPr>
                <w:sz w:val="20"/>
              </w:rPr>
            </w:pPr>
            <w:r>
              <w:rPr>
                <w:sz w:val="20"/>
              </w:rPr>
              <w:t>（</w:t>
            </w:r>
            <w:r>
              <w:rPr>
                <w:rFonts w:ascii="Times New Roman" w:eastAsia="Times New Roman"/>
                <w:sz w:val="20"/>
              </w:rPr>
              <w:t>1</w:t>
            </w:r>
            <w:r>
              <w:rPr>
                <w:sz w:val="20"/>
              </w:rPr>
              <w:t>）过氧乙酸、次氯酸钠泄露风险防范措施：</w:t>
            </w:r>
          </w:p>
          <w:p w14:paraId="51F84033">
            <w:pPr>
              <w:pStyle w:val="14"/>
              <w:spacing w:before="3" w:line="242" w:lineRule="auto"/>
              <w:ind w:left="106" w:right="112"/>
              <w:rPr>
                <w:sz w:val="20"/>
              </w:rPr>
            </w:pPr>
            <w:r>
              <w:rPr>
                <w:w w:val="95"/>
                <w:sz w:val="20"/>
              </w:rPr>
              <w:t xml:space="preserve">①对于危险化学品的购买、储存、保管、使用等需按照《危险化学品安全管理条  </w:t>
            </w:r>
            <w:r>
              <w:rPr>
                <w:sz w:val="20"/>
              </w:rPr>
              <w:t>例》之规定管理。在过氧乙酸和次氯酸钠的运输、储存过程中，必须严格执行</w:t>
            </w:r>
          </w:p>
          <w:p w14:paraId="391062BB">
            <w:pPr>
              <w:pStyle w:val="14"/>
              <w:spacing w:before="1"/>
              <w:ind w:left="106"/>
              <w:rPr>
                <w:sz w:val="20"/>
              </w:rPr>
            </w:pPr>
            <w:r>
              <w:rPr>
                <w:sz w:val="20"/>
              </w:rPr>
              <w:t>《危险化学品安全管理条例》等有关规定。</w:t>
            </w:r>
          </w:p>
          <w:p w14:paraId="3FC79769">
            <w:pPr>
              <w:pStyle w:val="14"/>
              <w:spacing w:before="3" w:line="242" w:lineRule="auto"/>
              <w:ind w:left="106" w:right="112"/>
              <w:jc w:val="both"/>
              <w:rPr>
                <w:sz w:val="20"/>
              </w:rPr>
            </w:pPr>
            <w:r>
              <w:rPr>
                <w:w w:val="95"/>
                <w:sz w:val="20"/>
              </w:rPr>
              <w:t xml:space="preserve">②选择合理的运输路线，尽量避开人口稠密区及居民生活区；同时对危险化学品  运输车辆的驾驶员进行严格的有关安全知识培训和资格认证。装卸作业必须在装  </w:t>
            </w:r>
            <w:r>
              <w:rPr>
                <w:sz w:val="20"/>
              </w:rPr>
              <w:t>卸管理人员的现场指挥下进行。</w:t>
            </w:r>
          </w:p>
          <w:p w14:paraId="7C9FA7DA">
            <w:pPr>
              <w:pStyle w:val="14"/>
              <w:spacing w:before="1" w:line="236" w:lineRule="exact"/>
              <w:ind w:left="106"/>
              <w:jc w:val="both"/>
              <w:rPr>
                <w:sz w:val="20"/>
              </w:rPr>
            </w:pPr>
            <w:r>
              <w:rPr>
                <w:sz w:val="20"/>
              </w:rPr>
              <w:t>③起运时包装要完整，装载应稳妥。运输过程中要确保容器不泄漏、不倒塌、不</w:t>
            </w:r>
          </w:p>
        </w:tc>
      </w:tr>
    </w:tbl>
    <w:p w14:paraId="4704625E">
      <w:pPr>
        <w:spacing w:after="0" w:line="236" w:lineRule="exact"/>
        <w:jc w:val="both"/>
        <w:rPr>
          <w:sz w:val="20"/>
        </w:rPr>
        <w:sectPr>
          <w:headerReference r:id="rId53" w:type="default"/>
          <w:footerReference r:id="rId54" w:type="default"/>
          <w:pgSz w:w="11910" w:h="16840"/>
          <w:pgMar w:top="1420" w:right="1360" w:bottom="1400" w:left="1380" w:header="878" w:footer="1204" w:gutter="0"/>
          <w:pgNumType w:start="215"/>
          <w:cols w:space="720" w:num="1"/>
        </w:sectPr>
      </w:pPr>
    </w:p>
    <w:tbl>
      <w:tblPr>
        <w:tblStyle w:val="1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1"/>
        <w:gridCol w:w="7328"/>
      </w:tblGrid>
      <w:tr w14:paraId="5F204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9" w:hRule="atLeast"/>
        </w:trPr>
        <w:tc>
          <w:tcPr>
            <w:tcW w:w="1601" w:type="dxa"/>
          </w:tcPr>
          <w:p w14:paraId="0C252195">
            <w:pPr>
              <w:pStyle w:val="14"/>
              <w:rPr>
                <w:rFonts w:ascii="Times New Roman"/>
                <w:sz w:val="18"/>
              </w:rPr>
            </w:pPr>
          </w:p>
        </w:tc>
        <w:tc>
          <w:tcPr>
            <w:tcW w:w="7328" w:type="dxa"/>
          </w:tcPr>
          <w:p w14:paraId="518CE24A">
            <w:pPr>
              <w:pStyle w:val="14"/>
              <w:spacing w:before="2" w:line="242" w:lineRule="auto"/>
              <w:ind w:left="107" w:right="97"/>
              <w:jc w:val="both"/>
              <w:rPr>
                <w:sz w:val="20"/>
              </w:rPr>
            </w:pPr>
            <w:r>
              <w:rPr>
                <w:w w:val="95"/>
                <w:sz w:val="20"/>
              </w:rPr>
              <w:t xml:space="preserve">坠落、不损坏。严禁与碱类、食用化学品等混装混运。运输时运输车辆应配备泄  </w:t>
            </w:r>
            <w:r>
              <w:rPr>
                <w:sz w:val="20"/>
              </w:rPr>
              <w:t>漏应急处理设备。运输途中应防曝晒、雨淋，防高温。</w:t>
            </w:r>
          </w:p>
          <w:p w14:paraId="7A6F3A09">
            <w:pPr>
              <w:pStyle w:val="14"/>
              <w:spacing w:before="1" w:line="242" w:lineRule="auto"/>
              <w:ind w:left="107" w:right="97"/>
              <w:jc w:val="both"/>
              <w:rPr>
                <w:sz w:val="20"/>
              </w:rPr>
            </w:pPr>
            <w:r>
              <w:rPr>
                <w:w w:val="95"/>
                <w:sz w:val="20"/>
              </w:rPr>
              <w:t xml:space="preserve">④危险化学品必须储存在专用仓库、专用场地或者专用储存室内，其储存方式、  方法与储存数量必须符合国家有关规定，并由专人管理，危险化学品出入库，必  须进行核查登记，并定期检查库存。危险化学品专用仓库，应当符合国家相关规  </w:t>
            </w:r>
            <w:r>
              <w:rPr>
                <w:sz w:val="20"/>
              </w:rPr>
              <w:t>定</w:t>
            </w:r>
            <w:r>
              <w:rPr>
                <w:rFonts w:ascii="Times New Roman" w:hAnsi="Times New Roman" w:eastAsia="Times New Roman"/>
                <w:sz w:val="20"/>
              </w:rPr>
              <w:t>(</w:t>
            </w:r>
            <w:r>
              <w:rPr>
                <w:sz w:val="20"/>
              </w:rPr>
              <w:t>安全、消防</w:t>
            </w:r>
            <w:r>
              <w:rPr>
                <w:rFonts w:ascii="Times New Roman" w:hAnsi="Times New Roman" w:eastAsia="Times New Roman"/>
                <w:sz w:val="20"/>
              </w:rPr>
              <w:t>)</w:t>
            </w:r>
            <w:r>
              <w:rPr>
                <w:sz w:val="20"/>
              </w:rPr>
              <w:t>要求，设置明显标志。</w:t>
            </w:r>
          </w:p>
          <w:p w14:paraId="12CE82F1">
            <w:pPr>
              <w:pStyle w:val="14"/>
              <w:spacing w:before="1" w:line="242" w:lineRule="auto"/>
              <w:ind w:left="107" w:right="97"/>
              <w:jc w:val="both"/>
              <w:rPr>
                <w:sz w:val="20"/>
              </w:rPr>
            </w:pPr>
            <w:r>
              <w:rPr>
                <w:w w:val="95"/>
                <w:sz w:val="20"/>
              </w:rPr>
              <w:t xml:space="preserve">⑤储存场所应当设置明显的禁止烟火的防火标志，严禁使用非防爆电气照明或明  火，电气线路若非十分必要不得架设，必须设置时必须采用防爆设计或采取防爆  措施。同时要注意与热源、明火、易燃可燃物质等分开。应与碱类分开存放，切  </w:t>
            </w:r>
            <w:r>
              <w:rPr>
                <w:sz w:val="20"/>
              </w:rPr>
              <w:t>忌混储。储区应备有泄漏应急处理设备和合适的收容材料。</w:t>
            </w:r>
          </w:p>
          <w:p w14:paraId="02EAAD12">
            <w:pPr>
              <w:pStyle w:val="14"/>
              <w:spacing w:before="2"/>
              <w:ind w:left="107"/>
              <w:jc w:val="both"/>
              <w:rPr>
                <w:sz w:val="20"/>
              </w:rPr>
            </w:pPr>
            <w:r>
              <w:rPr>
                <w:sz w:val="20"/>
              </w:rPr>
              <w:t>（</w:t>
            </w:r>
            <w:r>
              <w:rPr>
                <w:rFonts w:ascii="Times New Roman" w:eastAsia="Times New Roman"/>
                <w:sz w:val="20"/>
              </w:rPr>
              <w:t>2</w:t>
            </w:r>
            <w:r>
              <w:rPr>
                <w:sz w:val="20"/>
              </w:rPr>
              <w:t>）消防废水事故排放风险防范措施</w:t>
            </w:r>
          </w:p>
          <w:p w14:paraId="48B2F070">
            <w:pPr>
              <w:pStyle w:val="14"/>
              <w:spacing w:before="5"/>
              <w:ind w:left="107"/>
              <w:jc w:val="both"/>
              <w:rPr>
                <w:sz w:val="20"/>
              </w:rPr>
            </w:pPr>
            <w:r>
              <w:rPr>
                <w:sz w:val="20"/>
              </w:rPr>
              <w:t>①雨水、污水排放口设置应急阀门；</w:t>
            </w:r>
          </w:p>
          <w:p w14:paraId="4375366C">
            <w:pPr>
              <w:pStyle w:val="14"/>
              <w:spacing w:before="3" w:line="242" w:lineRule="auto"/>
              <w:ind w:left="107" w:right="97"/>
              <w:jc w:val="both"/>
              <w:rPr>
                <w:sz w:val="20"/>
              </w:rPr>
            </w:pPr>
            <w:r>
              <w:rPr>
                <w:w w:val="95"/>
                <w:sz w:val="20"/>
              </w:rPr>
              <w:t xml:space="preserve">②厂区消防废水通过沟渠收集进入雨水管网，在厂区雨水管网集中汇入市政雨水  </w:t>
            </w:r>
            <w:r>
              <w:rPr>
                <w:spacing w:val="6"/>
                <w:sz w:val="20"/>
              </w:rPr>
              <w:t>管网的节点上安装可靠的隔断措施，例如阀门等，可在灭火时将此隔断措施关</w:t>
            </w:r>
            <w:r>
              <w:rPr>
                <w:w w:val="99"/>
                <w:sz w:val="20"/>
              </w:rPr>
              <w:t>闭，将消防废水引入事故池（由污水站应急池兼作事故池</w:t>
            </w:r>
            <w:r>
              <w:rPr>
                <w:spacing w:val="-101"/>
                <w:w w:val="99"/>
                <w:sz w:val="20"/>
              </w:rPr>
              <w:t>）</w:t>
            </w:r>
            <w:r>
              <w:rPr>
                <w:w w:val="99"/>
                <w:sz w:val="20"/>
              </w:rPr>
              <w:t>，防止消防废水直接进</w:t>
            </w:r>
            <w:r>
              <w:rPr>
                <w:sz w:val="20"/>
              </w:rPr>
              <w:t>入市政雨水管网。</w:t>
            </w:r>
          </w:p>
          <w:p w14:paraId="2C35D2CE">
            <w:pPr>
              <w:pStyle w:val="14"/>
              <w:spacing w:before="2" w:line="242" w:lineRule="auto"/>
              <w:ind w:left="107" w:right="97"/>
              <w:jc w:val="both"/>
              <w:rPr>
                <w:sz w:val="20"/>
              </w:rPr>
            </w:pPr>
            <w:r>
              <w:rPr>
                <w:w w:val="95"/>
                <w:sz w:val="20"/>
              </w:rPr>
              <w:t xml:space="preserve">③在厂区边界预先准备适量的沙包，在厂区灭火时堵住厂界围墙有泄漏的地方，  </w:t>
            </w:r>
            <w:r>
              <w:rPr>
                <w:sz w:val="20"/>
              </w:rPr>
              <w:t>防止消防废水向场外泄漏；</w:t>
            </w:r>
          </w:p>
          <w:p w14:paraId="7936F767">
            <w:pPr>
              <w:pStyle w:val="14"/>
              <w:spacing w:before="1"/>
              <w:ind w:left="107"/>
              <w:jc w:val="both"/>
              <w:rPr>
                <w:sz w:val="20"/>
              </w:rPr>
            </w:pPr>
            <w:r>
              <w:rPr>
                <w:sz w:val="20"/>
              </w:rPr>
              <w:t>（</w:t>
            </w:r>
            <w:r>
              <w:rPr>
                <w:rFonts w:ascii="Times New Roman" w:eastAsia="Times New Roman"/>
                <w:sz w:val="20"/>
              </w:rPr>
              <w:t>3</w:t>
            </w:r>
            <w:r>
              <w:rPr>
                <w:sz w:val="20"/>
              </w:rPr>
              <w:t>）废水事故排放风险防范措施</w:t>
            </w:r>
          </w:p>
          <w:p w14:paraId="1373DB4A">
            <w:pPr>
              <w:pStyle w:val="14"/>
              <w:spacing w:before="3" w:line="242" w:lineRule="auto"/>
              <w:ind w:left="107" w:right="97"/>
              <w:jc w:val="both"/>
              <w:rPr>
                <w:sz w:val="20"/>
              </w:rPr>
            </w:pPr>
            <w:r>
              <w:rPr>
                <w:w w:val="95"/>
                <w:sz w:val="20"/>
              </w:rPr>
              <w:t xml:space="preserve">①配备足够的备用设备和应急零部件。加强对污水处理设施设备维修与保养，要  </w:t>
            </w:r>
            <w:r>
              <w:rPr>
                <w:sz w:val="20"/>
              </w:rPr>
              <w:t>求设施管理人员规范化操作，对泵、阀门等定期检修维护，防治突发事件发生；</w:t>
            </w:r>
          </w:p>
          <w:p w14:paraId="1AA4A7E3">
            <w:pPr>
              <w:pStyle w:val="14"/>
              <w:spacing w:line="242" w:lineRule="auto"/>
              <w:ind w:left="107" w:right="97"/>
              <w:jc w:val="both"/>
              <w:rPr>
                <w:sz w:val="20"/>
              </w:rPr>
            </w:pPr>
            <w:r>
              <w:rPr>
                <w:sz w:val="20"/>
              </w:rPr>
              <w:t>②制定污水处理设施事故应急预案，实施事故应急处理分级责任制，落实责任人， 并建立应对事故的机制和措施。</w:t>
            </w:r>
          </w:p>
          <w:p w14:paraId="0DF0DB8C">
            <w:pPr>
              <w:pStyle w:val="14"/>
              <w:spacing w:before="1" w:line="244" w:lineRule="auto"/>
              <w:ind w:left="107" w:right="97"/>
              <w:jc w:val="both"/>
              <w:rPr>
                <w:sz w:val="20"/>
              </w:rPr>
            </w:pPr>
            <w:r>
              <w:rPr>
                <w:w w:val="95"/>
                <w:sz w:val="20"/>
              </w:rPr>
              <w:t xml:space="preserve">③运行期项目配设污水排放在线监测设备，通过监测设备发现项目污水故障排放  时，立即关闭污水总排放处闸门防止污水超标排放，将污水引入污水处理站调节  </w:t>
            </w:r>
            <w:r>
              <w:rPr>
                <w:sz w:val="20"/>
              </w:rPr>
              <w:t>池内暂存，待污水处理设施检修完毕后再行处理。</w:t>
            </w:r>
          </w:p>
          <w:p w14:paraId="251AF569">
            <w:pPr>
              <w:pStyle w:val="14"/>
              <w:spacing w:line="250" w:lineRule="exact"/>
              <w:ind w:left="107"/>
              <w:jc w:val="both"/>
              <w:rPr>
                <w:sz w:val="20"/>
              </w:rPr>
            </w:pPr>
            <w:r>
              <w:rPr>
                <w:sz w:val="20"/>
              </w:rPr>
              <w:t>④加强运行管理和进出水的监测工作，未经处理达标的废水严禁外排。</w:t>
            </w:r>
          </w:p>
          <w:p w14:paraId="29F65212">
            <w:pPr>
              <w:pStyle w:val="14"/>
              <w:spacing w:before="5"/>
              <w:ind w:left="107"/>
              <w:jc w:val="both"/>
              <w:rPr>
                <w:sz w:val="20"/>
              </w:rPr>
            </w:pPr>
            <w:r>
              <w:rPr>
                <w:sz w:val="20"/>
              </w:rPr>
              <w:t>（</w:t>
            </w:r>
            <w:r>
              <w:rPr>
                <w:rFonts w:ascii="Times New Roman" w:eastAsia="Times New Roman"/>
                <w:sz w:val="20"/>
              </w:rPr>
              <w:t>4</w:t>
            </w:r>
            <w:r>
              <w:rPr>
                <w:sz w:val="20"/>
              </w:rPr>
              <w:t>）废气事故排放风险防范措施</w:t>
            </w:r>
          </w:p>
          <w:p w14:paraId="463BCD02">
            <w:pPr>
              <w:pStyle w:val="14"/>
              <w:spacing w:before="3"/>
              <w:ind w:left="107"/>
              <w:jc w:val="both"/>
              <w:rPr>
                <w:sz w:val="20"/>
              </w:rPr>
            </w:pPr>
            <w:r>
              <w:rPr>
                <w:sz w:val="20"/>
              </w:rPr>
              <w:t>①建立严格的操作规程，实行目标责任制，保证环保设施的正常运行。</w:t>
            </w:r>
          </w:p>
          <w:p w14:paraId="52FE63D2">
            <w:pPr>
              <w:pStyle w:val="14"/>
              <w:spacing w:before="3"/>
              <w:ind w:left="107"/>
              <w:jc w:val="both"/>
              <w:rPr>
                <w:sz w:val="20"/>
              </w:rPr>
            </w:pPr>
            <w:r>
              <w:rPr>
                <w:sz w:val="20"/>
              </w:rPr>
              <w:t>②对废气处理设施定期监测、维护，以确保废气处理设施正常运行。</w:t>
            </w:r>
          </w:p>
          <w:p w14:paraId="2C998F0F">
            <w:pPr>
              <w:pStyle w:val="14"/>
              <w:spacing w:before="3"/>
              <w:ind w:left="107"/>
              <w:jc w:val="both"/>
              <w:rPr>
                <w:sz w:val="20"/>
              </w:rPr>
            </w:pPr>
            <w:r>
              <w:rPr>
                <w:sz w:val="20"/>
              </w:rPr>
              <w:t>③废气处理设施设置标准并注明注意事项，防治错误操作引起的事故排放。</w:t>
            </w:r>
          </w:p>
          <w:p w14:paraId="1BD6ED1E">
            <w:pPr>
              <w:pStyle w:val="14"/>
              <w:spacing w:line="260" w:lineRule="atLeast"/>
              <w:ind w:left="107" w:right="97"/>
              <w:jc w:val="both"/>
              <w:rPr>
                <w:sz w:val="20"/>
              </w:rPr>
            </w:pPr>
            <w:r>
              <w:rPr>
                <w:w w:val="95"/>
                <w:sz w:val="20"/>
              </w:rPr>
              <w:t xml:space="preserve">④加强对职工的安全教育，制定严格的工作制度，所有操作人员必须了解接触的  </w:t>
            </w:r>
            <w:r>
              <w:rPr>
                <w:sz w:val="20"/>
              </w:rPr>
              <w:t>化学品的有害作用及对患者的急救措施，保证生产的正常运行和员工的身体健康。</w:t>
            </w:r>
          </w:p>
        </w:tc>
      </w:tr>
      <w:tr w14:paraId="4CB9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7" w:hRule="atLeast"/>
        </w:trPr>
        <w:tc>
          <w:tcPr>
            <w:tcW w:w="1601" w:type="dxa"/>
          </w:tcPr>
          <w:p w14:paraId="1E826470">
            <w:pPr>
              <w:pStyle w:val="14"/>
              <w:rPr>
                <w:b/>
                <w:sz w:val="20"/>
              </w:rPr>
            </w:pPr>
          </w:p>
          <w:p w14:paraId="00FD67CA">
            <w:pPr>
              <w:pStyle w:val="14"/>
              <w:rPr>
                <w:b/>
                <w:sz w:val="20"/>
              </w:rPr>
            </w:pPr>
          </w:p>
          <w:p w14:paraId="16BD1A51">
            <w:pPr>
              <w:pStyle w:val="14"/>
              <w:spacing w:before="136" w:line="242" w:lineRule="auto"/>
              <w:ind w:left="700" w:right="190" w:hanging="502"/>
              <w:rPr>
                <w:sz w:val="20"/>
              </w:rPr>
            </w:pPr>
            <w:r>
              <w:rPr>
                <w:sz w:val="20"/>
              </w:rPr>
              <w:t>评价结果与建议</w:t>
            </w:r>
          </w:p>
        </w:tc>
        <w:tc>
          <w:tcPr>
            <w:tcW w:w="7328" w:type="dxa"/>
          </w:tcPr>
          <w:p w14:paraId="1578DE36">
            <w:pPr>
              <w:pStyle w:val="14"/>
              <w:spacing w:line="242" w:lineRule="auto"/>
              <w:ind w:left="107" w:right="97"/>
              <w:jc w:val="both"/>
              <w:rPr>
                <w:sz w:val="20"/>
              </w:rPr>
            </w:pPr>
            <w:r>
              <w:rPr>
                <w:w w:val="95"/>
                <w:sz w:val="20"/>
              </w:rPr>
              <w:t xml:space="preserve">本项目采用成熟可靠的生产工艺和设备，各部门在设计中严格执行行业有关规范  中的安全卫生条款，对影响环境安全的因素采取了有效的防范措施，正常情况下  </w:t>
            </w:r>
            <w:r>
              <w:rPr>
                <w:sz w:val="20"/>
              </w:rPr>
              <w:t>能够保证安全生产和达到工业企业设计卫生标准的要求，通过采取安全防范措</w:t>
            </w:r>
            <w:r>
              <w:rPr>
                <w:w w:val="95"/>
                <w:sz w:val="20"/>
              </w:rPr>
              <w:t xml:space="preserve">施，该项目在建成后能够有效防止化学品泄漏事故的发生，而且一旦发生事故，  依靠拟定的安全防护设施和事故应急措施也能及时控制事故，防止事故的蔓延。  通过认真落各项风险防范措施，编制和实行突发环境事件应急预案，该项目环境  </w:t>
            </w:r>
            <w:r>
              <w:rPr>
                <w:sz w:val="20"/>
              </w:rPr>
              <w:t>风险属于可接受水平。</w:t>
            </w:r>
          </w:p>
        </w:tc>
      </w:tr>
      <w:tr w14:paraId="698D3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929" w:type="dxa"/>
            <w:gridSpan w:val="2"/>
          </w:tcPr>
          <w:p w14:paraId="7F9BDEA7">
            <w:pPr>
              <w:pStyle w:val="14"/>
              <w:spacing w:before="2"/>
              <w:ind w:left="107"/>
              <w:rPr>
                <w:sz w:val="20"/>
              </w:rPr>
            </w:pPr>
            <w:r>
              <w:rPr>
                <w:sz w:val="20"/>
              </w:rPr>
              <w:t>注：</w:t>
            </w:r>
            <w:r>
              <w:rPr>
                <w:rFonts w:ascii="Times New Roman" w:hAnsi="Times New Roman" w:eastAsia="Times New Roman"/>
                <w:sz w:val="20"/>
              </w:rPr>
              <w:t>“□”</w:t>
            </w:r>
            <w:r>
              <w:rPr>
                <w:sz w:val="20"/>
              </w:rPr>
              <w:t>为勾选项，</w:t>
            </w:r>
            <w:r>
              <w:rPr>
                <w:rFonts w:ascii="Times New Roman" w:hAnsi="Times New Roman" w:eastAsia="Times New Roman"/>
                <w:sz w:val="20"/>
              </w:rPr>
              <w:t>“ ”</w:t>
            </w:r>
            <w:r>
              <w:rPr>
                <w:sz w:val="20"/>
              </w:rPr>
              <w:t>为填写项。</w:t>
            </w:r>
          </w:p>
        </w:tc>
      </w:tr>
    </w:tbl>
    <w:p w14:paraId="6609B875">
      <w:pPr>
        <w:spacing w:after="0"/>
        <w:rPr>
          <w:sz w:val="20"/>
        </w:rPr>
        <w:sectPr>
          <w:pgSz w:w="11910" w:h="16840"/>
          <w:pgMar w:top="1420" w:right="1360" w:bottom="1400" w:left="1380" w:header="878" w:footer="1204" w:gutter="0"/>
          <w:cols w:space="720" w:num="1"/>
        </w:sectPr>
      </w:pPr>
    </w:p>
    <w:p w14:paraId="702566BC">
      <w:pPr>
        <w:pStyle w:val="7"/>
        <w:rPr>
          <w:b/>
          <w:sz w:val="20"/>
        </w:rPr>
      </w:pPr>
    </w:p>
    <w:p w14:paraId="5C84A3F7">
      <w:pPr>
        <w:pStyle w:val="7"/>
        <w:rPr>
          <w:b/>
          <w:sz w:val="20"/>
        </w:rPr>
      </w:pPr>
    </w:p>
    <w:p w14:paraId="4A8EFE69">
      <w:pPr>
        <w:pStyle w:val="7"/>
        <w:spacing w:before="5"/>
        <w:rPr>
          <w:b/>
          <w:sz w:val="19"/>
        </w:rPr>
      </w:pPr>
    </w:p>
    <w:p w14:paraId="65579437">
      <w:pPr>
        <w:pStyle w:val="6"/>
        <w:spacing w:before="1"/>
        <w:ind w:left="4969"/>
      </w:pPr>
      <w:r>
        <w:t xml:space="preserve">表 </w:t>
      </w:r>
      <w:r>
        <w:rPr>
          <w:rFonts w:ascii="Times New Roman" w:eastAsia="Times New Roman"/>
        </w:rPr>
        <w:t xml:space="preserve">5 </w:t>
      </w:r>
      <w:r>
        <w:t>建设项目环境影响报告书审批基础信息表</w:t>
      </w:r>
    </w:p>
    <w:p w14:paraId="25600F84">
      <w:pPr>
        <w:pStyle w:val="7"/>
        <w:spacing w:before="5"/>
        <w:rPr>
          <w:b/>
          <w:sz w:val="15"/>
        </w:rPr>
      </w:pPr>
      <w:r>
        <w:drawing>
          <wp:anchor distT="0" distB="0" distL="0" distR="0" simplePos="0" relativeHeight="251660288" behindDoc="0" locked="0" layoutInCell="1" allowOverlap="1">
            <wp:simplePos x="0" y="0"/>
            <wp:positionH relativeFrom="page">
              <wp:posOffset>1015365</wp:posOffset>
            </wp:positionH>
            <wp:positionV relativeFrom="paragraph">
              <wp:posOffset>150495</wp:posOffset>
            </wp:positionV>
            <wp:extent cx="8554720" cy="4785360"/>
            <wp:effectExtent l="0" t="0" r="0" b="0"/>
            <wp:wrapTopAndBottom/>
            <wp:docPr id="10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7.jpeg"/>
                    <pic:cNvPicPr>
                      <a:picLocks noChangeAspect="1"/>
                    </pic:cNvPicPr>
                  </pic:nvPicPr>
                  <pic:blipFill>
                    <a:blip r:embed="rId90" cstate="print"/>
                    <a:stretch>
                      <a:fillRect/>
                    </a:stretch>
                  </pic:blipFill>
                  <pic:spPr>
                    <a:xfrm>
                      <a:off x="0" y="0"/>
                      <a:ext cx="8554523" cy="4785360"/>
                    </a:xfrm>
                    <a:prstGeom prst="rect">
                      <a:avLst/>
                    </a:prstGeom>
                  </pic:spPr>
                </pic:pic>
              </a:graphicData>
            </a:graphic>
          </wp:anchor>
        </w:drawing>
      </w:r>
    </w:p>
    <w:p w14:paraId="02BC3EC7">
      <w:pPr>
        <w:spacing w:after="0"/>
        <w:rPr>
          <w:sz w:val="15"/>
        </w:rPr>
        <w:sectPr>
          <w:headerReference r:id="rId55" w:type="default"/>
          <w:footerReference r:id="rId56" w:type="default"/>
          <w:pgSz w:w="16840" w:h="11910" w:orient="landscape"/>
          <w:pgMar w:top="1100" w:right="560" w:bottom="1400" w:left="1040" w:header="878" w:footer="1204" w:gutter="0"/>
          <w:pgNumType w:start="217"/>
          <w:cols w:space="720" w:num="1"/>
        </w:sectPr>
      </w:pPr>
    </w:p>
    <w:p w14:paraId="4D7B0EF7">
      <w:pPr>
        <w:pStyle w:val="7"/>
        <w:rPr>
          <w:rFonts w:ascii="Times New Roman"/>
          <w:sz w:val="20"/>
        </w:rPr>
      </w:pPr>
    </w:p>
    <w:p w14:paraId="34C26061">
      <w:pPr>
        <w:pStyle w:val="7"/>
        <w:rPr>
          <w:rFonts w:ascii="Times New Roman"/>
          <w:sz w:val="20"/>
        </w:rPr>
      </w:pPr>
    </w:p>
    <w:p w14:paraId="05DD929F">
      <w:pPr>
        <w:pStyle w:val="7"/>
        <w:rPr>
          <w:rFonts w:ascii="Times New Roman"/>
          <w:sz w:val="20"/>
        </w:rPr>
      </w:pPr>
    </w:p>
    <w:p w14:paraId="7EFE305E">
      <w:pPr>
        <w:pStyle w:val="7"/>
        <w:rPr>
          <w:rFonts w:ascii="Times New Roman"/>
          <w:sz w:val="20"/>
        </w:rPr>
      </w:pPr>
    </w:p>
    <w:p w14:paraId="42B88285">
      <w:pPr>
        <w:pStyle w:val="7"/>
        <w:spacing w:before="11"/>
        <w:rPr>
          <w:rFonts w:ascii="Times New Roman"/>
          <w:sz w:val="16"/>
        </w:rPr>
      </w:pPr>
    </w:p>
    <w:p w14:paraId="25073C1B">
      <w:pPr>
        <w:pStyle w:val="7"/>
        <w:ind w:left="794"/>
        <w:rPr>
          <w:rFonts w:ascii="Times New Roman"/>
          <w:sz w:val="20"/>
        </w:rPr>
      </w:pPr>
      <w:r>
        <w:rPr>
          <w:rFonts w:ascii="Times New Roman"/>
          <w:sz w:val="20"/>
        </w:rPr>
        <w:drawing>
          <wp:inline distT="0" distB="0" distL="0" distR="0">
            <wp:extent cx="8134985" cy="4777740"/>
            <wp:effectExtent l="0" t="0" r="0" b="0"/>
            <wp:docPr id="10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8.jpeg"/>
                    <pic:cNvPicPr>
                      <a:picLocks noChangeAspect="1"/>
                    </pic:cNvPicPr>
                  </pic:nvPicPr>
                  <pic:blipFill>
                    <a:blip r:embed="rId91" cstate="print"/>
                    <a:stretch>
                      <a:fillRect/>
                    </a:stretch>
                  </pic:blipFill>
                  <pic:spPr>
                    <a:xfrm>
                      <a:off x="0" y="0"/>
                      <a:ext cx="8135486" cy="4777740"/>
                    </a:xfrm>
                    <a:prstGeom prst="rect">
                      <a:avLst/>
                    </a:prstGeom>
                  </pic:spPr>
                </pic:pic>
              </a:graphicData>
            </a:graphic>
          </wp:inline>
        </w:drawing>
      </w:r>
    </w:p>
    <w:p w14:paraId="7ED0AFD8">
      <w:pPr>
        <w:spacing w:after="0"/>
        <w:rPr>
          <w:rFonts w:ascii="Times New Roman"/>
          <w:sz w:val="20"/>
        </w:rPr>
        <w:sectPr>
          <w:pgSz w:w="16840" w:h="11910" w:orient="landscape"/>
          <w:pgMar w:top="1100" w:right="560" w:bottom="1400" w:left="1040" w:header="878" w:footer="1204" w:gutter="0"/>
          <w:cols w:space="720" w:num="1"/>
        </w:sectPr>
      </w:pPr>
    </w:p>
    <w:p w14:paraId="3393BD95">
      <w:pPr>
        <w:pStyle w:val="7"/>
        <w:rPr>
          <w:rFonts w:ascii="Times New Roman"/>
          <w:sz w:val="20"/>
        </w:rPr>
      </w:pPr>
    </w:p>
    <w:p w14:paraId="3CDEE001">
      <w:pPr>
        <w:pStyle w:val="7"/>
        <w:rPr>
          <w:rFonts w:ascii="Times New Roman"/>
          <w:sz w:val="20"/>
        </w:rPr>
      </w:pPr>
    </w:p>
    <w:p w14:paraId="109DADCC">
      <w:pPr>
        <w:pStyle w:val="7"/>
        <w:rPr>
          <w:rFonts w:ascii="Times New Roman"/>
          <w:sz w:val="20"/>
        </w:rPr>
      </w:pPr>
    </w:p>
    <w:p w14:paraId="0330C03F">
      <w:pPr>
        <w:pStyle w:val="7"/>
        <w:rPr>
          <w:rFonts w:ascii="Times New Roman"/>
          <w:sz w:val="20"/>
        </w:rPr>
      </w:pPr>
    </w:p>
    <w:p w14:paraId="28553554">
      <w:pPr>
        <w:pStyle w:val="7"/>
        <w:rPr>
          <w:rFonts w:ascii="Times New Roman"/>
          <w:sz w:val="22"/>
        </w:rPr>
      </w:pPr>
    </w:p>
    <w:p w14:paraId="72413D17">
      <w:pPr>
        <w:pStyle w:val="7"/>
        <w:ind w:left="625"/>
        <w:rPr>
          <w:rFonts w:ascii="Times New Roman"/>
          <w:sz w:val="20"/>
        </w:rPr>
        <w:sectPr>
          <w:pgSz w:w="16840" w:h="11910" w:orient="landscape"/>
          <w:pgMar w:top="1100" w:right="560" w:bottom="1400" w:left="1040" w:header="878" w:footer="1204" w:gutter="0"/>
          <w:cols w:space="720" w:num="1"/>
        </w:sectPr>
      </w:pPr>
      <w:r>
        <w:rPr>
          <w:rFonts w:ascii="Times New Roman"/>
          <w:sz w:val="20"/>
        </w:rPr>
        <w:drawing>
          <wp:inline distT="0" distB="0" distL="0" distR="0">
            <wp:extent cx="8349615" cy="3803650"/>
            <wp:effectExtent l="0" t="0" r="0" b="0"/>
            <wp:docPr id="10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9.jpeg"/>
                    <pic:cNvPicPr>
                      <a:picLocks noChangeAspect="1"/>
                    </pic:cNvPicPr>
                  </pic:nvPicPr>
                  <pic:blipFill>
                    <a:blip r:embed="rId92" cstate="print"/>
                    <a:stretch>
                      <a:fillRect/>
                    </a:stretch>
                  </pic:blipFill>
                  <pic:spPr>
                    <a:xfrm>
                      <a:off x="0" y="0"/>
                      <a:ext cx="8350246" cy="3803904"/>
                    </a:xfrm>
                    <a:prstGeom prst="rect">
                      <a:avLst/>
                    </a:prstGeom>
                  </pic:spPr>
                </pic:pic>
              </a:graphicData>
            </a:graphic>
          </wp:inline>
        </w:drawing>
      </w:r>
      <w:bookmarkStart w:id="394" w:name="_GoBack"/>
      <w:bookmarkEnd w:id="394"/>
    </w:p>
    <w:p w14:paraId="55A2F275">
      <w:pPr>
        <w:spacing w:before="75"/>
        <w:ind w:right="0"/>
        <w:jc w:val="left"/>
        <w:rPr>
          <w:sz w:val="18"/>
        </w:rPr>
      </w:pPr>
    </w:p>
    <w:sectPr>
      <w:headerReference r:id="rId57" w:type="default"/>
      <w:footerReference r:id="rId58" w:type="default"/>
      <w:type w:val="continuous"/>
      <w:pgSz w:w="11910" w:h="16840"/>
      <w:pgMar w:top="1580" w:right="1580" w:bottom="280" w:left="1580" w:header="720" w:footer="720" w:gutter="0"/>
      <w:cols w:equalWidth="0" w:num="2">
        <w:col w:w="4628" w:space="258"/>
        <w:col w:w="386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7B7CB">
    <w:pPr>
      <w:pStyle w:val="7"/>
      <w:spacing w:line="14" w:lineRule="auto"/>
      <w:rPr>
        <w:sz w:val="20"/>
      </w:rPr>
    </w:pPr>
    <w:r>
      <w:pict>
        <v:shape id="_x0000_s2051" o:spid="_x0000_s2051" o:spt="202" type="#_x0000_t202" style="position:absolute;left:0pt;margin-left:351.3pt;margin-top:770.7pt;height:11pt;width:15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0A13BA7">
                <w:pPr>
                  <w:spacing w:before="0" w:line="220" w:lineRule="exact"/>
                  <w:ind w:left="20" w:right="0" w:firstLine="0"/>
                  <w:jc w:val="left"/>
                  <w:rPr>
                    <w:sz w:val="18"/>
                  </w:rPr>
                </w:pPr>
                <w:r>
                  <w:rPr>
                    <w:sz w:val="18"/>
                  </w:rPr>
                  <w:t>编制单位：湖南义格环保科技有限公司</w:t>
                </w:r>
              </w:p>
            </w:txbxContent>
          </v:textbox>
        </v:shape>
      </w:pict>
    </w:r>
    <w:r>
      <w:pict>
        <v:shape id="_x0000_s2052" o:spid="_x0000_s2052" o:spt="202" type="#_x0000_t202" style="position:absolute;left:0pt;margin-left:298.85pt;margin-top:781.2pt;height:12.1pt;width:15.4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6CAD4312">
                <w:pPr>
                  <w:spacing w:before="14"/>
                  <w:ind w:left="20" w:right="0" w:firstLine="0"/>
                  <w:jc w:val="left"/>
                  <w:rPr>
                    <w:rFonts w:ascii="Times New Roman"/>
                    <w:sz w:val="18"/>
                  </w:rPr>
                </w:pPr>
                <w:r>
                  <w:rPr>
                    <w:rFonts w:ascii="Times New Roman"/>
                    <w:sz w:val="18"/>
                  </w:rPr>
                  <w:t>- I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35EA7">
    <w:pPr>
      <w:pStyle w:val="7"/>
      <w:spacing w:line="14" w:lineRule="auto"/>
      <w:rPr>
        <w:sz w:val="20"/>
      </w:rPr>
    </w:pPr>
    <w:r>
      <w:pict>
        <v:shape id="_x0000_s2073" o:spid="_x0000_s2073"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DAAED20">
                <w:pPr>
                  <w:spacing w:before="0" w:line="220" w:lineRule="exact"/>
                  <w:ind w:left="20" w:right="0" w:firstLine="0"/>
                  <w:jc w:val="left"/>
                  <w:rPr>
                    <w:sz w:val="18"/>
                  </w:rPr>
                </w:pPr>
                <w:r>
                  <w:rPr>
                    <w:sz w:val="18"/>
                  </w:rPr>
                  <w:t>编制单位：湖南明启环保工程股份有限公司</w:t>
                </w:r>
              </w:p>
            </w:txbxContent>
          </v:textbox>
        </v:shape>
      </w:pict>
    </w:r>
    <w:r>
      <w:pict>
        <v:shape id="_x0000_s2074" o:spid="_x0000_s2074" o:spt="202" type="#_x0000_t202" style="position:absolute;left:0pt;margin-left:281.2pt;margin-top:781.2pt;height:12.1pt;width:23.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31AC9740">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40</w:t>
                </w:r>
                <w:r>
                  <w:fldChar w:fldCharType="end"/>
                </w:r>
                <w:r>
                  <w:rPr>
                    <w:rFonts w:ascii="Times New Roman"/>
                    <w:sz w:val="18"/>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6D650">
    <w:pPr>
      <w:pStyle w:val="7"/>
      <w:spacing w:line="14" w:lineRule="auto"/>
      <w:rPr>
        <w:sz w:val="20"/>
      </w:rPr>
    </w:pPr>
    <w:r>
      <w:pict>
        <v:shape id="_x0000_s2075" o:spid="_x0000_s2075"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2ACE5AF0">
                <w:pPr>
                  <w:spacing w:before="0" w:line="220" w:lineRule="exact"/>
                  <w:ind w:left="20" w:right="0" w:firstLine="0"/>
                  <w:jc w:val="left"/>
                  <w:rPr>
                    <w:sz w:val="18"/>
                  </w:rPr>
                </w:pPr>
                <w:r>
                  <w:rPr>
                    <w:sz w:val="18"/>
                  </w:rPr>
                  <w:t>编制单位：湖南明启环保工程股份有限公司</w:t>
                </w:r>
              </w:p>
            </w:txbxContent>
          </v:textbox>
        </v:shape>
      </w:pict>
    </w:r>
    <w:r>
      <w:pict>
        <v:shape id="_x0000_s2076" o:spid="_x0000_s2076" o:spt="202" type="#_x0000_t202" style="position:absolute;left:0pt;margin-left:281.2pt;margin-top:781.2pt;height:12.1pt;width:23.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A9556D1">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50</w:t>
                </w:r>
                <w:r>
                  <w:fldChar w:fldCharType="end"/>
                </w:r>
                <w:r>
                  <w:rPr>
                    <w:rFonts w:ascii="Times New Roman"/>
                    <w:sz w:val="18"/>
                  </w:rPr>
                  <w:t xml:space="preserve"> -</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4AE06">
    <w:pPr>
      <w:pStyle w:val="7"/>
      <w:spacing w:line="14" w:lineRule="auto"/>
      <w:rPr>
        <w:sz w:val="20"/>
      </w:rPr>
    </w:pPr>
    <w:r>
      <w:pict>
        <v:shape id="_x0000_s2077" o:spid="_x0000_s2077"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71CE5B83">
                <w:pPr>
                  <w:spacing w:before="0" w:line="220" w:lineRule="exact"/>
                  <w:ind w:left="20" w:right="0" w:firstLine="0"/>
                  <w:jc w:val="left"/>
                  <w:rPr>
                    <w:sz w:val="18"/>
                  </w:rPr>
                </w:pPr>
                <w:r>
                  <w:rPr>
                    <w:sz w:val="18"/>
                  </w:rPr>
                  <w:t>编制单位：湖南明启环保工程股份有限公司</w:t>
                </w:r>
              </w:p>
            </w:txbxContent>
          </v:textbox>
        </v:shape>
      </w:pict>
    </w:r>
    <w:r>
      <w:pict>
        <v:shape id="_x0000_s2078" o:spid="_x0000_s2078" o:spt="202" type="#_x0000_t202" style="position:absolute;left:0pt;margin-left:281.2pt;margin-top:781.2pt;height:12.1pt;width:23.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54FBE2B0">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60</w:t>
                </w:r>
                <w:r>
                  <w:fldChar w:fldCharType="end"/>
                </w:r>
                <w:r>
                  <w:rPr>
                    <w:rFonts w:ascii="Times New Roman"/>
                    <w:sz w:val="18"/>
                  </w:rPr>
                  <w:t xml:space="preserve"> -</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59448">
    <w:pPr>
      <w:pStyle w:val="7"/>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37558">
    <w:pPr>
      <w:pStyle w:val="7"/>
      <w:spacing w:line="14" w:lineRule="auto"/>
      <w:rPr>
        <w:sz w:val="20"/>
      </w:rPr>
    </w:pPr>
    <w:r>
      <w:pict>
        <v:shape id="_x0000_s2081" o:spid="_x0000_s2081"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74633130">
                <w:pPr>
                  <w:spacing w:before="0" w:line="220" w:lineRule="exact"/>
                  <w:ind w:left="20" w:right="0" w:firstLine="0"/>
                  <w:jc w:val="left"/>
                  <w:rPr>
                    <w:sz w:val="18"/>
                  </w:rPr>
                </w:pPr>
                <w:r>
                  <w:rPr>
                    <w:sz w:val="18"/>
                  </w:rPr>
                  <w:t>编制单位：湖南明启环保工程股份有限公司</w:t>
                </w:r>
              </w:p>
            </w:txbxContent>
          </v:textbox>
        </v:shape>
      </w:pict>
    </w:r>
    <w:r>
      <w:pict>
        <v:shape id="_x0000_s2082" o:spid="_x0000_s2082" o:spt="202" type="#_x0000_t202" style="position:absolute;left:0pt;margin-left:281.2pt;margin-top:781.2pt;height:12.1pt;width:23.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BAD3ECD">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68</w:t>
                </w:r>
                <w:r>
                  <w:fldChar w:fldCharType="end"/>
                </w:r>
                <w:r>
                  <w:rPr>
                    <w:rFonts w:ascii="Times New Roman"/>
                    <w:sz w:val="18"/>
                  </w:rPr>
                  <w:t xml:space="preserve"> -</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95FC">
    <w:pPr>
      <w:pStyle w:val="7"/>
      <w:spacing w:line="14" w:lineRule="auto"/>
      <w:rPr>
        <w:sz w:val="20"/>
      </w:rPr>
    </w:pPr>
    <w:r>
      <w:pict>
        <v:shape id="_x0000_s2083" o:spid="_x0000_s2083"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9E1F3AC">
                <w:pPr>
                  <w:spacing w:before="0" w:line="220" w:lineRule="exact"/>
                  <w:ind w:left="20" w:right="0" w:firstLine="0"/>
                  <w:jc w:val="left"/>
                  <w:rPr>
                    <w:sz w:val="18"/>
                  </w:rPr>
                </w:pPr>
                <w:r>
                  <w:rPr>
                    <w:sz w:val="18"/>
                  </w:rPr>
                  <w:t>编制单位：湖南明启环保工程股份有限公司</w:t>
                </w:r>
              </w:p>
            </w:txbxContent>
          </v:textbox>
        </v:shape>
      </w:pict>
    </w:r>
    <w:r>
      <w:pict>
        <v:shape id="_x0000_s2084" o:spid="_x0000_s2084" o:spt="202" type="#_x0000_t202" style="position:absolute;left:0pt;margin-left:281.2pt;margin-top:781.2pt;height:12.1pt;width:23.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465999B6">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70</w:t>
                </w:r>
                <w:r>
                  <w:fldChar w:fldCharType="end"/>
                </w:r>
                <w:r>
                  <w:rPr>
                    <w:rFonts w:ascii="Times New Roman"/>
                    <w:sz w:val="18"/>
                  </w:rPr>
                  <w:t xml:space="preserve"> -</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E5987">
    <w:pPr>
      <w:pStyle w:val="7"/>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77D6">
    <w:pPr>
      <w:pStyle w:val="7"/>
      <w:spacing w:line="14" w:lineRule="auto"/>
      <w:rPr>
        <w:sz w:val="20"/>
      </w:rPr>
    </w:pPr>
    <w:r>
      <w:pict>
        <v:shape id="_x0000_s2087" o:spid="_x0000_s2087"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9DDB090">
                <w:pPr>
                  <w:spacing w:before="0" w:line="220" w:lineRule="exact"/>
                  <w:ind w:left="20" w:right="0" w:firstLine="0"/>
                  <w:jc w:val="left"/>
                  <w:rPr>
                    <w:sz w:val="18"/>
                  </w:rPr>
                </w:pPr>
                <w:r>
                  <w:rPr>
                    <w:sz w:val="18"/>
                  </w:rPr>
                  <w:t>编制单位：湖南明启环保工程股份有限公司</w:t>
                </w:r>
              </w:p>
            </w:txbxContent>
          </v:textbox>
        </v:shape>
      </w:pict>
    </w:r>
    <w:r>
      <w:pict>
        <v:shape id="_x0000_s2088" o:spid="_x0000_s2088" o:spt="202" type="#_x0000_t202" style="position:absolute;left:0pt;margin-left:281.2pt;margin-top:781.2pt;height:12.1pt;width:23.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4F36520A">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79</w:t>
                </w:r>
                <w:r>
                  <w:fldChar w:fldCharType="end"/>
                </w:r>
                <w:r>
                  <w:rPr>
                    <w:rFonts w:ascii="Times New Roman"/>
                    <w:sz w:val="18"/>
                  </w:rPr>
                  <w:t xml:space="preserve"> -</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A4FA2">
    <w:pPr>
      <w:pStyle w:val="7"/>
      <w:spacing w:line="14" w:lineRule="auto"/>
      <w:rPr>
        <w:sz w:val="20"/>
      </w:rPr>
    </w:pPr>
    <w:r>
      <w:pict>
        <v:shape id="_x0000_s2089" o:spid="_x0000_s2089"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13C1D7BE">
                <w:pPr>
                  <w:spacing w:before="0" w:line="220" w:lineRule="exact"/>
                  <w:ind w:left="20" w:right="0" w:firstLine="0"/>
                  <w:jc w:val="left"/>
                  <w:rPr>
                    <w:sz w:val="18"/>
                  </w:rPr>
                </w:pPr>
                <w:r>
                  <w:rPr>
                    <w:sz w:val="18"/>
                  </w:rPr>
                  <w:t>编制单位：湖南明启环保工程股份有限公司</w:t>
                </w:r>
              </w:p>
            </w:txbxContent>
          </v:textbox>
        </v:shape>
      </w:pict>
    </w:r>
    <w:r>
      <w:pict>
        <v:shape id="_x0000_s2090" o:spid="_x0000_s2090" o:spt="202" type="#_x0000_t202" style="position:absolute;left:0pt;margin-left:281.2pt;margin-top:781.2pt;height:12.1pt;width:23.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34742FD">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80</w:t>
                </w:r>
                <w:r>
                  <w:fldChar w:fldCharType="end"/>
                </w:r>
                <w:r>
                  <w:rPr>
                    <w:rFonts w:ascii="Times New Roman"/>
                    <w:sz w:val="18"/>
                  </w:rPr>
                  <w:t xml:space="preserve"> -</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FD593">
    <w:pPr>
      <w:pStyle w:val="7"/>
      <w:spacing w:line="14" w:lineRule="auto"/>
      <w:rPr>
        <w:sz w:val="20"/>
      </w:rPr>
    </w:pPr>
    <w:r>
      <w:pict>
        <v:shape id="_x0000_s2091" o:spid="_x0000_s2091"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2E8C172">
                <w:pPr>
                  <w:spacing w:before="0" w:line="220" w:lineRule="exact"/>
                  <w:ind w:left="20" w:right="0" w:firstLine="0"/>
                  <w:jc w:val="left"/>
                  <w:rPr>
                    <w:sz w:val="18"/>
                  </w:rPr>
                </w:pPr>
                <w:r>
                  <w:rPr>
                    <w:sz w:val="18"/>
                  </w:rPr>
                  <w:t>编制单位：湖南明启环保工程股份有限公司</w:t>
                </w:r>
              </w:p>
            </w:txbxContent>
          </v:textbox>
        </v:shape>
      </w:pict>
    </w:r>
    <w:r>
      <w:pict>
        <v:shape id="_x0000_s2092" o:spid="_x0000_s2092" o:spt="202" type="#_x0000_t202" style="position:absolute;left:0pt;margin-left:281.2pt;margin-top:781.2pt;height:12.1pt;width:23.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76D4AA5B">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90</w:t>
                </w:r>
                <w:r>
                  <w:fldChar w:fldCharType="end"/>
                </w:r>
                <w:r>
                  <w:rPr>
                    <w:rFonts w:ascii="Times New Roman"/>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1290D">
    <w:pPr>
      <w:pStyle w:val="7"/>
      <w:spacing w:line="14" w:lineRule="auto"/>
      <w:rPr>
        <w:sz w:val="20"/>
      </w:rPr>
    </w:pPr>
    <w:r>
      <w:pict>
        <v:shape id="_x0000_s2053" o:spid="_x0000_s2053" o:spt="202" type="#_x0000_t202" style="position:absolute;left:0pt;margin-left:351.3pt;margin-top:770.7pt;height:11pt;width:15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16E48303">
                <w:pPr>
                  <w:spacing w:before="0" w:line="220" w:lineRule="exact"/>
                  <w:ind w:left="20" w:right="0" w:firstLine="0"/>
                  <w:jc w:val="left"/>
                  <w:rPr>
                    <w:sz w:val="18"/>
                  </w:rPr>
                </w:pPr>
                <w:r>
                  <w:rPr>
                    <w:sz w:val="18"/>
                  </w:rPr>
                  <w:t>编制单位：湖南义格环保科技有限公司</w:t>
                </w:r>
              </w:p>
            </w:txbxContent>
          </v:textbox>
        </v:shape>
      </w:pict>
    </w:r>
    <w:r>
      <w:pict>
        <v:shape id="_x0000_s2054" o:spid="_x0000_s2054" o:spt="202" type="#_x0000_t202" style="position:absolute;left:0pt;margin-left:295.85pt;margin-top:781.2pt;height:12.1pt;width:21.4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68FBFC1F">
                <w:pPr>
                  <w:spacing w:before="14"/>
                  <w:ind w:left="20" w:right="0" w:firstLine="0"/>
                  <w:jc w:val="left"/>
                  <w:rPr>
                    <w:rFonts w:ascii="Times New Roman"/>
                    <w:sz w:val="18"/>
                  </w:rPr>
                </w:pPr>
                <w:r>
                  <w:rPr>
                    <w:rFonts w:ascii="Times New Roman"/>
                    <w:sz w:val="18"/>
                  </w:rPr>
                  <w:t>- III -</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02977">
    <w:pPr>
      <w:pStyle w:val="7"/>
      <w:spacing w:line="14" w:lineRule="auto"/>
      <w:rPr>
        <w:sz w:val="20"/>
      </w:rPr>
    </w:pPr>
    <w:r>
      <w:pict>
        <v:shape id="_x0000_s2093" o:spid="_x0000_s2093"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4D90500">
                <w:pPr>
                  <w:spacing w:before="0" w:line="220" w:lineRule="exact"/>
                  <w:ind w:left="20" w:right="0" w:firstLine="0"/>
                  <w:jc w:val="left"/>
                  <w:rPr>
                    <w:sz w:val="18"/>
                  </w:rPr>
                </w:pPr>
                <w:r>
                  <w:rPr>
                    <w:sz w:val="18"/>
                  </w:rPr>
                  <w:t>编制单位：湖南明启环保工程股份有限公司</w:t>
                </w:r>
              </w:p>
            </w:txbxContent>
          </v:textbox>
        </v:shape>
      </w:pict>
    </w:r>
    <w:r>
      <w:pict>
        <v:shape id="_x0000_s2094" o:spid="_x0000_s2094"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47CD28C0">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100</w:t>
                </w:r>
                <w:r>
                  <w:fldChar w:fldCharType="end"/>
                </w:r>
                <w:r>
                  <w:rPr>
                    <w:rFonts w:ascii="Times New Roman"/>
                    <w:sz w:val="18"/>
                  </w:rPr>
                  <w:t xml:space="preserve"> -</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33DB2">
    <w:pPr>
      <w:pStyle w:val="7"/>
      <w:spacing w:line="14" w:lineRule="auto"/>
      <w:rPr>
        <w:sz w:val="20"/>
      </w:rPr>
    </w:pPr>
    <w:r>
      <w:pict>
        <v:shape id="_x0000_s2095" o:spid="_x0000_s2095"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1D5F11B">
                <w:pPr>
                  <w:spacing w:before="0" w:line="220" w:lineRule="exact"/>
                  <w:ind w:left="20" w:right="0" w:firstLine="0"/>
                  <w:jc w:val="left"/>
                  <w:rPr>
                    <w:sz w:val="18"/>
                  </w:rPr>
                </w:pPr>
                <w:r>
                  <w:rPr>
                    <w:sz w:val="18"/>
                  </w:rPr>
                  <w:t>编制单位：湖南明启环保工程股份有限公司</w:t>
                </w:r>
              </w:p>
            </w:txbxContent>
          </v:textbox>
        </v:shape>
      </w:pict>
    </w:r>
    <w:r>
      <w:pict>
        <v:shape id="_x0000_s2096" o:spid="_x0000_s2096" o:spt="202" type="#_x0000_t202" style="position:absolute;left:0pt;margin-left:281.2pt;margin-top:781.2pt;height:12.1pt;width:27.8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84ACA68">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110</w:t>
                </w:r>
                <w:r>
                  <w:fldChar w:fldCharType="end"/>
                </w:r>
                <w:r>
                  <w:rPr>
                    <w:rFonts w:ascii="Times New Roman"/>
                    <w:sz w:val="18"/>
                  </w:rPr>
                  <w:t xml:space="preserve"> -</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FDC9F">
    <w:pPr>
      <w:pStyle w:val="7"/>
      <w:spacing w:line="14" w:lineRule="auto"/>
      <w:rPr>
        <w:sz w:val="20"/>
      </w:rPr>
    </w:pPr>
    <w:r>
      <w:pict>
        <v:shape id="_x0000_s2097" o:spid="_x0000_s2097"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3E1CD31">
                <w:pPr>
                  <w:spacing w:before="0" w:line="220" w:lineRule="exact"/>
                  <w:ind w:left="20" w:right="0" w:firstLine="0"/>
                  <w:jc w:val="left"/>
                  <w:rPr>
                    <w:sz w:val="18"/>
                  </w:rPr>
                </w:pPr>
                <w:r>
                  <w:rPr>
                    <w:sz w:val="18"/>
                  </w:rPr>
                  <w:t>编制单位：湖南明启环保工程股份有限公司</w:t>
                </w:r>
              </w:p>
            </w:txbxContent>
          </v:textbox>
        </v:shape>
      </w:pict>
    </w:r>
    <w:r>
      <w:pict>
        <v:shape id="_x0000_s2098" o:spid="_x0000_s2098"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5635C1F">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120</w:t>
                </w:r>
                <w:r>
                  <w:fldChar w:fldCharType="end"/>
                </w:r>
                <w:r>
                  <w:rPr>
                    <w:rFonts w:ascii="Times New Roman"/>
                    <w:sz w:val="18"/>
                  </w:rPr>
                  <w:t xml:space="preserve"> -</w:t>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09E3A">
    <w:pPr>
      <w:pStyle w:val="7"/>
      <w:spacing w:line="14" w:lineRule="auto"/>
      <w:rPr>
        <w:sz w:val="20"/>
      </w:rPr>
    </w:pPr>
    <w:r>
      <w:pict>
        <v:shape id="_x0000_s2099" o:spid="_x0000_s2099"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F0EE34B">
                <w:pPr>
                  <w:spacing w:before="0" w:line="220" w:lineRule="exact"/>
                  <w:ind w:left="20" w:right="0" w:firstLine="0"/>
                  <w:jc w:val="left"/>
                  <w:rPr>
                    <w:sz w:val="18"/>
                  </w:rPr>
                </w:pPr>
                <w:r>
                  <w:rPr>
                    <w:sz w:val="18"/>
                  </w:rPr>
                  <w:t>编制单位：湖南明启环保工程股份有限公司</w:t>
                </w:r>
              </w:p>
            </w:txbxContent>
          </v:textbox>
        </v:shape>
      </w:pict>
    </w:r>
    <w:r>
      <w:pict>
        <v:shape id="_x0000_s2100" o:spid="_x0000_s2100"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1015D1FF">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138</w:t>
                </w:r>
                <w:r>
                  <w:fldChar w:fldCharType="end"/>
                </w:r>
                <w:r>
                  <w:rPr>
                    <w:rFonts w:ascii="Times New Roman"/>
                    <w:sz w:val="18"/>
                  </w:rPr>
                  <w:t xml:space="preserve"> -</w:t>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E75FA">
    <w:pPr>
      <w:pStyle w:val="7"/>
      <w:spacing w:line="14" w:lineRule="auto"/>
      <w:rPr>
        <w:sz w:val="20"/>
      </w:rPr>
    </w:pPr>
    <w:r>
      <w:pict>
        <v:shape id="_x0000_s2101" o:spid="_x0000_s2101"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61E6C901">
                <w:pPr>
                  <w:spacing w:before="0" w:line="220" w:lineRule="exact"/>
                  <w:ind w:left="20" w:right="0" w:firstLine="0"/>
                  <w:jc w:val="left"/>
                  <w:rPr>
                    <w:sz w:val="18"/>
                  </w:rPr>
                </w:pPr>
                <w:r>
                  <w:rPr>
                    <w:sz w:val="18"/>
                  </w:rPr>
                  <w:t>编制单位：湖南明启环保工程股份有限公司</w:t>
                </w:r>
              </w:p>
            </w:txbxContent>
          </v:textbox>
        </v:shape>
      </w:pict>
    </w:r>
    <w:r>
      <w:pict>
        <v:shape id="_x0000_s2102" o:spid="_x0000_s2102"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45BE8368">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140</w:t>
                </w:r>
                <w:r>
                  <w:fldChar w:fldCharType="end"/>
                </w:r>
                <w:r>
                  <w:rPr>
                    <w:rFonts w:ascii="Times New Roman"/>
                    <w:sz w:val="18"/>
                  </w:rPr>
                  <w:t xml:space="preserve"> -</w:t>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A6410">
    <w:pPr>
      <w:pStyle w:val="7"/>
      <w:spacing w:line="14" w:lineRule="auto"/>
      <w:rPr>
        <w:sz w:val="20"/>
      </w:rPr>
    </w:pPr>
    <w:r>
      <w:pict>
        <v:shape id="_x0000_s2103" o:spid="_x0000_s2103" o:spt="202" type="#_x0000_t202" style="position:absolute;left:0pt;margin-left:333.3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96DC9DD">
                <w:pPr>
                  <w:spacing w:before="0" w:line="220" w:lineRule="exact"/>
                  <w:ind w:left="20" w:right="0" w:firstLine="0"/>
                  <w:jc w:val="left"/>
                  <w:rPr>
                    <w:sz w:val="18"/>
                  </w:rPr>
                </w:pPr>
                <w:r>
                  <w:rPr>
                    <w:sz w:val="18"/>
                  </w:rPr>
                  <w:t>编制单位：湖南明启环保工程股份有限公司</w:t>
                </w:r>
              </w:p>
            </w:txbxContent>
          </v:textbox>
        </v:shape>
      </w:pict>
    </w:r>
    <w:r>
      <w:pict>
        <v:shape id="_x0000_s2104" o:spid="_x0000_s2104"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CFF540E">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150</w:t>
                </w:r>
                <w:r>
                  <w:fldChar w:fldCharType="end"/>
                </w:r>
                <w:r>
                  <w:rPr>
                    <w:rFonts w:ascii="Times New Roman"/>
                    <w:sz w:val="18"/>
                  </w:rPr>
                  <w:t xml:space="preserve"> -</w:t>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898AA">
    <w:pPr>
      <w:pStyle w:val="7"/>
      <w:spacing w:line="14" w:lineRule="auto"/>
      <w:rPr>
        <w:sz w:val="20"/>
      </w:rPr>
    </w:pPr>
    <w:r>
      <w:pict>
        <v:shape id="_x0000_s2107" o:spid="_x0000_s2107" o:spt="202" type="#_x0000_t202" style="position:absolute;left:0pt;margin-left:597.9pt;margin-top:524.1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5666532">
                <w:pPr>
                  <w:spacing w:before="0" w:line="220" w:lineRule="exact"/>
                  <w:ind w:left="20" w:right="0" w:firstLine="0"/>
                  <w:jc w:val="left"/>
                  <w:rPr>
                    <w:sz w:val="18"/>
                  </w:rPr>
                </w:pPr>
                <w:r>
                  <w:rPr>
                    <w:sz w:val="18"/>
                  </w:rPr>
                  <w:t>编制单位：湖南明启环保工程股份有限公司</w:t>
                </w:r>
              </w:p>
            </w:txbxContent>
          </v:textbox>
        </v:shape>
      </w:pict>
    </w:r>
    <w:r>
      <w:pict>
        <v:shape id="_x0000_s2108" o:spid="_x0000_s2108" o:spt="202" type="#_x0000_t202" style="position:absolute;left:0pt;margin-left:404.6pt;margin-top:534.6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88ED4DC">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160</w:t>
                </w:r>
                <w:r>
                  <w:fldChar w:fldCharType="end"/>
                </w:r>
                <w:r>
                  <w:rPr>
                    <w:rFonts w:ascii="Times New Roman"/>
                    <w:sz w:val="18"/>
                  </w:rPr>
                  <w:t xml:space="preserve"> -</w:t>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1CB9E">
    <w:pPr>
      <w:pStyle w:val="7"/>
      <w:spacing w:line="14" w:lineRule="auto"/>
      <w:rPr>
        <w:sz w:val="20"/>
      </w:rPr>
    </w:pPr>
    <w:r>
      <w:pict>
        <v:shape id="_x0000_s2111" o:spid="_x0000_s2111" o:spt="202" type="#_x0000_t202" style="position:absolute;left:0pt;margin-left:333.2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4DA0CE9C">
                <w:pPr>
                  <w:spacing w:before="0" w:line="220" w:lineRule="exact"/>
                  <w:ind w:left="20" w:right="0" w:firstLine="0"/>
                  <w:jc w:val="left"/>
                  <w:rPr>
                    <w:sz w:val="18"/>
                  </w:rPr>
                </w:pPr>
                <w:r>
                  <w:rPr>
                    <w:sz w:val="18"/>
                  </w:rPr>
                  <w:t>编制单位：湖南明启环保工程股份有限公司</w:t>
                </w:r>
              </w:p>
            </w:txbxContent>
          </v:textbox>
        </v:shape>
      </w:pict>
    </w:r>
    <w:r>
      <w:pict>
        <v:shape id="_x0000_s2112" o:spid="_x0000_s2112"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3D112AA">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162</w:t>
                </w:r>
                <w:r>
                  <w:fldChar w:fldCharType="end"/>
                </w:r>
                <w:r>
                  <w:rPr>
                    <w:rFonts w:ascii="Times New Roman"/>
                    <w:sz w:val="18"/>
                  </w:rPr>
                  <w:t xml:space="preserve"> -</w:t>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7EC4F">
    <w:pPr>
      <w:pStyle w:val="7"/>
      <w:spacing w:line="14" w:lineRule="auto"/>
      <w:rPr>
        <w:sz w:val="20"/>
      </w:rPr>
    </w:pPr>
    <w:r>
      <w:pict>
        <v:shape id="_x0000_s2113" o:spid="_x0000_s2113" o:spt="202" type="#_x0000_t202" style="position:absolute;left:0pt;margin-left:333.2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78BAD9DA">
                <w:pPr>
                  <w:spacing w:before="0" w:line="220" w:lineRule="exact"/>
                  <w:ind w:left="20" w:right="0" w:firstLine="0"/>
                  <w:jc w:val="left"/>
                  <w:rPr>
                    <w:sz w:val="18"/>
                  </w:rPr>
                </w:pPr>
                <w:r>
                  <w:rPr>
                    <w:sz w:val="18"/>
                  </w:rPr>
                  <w:t>编制单位：湖南明启环保工程股份有限公司</w:t>
                </w:r>
              </w:p>
            </w:txbxContent>
          </v:textbox>
        </v:shape>
      </w:pict>
    </w:r>
    <w:r>
      <w:pict>
        <v:shape id="_x0000_s2114" o:spid="_x0000_s2114"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AB242CF">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170</w:t>
                </w:r>
                <w:r>
                  <w:fldChar w:fldCharType="end"/>
                </w:r>
                <w:r>
                  <w:rPr>
                    <w:rFonts w:ascii="Times New Roman"/>
                    <w:sz w:val="18"/>
                  </w:rPr>
                  <w:t xml:space="preserve"> -</w:t>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94083">
    <w:pPr>
      <w:pStyle w:val="7"/>
      <w:spacing w:line="14" w:lineRule="auto"/>
      <w:rPr>
        <w:sz w:val="20"/>
      </w:rPr>
    </w:pPr>
    <w:r>
      <w:pict>
        <v:shape id="_x0000_s2117" o:spid="_x0000_s2117" o:spt="202" type="#_x0000_t202" style="position:absolute;left:0pt;margin-left:597.9pt;margin-top:524.1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5033CCE">
                <w:pPr>
                  <w:spacing w:before="0" w:line="220" w:lineRule="exact"/>
                  <w:ind w:left="20" w:right="0" w:firstLine="0"/>
                  <w:jc w:val="left"/>
                  <w:rPr>
                    <w:sz w:val="18"/>
                  </w:rPr>
                </w:pPr>
                <w:r>
                  <w:rPr>
                    <w:sz w:val="18"/>
                  </w:rPr>
                  <w:t>编制单位：湖南明启环保工程股份有限公司</w:t>
                </w:r>
              </w:p>
            </w:txbxContent>
          </v:textbox>
        </v:shape>
      </w:pict>
    </w:r>
    <w:r>
      <w:pict>
        <v:shape id="_x0000_s2118" o:spid="_x0000_s2118" o:spt="202" type="#_x0000_t202" style="position:absolute;left:0pt;margin-left:404.6pt;margin-top:534.6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132A04F4">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176</w:t>
                </w:r>
                <w:r>
                  <w:fldChar w:fldCharType="end"/>
                </w:r>
                <w:r>
                  <w:rPr>
                    <w:rFonts w:ascii="Times New Roman"/>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2830C">
    <w:pPr>
      <w:pStyle w:val="7"/>
      <w:spacing w:line="14" w:lineRule="auto"/>
      <w:rPr>
        <w:sz w:val="20"/>
      </w:rPr>
    </w:pPr>
    <w:r>
      <w:pict>
        <v:shape id="_x0000_s2055" o:spid="_x0000_s2055"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2190BB8E">
                <w:pPr>
                  <w:spacing w:before="0" w:line="220" w:lineRule="exact"/>
                  <w:ind w:left="20" w:right="0" w:firstLine="0"/>
                  <w:jc w:val="left"/>
                  <w:rPr>
                    <w:sz w:val="18"/>
                  </w:rPr>
                </w:pPr>
                <w:r>
                  <w:rPr>
                    <w:sz w:val="18"/>
                  </w:rPr>
                  <w:t>编制单位：湖南明启环保工程股份有限公司</w:t>
                </w:r>
              </w:p>
            </w:txbxContent>
          </v:textbox>
        </v:shape>
      </w:pict>
    </w:r>
    <w:r>
      <w:pict>
        <v:shape id="_x0000_s2056" o:spid="_x0000_s2056" o:spt="202" type="#_x0000_t202" style="position:absolute;left:0pt;margin-left:281.2pt;margin-top:781.2pt;height:12.1pt;width:19.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543AD64E">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82E6">
    <w:pPr>
      <w:pStyle w:val="7"/>
      <w:spacing w:line="14" w:lineRule="auto"/>
      <w:rPr>
        <w:sz w:val="20"/>
      </w:rPr>
    </w:pPr>
    <w:r>
      <w:pict>
        <v:shape id="_x0000_s2121" o:spid="_x0000_s2121" o:spt="202" type="#_x0000_t202" style="position:absolute;left:0pt;margin-left:333.2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216F24DD">
                <w:pPr>
                  <w:spacing w:before="0" w:line="220" w:lineRule="exact"/>
                  <w:ind w:left="20" w:right="0" w:firstLine="0"/>
                  <w:jc w:val="left"/>
                  <w:rPr>
                    <w:sz w:val="18"/>
                  </w:rPr>
                </w:pPr>
                <w:r>
                  <w:rPr>
                    <w:sz w:val="18"/>
                  </w:rPr>
                  <w:t>编制单位：湖南明启环保工程股份有限公司</w:t>
                </w:r>
              </w:p>
            </w:txbxContent>
          </v:textbox>
        </v:shape>
      </w:pict>
    </w:r>
    <w:r>
      <w:pict>
        <v:shape id="_x0000_s2122" o:spid="_x0000_s2122" o:spt="202" type="#_x0000_t202" style="position:absolute;left:0pt;margin-left:281.2pt;margin-top:781.2pt;height:12.1pt;width:28.2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D8E9D47">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178</w:t>
                </w:r>
                <w:r>
                  <w:fldChar w:fldCharType="end"/>
                </w:r>
                <w:r>
                  <w:rPr>
                    <w:rFonts w:ascii="Times New Roman"/>
                    <w:sz w:val="18"/>
                  </w:rPr>
                  <w:t xml:space="preserve"> -</w:t>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27DE3">
    <w:pPr>
      <w:pStyle w:val="7"/>
      <w:spacing w:line="14" w:lineRule="auto"/>
      <w:rPr>
        <w:sz w:val="20"/>
      </w:rPr>
    </w:pPr>
    <w:r>
      <w:pict>
        <v:shape id="_x0000_s2123" o:spid="_x0000_s2123" o:spt="202" type="#_x0000_t202" style="position:absolute;left:0pt;margin-left:333.2pt;margin-top:770.7pt;height:11pt;width:17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AA506A6">
                <w:pPr>
                  <w:spacing w:before="0" w:line="220" w:lineRule="exact"/>
                  <w:ind w:left="20" w:right="0" w:firstLine="0"/>
                  <w:jc w:val="left"/>
                  <w:rPr>
                    <w:sz w:val="18"/>
                  </w:rPr>
                </w:pPr>
                <w:r>
                  <w:rPr>
                    <w:sz w:val="18"/>
                  </w:rPr>
                  <w:t>编制单位：湖南明启环保工程股份有限公司</w:t>
                </w:r>
              </w:p>
            </w:txbxContent>
          </v:textbox>
        </v:shape>
      </w:pict>
    </w:r>
    <w:r>
      <w:pict>
        <v:shape id="_x0000_s2124" o:spid="_x0000_s2124" o:spt="202" type="#_x0000_t202" style="position:absolute;left:0pt;margin-left:281.2pt;margin-top:781.2pt;height:12.1pt;width:28.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4B1054A3">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180</w:t>
                </w:r>
                <w:r>
                  <w:fldChar w:fldCharType="end"/>
                </w:r>
                <w:r>
                  <w:rPr>
                    <w:rFonts w:ascii="Times New Roman"/>
                    <w:sz w:val="18"/>
                  </w:rPr>
                  <w:t xml:space="preserve"> -</w:t>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3618">
    <w:pPr>
      <w:pStyle w:val="7"/>
      <w:spacing w:line="14" w:lineRule="auto"/>
      <w:rPr>
        <w:sz w:val="20"/>
      </w:rPr>
    </w:pPr>
    <w:r>
      <w:pict>
        <v:shape id="_x0000_s2127" o:spid="_x0000_s2127" o:spt="202" type="#_x0000_t202" style="position:absolute;left:0pt;margin-left:333.2pt;margin-top:770.7pt;height:11pt;width:17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5CC6EDFD">
                <w:pPr>
                  <w:spacing w:before="0" w:line="220" w:lineRule="exact"/>
                  <w:ind w:left="20" w:right="0" w:firstLine="0"/>
                  <w:jc w:val="left"/>
                  <w:rPr>
                    <w:sz w:val="18"/>
                  </w:rPr>
                </w:pPr>
                <w:r>
                  <w:rPr>
                    <w:sz w:val="18"/>
                  </w:rPr>
                  <w:t>编制单位：湖南明启环保工程股份有限公司</w:t>
                </w:r>
              </w:p>
            </w:txbxContent>
          </v:textbox>
        </v:shape>
      </w:pict>
    </w:r>
    <w:r>
      <w:pict>
        <v:shape id="_x0000_s2128" o:spid="_x0000_s2128" o:spt="202" type="#_x0000_t202" style="position:absolute;left:0pt;margin-left:281.2pt;margin-top:781.2pt;height:12.1pt;width:28.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7042F25">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200</w:t>
                </w:r>
                <w:r>
                  <w:fldChar w:fldCharType="end"/>
                </w:r>
                <w:r>
                  <w:rPr>
                    <w:rFonts w:ascii="Times New Roman"/>
                    <w:sz w:val="18"/>
                  </w:rPr>
                  <w:t xml:space="preserve"> -</w:t>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008D5">
    <w:pPr>
      <w:pStyle w:val="7"/>
      <w:spacing w:line="14" w:lineRule="auto"/>
      <w:rPr>
        <w:sz w:val="20"/>
      </w:rPr>
    </w:pPr>
    <w:r>
      <w:pict>
        <v:shape id="_x0000_s2129" o:spid="_x0000_s2129" o:spt="202" type="#_x0000_t202" style="position:absolute;left:0pt;margin-left:333.3pt;margin-top:770.7pt;height:11pt;width:17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39CE0645">
                <w:pPr>
                  <w:spacing w:before="0" w:line="220" w:lineRule="exact"/>
                  <w:ind w:left="20" w:right="0" w:firstLine="0"/>
                  <w:jc w:val="left"/>
                  <w:rPr>
                    <w:sz w:val="18"/>
                  </w:rPr>
                </w:pPr>
                <w:r>
                  <w:rPr>
                    <w:sz w:val="18"/>
                  </w:rPr>
                  <w:t>编制单位：湖南明启环保工程股份有限公司</w:t>
                </w:r>
              </w:p>
            </w:txbxContent>
          </v:textbox>
        </v:shape>
      </w:pict>
    </w:r>
    <w:r>
      <w:pict>
        <v:shape id="_x0000_s2130" o:spid="_x0000_s2130" o:spt="202" type="#_x0000_t202" style="position:absolute;left:0pt;margin-left:281.2pt;margin-top:781.2pt;height:12.1pt;width:28.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6AA037B">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210</w:t>
                </w:r>
                <w:r>
                  <w:fldChar w:fldCharType="end"/>
                </w:r>
                <w:r>
                  <w:rPr>
                    <w:rFonts w:ascii="Times New Roman"/>
                    <w:sz w:val="18"/>
                  </w:rPr>
                  <w:t xml:space="preserve"> -</w:t>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21C9D">
    <w:pPr>
      <w:pStyle w:val="7"/>
      <w:spacing w:line="14" w:lineRule="auto"/>
      <w:rPr>
        <w:sz w:val="20"/>
      </w:rPr>
    </w:pPr>
    <w:r>
      <w:pict>
        <v:shape id="_x0000_s2133" o:spid="_x0000_s2133" o:spt="202" type="#_x0000_t202" style="position:absolute;left:0pt;margin-left:597.9pt;margin-top:524.1pt;height:11pt;width:17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BAB7750">
                <w:pPr>
                  <w:spacing w:before="0" w:line="220" w:lineRule="exact"/>
                  <w:ind w:left="20" w:right="0" w:firstLine="0"/>
                  <w:jc w:val="left"/>
                  <w:rPr>
                    <w:sz w:val="18"/>
                  </w:rPr>
                </w:pPr>
                <w:r>
                  <w:rPr>
                    <w:sz w:val="18"/>
                  </w:rPr>
                  <w:t>编制单位：湖南明启环保工程股份有限公司</w:t>
                </w:r>
              </w:p>
            </w:txbxContent>
          </v:textbox>
        </v:shape>
      </w:pict>
    </w:r>
    <w:r>
      <w:pict>
        <v:shape id="_x0000_s2134" o:spid="_x0000_s2134" o:spt="202" type="#_x0000_t202" style="position:absolute;left:0pt;margin-left:404.6pt;margin-top:534.6pt;height:12.1pt;width:28.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70307E5">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212</w:t>
                </w:r>
                <w:r>
                  <w:fldChar w:fldCharType="end"/>
                </w:r>
                <w:r>
                  <w:rPr>
                    <w:rFonts w:ascii="Times New Roman"/>
                    <w:sz w:val="18"/>
                  </w:rPr>
                  <w:t xml:space="preserve"> -</w:t>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4CE23">
    <w:pPr>
      <w:pStyle w:val="7"/>
      <w:spacing w:line="14" w:lineRule="auto"/>
      <w:rPr>
        <w:sz w:val="20"/>
      </w:rPr>
    </w:pPr>
    <w:r>
      <w:pict>
        <v:shape id="_x0000_s2137" o:spid="_x0000_s2137" o:spt="202" type="#_x0000_t202" style="position:absolute;left:0pt;margin-left:333.3pt;margin-top:770.7pt;height:11pt;width:17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4F0E9E4">
                <w:pPr>
                  <w:spacing w:before="0" w:line="220" w:lineRule="exact"/>
                  <w:ind w:left="20" w:right="0" w:firstLine="0"/>
                  <w:jc w:val="left"/>
                  <w:rPr>
                    <w:sz w:val="18"/>
                  </w:rPr>
                </w:pPr>
                <w:r>
                  <w:rPr>
                    <w:sz w:val="18"/>
                  </w:rPr>
                  <w:t>编制单位：湖南明启环保工程股份有限公司</w:t>
                </w:r>
              </w:p>
            </w:txbxContent>
          </v:textbox>
        </v:shape>
      </w:pict>
    </w:r>
    <w:r>
      <w:pict>
        <v:shape id="_x0000_s2138" o:spid="_x0000_s2138" o:spt="202" type="#_x0000_t202" style="position:absolute;left:0pt;margin-left:281.2pt;margin-top:781.2pt;height:12.1pt;width:28.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616FAC7F">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215</w:t>
                </w:r>
                <w:r>
                  <w:fldChar w:fldCharType="end"/>
                </w:r>
                <w:r>
                  <w:rPr>
                    <w:rFonts w:ascii="Times New Roman"/>
                    <w:sz w:val="18"/>
                  </w:rPr>
                  <w:t xml:space="preserve"> -</w:t>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C66AA">
    <w:pPr>
      <w:pStyle w:val="7"/>
      <w:spacing w:line="14" w:lineRule="auto"/>
      <w:rPr>
        <w:sz w:val="20"/>
      </w:rPr>
    </w:pPr>
    <w:r>
      <w:pict>
        <v:shape id="_x0000_s2141" o:spid="_x0000_s2141" o:spt="202" type="#_x0000_t202" style="position:absolute;left:0pt;margin-left:597.9pt;margin-top:524.1pt;height:11pt;width:173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45D25A8D">
                <w:pPr>
                  <w:spacing w:before="0" w:line="220" w:lineRule="exact"/>
                  <w:ind w:left="20" w:right="0" w:firstLine="0"/>
                  <w:jc w:val="left"/>
                  <w:rPr>
                    <w:sz w:val="18"/>
                  </w:rPr>
                </w:pPr>
                <w:r>
                  <w:rPr>
                    <w:sz w:val="18"/>
                  </w:rPr>
                  <w:t>编制单位：湖南明启环保工程股份有限公司</w:t>
                </w:r>
              </w:p>
            </w:txbxContent>
          </v:textbox>
        </v:shape>
      </w:pict>
    </w:r>
    <w:r>
      <w:pict>
        <v:shape id="_x0000_s2142" o:spid="_x0000_s2142" o:spt="202" type="#_x0000_t202" style="position:absolute;left:0pt;margin-left:404.6pt;margin-top:534.6pt;height:12.1pt;width:28.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472DA4CA">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217</w:t>
                </w:r>
                <w:r>
                  <w:fldChar w:fldCharType="end"/>
                </w:r>
                <w:r>
                  <w:rPr>
                    <w:rFonts w:ascii="Times New Roman"/>
                    <w:sz w:val="18"/>
                  </w:rPr>
                  <w:t xml:space="preserve"> -</w:t>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A0F73">
    <w:pPr>
      <w:pStyle w:val="7"/>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401E3">
    <w:pPr>
      <w:pStyle w:val="7"/>
      <w:spacing w:line="14" w:lineRule="auto"/>
      <w:rPr>
        <w:sz w:val="20"/>
      </w:rPr>
    </w:pPr>
    <w:r>
      <w:pict>
        <v:shape id="_x0000_s2059" o:spid="_x0000_s2059" o:spt="202" type="#_x0000_t202" style="position:absolute;left:0pt;margin-left:597.9pt;margin-top:524.1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5C39893">
                <w:pPr>
                  <w:spacing w:before="0" w:line="220" w:lineRule="exact"/>
                  <w:ind w:left="20" w:right="0" w:firstLine="0"/>
                  <w:jc w:val="left"/>
                  <w:rPr>
                    <w:sz w:val="18"/>
                  </w:rPr>
                </w:pPr>
                <w:r>
                  <w:rPr>
                    <w:sz w:val="18"/>
                  </w:rPr>
                  <w:t>编制单位：湖南明启环保工程股份有限公司</w:t>
                </w:r>
              </w:p>
            </w:txbxContent>
          </v:textbox>
        </v:shape>
      </w:pict>
    </w:r>
    <w:r>
      <w:pict>
        <v:shape id="_x0000_s2060" o:spid="_x0000_s2060" o:spt="202" type="#_x0000_t202" style="position:absolute;left:0pt;margin-left:404.6pt;margin-top:534.6pt;height:12.1pt;width:19.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A186175">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7</w:t>
                </w:r>
                <w:r>
                  <w:fldChar w:fldCharType="end"/>
                </w:r>
                <w:r>
                  <w:rPr>
                    <w:rFonts w:ascii="Times New Roman"/>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103DE">
    <w:pPr>
      <w:pStyle w:val="7"/>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2BA0B">
    <w:pPr>
      <w:pStyle w:val="7"/>
      <w:spacing w:line="14" w:lineRule="auto"/>
      <w:rPr>
        <w:sz w:val="20"/>
      </w:rPr>
    </w:pPr>
    <w:r>
      <w:pict>
        <v:shape id="_x0000_s2063" o:spid="_x0000_s2063" o:spt="202" type="#_x0000_t202" style="position:absolute;left:0pt;margin-left:597.9pt;margin-top:524.1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6EBE48FA">
                <w:pPr>
                  <w:spacing w:before="0" w:line="220" w:lineRule="exact"/>
                  <w:ind w:left="20" w:right="0" w:firstLine="0"/>
                  <w:jc w:val="left"/>
                  <w:rPr>
                    <w:sz w:val="18"/>
                  </w:rPr>
                </w:pPr>
                <w:r>
                  <w:rPr>
                    <w:sz w:val="18"/>
                  </w:rPr>
                  <w:t>编制单位：湖南明启环保工程股份有限公司</w:t>
                </w:r>
              </w:p>
            </w:txbxContent>
          </v:textbox>
        </v:shape>
      </w:pict>
    </w:r>
    <w:r>
      <w:pict>
        <v:shape id="_x0000_s2064" o:spid="_x0000_s2064" o:spt="202" type="#_x0000_t202" style="position:absolute;left:0pt;margin-left:404.6pt;margin-top:534.6pt;height:12.1pt;width:23.6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F3C55F1">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73CD9">
    <w:pPr>
      <w:pStyle w:val="7"/>
      <w:spacing w:line="14" w:lineRule="auto"/>
      <w:rPr>
        <w:sz w:val="20"/>
      </w:rPr>
    </w:pPr>
    <w:r>
      <w:pict>
        <v:shape id="_x0000_s2067" o:spid="_x0000_s2067"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E9665BE">
                <w:pPr>
                  <w:spacing w:before="0" w:line="220" w:lineRule="exact"/>
                  <w:ind w:left="20" w:right="0" w:firstLine="0"/>
                  <w:jc w:val="left"/>
                  <w:rPr>
                    <w:sz w:val="18"/>
                  </w:rPr>
                </w:pPr>
                <w:r>
                  <w:rPr>
                    <w:sz w:val="18"/>
                  </w:rPr>
                  <w:t>编制单位：湖南明启环保工程股份有限公司</w:t>
                </w:r>
              </w:p>
            </w:txbxContent>
          </v:textbox>
        </v:shape>
      </w:pict>
    </w:r>
    <w:r>
      <w:pict>
        <v:shape id="_x0000_s2068" o:spid="_x0000_s2068" o:spt="202" type="#_x0000_t202" style="position:absolute;left:0pt;margin-left:281.2pt;margin-top:781.2pt;height:12.1pt;width:23.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16626D47">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19</w:t>
                </w:r>
                <w:r>
                  <w:fldChar w:fldCharType="end"/>
                </w:r>
                <w:r>
                  <w:rPr>
                    <w:rFonts w:ascii="Times New Roman"/>
                    <w:sz w:val="1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650AD">
    <w:pPr>
      <w:pStyle w:val="7"/>
      <w:spacing w:line="14" w:lineRule="auto"/>
      <w:rPr>
        <w:sz w:val="20"/>
      </w:rPr>
    </w:pPr>
    <w:r>
      <w:pict>
        <v:shape id="_x0000_s2069" o:spid="_x0000_s2069"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5D08E3DC">
                <w:pPr>
                  <w:spacing w:before="0" w:line="220" w:lineRule="exact"/>
                  <w:ind w:left="20" w:right="0" w:firstLine="0"/>
                  <w:jc w:val="left"/>
                  <w:rPr>
                    <w:sz w:val="18"/>
                  </w:rPr>
                </w:pPr>
                <w:r>
                  <w:rPr>
                    <w:sz w:val="18"/>
                  </w:rPr>
                  <w:t>编制单位：湖南明启环保工程股份有限公司</w:t>
                </w:r>
              </w:p>
            </w:txbxContent>
          </v:textbox>
        </v:shape>
      </w:pict>
    </w:r>
    <w:r>
      <w:pict>
        <v:shape id="_x0000_s2070" o:spid="_x0000_s2070" o:spt="202" type="#_x0000_t202" style="position:absolute;left:0pt;margin-left:281.2pt;margin-top:781.2pt;height:12.1pt;width:23.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16025771">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w:t>
                </w:r>
                <w:r>
                  <w:fldChar w:fldCharType="end"/>
                </w:r>
                <w:r>
                  <w:rPr>
                    <w:rFonts w:ascii="Times New Roman"/>
                    <w:sz w:val="18"/>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9740D">
    <w:pPr>
      <w:pStyle w:val="7"/>
      <w:spacing w:line="14" w:lineRule="auto"/>
      <w:rPr>
        <w:sz w:val="20"/>
      </w:rPr>
    </w:pPr>
    <w:r>
      <w:pict>
        <v:shape id="_x0000_s2071" o:spid="_x0000_s2071" o:spt="202" type="#_x0000_t202" style="position:absolute;left:0pt;margin-left:333.3pt;margin-top:770.7pt;height:11pt;width:173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2F9F8288">
                <w:pPr>
                  <w:spacing w:before="0" w:line="220" w:lineRule="exact"/>
                  <w:ind w:left="20" w:right="0" w:firstLine="0"/>
                  <w:jc w:val="left"/>
                  <w:rPr>
                    <w:sz w:val="18"/>
                  </w:rPr>
                </w:pPr>
                <w:r>
                  <w:rPr>
                    <w:sz w:val="18"/>
                  </w:rPr>
                  <w:t>编制单位：湖南明启环保工程股份有限公司</w:t>
                </w:r>
              </w:p>
            </w:txbxContent>
          </v:textbox>
        </v:shape>
      </w:pict>
    </w:r>
    <w:r>
      <w:pict>
        <v:shape id="_x0000_s2072" o:spid="_x0000_s2072" o:spt="202" type="#_x0000_t202" style="position:absolute;left:0pt;margin-left:281.2pt;margin-top:781.2pt;height:12.1pt;width:23.7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D80E6B6">
                <w:pPr>
                  <w:spacing w:before="14"/>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3E6FF">
    <w:pPr>
      <w:pStyle w:val="7"/>
      <w:spacing w:line="14" w:lineRule="auto"/>
      <w:rPr>
        <w:sz w:val="20"/>
      </w:rPr>
    </w:pPr>
    <w:r>
      <w:pict>
        <v:line id="_x0000_s2049" o:spid="_x0000_s2049" o:spt="20" style="position:absolute;left:0pt;margin-left:90pt;margin-top:55.55pt;height:0pt;width:415.3pt;mso-position-horizontal-relative:page;mso-position-vertical-relative:page;z-index:-251653120;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148.15pt;margin-top:42.9pt;height:11pt;width:317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3252CA70">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5491B">
    <w:pPr>
      <w:pStyle w:val="7"/>
      <w:spacing w:line="14" w:lineRule="auto"/>
      <w:rPr>
        <w:sz w:val="20"/>
      </w:rPr>
    </w:pPr>
    <w:r>
      <w:pict>
        <v:line id="_x0000_s2105" o:spid="_x0000_s2105" o:spt="20" style="position:absolute;left:0pt;margin-left:72pt;margin-top:55.55pt;height:0pt;width:697.9pt;mso-position-horizontal-relative:page;mso-position-vertical-relative:page;z-index:-251652096;mso-width-relative:page;mso-height-relative:page;" stroked="t" coordsize="21600,21600">
          <v:path arrowok="t"/>
          <v:fill focussize="0,0"/>
          <v:stroke weight="0.72pt" color="#000000"/>
          <v:imagedata o:title=""/>
          <o:lock v:ext="edit"/>
        </v:line>
      </w:pict>
    </w:r>
    <w:r>
      <w:pict>
        <v:shape id="_x0000_s2106" o:spid="_x0000_s2106" o:spt="202" type="#_x0000_t202" style="position:absolute;left:0pt;margin-left:271.35pt;margin-top:42.9pt;height:11pt;width:3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7DC50321">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E9B4E">
    <w:pPr>
      <w:pStyle w:val="7"/>
      <w:spacing w:line="14" w:lineRule="auto"/>
      <w:rPr>
        <w:sz w:val="20"/>
      </w:rPr>
    </w:pPr>
    <w:r>
      <w:pict>
        <v:line id="_x0000_s2109" o:spid="_x0000_s2109" o:spt="20" style="position:absolute;left:0pt;margin-left:90.15pt;margin-top:55.55pt;height:0pt;width:415pt;mso-position-horizontal-relative:page;mso-position-vertical-relative:page;z-index:-251652096;mso-width-relative:page;mso-height-relative:page;" stroked="t" coordsize="21600,21600">
          <v:path arrowok="t"/>
          <v:fill focussize="0,0"/>
          <v:stroke weight="0.72pt" color="#000000"/>
          <v:imagedata o:title=""/>
          <o:lock v:ext="edit"/>
        </v:line>
      </w:pict>
    </w:r>
    <w:r>
      <w:pict>
        <v:shape id="_x0000_s2110" o:spid="_x0000_s2110" o:spt="202" type="#_x0000_t202" style="position:absolute;left:0pt;margin-left:148.15pt;margin-top:42.9pt;height:11pt;width:3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4CE7415C">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802DB">
    <w:pPr>
      <w:pStyle w:val="7"/>
      <w:spacing w:line="14" w:lineRule="auto"/>
      <w:rPr>
        <w:sz w:val="20"/>
      </w:rPr>
    </w:pPr>
    <w:r>
      <w:pict>
        <v:line id="_x0000_s2115" o:spid="_x0000_s2115" o:spt="20" style="position:absolute;left:0pt;margin-left:72pt;margin-top:55.55pt;height:0pt;width:697.9pt;mso-position-horizontal-relative:page;mso-position-vertical-relative:page;z-index:-251652096;mso-width-relative:page;mso-height-relative:page;" stroked="t" coordsize="21600,21600">
          <v:path arrowok="t"/>
          <v:fill focussize="0,0"/>
          <v:stroke weight="0.72pt" color="#000000"/>
          <v:imagedata o:title=""/>
          <o:lock v:ext="edit"/>
        </v:line>
      </w:pict>
    </w:r>
    <w:r>
      <w:pict>
        <v:shape id="_x0000_s2116" o:spid="_x0000_s2116" o:spt="202" type="#_x0000_t202" style="position:absolute;left:0pt;margin-left:271.35pt;margin-top:42.9pt;height:11pt;width:3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388C68C7">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AF2C">
    <w:pPr>
      <w:pStyle w:val="7"/>
      <w:spacing w:line="14" w:lineRule="auto"/>
      <w:rPr>
        <w:sz w:val="20"/>
      </w:rPr>
    </w:pPr>
    <w:r>
      <w:pict>
        <v:line id="_x0000_s2119" o:spid="_x0000_s2119" o:spt="20" style="position:absolute;left:0pt;margin-left:90.15pt;margin-top:55.55pt;height:0pt;width:415pt;mso-position-horizontal-relative:page;mso-position-vertical-relative:page;z-index:-251652096;mso-width-relative:page;mso-height-relative:page;" stroked="t" coordsize="21600,21600">
          <v:path arrowok="t"/>
          <v:fill focussize="0,0"/>
          <v:stroke weight="0.72pt" color="#000000"/>
          <v:imagedata o:title=""/>
          <o:lock v:ext="edit"/>
        </v:line>
      </w:pict>
    </w:r>
    <w:r>
      <w:pict>
        <v:shape id="_x0000_s2120" o:spid="_x0000_s2120" o:spt="202" type="#_x0000_t202" style="position:absolute;left:0pt;margin-left:148.15pt;margin-top:42.9pt;height:11pt;width:3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2A4EF36">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373FC">
    <w:pPr>
      <w:pStyle w:val="7"/>
      <w:spacing w:line="14" w:lineRule="auto"/>
      <w:rPr>
        <w:sz w:val="20"/>
      </w:rPr>
    </w:pPr>
    <w:r>
      <w:pict>
        <v:line id="_x0000_s2131" o:spid="_x0000_s2131" o:spt="20" style="position:absolute;left:0pt;margin-left:72pt;margin-top:55.55pt;height:0pt;width:697.9pt;mso-position-horizontal-relative:page;mso-position-vertical-relative:page;z-index:-251651072;mso-width-relative:page;mso-height-relative:page;" stroked="t" coordsize="21600,21600">
          <v:path arrowok="t"/>
          <v:fill focussize="0,0"/>
          <v:stroke weight="0.72pt" color="#000000"/>
          <v:imagedata o:title=""/>
          <o:lock v:ext="edit"/>
        </v:line>
      </w:pict>
    </w:r>
    <w:r>
      <w:pict>
        <v:shape id="_x0000_s2132" o:spid="_x0000_s2132" o:spt="202" type="#_x0000_t202" style="position:absolute;left:0pt;margin-left:271.35pt;margin-top:42.9pt;height:11pt;width:317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C8B4D93">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8D7D3">
    <w:pPr>
      <w:pStyle w:val="7"/>
      <w:spacing w:line="14" w:lineRule="auto"/>
      <w:rPr>
        <w:sz w:val="20"/>
      </w:rPr>
    </w:pPr>
    <w:r>
      <w:pict>
        <v:line id="_x0000_s2135" o:spid="_x0000_s2135" o:spt="20" style="position:absolute;left:0pt;margin-left:90pt;margin-top:55.55pt;height:0pt;width:415.3pt;mso-position-horizontal-relative:page;mso-position-vertical-relative:page;z-index:-251651072;mso-width-relative:page;mso-height-relative:page;" stroked="t" coordsize="21600,21600">
          <v:path arrowok="t"/>
          <v:fill focussize="0,0"/>
          <v:stroke weight="0.72pt" color="#000000"/>
          <v:imagedata o:title=""/>
          <o:lock v:ext="edit"/>
        </v:line>
      </w:pict>
    </w:r>
    <w:r>
      <w:pict>
        <v:shape id="_x0000_s2136" o:spid="_x0000_s2136" o:spt="202" type="#_x0000_t202" style="position:absolute;left:0pt;margin-left:148.15pt;margin-top:42.9pt;height:11pt;width:317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B547455">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0AB9B">
    <w:pPr>
      <w:pStyle w:val="7"/>
      <w:spacing w:line="14" w:lineRule="auto"/>
      <w:rPr>
        <w:sz w:val="20"/>
      </w:rPr>
    </w:pPr>
    <w:r>
      <w:pict>
        <v:line id="_x0000_s2139" o:spid="_x0000_s2139" o:spt="20" style="position:absolute;left:0pt;margin-left:72pt;margin-top:55.55pt;height:0pt;width:697.9pt;mso-position-horizontal-relative:page;mso-position-vertical-relative:page;z-index:-251651072;mso-width-relative:page;mso-height-relative:page;" stroked="t" coordsize="21600,21600">
          <v:path arrowok="t"/>
          <v:fill focussize="0,0"/>
          <v:stroke weight="0.72pt" color="#000000"/>
          <v:imagedata o:title=""/>
          <o:lock v:ext="edit"/>
        </v:line>
      </w:pict>
    </w:r>
    <w:r>
      <w:pict>
        <v:shape id="_x0000_s2140" o:spid="_x0000_s2140" o:spt="202" type="#_x0000_t202" style="position:absolute;left:0pt;margin-left:271.35pt;margin-top:42.9pt;height:11pt;width:317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22A76858">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C974F">
    <w:pPr>
      <w:pStyle w:val="7"/>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FBBB">
    <w:pPr>
      <w:pStyle w:val="7"/>
      <w:spacing w:line="14" w:lineRule="auto"/>
      <w:rPr>
        <w:sz w:val="20"/>
      </w:rPr>
    </w:pPr>
    <w:r>
      <w:pict>
        <v:line id="_x0000_s2057" o:spid="_x0000_s2057" o:spt="20" style="position:absolute;left:0pt;margin-left:72pt;margin-top:55.55pt;height:0pt;width:697.9pt;mso-position-horizontal-relative:page;mso-position-vertical-relative:page;z-index:-251653120;mso-width-relative:page;mso-height-relative:page;" stroked="t" coordsize="21600,21600">
          <v:path arrowok="t"/>
          <v:fill focussize="0,0"/>
          <v:stroke weight="0.72pt" color="#000000"/>
          <v:imagedata o:title=""/>
          <o:lock v:ext="edit"/>
        </v:line>
      </w:pict>
    </w:r>
    <w:r>
      <w:pict>
        <v:shape id="_x0000_s2058" o:spid="_x0000_s2058" o:spt="202" type="#_x0000_t202" style="position:absolute;left:0pt;margin-left:271.35pt;margin-top:42.9pt;height:11pt;width:317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6EB78170">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52B82">
    <w:pPr>
      <w:pStyle w:val="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5514B">
    <w:pPr>
      <w:pStyle w:val="7"/>
      <w:spacing w:line="14" w:lineRule="auto"/>
      <w:rPr>
        <w:sz w:val="20"/>
      </w:rPr>
    </w:pPr>
    <w:r>
      <w:pict>
        <v:line id="_x0000_s2061" o:spid="_x0000_s2061" o:spt="20" style="position:absolute;left:0pt;margin-left:72pt;margin-top:55.55pt;height:0pt;width:697.9pt;mso-position-horizontal-relative:page;mso-position-vertical-relative:page;z-index:-251653120;mso-width-relative:page;mso-height-relative:page;" stroked="t" coordsize="21600,21600">
          <v:path arrowok="t"/>
          <v:fill focussize="0,0"/>
          <v:stroke weight="0.72pt" color="#000000"/>
          <v:imagedata o:title=""/>
          <o:lock v:ext="edit"/>
        </v:line>
      </w:pict>
    </w:r>
    <w:r>
      <w:pict>
        <v:shape id="_x0000_s2062" o:spid="_x0000_s2062" o:spt="202" type="#_x0000_t202" style="position:absolute;left:0pt;margin-left:271.35pt;margin-top:42.9pt;height:11pt;width:317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0FAA6BC9">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C2A7">
    <w:pPr>
      <w:pStyle w:val="7"/>
      <w:spacing w:line="14" w:lineRule="auto"/>
      <w:rPr>
        <w:sz w:val="20"/>
      </w:rPr>
    </w:pPr>
    <w:r>
      <w:pict>
        <v:line id="_x0000_s2065" o:spid="_x0000_s2065" o:spt="20" style="position:absolute;left:0pt;margin-left:90pt;margin-top:55.55pt;height:0pt;width:415.3pt;mso-position-horizontal-relative:page;mso-position-vertical-relative:page;z-index:-251653120;mso-width-relative:page;mso-height-relative:page;" stroked="t" coordsize="21600,21600">
          <v:path arrowok="t"/>
          <v:fill focussize="0,0"/>
          <v:stroke weight="0.72pt" color="#000000"/>
          <v:imagedata o:title=""/>
          <o:lock v:ext="edit"/>
        </v:line>
      </w:pict>
    </w:r>
    <w:r>
      <w:pict>
        <v:shape id="_x0000_s2066" o:spid="_x0000_s2066" o:spt="202" type="#_x0000_t202" style="position:absolute;left:0pt;margin-left:148.15pt;margin-top:42.9pt;height:11pt;width:317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2486851D">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BBC20">
    <w:pPr>
      <w:pStyle w:val="7"/>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E5BCB">
    <w:pPr>
      <w:pStyle w:val="7"/>
      <w:spacing w:line="14" w:lineRule="auto"/>
      <w:rPr>
        <w:sz w:val="20"/>
      </w:rPr>
    </w:pPr>
    <w:r>
      <w:pict>
        <v:line id="_x0000_s2079" o:spid="_x0000_s2079" o:spt="20" style="position:absolute;left:0pt;margin-left:90pt;margin-top:55.55pt;height:0pt;width:415.3pt;mso-position-horizontal-relative:page;mso-position-vertical-relative:page;z-index:-251653120;mso-width-relative:page;mso-height-relative:page;" stroked="t" coordsize="21600,21600">
          <v:path arrowok="t"/>
          <v:fill focussize="0,0"/>
          <v:stroke weight="0.72pt" color="#000000"/>
          <v:imagedata o:title=""/>
          <o:lock v:ext="edit"/>
        </v:line>
      </w:pict>
    </w:r>
    <w:r>
      <w:pict>
        <v:shape id="_x0000_s2080" o:spid="_x0000_s2080" o:spt="202" type="#_x0000_t202" style="position:absolute;left:0pt;margin-left:148.15pt;margin-top:42.9pt;height:11pt;width:317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595BB078">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F822A">
    <w:pPr>
      <w:pStyle w:val="7"/>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B89E">
    <w:pPr>
      <w:pStyle w:val="7"/>
      <w:spacing w:line="14" w:lineRule="auto"/>
      <w:rPr>
        <w:sz w:val="20"/>
      </w:rPr>
    </w:pPr>
    <w:r>
      <w:pict>
        <v:line id="_x0000_s2085" o:spid="_x0000_s2085" o:spt="20" style="position:absolute;left:0pt;margin-left:90pt;margin-top:55.55pt;height:0pt;width:415.3pt;mso-position-horizontal-relative:page;mso-position-vertical-relative:page;z-index:-251652096;mso-width-relative:page;mso-height-relative:page;" stroked="t" coordsize="21600,21600">
          <v:path arrowok="t"/>
          <v:fill focussize="0,0"/>
          <v:stroke weight="0.72pt" color="#000000"/>
          <v:imagedata o:title=""/>
          <o:lock v:ext="edit"/>
        </v:line>
      </w:pict>
    </w:r>
    <w:r>
      <w:pict>
        <v:shape id="_x0000_s2086" o:spid="_x0000_s2086" o:spt="202" type="#_x0000_t202" style="position:absolute;left:0pt;margin-left:148.15pt;margin-top:42.9pt;height:11pt;width:3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710A0D40">
                <w:pPr>
                  <w:spacing w:before="0" w:line="220" w:lineRule="exact"/>
                  <w:ind w:left="20" w:right="0" w:firstLine="0"/>
                  <w:jc w:val="left"/>
                  <w:rPr>
                    <w:sz w:val="18"/>
                  </w:rPr>
                </w:pPr>
                <w:r>
                  <w:rPr>
                    <w:sz w:val="18"/>
                  </w:rPr>
                  <w:t>岳阳县惠康农业有限公司岳阳县畜禽屠宰场及冷链物流建设项目环境影响报告书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843CC"/>
    <w:multiLevelType w:val="multilevel"/>
    <w:tmpl w:val="9AE843CC"/>
    <w:lvl w:ilvl="0" w:tentative="0">
      <w:start w:val="6"/>
      <w:numFmt w:val="decimal"/>
      <w:lvlText w:val="%1"/>
      <w:lvlJc w:val="left"/>
      <w:pPr>
        <w:ind w:left="990" w:hanging="531"/>
        <w:jc w:val="left"/>
      </w:pPr>
      <w:rPr>
        <w:rFonts w:hint="default"/>
      </w:rPr>
    </w:lvl>
    <w:lvl w:ilvl="1" w:tentative="0">
      <w:start w:val="2"/>
      <w:numFmt w:val="decimal"/>
      <w:lvlText w:val="%1.%2"/>
      <w:lvlJc w:val="left"/>
      <w:pPr>
        <w:ind w:left="990" w:hanging="531"/>
        <w:jc w:val="left"/>
      </w:pPr>
      <w:rPr>
        <w:rFonts w:hint="default"/>
      </w:rPr>
    </w:lvl>
    <w:lvl w:ilvl="2" w:tentative="0">
      <w:start w:val="2"/>
      <w:numFmt w:val="decimal"/>
      <w:lvlText w:val="%1.%2.%3"/>
      <w:lvlJc w:val="left"/>
      <w:pPr>
        <w:ind w:left="990" w:hanging="531"/>
        <w:jc w:val="left"/>
      </w:pPr>
      <w:rPr>
        <w:rFonts w:hint="default" w:ascii="Times New Roman" w:hAnsi="Times New Roman" w:eastAsia="Times New Roman" w:cs="Times New Roman"/>
        <w:b/>
        <w:bCs/>
        <w:w w:val="100"/>
        <w:sz w:val="24"/>
        <w:szCs w:val="24"/>
      </w:rPr>
    </w:lvl>
    <w:lvl w:ilvl="3" w:tentative="0">
      <w:start w:val="1"/>
      <w:numFmt w:val="decimal"/>
      <w:lvlText w:val="%1.%2.%3.%4"/>
      <w:lvlJc w:val="left"/>
      <w:pPr>
        <w:ind w:left="1181" w:hanging="661"/>
        <w:jc w:val="left"/>
      </w:pPr>
      <w:rPr>
        <w:rFonts w:hint="default" w:ascii="Times New Roman" w:hAnsi="Times New Roman" w:eastAsia="Times New Roman" w:cs="Times New Roman"/>
        <w:b/>
        <w:bCs/>
        <w:spacing w:val="-10"/>
        <w:w w:val="99"/>
        <w:sz w:val="22"/>
        <w:szCs w:val="22"/>
      </w:rPr>
    </w:lvl>
    <w:lvl w:ilvl="4" w:tentative="0">
      <w:start w:val="0"/>
      <w:numFmt w:val="bullet"/>
      <w:lvlText w:val="•"/>
      <w:lvlJc w:val="left"/>
      <w:pPr>
        <w:ind w:left="3868" w:hanging="661"/>
      </w:pPr>
      <w:rPr>
        <w:rFonts w:hint="default"/>
      </w:rPr>
    </w:lvl>
    <w:lvl w:ilvl="5" w:tentative="0">
      <w:start w:val="0"/>
      <w:numFmt w:val="bullet"/>
      <w:lvlText w:val="•"/>
      <w:lvlJc w:val="left"/>
      <w:pPr>
        <w:ind w:left="4764" w:hanging="661"/>
      </w:pPr>
      <w:rPr>
        <w:rFonts w:hint="default"/>
      </w:rPr>
    </w:lvl>
    <w:lvl w:ilvl="6" w:tentative="0">
      <w:start w:val="0"/>
      <w:numFmt w:val="bullet"/>
      <w:lvlText w:val="•"/>
      <w:lvlJc w:val="left"/>
      <w:pPr>
        <w:ind w:left="5661" w:hanging="661"/>
      </w:pPr>
      <w:rPr>
        <w:rFonts w:hint="default"/>
      </w:rPr>
    </w:lvl>
    <w:lvl w:ilvl="7" w:tentative="0">
      <w:start w:val="0"/>
      <w:numFmt w:val="bullet"/>
      <w:lvlText w:val="•"/>
      <w:lvlJc w:val="left"/>
      <w:pPr>
        <w:ind w:left="6557" w:hanging="661"/>
      </w:pPr>
      <w:rPr>
        <w:rFonts w:hint="default"/>
      </w:rPr>
    </w:lvl>
    <w:lvl w:ilvl="8" w:tentative="0">
      <w:start w:val="0"/>
      <w:numFmt w:val="bullet"/>
      <w:lvlText w:val="•"/>
      <w:lvlJc w:val="left"/>
      <w:pPr>
        <w:ind w:left="7453" w:hanging="661"/>
      </w:pPr>
      <w:rPr>
        <w:rFonts w:hint="default"/>
      </w:rPr>
    </w:lvl>
  </w:abstractNum>
  <w:abstractNum w:abstractNumId="1">
    <w:nsid w:val="9BED150E"/>
    <w:multiLevelType w:val="multilevel"/>
    <w:tmpl w:val="9BED150E"/>
    <w:lvl w:ilvl="0" w:tentative="0">
      <w:start w:val="1"/>
      <w:numFmt w:val="decimal"/>
      <w:lvlText w:val="%1"/>
      <w:lvlJc w:val="left"/>
      <w:pPr>
        <w:ind w:left="628" w:hanging="408"/>
        <w:jc w:val="left"/>
      </w:pPr>
      <w:rPr>
        <w:rFonts w:hint="default"/>
      </w:rPr>
    </w:lvl>
    <w:lvl w:ilvl="1" w:tentative="0">
      <w:start w:val="1"/>
      <w:numFmt w:val="decimal"/>
      <w:lvlText w:val="%1.%2"/>
      <w:lvlJc w:val="left"/>
      <w:pPr>
        <w:ind w:left="628" w:hanging="408"/>
        <w:jc w:val="left"/>
      </w:pPr>
      <w:rPr>
        <w:rFonts w:hint="default" w:ascii="Times New Roman" w:hAnsi="Times New Roman" w:eastAsia="Times New Roman" w:cs="Times New Roman"/>
        <w:b/>
        <w:bCs/>
        <w:spacing w:val="-1"/>
        <w:w w:val="100"/>
        <w:sz w:val="28"/>
        <w:szCs w:val="28"/>
      </w:rPr>
    </w:lvl>
    <w:lvl w:ilvl="2" w:tentative="0">
      <w:start w:val="1"/>
      <w:numFmt w:val="lowerLetter"/>
      <w:lvlText w:val="%3."/>
      <w:lvlJc w:val="left"/>
      <w:pPr>
        <w:ind w:left="220" w:hanging="231"/>
        <w:jc w:val="left"/>
      </w:pPr>
      <w:rPr>
        <w:rFonts w:hint="default" w:ascii="Times New Roman" w:hAnsi="Times New Roman" w:eastAsia="Times New Roman" w:cs="Times New Roman"/>
        <w:spacing w:val="-1"/>
        <w:w w:val="100"/>
        <w:sz w:val="24"/>
        <w:szCs w:val="24"/>
      </w:rPr>
    </w:lvl>
    <w:lvl w:ilvl="3" w:tentative="0">
      <w:start w:val="0"/>
      <w:numFmt w:val="bullet"/>
      <w:lvlText w:val="•"/>
      <w:lvlJc w:val="left"/>
      <w:pPr>
        <w:ind w:left="2674" w:hanging="231"/>
      </w:pPr>
      <w:rPr>
        <w:rFonts w:hint="default"/>
      </w:rPr>
    </w:lvl>
    <w:lvl w:ilvl="4" w:tentative="0">
      <w:start w:val="0"/>
      <w:numFmt w:val="bullet"/>
      <w:lvlText w:val="•"/>
      <w:lvlJc w:val="left"/>
      <w:pPr>
        <w:ind w:left="3702" w:hanging="231"/>
      </w:pPr>
      <w:rPr>
        <w:rFonts w:hint="default"/>
      </w:rPr>
    </w:lvl>
    <w:lvl w:ilvl="5" w:tentative="0">
      <w:start w:val="0"/>
      <w:numFmt w:val="bullet"/>
      <w:lvlText w:val="•"/>
      <w:lvlJc w:val="left"/>
      <w:pPr>
        <w:ind w:left="4729" w:hanging="231"/>
      </w:pPr>
      <w:rPr>
        <w:rFonts w:hint="default"/>
      </w:rPr>
    </w:lvl>
    <w:lvl w:ilvl="6" w:tentative="0">
      <w:start w:val="0"/>
      <w:numFmt w:val="bullet"/>
      <w:lvlText w:val="•"/>
      <w:lvlJc w:val="left"/>
      <w:pPr>
        <w:ind w:left="5756" w:hanging="231"/>
      </w:pPr>
      <w:rPr>
        <w:rFonts w:hint="default"/>
      </w:rPr>
    </w:lvl>
    <w:lvl w:ilvl="7" w:tentative="0">
      <w:start w:val="0"/>
      <w:numFmt w:val="bullet"/>
      <w:lvlText w:val="•"/>
      <w:lvlJc w:val="left"/>
      <w:pPr>
        <w:ind w:left="6784" w:hanging="231"/>
      </w:pPr>
      <w:rPr>
        <w:rFonts w:hint="default"/>
      </w:rPr>
    </w:lvl>
    <w:lvl w:ilvl="8" w:tentative="0">
      <w:start w:val="0"/>
      <w:numFmt w:val="bullet"/>
      <w:lvlText w:val="•"/>
      <w:lvlJc w:val="left"/>
      <w:pPr>
        <w:ind w:left="7811" w:hanging="231"/>
      </w:pPr>
      <w:rPr>
        <w:rFonts w:hint="default"/>
      </w:rPr>
    </w:lvl>
  </w:abstractNum>
  <w:abstractNum w:abstractNumId="2">
    <w:nsid w:val="A3654981"/>
    <w:multiLevelType w:val="multilevel"/>
    <w:tmpl w:val="A3654981"/>
    <w:lvl w:ilvl="0" w:tentative="0">
      <w:start w:val="1"/>
      <w:numFmt w:val="decimal"/>
      <w:lvlText w:val="%1"/>
      <w:lvlJc w:val="left"/>
      <w:pPr>
        <w:ind w:left="108" w:hanging="308"/>
        <w:jc w:val="left"/>
      </w:pPr>
      <w:rPr>
        <w:rFonts w:hint="default"/>
      </w:rPr>
    </w:lvl>
    <w:lvl w:ilvl="1" w:tentative="0">
      <w:start w:val="1"/>
      <w:numFmt w:val="decimal"/>
      <w:lvlText w:val="%1.%2"/>
      <w:lvlJc w:val="left"/>
      <w:pPr>
        <w:ind w:left="108" w:hanging="308"/>
        <w:jc w:val="left"/>
      </w:pPr>
      <w:rPr>
        <w:rFonts w:hint="default" w:ascii="Times New Roman" w:hAnsi="Times New Roman" w:eastAsia="Times New Roman" w:cs="Times New Roman"/>
        <w:spacing w:val="0"/>
        <w:w w:val="99"/>
        <w:sz w:val="21"/>
        <w:szCs w:val="21"/>
      </w:rPr>
    </w:lvl>
    <w:lvl w:ilvl="2" w:tentative="0">
      <w:start w:val="0"/>
      <w:numFmt w:val="bullet"/>
      <w:lvlText w:val="•"/>
      <w:lvlJc w:val="left"/>
      <w:pPr>
        <w:ind w:left="1764" w:hanging="308"/>
      </w:pPr>
      <w:rPr>
        <w:rFonts w:hint="default"/>
      </w:rPr>
    </w:lvl>
    <w:lvl w:ilvl="3" w:tentative="0">
      <w:start w:val="0"/>
      <w:numFmt w:val="bullet"/>
      <w:lvlText w:val="•"/>
      <w:lvlJc w:val="left"/>
      <w:pPr>
        <w:ind w:left="2596" w:hanging="308"/>
      </w:pPr>
      <w:rPr>
        <w:rFonts w:hint="default"/>
      </w:rPr>
    </w:lvl>
    <w:lvl w:ilvl="4" w:tentative="0">
      <w:start w:val="0"/>
      <w:numFmt w:val="bullet"/>
      <w:lvlText w:val="•"/>
      <w:lvlJc w:val="left"/>
      <w:pPr>
        <w:ind w:left="3428" w:hanging="308"/>
      </w:pPr>
      <w:rPr>
        <w:rFonts w:hint="default"/>
      </w:rPr>
    </w:lvl>
    <w:lvl w:ilvl="5" w:tentative="0">
      <w:start w:val="0"/>
      <w:numFmt w:val="bullet"/>
      <w:lvlText w:val="•"/>
      <w:lvlJc w:val="left"/>
      <w:pPr>
        <w:ind w:left="4260" w:hanging="308"/>
      </w:pPr>
      <w:rPr>
        <w:rFonts w:hint="default"/>
      </w:rPr>
    </w:lvl>
    <w:lvl w:ilvl="6" w:tentative="0">
      <w:start w:val="0"/>
      <w:numFmt w:val="bullet"/>
      <w:lvlText w:val="•"/>
      <w:lvlJc w:val="left"/>
      <w:pPr>
        <w:ind w:left="5092" w:hanging="308"/>
      </w:pPr>
      <w:rPr>
        <w:rFonts w:hint="default"/>
      </w:rPr>
    </w:lvl>
    <w:lvl w:ilvl="7" w:tentative="0">
      <w:start w:val="0"/>
      <w:numFmt w:val="bullet"/>
      <w:lvlText w:val="•"/>
      <w:lvlJc w:val="left"/>
      <w:pPr>
        <w:ind w:left="5924" w:hanging="308"/>
      </w:pPr>
      <w:rPr>
        <w:rFonts w:hint="default"/>
      </w:rPr>
    </w:lvl>
    <w:lvl w:ilvl="8" w:tentative="0">
      <w:start w:val="0"/>
      <w:numFmt w:val="bullet"/>
      <w:lvlText w:val="•"/>
      <w:lvlJc w:val="left"/>
      <w:pPr>
        <w:ind w:left="6756" w:hanging="308"/>
      </w:pPr>
      <w:rPr>
        <w:rFonts w:hint="default"/>
      </w:rPr>
    </w:lvl>
  </w:abstractNum>
  <w:abstractNum w:abstractNumId="3">
    <w:nsid w:val="B389B6B2"/>
    <w:multiLevelType w:val="multilevel"/>
    <w:tmpl w:val="B389B6B2"/>
    <w:lvl w:ilvl="0" w:tentative="0">
      <w:start w:val="6"/>
      <w:numFmt w:val="decimal"/>
      <w:lvlText w:val="%1"/>
      <w:lvlJc w:val="left"/>
      <w:pPr>
        <w:ind w:left="868" w:hanging="408"/>
        <w:jc w:val="left"/>
      </w:pPr>
      <w:rPr>
        <w:rFonts w:hint="default"/>
      </w:rPr>
    </w:lvl>
    <w:lvl w:ilvl="1" w:tentative="0">
      <w:start w:val="3"/>
      <w:numFmt w:val="decimal"/>
      <w:lvlText w:val="%1.%2"/>
      <w:lvlJc w:val="left"/>
      <w:pPr>
        <w:ind w:left="86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990" w:hanging="531"/>
        <w:jc w:val="left"/>
      </w:pPr>
      <w:rPr>
        <w:rFonts w:hint="default" w:ascii="Times New Roman" w:hAnsi="Times New Roman" w:eastAsia="Times New Roman" w:cs="Times New Roman"/>
        <w:b/>
        <w:bCs/>
        <w:w w:val="100"/>
        <w:sz w:val="24"/>
        <w:szCs w:val="24"/>
      </w:rPr>
    </w:lvl>
    <w:lvl w:ilvl="3" w:tentative="0">
      <w:start w:val="1"/>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196" w:hanging="711"/>
      </w:pPr>
      <w:rPr>
        <w:rFonts w:hint="default"/>
      </w:rPr>
    </w:lvl>
    <w:lvl w:ilvl="5" w:tentative="0">
      <w:start w:val="0"/>
      <w:numFmt w:val="bullet"/>
      <w:lvlText w:val="•"/>
      <w:lvlJc w:val="left"/>
      <w:pPr>
        <w:ind w:left="4204" w:hanging="711"/>
      </w:pPr>
      <w:rPr>
        <w:rFonts w:hint="default"/>
      </w:rPr>
    </w:lvl>
    <w:lvl w:ilvl="6" w:tentative="0">
      <w:start w:val="0"/>
      <w:numFmt w:val="bullet"/>
      <w:lvlText w:val="•"/>
      <w:lvlJc w:val="left"/>
      <w:pPr>
        <w:ind w:left="5213" w:hanging="711"/>
      </w:pPr>
      <w:rPr>
        <w:rFonts w:hint="default"/>
      </w:rPr>
    </w:lvl>
    <w:lvl w:ilvl="7" w:tentative="0">
      <w:start w:val="0"/>
      <w:numFmt w:val="bullet"/>
      <w:lvlText w:val="•"/>
      <w:lvlJc w:val="left"/>
      <w:pPr>
        <w:ind w:left="6221" w:hanging="711"/>
      </w:pPr>
      <w:rPr>
        <w:rFonts w:hint="default"/>
      </w:rPr>
    </w:lvl>
    <w:lvl w:ilvl="8" w:tentative="0">
      <w:start w:val="0"/>
      <w:numFmt w:val="bullet"/>
      <w:lvlText w:val="•"/>
      <w:lvlJc w:val="left"/>
      <w:pPr>
        <w:ind w:left="7229" w:hanging="711"/>
      </w:pPr>
      <w:rPr>
        <w:rFonts w:hint="default"/>
      </w:rPr>
    </w:lvl>
  </w:abstractNum>
  <w:abstractNum w:abstractNumId="4">
    <w:nsid w:val="B6A6C561"/>
    <w:multiLevelType w:val="multilevel"/>
    <w:tmpl w:val="B6A6C561"/>
    <w:lvl w:ilvl="0" w:tentative="0">
      <w:start w:val="9"/>
      <w:numFmt w:val="decimal"/>
      <w:lvlText w:val="%1"/>
      <w:lvlJc w:val="left"/>
      <w:pPr>
        <w:ind w:left="692" w:hanging="411"/>
        <w:jc w:val="left"/>
      </w:pPr>
      <w:rPr>
        <w:rFonts w:hint="default"/>
      </w:rPr>
    </w:lvl>
    <w:lvl w:ilvl="1" w:tentative="0">
      <w:start w:val="4"/>
      <w:numFmt w:val="decimal"/>
      <w:lvlText w:val="%1.%2"/>
      <w:lvlJc w:val="left"/>
      <w:pPr>
        <w:ind w:left="692" w:hanging="411"/>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2" w:hanging="531"/>
        <w:jc w:val="left"/>
      </w:pPr>
      <w:rPr>
        <w:rFonts w:hint="default" w:ascii="Times New Roman" w:hAnsi="Times New Roman" w:eastAsia="Times New Roman" w:cs="Times New Roman"/>
        <w:b/>
        <w:bCs/>
        <w:w w:val="100"/>
        <w:sz w:val="24"/>
        <w:szCs w:val="24"/>
      </w:rPr>
    </w:lvl>
    <w:lvl w:ilvl="3" w:tentative="0">
      <w:start w:val="1"/>
      <w:numFmt w:val="decimal"/>
      <w:lvlText w:val="%1.%2.%3.%4"/>
      <w:lvlJc w:val="left"/>
      <w:pPr>
        <w:ind w:left="992"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2966" w:hanging="711"/>
      </w:pPr>
      <w:rPr>
        <w:rFonts w:hint="default"/>
      </w:rPr>
    </w:lvl>
    <w:lvl w:ilvl="5" w:tentative="0">
      <w:start w:val="0"/>
      <w:numFmt w:val="bullet"/>
      <w:lvlText w:val="•"/>
      <w:lvlJc w:val="left"/>
      <w:pPr>
        <w:ind w:left="3949" w:hanging="711"/>
      </w:pPr>
      <w:rPr>
        <w:rFonts w:hint="default"/>
      </w:rPr>
    </w:lvl>
    <w:lvl w:ilvl="6" w:tentative="0">
      <w:start w:val="0"/>
      <w:numFmt w:val="bullet"/>
      <w:lvlText w:val="•"/>
      <w:lvlJc w:val="left"/>
      <w:pPr>
        <w:ind w:left="4933" w:hanging="711"/>
      </w:pPr>
      <w:rPr>
        <w:rFonts w:hint="default"/>
      </w:rPr>
    </w:lvl>
    <w:lvl w:ilvl="7" w:tentative="0">
      <w:start w:val="0"/>
      <w:numFmt w:val="bullet"/>
      <w:lvlText w:val="•"/>
      <w:lvlJc w:val="left"/>
      <w:pPr>
        <w:ind w:left="5916" w:hanging="711"/>
      </w:pPr>
      <w:rPr>
        <w:rFonts w:hint="default"/>
      </w:rPr>
    </w:lvl>
    <w:lvl w:ilvl="8" w:tentative="0">
      <w:start w:val="0"/>
      <w:numFmt w:val="bullet"/>
      <w:lvlText w:val="•"/>
      <w:lvlJc w:val="left"/>
      <w:pPr>
        <w:ind w:left="6899" w:hanging="711"/>
      </w:pPr>
      <w:rPr>
        <w:rFonts w:hint="default"/>
      </w:rPr>
    </w:lvl>
  </w:abstractNum>
  <w:abstractNum w:abstractNumId="5">
    <w:nsid w:val="D86AD447"/>
    <w:multiLevelType w:val="multilevel"/>
    <w:tmpl w:val="D86AD447"/>
    <w:lvl w:ilvl="0" w:tentative="0">
      <w:start w:val="6"/>
      <w:numFmt w:val="decimal"/>
      <w:lvlText w:val="%1"/>
      <w:lvlJc w:val="left"/>
      <w:pPr>
        <w:ind w:left="868" w:hanging="408"/>
        <w:jc w:val="left"/>
      </w:pPr>
      <w:rPr>
        <w:rFonts w:hint="default"/>
      </w:rPr>
    </w:lvl>
    <w:lvl w:ilvl="1" w:tentative="0">
      <w:start w:val="1"/>
      <w:numFmt w:val="decimal"/>
      <w:lvlText w:val="%1.%2"/>
      <w:lvlJc w:val="left"/>
      <w:pPr>
        <w:ind w:left="868" w:hanging="408"/>
        <w:jc w:val="left"/>
      </w:pPr>
      <w:rPr>
        <w:rFonts w:hint="default" w:ascii="Times New Roman" w:hAnsi="Times New Roman" w:eastAsia="Times New Roman" w:cs="Times New Roman"/>
        <w:b/>
        <w:bCs/>
        <w:spacing w:val="-1"/>
        <w:w w:val="100"/>
        <w:sz w:val="28"/>
        <w:szCs w:val="28"/>
      </w:rPr>
    </w:lvl>
    <w:lvl w:ilvl="2" w:tentative="0">
      <w:start w:val="0"/>
      <w:numFmt w:val="bullet"/>
      <w:lvlText w:val="•"/>
      <w:lvlJc w:val="left"/>
      <w:pPr>
        <w:ind w:left="1180" w:hanging="408"/>
      </w:pPr>
      <w:rPr>
        <w:rFonts w:hint="default"/>
      </w:rPr>
    </w:lvl>
    <w:lvl w:ilvl="3" w:tentative="0">
      <w:start w:val="0"/>
      <w:numFmt w:val="bullet"/>
      <w:lvlText w:val="•"/>
      <w:lvlJc w:val="left"/>
      <w:pPr>
        <w:ind w:left="2188" w:hanging="408"/>
      </w:pPr>
      <w:rPr>
        <w:rFonts w:hint="default"/>
      </w:rPr>
    </w:lvl>
    <w:lvl w:ilvl="4" w:tentative="0">
      <w:start w:val="0"/>
      <w:numFmt w:val="bullet"/>
      <w:lvlText w:val="•"/>
      <w:lvlJc w:val="left"/>
      <w:pPr>
        <w:ind w:left="3196" w:hanging="408"/>
      </w:pPr>
      <w:rPr>
        <w:rFonts w:hint="default"/>
      </w:rPr>
    </w:lvl>
    <w:lvl w:ilvl="5" w:tentative="0">
      <w:start w:val="0"/>
      <w:numFmt w:val="bullet"/>
      <w:lvlText w:val="•"/>
      <w:lvlJc w:val="left"/>
      <w:pPr>
        <w:ind w:left="4204" w:hanging="408"/>
      </w:pPr>
      <w:rPr>
        <w:rFonts w:hint="default"/>
      </w:rPr>
    </w:lvl>
    <w:lvl w:ilvl="6" w:tentative="0">
      <w:start w:val="0"/>
      <w:numFmt w:val="bullet"/>
      <w:lvlText w:val="•"/>
      <w:lvlJc w:val="left"/>
      <w:pPr>
        <w:ind w:left="5213" w:hanging="408"/>
      </w:pPr>
      <w:rPr>
        <w:rFonts w:hint="default"/>
      </w:rPr>
    </w:lvl>
    <w:lvl w:ilvl="7" w:tentative="0">
      <w:start w:val="0"/>
      <w:numFmt w:val="bullet"/>
      <w:lvlText w:val="•"/>
      <w:lvlJc w:val="left"/>
      <w:pPr>
        <w:ind w:left="6221" w:hanging="408"/>
      </w:pPr>
      <w:rPr>
        <w:rFonts w:hint="default"/>
      </w:rPr>
    </w:lvl>
    <w:lvl w:ilvl="8" w:tentative="0">
      <w:start w:val="0"/>
      <w:numFmt w:val="bullet"/>
      <w:lvlText w:val="•"/>
      <w:lvlJc w:val="left"/>
      <w:pPr>
        <w:ind w:left="7229" w:hanging="408"/>
      </w:pPr>
      <w:rPr>
        <w:rFonts w:hint="default"/>
      </w:rPr>
    </w:lvl>
  </w:abstractNum>
  <w:abstractNum w:abstractNumId="6">
    <w:nsid w:val="D87B99C9"/>
    <w:multiLevelType w:val="multilevel"/>
    <w:tmpl w:val="D87B99C9"/>
    <w:lvl w:ilvl="0" w:tentative="0">
      <w:start w:val="7"/>
      <w:numFmt w:val="decimal"/>
      <w:lvlText w:val="%1"/>
      <w:lvlJc w:val="left"/>
      <w:pPr>
        <w:ind w:left="868" w:hanging="408"/>
        <w:jc w:val="left"/>
      </w:pPr>
      <w:rPr>
        <w:rFonts w:hint="default"/>
      </w:rPr>
    </w:lvl>
    <w:lvl w:ilvl="1" w:tentative="0">
      <w:start w:val="1"/>
      <w:numFmt w:val="decimal"/>
      <w:lvlText w:val="%1.%2"/>
      <w:lvlJc w:val="left"/>
      <w:pPr>
        <w:ind w:left="86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990"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832" w:hanging="531"/>
      </w:pPr>
      <w:rPr>
        <w:rFonts w:hint="default"/>
      </w:rPr>
    </w:lvl>
    <w:lvl w:ilvl="4" w:tentative="0">
      <w:start w:val="0"/>
      <w:numFmt w:val="bullet"/>
      <w:lvlText w:val="•"/>
      <w:lvlJc w:val="left"/>
      <w:pPr>
        <w:ind w:left="3748" w:hanging="531"/>
      </w:pPr>
      <w:rPr>
        <w:rFonts w:hint="default"/>
      </w:rPr>
    </w:lvl>
    <w:lvl w:ilvl="5" w:tentative="0">
      <w:start w:val="0"/>
      <w:numFmt w:val="bullet"/>
      <w:lvlText w:val="•"/>
      <w:lvlJc w:val="left"/>
      <w:pPr>
        <w:ind w:left="4664" w:hanging="531"/>
      </w:pPr>
      <w:rPr>
        <w:rFonts w:hint="default"/>
      </w:rPr>
    </w:lvl>
    <w:lvl w:ilvl="6" w:tentative="0">
      <w:start w:val="0"/>
      <w:numFmt w:val="bullet"/>
      <w:lvlText w:val="•"/>
      <w:lvlJc w:val="left"/>
      <w:pPr>
        <w:ind w:left="5581" w:hanging="531"/>
      </w:pPr>
      <w:rPr>
        <w:rFonts w:hint="default"/>
      </w:rPr>
    </w:lvl>
    <w:lvl w:ilvl="7" w:tentative="0">
      <w:start w:val="0"/>
      <w:numFmt w:val="bullet"/>
      <w:lvlText w:val="•"/>
      <w:lvlJc w:val="left"/>
      <w:pPr>
        <w:ind w:left="6497" w:hanging="531"/>
      </w:pPr>
      <w:rPr>
        <w:rFonts w:hint="default"/>
      </w:rPr>
    </w:lvl>
    <w:lvl w:ilvl="8" w:tentative="0">
      <w:start w:val="0"/>
      <w:numFmt w:val="bullet"/>
      <w:lvlText w:val="•"/>
      <w:lvlJc w:val="left"/>
      <w:pPr>
        <w:ind w:left="7413" w:hanging="531"/>
      </w:pPr>
      <w:rPr>
        <w:rFonts w:hint="default"/>
      </w:rPr>
    </w:lvl>
  </w:abstractNum>
  <w:abstractNum w:abstractNumId="7">
    <w:nsid w:val="E0C83109"/>
    <w:multiLevelType w:val="multilevel"/>
    <w:tmpl w:val="E0C83109"/>
    <w:lvl w:ilvl="0" w:tentative="0">
      <w:start w:val="3"/>
      <w:numFmt w:val="decimal"/>
      <w:lvlText w:val="%1"/>
      <w:lvlJc w:val="left"/>
      <w:pPr>
        <w:ind w:left="1650" w:hanging="711"/>
        <w:jc w:val="left"/>
      </w:pPr>
      <w:rPr>
        <w:rFonts w:hint="default"/>
      </w:rPr>
    </w:lvl>
    <w:lvl w:ilvl="1" w:tentative="0">
      <w:start w:val="7"/>
      <w:numFmt w:val="decimal"/>
      <w:lvlText w:val="%1.%2"/>
      <w:lvlJc w:val="left"/>
      <w:pPr>
        <w:ind w:left="1650" w:hanging="711"/>
        <w:jc w:val="left"/>
      </w:pPr>
      <w:rPr>
        <w:rFonts w:hint="default"/>
      </w:rPr>
    </w:lvl>
    <w:lvl w:ilvl="2" w:tentative="0">
      <w:start w:val="4"/>
      <w:numFmt w:val="decimal"/>
      <w:lvlText w:val="%1.%2.%3"/>
      <w:lvlJc w:val="left"/>
      <w:pPr>
        <w:ind w:left="1650" w:hanging="711"/>
        <w:jc w:val="left"/>
      </w:pPr>
      <w:rPr>
        <w:rFonts w:hint="default"/>
      </w:rPr>
    </w:lvl>
    <w:lvl w:ilvl="3" w:tentative="0">
      <w:start w:val="3"/>
      <w:numFmt w:val="decimal"/>
      <w:lvlText w:val="%1.%2.%3.%4"/>
      <w:lvlJc w:val="left"/>
      <w:pPr>
        <w:ind w:left="165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4694" w:hanging="711"/>
      </w:pPr>
      <w:rPr>
        <w:rFonts w:hint="default"/>
      </w:rPr>
    </w:lvl>
    <w:lvl w:ilvl="5" w:tentative="0">
      <w:start w:val="0"/>
      <w:numFmt w:val="bullet"/>
      <w:lvlText w:val="•"/>
      <w:lvlJc w:val="left"/>
      <w:pPr>
        <w:ind w:left="5453" w:hanging="711"/>
      </w:pPr>
      <w:rPr>
        <w:rFonts w:hint="default"/>
      </w:rPr>
    </w:lvl>
    <w:lvl w:ilvl="6" w:tentative="0">
      <w:start w:val="0"/>
      <w:numFmt w:val="bullet"/>
      <w:lvlText w:val="•"/>
      <w:lvlJc w:val="left"/>
      <w:pPr>
        <w:ind w:left="6211" w:hanging="711"/>
      </w:pPr>
      <w:rPr>
        <w:rFonts w:hint="default"/>
      </w:rPr>
    </w:lvl>
    <w:lvl w:ilvl="7" w:tentative="0">
      <w:start w:val="0"/>
      <w:numFmt w:val="bullet"/>
      <w:lvlText w:val="•"/>
      <w:lvlJc w:val="left"/>
      <w:pPr>
        <w:ind w:left="6970" w:hanging="711"/>
      </w:pPr>
      <w:rPr>
        <w:rFonts w:hint="default"/>
      </w:rPr>
    </w:lvl>
    <w:lvl w:ilvl="8" w:tentative="0">
      <w:start w:val="0"/>
      <w:numFmt w:val="bullet"/>
      <w:lvlText w:val="•"/>
      <w:lvlJc w:val="left"/>
      <w:pPr>
        <w:ind w:left="7728" w:hanging="711"/>
      </w:pPr>
      <w:rPr>
        <w:rFonts w:hint="default"/>
      </w:rPr>
    </w:lvl>
  </w:abstractNum>
  <w:abstractNum w:abstractNumId="8">
    <w:nsid w:val="EBD34650"/>
    <w:multiLevelType w:val="multilevel"/>
    <w:tmpl w:val="EBD34650"/>
    <w:lvl w:ilvl="0" w:tentative="0">
      <w:start w:val="0"/>
      <w:numFmt w:val="bullet"/>
      <w:lvlText w:val=""/>
      <w:lvlJc w:val="left"/>
      <w:pPr>
        <w:ind w:left="911" w:hanging="188"/>
      </w:pPr>
      <w:rPr>
        <w:rFonts w:hint="default" w:ascii="Wingdings" w:hAnsi="Wingdings" w:eastAsia="Wingdings" w:cs="Wingdings"/>
        <w:w w:val="99"/>
        <w:position w:val="8"/>
        <w:sz w:val="19"/>
        <w:szCs w:val="19"/>
      </w:rPr>
    </w:lvl>
    <w:lvl w:ilvl="1" w:tentative="0">
      <w:start w:val="0"/>
      <w:numFmt w:val="bullet"/>
      <w:lvlText w:val="•"/>
      <w:lvlJc w:val="left"/>
      <w:pPr>
        <w:ind w:left="1030" w:hanging="188"/>
      </w:pPr>
      <w:rPr>
        <w:rFonts w:hint="default"/>
      </w:rPr>
    </w:lvl>
    <w:lvl w:ilvl="2" w:tentative="0">
      <w:start w:val="0"/>
      <w:numFmt w:val="bullet"/>
      <w:lvlText w:val="•"/>
      <w:lvlJc w:val="left"/>
      <w:pPr>
        <w:ind w:left="1141" w:hanging="188"/>
      </w:pPr>
      <w:rPr>
        <w:rFonts w:hint="default"/>
      </w:rPr>
    </w:lvl>
    <w:lvl w:ilvl="3" w:tentative="0">
      <w:start w:val="0"/>
      <w:numFmt w:val="bullet"/>
      <w:lvlText w:val="•"/>
      <w:lvlJc w:val="left"/>
      <w:pPr>
        <w:ind w:left="1251" w:hanging="188"/>
      </w:pPr>
      <w:rPr>
        <w:rFonts w:hint="default"/>
      </w:rPr>
    </w:lvl>
    <w:lvl w:ilvl="4" w:tentative="0">
      <w:start w:val="0"/>
      <w:numFmt w:val="bullet"/>
      <w:lvlText w:val="•"/>
      <w:lvlJc w:val="left"/>
      <w:pPr>
        <w:ind w:left="1362" w:hanging="188"/>
      </w:pPr>
      <w:rPr>
        <w:rFonts w:hint="default"/>
      </w:rPr>
    </w:lvl>
    <w:lvl w:ilvl="5" w:tentative="0">
      <w:start w:val="0"/>
      <w:numFmt w:val="bullet"/>
      <w:lvlText w:val="•"/>
      <w:lvlJc w:val="left"/>
      <w:pPr>
        <w:ind w:left="1472" w:hanging="188"/>
      </w:pPr>
      <w:rPr>
        <w:rFonts w:hint="default"/>
      </w:rPr>
    </w:lvl>
    <w:lvl w:ilvl="6" w:tentative="0">
      <w:start w:val="0"/>
      <w:numFmt w:val="bullet"/>
      <w:lvlText w:val="•"/>
      <w:lvlJc w:val="left"/>
      <w:pPr>
        <w:ind w:left="1583" w:hanging="188"/>
      </w:pPr>
      <w:rPr>
        <w:rFonts w:hint="default"/>
      </w:rPr>
    </w:lvl>
    <w:lvl w:ilvl="7" w:tentative="0">
      <w:start w:val="0"/>
      <w:numFmt w:val="bullet"/>
      <w:lvlText w:val="•"/>
      <w:lvlJc w:val="left"/>
      <w:pPr>
        <w:ind w:left="1693" w:hanging="188"/>
      </w:pPr>
      <w:rPr>
        <w:rFonts w:hint="default"/>
      </w:rPr>
    </w:lvl>
    <w:lvl w:ilvl="8" w:tentative="0">
      <w:start w:val="0"/>
      <w:numFmt w:val="bullet"/>
      <w:lvlText w:val="•"/>
      <w:lvlJc w:val="left"/>
      <w:pPr>
        <w:ind w:left="1804" w:hanging="188"/>
      </w:pPr>
      <w:rPr>
        <w:rFonts w:hint="default"/>
      </w:rPr>
    </w:lvl>
  </w:abstractNum>
  <w:abstractNum w:abstractNumId="9">
    <w:nsid w:val="F107D51A"/>
    <w:multiLevelType w:val="multilevel"/>
    <w:tmpl w:val="F107D51A"/>
    <w:lvl w:ilvl="0" w:tentative="0">
      <w:start w:val="9"/>
      <w:numFmt w:val="decimal"/>
      <w:lvlText w:val="%1"/>
      <w:lvlJc w:val="left"/>
      <w:pPr>
        <w:ind w:left="692" w:hanging="411"/>
        <w:jc w:val="left"/>
      </w:pPr>
      <w:rPr>
        <w:rFonts w:hint="default"/>
      </w:rPr>
    </w:lvl>
    <w:lvl w:ilvl="1" w:tentative="0">
      <w:start w:val="1"/>
      <w:numFmt w:val="decimal"/>
      <w:lvlText w:val="%1.%2"/>
      <w:lvlJc w:val="left"/>
      <w:pPr>
        <w:ind w:left="692" w:hanging="411"/>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2"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608" w:hanging="531"/>
      </w:pPr>
      <w:rPr>
        <w:rFonts w:hint="default"/>
      </w:rPr>
    </w:lvl>
    <w:lvl w:ilvl="4" w:tentative="0">
      <w:start w:val="0"/>
      <w:numFmt w:val="bullet"/>
      <w:lvlText w:val="•"/>
      <w:lvlJc w:val="left"/>
      <w:pPr>
        <w:ind w:left="3502" w:hanging="531"/>
      </w:pPr>
      <w:rPr>
        <w:rFonts w:hint="default"/>
      </w:rPr>
    </w:lvl>
    <w:lvl w:ilvl="5" w:tentative="0">
      <w:start w:val="0"/>
      <w:numFmt w:val="bullet"/>
      <w:lvlText w:val="•"/>
      <w:lvlJc w:val="left"/>
      <w:pPr>
        <w:ind w:left="4396" w:hanging="531"/>
      </w:pPr>
      <w:rPr>
        <w:rFonts w:hint="default"/>
      </w:rPr>
    </w:lvl>
    <w:lvl w:ilvl="6" w:tentative="0">
      <w:start w:val="0"/>
      <w:numFmt w:val="bullet"/>
      <w:lvlText w:val="•"/>
      <w:lvlJc w:val="left"/>
      <w:pPr>
        <w:ind w:left="5290" w:hanging="531"/>
      </w:pPr>
      <w:rPr>
        <w:rFonts w:hint="default"/>
      </w:rPr>
    </w:lvl>
    <w:lvl w:ilvl="7" w:tentative="0">
      <w:start w:val="0"/>
      <w:numFmt w:val="bullet"/>
      <w:lvlText w:val="•"/>
      <w:lvlJc w:val="left"/>
      <w:pPr>
        <w:ind w:left="6184" w:hanging="531"/>
      </w:pPr>
      <w:rPr>
        <w:rFonts w:hint="default"/>
      </w:rPr>
    </w:lvl>
    <w:lvl w:ilvl="8" w:tentative="0">
      <w:start w:val="0"/>
      <w:numFmt w:val="bullet"/>
      <w:lvlText w:val="•"/>
      <w:lvlJc w:val="left"/>
      <w:pPr>
        <w:ind w:left="7078" w:hanging="531"/>
      </w:pPr>
      <w:rPr>
        <w:rFonts w:hint="default"/>
      </w:rPr>
    </w:lvl>
  </w:abstractNum>
  <w:abstractNum w:abstractNumId="10">
    <w:nsid w:val="F82E8D2F"/>
    <w:multiLevelType w:val="multilevel"/>
    <w:tmpl w:val="F82E8D2F"/>
    <w:lvl w:ilvl="0" w:tentative="0">
      <w:start w:val="7"/>
      <w:numFmt w:val="decimal"/>
      <w:lvlText w:val="%1"/>
      <w:lvlJc w:val="left"/>
      <w:pPr>
        <w:ind w:left="1079" w:hanging="620"/>
        <w:jc w:val="left"/>
      </w:pPr>
      <w:rPr>
        <w:rFonts w:hint="default"/>
      </w:rPr>
    </w:lvl>
    <w:lvl w:ilvl="1" w:tentative="0">
      <w:start w:val="2"/>
      <w:numFmt w:val="decimal"/>
      <w:lvlText w:val="%1.%2"/>
      <w:lvlJc w:val="left"/>
      <w:pPr>
        <w:ind w:left="1079" w:hanging="620"/>
        <w:jc w:val="left"/>
      </w:pPr>
      <w:rPr>
        <w:rFonts w:hint="default"/>
      </w:rPr>
    </w:lvl>
    <w:lvl w:ilvl="2" w:tentative="0">
      <w:start w:val="2"/>
      <w:numFmt w:val="decimal"/>
      <w:lvlText w:val="%1.%2.%3"/>
      <w:lvlJc w:val="left"/>
      <w:pPr>
        <w:ind w:left="1079" w:hanging="620"/>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868" w:hanging="711"/>
      </w:pPr>
      <w:rPr>
        <w:rFonts w:hint="default"/>
      </w:rPr>
    </w:lvl>
    <w:lvl w:ilvl="5" w:tentative="0">
      <w:start w:val="0"/>
      <w:numFmt w:val="bullet"/>
      <w:lvlText w:val="•"/>
      <w:lvlJc w:val="left"/>
      <w:pPr>
        <w:ind w:left="4764" w:hanging="711"/>
      </w:pPr>
      <w:rPr>
        <w:rFonts w:hint="default"/>
      </w:rPr>
    </w:lvl>
    <w:lvl w:ilvl="6" w:tentative="0">
      <w:start w:val="0"/>
      <w:numFmt w:val="bullet"/>
      <w:lvlText w:val="•"/>
      <w:lvlJc w:val="left"/>
      <w:pPr>
        <w:ind w:left="5661" w:hanging="711"/>
      </w:pPr>
      <w:rPr>
        <w:rFonts w:hint="default"/>
      </w:rPr>
    </w:lvl>
    <w:lvl w:ilvl="7" w:tentative="0">
      <w:start w:val="0"/>
      <w:numFmt w:val="bullet"/>
      <w:lvlText w:val="•"/>
      <w:lvlJc w:val="left"/>
      <w:pPr>
        <w:ind w:left="6557" w:hanging="711"/>
      </w:pPr>
      <w:rPr>
        <w:rFonts w:hint="default"/>
      </w:rPr>
    </w:lvl>
    <w:lvl w:ilvl="8" w:tentative="0">
      <w:start w:val="0"/>
      <w:numFmt w:val="bullet"/>
      <w:lvlText w:val="•"/>
      <w:lvlJc w:val="left"/>
      <w:pPr>
        <w:ind w:left="7453" w:hanging="711"/>
      </w:pPr>
      <w:rPr>
        <w:rFonts w:hint="default"/>
      </w:rPr>
    </w:lvl>
  </w:abstractNum>
  <w:abstractNum w:abstractNumId="11">
    <w:nsid w:val="FA3EA14E"/>
    <w:multiLevelType w:val="multilevel"/>
    <w:tmpl w:val="FA3EA14E"/>
    <w:lvl w:ilvl="0" w:tentative="0">
      <w:start w:val="0"/>
      <w:numFmt w:val="bullet"/>
      <w:lvlText w:val=""/>
      <w:lvlJc w:val="left"/>
      <w:pPr>
        <w:ind w:left="1632" w:hanging="1138"/>
      </w:pPr>
      <w:rPr>
        <w:rFonts w:hint="default" w:ascii="Wingdings" w:hAnsi="Wingdings" w:eastAsia="Wingdings" w:cs="Wingdings"/>
        <w:w w:val="99"/>
        <w:position w:val="1"/>
        <w:sz w:val="20"/>
        <w:szCs w:val="20"/>
      </w:rPr>
    </w:lvl>
    <w:lvl w:ilvl="1" w:tentative="0">
      <w:start w:val="0"/>
      <w:numFmt w:val="bullet"/>
      <w:lvlText w:val="•"/>
      <w:lvlJc w:val="left"/>
      <w:pPr>
        <w:ind w:left="2080" w:hanging="1138"/>
      </w:pPr>
      <w:rPr>
        <w:rFonts w:hint="default"/>
      </w:rPr>
    </w:lvl>
    <w:lvl w:ilvl="2" w:tentative="0">
      <w:start w:val="0"/>
      <w:numFmt w:val="bullet"/>
      <w:lvlText w:val="•"/>
      <w:lvlJc w:val="left"/>
      <w:pPr>
        <w:ind w:left="2520" w:hanging="1138"/>
      </w:pPr>
      <w:rPr>
        <w:rFonts w:hint="default"/>
      </w:rPr>
    </w:lvl>
    <w:lvl w:ilvl="3" w:tentative="0">
      <w:start w:val="0"/>
      <w:numFmt w:val="bullet"/>
      <w:lvlText w:val="•"/>
      <w:lvlJc w:val="left"/>
      <w:pPr>
        <w:ind w:left="2960" w:hanging="1138"/>
      </w:pPr>
      <w:rPr>
        <w:rFonts w:hint="default"/>
      </w:rPr>
    </w:lvl>
    <w:lvl w:ilvl="4" w:tentative="0">
      <w:start w:val="0"/>
      <w:numFmt w:val="bullet"/>
      <w:lvlText w:val="•"/>
      <w:lvlJc w:val="left"/>
      <w:pPr>
        <w:ind w:left="3400" w:hanging="1138"/>
      </w:pPr>
      <w:rPr>
        <w:rFonts w:hint="default"/>
      </w:rPr>
    </w:lvl>
    <w:lvl w:ilvl="5" w:tentative="0">
      <w:start w:val="0"/>
      <w:numFmt w:val="bullet"/>
      <w:lvlText w:val="•"/>
      <w:lvlJc w:val="left"/>
      <w:pPr>
        <w:ind w:left="3840" w:hanging="1138"/>
      </w:pPr>
      <w:rPr>
        <w:rFonts w:hint="default"/>
      </w:rPr>
    </w:lvl>
    <w:lvl w:ilvl="6" w:tentative="0">
      <w:start w:val="0"/>
      <w:numFmt w:val="bullet"/>
      <w:lvlText w:val="•"/>
      <w:lvlJc w:val="left"/>
      <w:pPr>
        <w:ind w:left="4280" w:hanging="1138"/>
      </w:pPr>
      <w:rPr>
        <w:rFonts w:hint="default"/>
      </w:rPr>
    </w:lvl>
    <w:lvl w:ilvl="7" w:tentative="0">
      <w:start w:val="0"/>
      <w:numFmt w:val="bullet"/>
      <w:lvlText w:val="•"/>
      <w:lvlJc w:val="left"/>
      <w:pPr>
        <w:ind w:left="4720" w:hanging="1138"/>
      </w:pPr>
      <w:rPr>
        <w:rFonts w:hint="default"/>
      </w:rPr>
    </w:lvl>
    <w:lvl w:ilvl="8" w:tentative="0">
      <w:start w:val="0"/>
      <w:numFmt w:val="bullet"/>
      <w:lvlText w:val="•"/>
      <w:lvlJc w:val="left"/>
      <w:pPr>
        <w:ind w:left="5160" w:hanging="1138"/>
      </w:pPr>
      <w:rPr>
        <w:rFonts w:hint="default"/>
      </w:rPr>
    </w:lvl>
  </w:abstractNum>
  <w:abstractNum w:abstractNumId="12">
    <w:nsid w:val="FBAA69C9"/>
    <w:multiLevelType w:val="multilevel"/>
    <w:tmpl w:val="FBAA69C9"/>
    <w:lvl w:ilvl="0" w:tentative="0">
      <w:start w:val="4"/>
      <w:numFmt w:val="decimal"/>
      <w:lvlText w:val="%1"/>
      <w:lvlJc w:val="left"/>
      <w:pPr>
        <w:ind w:left="990" w:hanging="531"/>
        <w:jc w:val="left"/>
      </w:pPr>
      <w:rPr>
        <w:rFonts w:hint="default"/>
      </w:rPr>
    </w:lvl>
    <w:lvl w:ilvl="1" w:tentative="0">
      <w:start w:val="2"/>
      <w:numFmt w:val="decimal"/>
      <w:lvlText w:val="%1.%2"/>
      <w:lvlJc w:val="left"/>
      <w:pPr>
        <w:ind w:left="990" w:hanging="531"/>
        <w:jc w:val="left"/>
      </w:pPr>
      <w:rPr>
        <w:rFonts w:hint="default"/>
      </w:rPr>
    </w:lvl>
    <w:lvl w:ilvl="2" w:tentative="0">
      <w:start w:val="4"/>
      <w:numFmt w:val="decimal"/>
      <w:lvlText w:val="%1.%2.%3"/>
      <w:lvlJc w:val="left"/>
      <w:pPr>
        <w:ind w:left="990"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3473" w:hanging="531"/>
      </w:pPr>
      <w:rPr>
        <w:rFonts w:hint="default"/>
      </w:rPr>
    </w:lvl>
    <w:lvl w:ilvl="4" w:tentative="0">
      <w:start w:val="0"/>
      <w:numFmt w:val="bullet"/>
      <w:lvlText w:val="•"/>
      <w:lvlJc w:val="left"/>
      <w:pPr>
        <w:ind w:left="4298" w:hanging="531"/>
      </w:pPr>
      <w:rPr>
        <w:rFonts w:hint="default"/>
      </w:rPr>
    </w:lvl>
    <w:lvl w:ilvl="5" w:tentative="0">
      <w:start w:val="0"/>
      <w:numFmt w:val="bullet"/>
      <w:lvlText w:val="•"/>
      <w:lvlJc w:val="left"/>
      <w:pPr>
        <w:ind w:left="5123" w:hanging="531"/>
      </w:pPr>
      <w:rPr>
        <w:rFonts w:hint="default"/>
      </w:rPr>
    </w:lvl>
    <w:lvl w:ilvl="6" w:tentative="0">
      <w:start w:val="0"/>
      <w:numFmt w:val="bullet"/>
      <w:lvlText w:val="•"/>
      <w:lvlJc w:val="left"/>
      <w:pPr>
        <w:ind w:left="5947" w:hanging="531"/>
      </w:pPr>
      <w:rPr>
        <w:rFonts w:hint="default"/>
      </w:rPr>
    </w:lvl>
    <w:lvl w:ilvl="7" w:tentative="0">
      <w:start w:val="0"/>
      <w:numFmt w:val="bullet"/>
      <w:lvlText w:val="•"/>
      <w:lvlJc w:val="left"/>
      <w:pPr>
        <w:ind w:left="6772" w:hanging="531"/>
      </w:pPr>
      <w:rPr>
        <w:rFonts w:hint="default"/>
      </w:rPr>
    </w:lvl>
    <w:lvl w:ilvl="8" w:tentative="0">
      <w:start w:val="0"/>
      <w:numFmt w:val="bullet"/>
      <w:lvlText w:val="•"/>
      <w:lvlJc w:val="left"/>
      <w:pPr>
        <w:ind w:left="7596" w:hanging="531"/>
      </w:pPr>
      <w:rPr>
        <w:rFonts w:hint="default"/>
      </w:rPr>
    </w:lvl>
  </w:abstractNum>
  <w:abstractNum w:abstractNumId="13">
    <w:nsid w:val="FCD3C45C"/>
    <w:multiLevelType w:val="multilevel"/>
    <w:tmpl w:val="FCD3C45C"/>
    <w:lvl w:ilvl="0" w:tentative="0">
      <w:start w:val="5"/>
      <w:numFmt w:val="decimal"/>
      <w:lvlText w:val="%1"/>
      <w:lvlJc w:val="left"/>
      <w:pPr>
        <w:ind w:left="1079" w:hanging="620"/>
        <w:jc w:val="left"/>
      </w:pPr>
      <w:rPr>
        <w:rFonts w:hint="default"/>
      </w:rPr>
    </w:lvl>
    <w:lvl w:ilvl="1" w:tentative="0">
      <w:start w:val="2"/>
      <w:numFmt w:val="decimal"/>
      <w:lvlText w:val="%1.%2"/>
      <w:lvlJc w:val="left"/>
      <w:pPr>
        <w:ind w:left="1079" w:hanging="620"/>
        <w:jc w:val="left"/>
      </w:pPr>
      <w:rPr>
        <w:rFonts w:hint="default"/>
      </w:rPr>
    </w:lvl>
    <w:lvl w:ilvl="2" w:tentative="0">
      <w:start w:val="3"/>
      <w:numFmt w:val="decimal"/>
      <w:lvlText w:val="%1.%2.%3"/>
      <w:lvlJc w:val="left"/>
      <w:pPr>
        <w:ind w:left="1079" w:hanging="620"/>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868" w:hanging="711"/>
      </w:pPr>
      <w:rPr>
        <w:rFonts w:hint="default"/>
      </w:rPr>
    </w:lvl>
    <w:lvl w:ilvl="5" w:tentative="0">
      <w:start w:val="0"/>
      <w:numFmt w:val="bullet"/>
      <w:lvlText w:val="•"/>
      <w:lvlJc w:val="left"/>
      <w:pPr>
        <w:ind w:left="4764" w:hanging="711"/>
      </w:pPr>
      <w:rPr>
        <w:rFonts w:hint="default"/>
      </w:rPr>
    </w:lvl>
    <w:lvl w:ilvl="6" w:tentative="0">
      <w:start w:val="0"/>
      <w:numFmt w:val="bullet"/>
      <w:lvlText w:val="•"/>
      <w:lvlJc w:val="left"/>
      <w:pPr>
        <w:ind w:left="5661" w:hanging="711"/>
      </w:pPr>
      <w:rPr>
        <w:rFonts w:hint="default"/>
      </w:rPr>
    </w:lvl>
    <w:lvl w:ilvl="7" w:tentative="0">
      <w:start w:val="0"/>
      <w:numFmt w:val="bullet"/>
      <w:lvlText w:val="•"/>
      <w:lvlJc w:val="left"/>
      <w:pPr>
        <w:ind w:left="6557" w:hanging="711"/>
      </w:pPr>
      <w:rPr>
        <w:rFonts w:hint="default"/>
      </w:rPr>
    </w:lvl>
    <w:lvl w:ilvl="8" w:tentative="0">
      <w:start w:val="0"/>
      <w:numFmt w:val="bullet"/>
      <w:lvlText w:val="•"/>
      <w:lvlJc w:val="left"/>
      <w:pPr>
        <w:ind w:left="7453" w:hanging="711"/>
      </w:pPr>
      <w:rPr>
        <w:rFonts w:hint="default"/>
      </w:rPr>
    </w:lvl>
  </w:abstractNum>
  <w:abstractNum w:abstractNumId="14">
    <w:nsid w:val="0144547D"/>
    <w:multiLevelType w:val="multilevel"/>
    <w:tmpl w:val="0144547D"/>
    <w:lvl w:ilvl="0" w:tentative="0">
      <w:start w:val="4"/>
      <w:numFmt w:val="decimal"/>
      <w:lvlText w:val="%1"/>
      <w:lvlJc w:val="left"/>
      <w:pPr>
        <w:ind w:left="868" w:hanging="408"/>
        <w:jc w:val="left"/>
      </w:pPr>
      <w:rPr>
        <w:rFonts w:hint="default"/>
      </w:rPr>
    </w:lvl>
    <w:lvl w:ilvl="1" w:tentative="0">
      <w:start w:val="1"/>
      <w:numFmt w:val="decimal"/>
      <w:lvlText w:val="%1.%2"/>
      <w:lvlJc w:val="left"/>
      <w:pPr>
        <w:ind w:left="86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990"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832" w:hanging="531"/>
      </w:pPr>
      <w:rPr>
        <w:rFonts w:hint="default"/>
      </w:rPr>
    </w:lvl>
    <w:lvl w:ilvl="4" w:tentative="0">
      <w:start w:val="0"/>
      <w:numFmt w:val="bullet"/>
      <w:lvlText w:val="•"/>
      <w:lvlJc w:val="left"/>
      <w:pPr>
        <w:ind w:left="3748" w:hanging="531"/>
      </w:pPr>
      <w:rPr>
        <w:rFonts w:hint="default"/>
      </w:rPr>
    </w:lvl>
    <w:lvl w:ilvl="5" w:tentative="0">
      <w:start w:val="0"/>
      <w:numFmt w:val="bullet"/>
      <w:lvlText w:val="•"/>
      <w:lvlJc w:val="left"/>
      <w:pPr>
        <w:ind w:left="4664" w:hanging="531"/>
      </w:pPr>
      <w:rPr>
        <w:rFonts w:hint="default"/>
      </w:rPr>
    </w:lvl>
    <w:lvl w:ilvl="6" w:tentative="0">
      <w:start w:val="0"/>
      <w:numFmt w:val="bullet"/>
      <w:lvlText w:val="•"/>
      <w:lvlJc w:val="left"/>
      <w:pPr>
        <w:ind w:left="5581" w:hanging="531"/>
      </w:pPr>
      <w:rPr>
        <w:rFonts w:hint="default"/>
      </w:rPr>
    </w:lvl>
    <w:lvl w:ilvl="7" w:tentative="0">
      <w:start w:val="0"/>
      <w:numFmt w:val="bullet"/>
      <w:lvlText w:val="•"/>
      <w:lvlJc w:val="left"/>
      <w:pPr>
        <w:ind w:left="6497" w:hanging="531"/>
      </w:pPr>
      <w:rPr>
        <w:rFonts w:hint="default"/>
      </w:rPr>
    </w:lvl>
    <w:lvl w:ilvl="8" w:tentative="0">
      <w:start w:val="0"/>
      <w:numFmt w:val="bullet"/>
      <w:lvlText w:val="•"/>
      <w:lvlJc w:val="left"/>
      <w:pPr>
        <w:ind w:left="7413" w:hanging="531"/>
      </w:pPr>
      <w:rPr>
        <w:rFonts w:hint="default"/>
      </w:rPr>
    </w:lvl>
  </w:abstractNum>
  <w:abstractNum w:abstractNumId="15">
    <w:nsid w:val="0218C90C"/>
    <w:multiLevelType w:val="multilevel"/>
    <w:tmpl w:val="0218C90C"/>
    <w:lvl w:ilvl="0" w:tentative="0">
      <w:start w:val="2"/>
      <w:numFmt w:val="decimal"/>
      <w:lvlText w:val="%1"/>
      <w:lvlJc w:val="left"/>
      <w:pPr>
        <w:ind w:left="688" w:hanging="408"/>
        <w:jc w:val="left"/>
      </w:pPr>
      <w:rPr>
        <w:rFonts w:hint="default"/>
      </w:rPr>
    </w:lvl>
    <w:lvl w:ilvl="1" w:tentative="0">
      <w:start w:val="2"/>
      <w:numFmt w:val="decimal"/>
      <w:lvlText w:val="%1.%2"/>
      <w:lvlJc w:val="left"/>
      <w:pPr>
        <w:ind w:left="68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0" w:hanging="531"/>
        <w:jc w:val="left"/>
      </w:pPr>
      <w:rPr>
        <w:rFonts w:hint="default" w:ascii="Times New Roman" w:hAnsi="Times New Roman" w:eastAsia="Times New Roman" w:cs="Times New Roman"/>
        <w:b/>
        <w:bCs/>
        <w:w w:val="100"/>
        <w:sz w:val="24"/>
        <w:szCs w:val="24"/>
      </w:rPr>
    </w:lvl>
    <w:lvl w:ilvl="3" w:tentative="0">
      <w:start w:val="1"/>
      <w:numFmt w:val="decimal"/>
      <w:lvlText w:val="%1.%2.%3.%4"/>
      <w:lvlJc w:val="left"/>
      <w:pPr>
        <w:ind w:left="1470" w:hanging="711"/>
        <w:jc w:val="left"/>
      </w:pPr>
      <w:rPr>
        <w:rFonts w:hint="default"/>
        <w:b/>
        <w:bCs/>
        <w:w w:val="100"/>
      </w:rPr>
    </w:lvl>
    <w:lvl w:ilvl="4" w:tentative="0">
      <w:start w:val="0"/>
      <w:numFmt w:val="bullet"/>
      <w:lvlText w:val="•"/>
      <w:lvlJc w:val="left"/>
      <w:pPr>
        <w:ind w:left="3341" w:hanging="711"/>
      </w:pPr>
      <w:rPr>
        <w:rFonts w:hint="default"/>
      </w:rPr>
    </w:lvl>
    <w:lvl w:ilvl="5" w:tentative="0">
      <w:start w:val="0"/>
      <w:numFmt w:val="bullet"/>
      <w:lvlText w:val="•"/>
      <w:lvlJc w:val="left"/>
      <w:pPr>
        <w:ind w:left="4272" w:hanging="711"/>
      </w:pPr>
      <w:rPr>
        <w:rFonts w:hint="default"/>
      </w:rPr>
    </w:lvl>
    <w:lvl w:ilvl="6" w:tentative="0">
      <w:start w:val="0"/>
      <w:numFmt w:val="bullet"/>
      <w:lvlText w:val="•"/>
      <w:lvlJc w:val="left"/>
      <w:pPr>
        <w:ind w:left="5203" w:hanging="711"/>
      </w:pPr>
      <w:rPr>
        <w:rFonts w:hint="default"/>
      </w:rPr>
    </w:lvl>
    <w:lvl w:ilvl="7" w:tentative="0">
      <w:start w:val="0"/>
      <w:numFmt w:val="bullet"/>
      <w:lvlText w:val="•"/>
      <w:lvlJc w:val="left"/>
      <w:pPr>
        <w:ind w:left="6133" w:hanging="711"/>
      </w:pPr>
      <w:rPr>
        <w:rFonts w:hint="default"/>
      </w:rPr>
    </w:lvl>
    <w:lvl w:ilvl="8" w:tentative="0">
      <w:start w:val="0"/>
      <w:numFmt w:val="bullet"/>
      <w:lvlText w:val="•"/>
      <w:lvlJc w:val="left"/>
      <w:pPr>
        <w:ind w:left="7064" w:hanging="711"/>
      </w:pPr>
      <w:rPr>
        <w:rFonts w:hint="default"/>
      </w:rPr>
    </w:lvl>
  </w:abstractNum>
  <w:abstractNum w:abstractNumId="16">
    <w:nsid w:val="06A38303"/>
    <w:multiLevelType w:val="multilevel"/>
    <w:tmpl w:val="06A38303"/>
    <w:lvl w:ilvl="0" w:tentative="0">
      <w:start w:val="5"/>
      <w:numFmt w:val="decimal"/>
      <w:lvlText w:val="%1"/>
      <w:lvlJc w:val="left"/>
      <w:pPr>
        <w:ind w:left="1170" w:hanging="711"/>
        <w:jc w:val="left"/>
      </w:pPr>
      <w:rPr>
        <w:rFonts w:hint="default"/>
      </w:rPr>
    </w:lvl>
    <w:lvl w:ilvl="1" w:tentative="0">
      <w:start w:val="2"/>
      <w:numFmt w:val="decimal"/>
      <w:lvlText w:val="%1.%2"/>
      <w:lvlJc w:val="left"/>
      <w:pPr>
        <w:ind w:left="1170" w:hanging="711"/>
        <w:jc w:val="left"/>
      </w:pPr>
      <w:rPr>
        <w:rFonts w:hint="default"/>
      </w:rPr>
    </w:lvl>
    <w:lvl w:ilvl="2" w:tentative="0">
      <w:start w:val="1"/>
      <w:numFmt w:val="decimal"/>
      <w:lvlText w:val="%1.%2.%3"/>
      <w:lvlJc w:val="left"/>
      <w:pPr>
        <w:ind w:left="1170" w:hanging="711"/>
        <w:jc w:val="left"/>
      </w:pPr>
      <w:rPr>
        <w:rFonts w:hint="default"/>
      </w:rPr>
    </w:lvl>
    <w:lvl w:ilvl="3" w:tentative="0">
      <w:start w:val="4"/>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4406" w:hanging="711"/>
      </w:pPr>
      <w:rPr>
        <w:rFonts w:hint="default"/>
      </w:rPr>
    </w:lvl>
    <w:lvl w:ilvl="5" w:tentative="0">
      <w:start w:val="0"/>
      <w:numFmt w:val="bullet"/>
      <w:lvlText w:val="•"/>
      <w:lvlJc w:val="left"/>
      <w:pPr>
        <w:ind w:left="5213" w:hanging="711"/>
      </w:pPr>
      <w:rPr>
        <w:rFonts w:hint="default"/>
      </w:rPr>
    </w:lvl>
    <w:lvl w:ilvl="6" w:tentative="0">
      <w:start w:val="0"/>
      <w:numFmt w:val="bullet"/>
      <w:lvlText w:val="•"/>
      <w:lvlJc w:val="left"/>
      <w:pPr>
        <w:ind w:left="6019" w:hanging="711"/>
      </w:pPr>
      <w:rPr>
        <w:rFonts w:hint="default"/>
      </w:rPr>
    </w:lvl>
    <w:lvl w:ilvl="7" w:tentative="0">
      <w:start w:val="0"/>
      <w:numFmt w:val="bullet"/>
      <w:lvlText w:val="•"/>
      <w:lvlJc w:val="left"/>
      <w:pPr>
        <w:ind w:left="6826" w:hanging="711"/>
      </w:pPr>
      <w:rPr>
        <w:rFonts w:hint="default"/>
      </w:rPr>
    </w:lvl>
    <w:lvl w:ilvl="8" w:tentative="0">
      <w:start w:val="0"/>
      <w:numFmt w:val="bullet"/>
      <w:lvlText w:val="•"/>
      <w:lvlJc w:val="left"/>
      <w:pPr>
        <w:ind w:left="7632" w:hanging="711"/>
      </w:pPr>
      <w:rPr>
        <w:rFonts w:hint="default"/>
      </w:rPr>
    </w:lvl>
  </w:abstractNum>
  <w:abstractNum w:abstractNumId="17">
    <w:nsid w:val="07B08E84"/>
    <w:multiLevelType w:val="multilevel"/>
    <w:tmpl w:val="07B08E84"/>
    <w:lvl w:ilvl="0" w:tentative="0">
      <w:start w:val="3"/>
      <w:numFmt w:val="decimal"/>
      <w:lvlText w:val="%1"/>
      <w:lvlJc w:val="left"/>
      <w:pPr>
        <w:ind w:left="719" w:hanging="440"/>
        <w:jc w:val="left"/>
      </w:pPr>
      <w:rPr>
        <w:rFonts w:hint="default"/>
      </w:rPr>
    </w:lvl>
    <w:lvl w:ilvl="1" w:tentative="0">
      <w:start w:val="7"/>
      <w:numFmt w:val="decimal"/>
      <w:lvlText w:val="%1.%2"/>
      <w:lvlJc w:val="left"/>
      <w:pPr>
        <w:ind w:left="719" w:hanging="440"/>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899" w:hanging="620"/>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2390" w:hanging="620"/>
      </w:pPr>
      <w:rPr>
        <w:rFonts w:hint="default"/>
      </w:rPr>
    </w:lvl>
    <w:lvl w:ilvl="4" w:tentative="0">
      <w:start w:val="0"/>
      <w:numFmt w:val="bullet"/>
      <w:lvlText w:val="•"/>
      <w:lvlJc w:val="left"/>
      <w:pPr>
        <w:ind w:left="3321" w:hanging="620"/>
      </w:pPr>
      <w:rPr>
        <w:rFonts w:hint="default"/>
      </w:rPr>
    </w:lvl>
    <w:lvl w:ilvl="5" w:tentative="0">
      <w:start w:val="0"/>
      <w:numFmt w:val="bullet"/>
      <w:lvlText w:val="•"/>
      <w:lvlJc w:val="left"/>
      <w:pPr>
        <w:ind w:left="4252" w:hanging="620"/>
      </w:pPr>
      <w:rPr>
        <w:rFonts w:hint="default"/>
      </w:rPr>
    </w:lvl>
    <w:lvl w:ilvl="6" w:tentative="0">
      <w:start w:val="0"/>
      <w:numFmt w:val="bullet"/>
      <w:lvlText w:val="•"/>
      <w:lvlJc w:val="left"/>
      <w:pPr>
        <w:ind w:left="5183" w:hanging="620"/>
      </w:pPr>
      <w:rPr>
        <w:rFonts w:hint="default"/>
      </w:rPr>
    </w:lvl>
    <w:lvl w:ilvl="7" w:tentative="0">
      <w:start w:val="0"/>
      <w:numFmt w:val="bullet"/>
      <w:lvlText w:val="•"/>
      <w:lvlJc w:val="left"/>
      <w:pPr>
        <w:ind w:left="6113" w:hanging="620"/>
      </w:pPr>
      <w:rPr>
        <w:rFonts w:hint="default"/>
      </w:rPr>
    </w:lvl>
    <w:lvl w:ilvl="8" w:tentative="0">
      <w:start w:val="0"/>
      <w:numFmt w:val="bullet"/>
      <w:lvlText w:val="•"/>
      <w:lvlJc w:val="left"/>
      <w:pPr>
        <w:ind w:left="7044" w:hanging="620"/>
      </w:pPr>
      <w:rPr>
        <w:rFonts w:hint="default"/>
      </w:rPr>
    </w:lvl>
  </w:abstractNum>
  <w:abstractNum w:abstractNumId="18">
    <w:nsid w:val="12065DB7"/>
    <w:multiLevelType w:val="multilevel"/>
    <w:tmpl w:val="12065DB7"/>
    <w:lvl w:ilvl="0" w:tentative="0">
      <w:start w:val="5"/>
      <w:numFmt w:val="decimal"/>
      <w:lvlText w:val="%1"/>
      <w:lvlJc w:val="left"/>
      <w:pPr>
        <w:ind w:left="1079" w:hanging="620"/>
        <w:jc w:val="left"/>
      </w:pPr>
      <w:rPr>
        <w:rFonts w:hint="default"/>
      </w:rPr>
    </w:lvl>
    <w:lvl w:ilvl="1" w:tentative="0">
      <w:start w:val="2"/>
      <w:numFmt w:val="decimal"/>
      <w:lvlText w:val="%1.%2"/>
      <w:lvlJc w:val="left"/>
      <w:pPr>
        <w:ind w:left="1079" w:hanging="620"/>
        <w:jc w:val="left"/>
      </w:pPr>
      <w:rPr>
        <w:rFonts w:hint="default"/>
      </w:rPr>
    </w:lvl>
    <w:lvl w:ilvl="2" w:tentative="0">
      <w:start w:val="6"/>
      <w:numFmt w:val="decimal"/>
      <w:lvlText w:val="%1.%2.%3"/>
      <w:lvlJc w:val="left"/>
      <w:pPr>
        <w:ind w:left="1079" w:hanging="620"/>
        <w:jc w:val="left"/>
      </w:pPr>
      <w:rPr>
        <w:rFonts w:hint="default" w:ascii="Times New Roman" w:hAnsi="Times New Roman" w:eastAsia="Times New Roman" w:cs="Times New Roman"/>
        <w:b/>
        <w:bCs/>
        <w:spacing w:val="-2"/>
        <w:w w:val="100"/>
        <w:sz w:val="28"/>
        <w:szCs w:val="28"/>
      </w:rPr>
    </w:lvl>
    <w:lvl w:ilvl="3" w:tentative="0">
      <w:start w:val="0"/>
      <w:numFmt w:val="bullet"/>
      <w:lvlText w:val="•"/>
      <w:lvlJc w:val="left"/>
      <w:pPr>
        <w:ind w:left="3529" w:hanging="620"/>
      </w:pPr>
      <w:rPr>
        <w:rFonts w:hint="default"/>
      </w:rPr>
    </w:lvl>
    <w:lvl w:ilvl="4" w:tentative="0">
      <w:start w:val="0"/>
      <w:numFmt w:val="bullet"/>
      <w:lvlText w:val="•"/>
      <w:lvlJc w:val="left"/>
      <w:pPr>
        <w:ind w:left="4346" w:hanging="620"/>
      </w:pPr>
      <w:rPr>
        <w:rFonts w:hint="default"/>
      </w:rPr>
    </w:lvl>
    <w:lvl w:ilvl="5" w:tentative="0">
      <w:start w:val="0"/>
      <w:numFmt w:val="bullet"/>
      <w:lvlText w:val="•"/>
      <w:lvlJc w:val="left"/>
      <w:pPr>
        <w:ind w:left="5163" w:hanging="620"/>
      </w:pPr>
      <w:rPr>
        <w:rFonts w:hint="default"/>
      </w:rPr>
    </w:lvl>
    <w:lvl w:ilvl="6" w:tentative="0">
      <w:start w:val="0"/>
      <w:numFmt w:val="bullet"/>
      <w:lvlText w:val="•"/>
      <w:lvlJc w:val="left"/>
      <w:pPr>
        <w:ind w:left="5979" w:hanging="620"/>
      </w:pPr>
      <w:rPr>
        <w:rFonts w:hint="default"/>
      </w:rPr>
    </w:lvl>
    <w:lvl w:ilvl="7" w:tentative="0">
      <w:start w:val="0"/>
      <w:numFmt w:val="bullet"/>
      <w:lvlText w:val="•"/>
      <w:lvlJc w:val="left"/>
      <w:pPr>
        <w:ind w:left="6796" w:hanging="620"/>
      </w:pPr>
      <w:rPr>
        <w:rFonts w:hint="default"/>
      </w:rPr>
    </w:lvl>
    <w:lvl w:ilvl="8" w:tentative="0">
      <w:start w:val="0"/>
      <w:numFmt w:val="bullet"/>
      <w:lvlText w:val="•"/>
      <w:lvlJc w:val="left"/>
      <w:pPr>
        <w:ind w:left="7612" w:hanging="620"/>
      </w:pPr>
      <w:rPr>
        <w:rFonts w:hint="default"/>
      </w:rPr>
    </w:lvl>
  </w:abstractNum>
  <w:abstractNum w:abstractNumId="19">
    <w:nsid w:val="124829F6"/>
    <w:multiLevelType w:val="multilevel"/>
    <w:tmpl w:val="124829F6"/>
    <w:lvl w:ilvl="0" w:tentative="0">
      <w:start w:val="9"/>
      <w:numFmt w:val="decimal"/>
      <w:lvlText w:val="%1"/>
      <w:lvlJc w:val="left"/>
      <w:pPr>
        <w:ind w:left="692" w:hanging="411"/>
        <w:jc w:val="right"/>
      </w:pPr>
      <w:rPr>
        <w:rFonts w:hint="default"/>
      </w:rPr>
    </w:lvl>
    <w:lvl w:ilvl="1" w:tentative="0">
      <w:start w:val="5"/>
      <w:numFmt w:val="decimal"/>
      <w:lvlText w:val="%1.%2"/>
      <w:lvlJc w:val="left"/>
      <w:pPr>
        <w:ind w:left="692" w:hanging="411"/>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2"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608" w:hanging="531"/>
      </w:pPr>
      <w:rPr>
        <w:rFonts w:hint="default"/>
      </w:rPr>
    </w:lvl>
    <w:lvl w:ilvl="4" w:tentative="0">
      <w:start w:val="0"/>
      <w:numFmt w:val="bullet"/>
      <w:lvlText w:val="•"/>
      <w:lvlJc w:val="left"/>
      <w:pPr>
        <w:ind w:left="3502" w:hanging="531"/>
      </w:pPr>
      <w:rPr>
        <w:rFonts w:hint="default"/>
      </w:rPr>
    </w:lvl>
    <w:lvl w:ilvl="5" w:tentative="0">
      <w:start w:val="0"/>
      <w:numFmt w:val="bullet"/>
      <w:lvlText w:val="•"/>
      <w:lvlJc w:val="left"/>
      <w:pPr>
        <w:ind w:left="4396" w:hanging="531"/>
      </w:pPr>
      <w:rPr>
        <w:rFonts w:hint="default"/>
      </w:rPr>
    </w:lvl>
    <w:lvl w:ilvl="6" w:tentative="0">
      <w:start w:val="0"/>
      <w:numFmt w:val="bullet"/>
      <w:lvlText w:val="•"/>
      <w:lvlJc w:val="left"/>
      <w:pPr>
        <w:ind w:left="5290" w:hanging="531"/>
      </w:pPr>
      <w:rPr>
        <w:rFonts w:hint="default"/>
      </w:rPr>
    </w:lvl>
    <w:lvl w:ilvl="7" w:tentative="0">
      <w:start w:val="0"/>
      <w:numFmt w:val="bullet"/>
      <w:lvlText w:val="•"/>
      <w:lvlJc w:val="left"/>
      <w:pPr>
        <w:ind w:left="6184" w:hanging="531"/>
      </w:pPr>
      <w:rPr>
        <w:rFonts w:hint="default"/>
      </w:rPr>
    </w:lvl>
    <w:lvl w:ilvl="8" w:tentative="0">
      <w:start w:val="0"/>
      <w:numFmt w:val="bullet"/>
      <w:lvlText w:val="•"/>
      <w:lvlJc w:val="left"/>
      <w:pPr>
        <w:ind w:left="7078" w:hanging="531"/>
      </w:pPr>
      <w:rPr>
        <w:rFonts w:hint="default"/>
      </w:rPr>
    </w:lvl>
  </w:abstractNum>
  <w:abstractNum w:abstractNumId="20">
    <w:nsid w:val="1EC0FB02"/>
    <w:multiLevelType w:val="multilevel"/>
    <w:tmpl w:val="1EC0FB02"/>
    <w:lvl w:ilvl="0" w:tentative="0">
      <w:start w:val="4"/>
      <w:numFmt w:val="decimal"/>
      <w:lvlText w:val="%1"/>
      <w:lvlJc w:val="left"/>
      <w:pPr>
        <w:ind w:left="868" w:hanging="408"/>
        <w:jc w:val="left"/>
      </w:pPr>
      <w:rPr>
        <w:rFonts w:hint="default"/>
      </w:rPr>
    </w:lvl>
    <w:lvl w:ilvl="1" w:tentative="0">
      <w:start w:val="2"/>
      <w:numFmt w:val="decimal"/>
      <w:lvlText w:val="%1.%2"/>
      <w:lvlJc w:val="left"/>
      <w:pPr>
        <w:ind w:left="86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990" w:hanging="531"/>
        <w:jc w:val="left"/>
      </w:pPr>
      <w:rPr>
        <w:rFonts w:hint="default" w:ascii="Times New Roman" w:hAnsi="Times New Roman" w:eastAsia="Times New Roman" w:cs="Times New Roman"/>
        <w:b/>
        <w:bCs/>
        <w:w w:val="100"/>
        <w:sz w:val="24"/>
        <w:szCs w:val="24"/>
      </w:rPr>
    </w:lvl>
    <w:lvl w:ilvl="3" w:tentative="0">
      <w:start w:val="1"/>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196" w:hanging="711"/>
      </w:pPr>
      <w:rPr>
        <w:rFonts w:hint="default"/>
      </w:rPr>
    </w:lvl>
    <w:lvl w:ilvl="5" w:tentative="0">
      <w:start w:val="0"/>
      <w:numFmt w:val="bullet"/>
      <w:lvlText w:val="•"/>
      <w:lvlJc w:val="left"/>
      <w:pPr>
        <w:ind w:left="4204" w:hanging="711"/>
      </w:pPr>
      <w:rPr>
        <w:rFonts w:hint="default"/>
      </w:rPr>
    </w:lvl>
    <w:lvl w:ilvl="6" w:tentative="0">
      <w:start w:val="0"/>
      <w:numFmt w:val="bullet"/>
      <w:lvlText w:val="•"/>
      <w:lvlJc w:val="left"/>
      <w:pPr>
        <w:ind w:left="5213" w:hanging="711"/>
      </w:pPr>
      <w:rPr>
        <w:rFonts w:hint="default"/>
      </w:rPr>
    </w:lvl>
    <w:lvl w:ilvl="7" w:tentative="0">
      <w:start w:val="0"/>
      <w:numFmt w:val="bullet"/>
      <w:lvlText w:val="•"/>
      <w:lvlJc w:val="left"/>
      <w:pPr>
        <w:ind w:left="6221" w:hanging="711"/>
      </w:pPr>
      <w:rPr>
        <w:rFonts w:hint="default"/>
      </w:rPr>
    </w:lvl>
    <w:lvl w:ilvl="8" w:tentative="0">
      <w:start w:val="0"/>
      <w:numFmt w:val="bullet"/>
      <w:lvlText w:val="•"/>
      <w:lvlJc w:val="left"/>
      <w:pPr>
        <w:ind w:left="7229" w:hanging="711"/>
      </w:pPr>
      <w:rPr>
        <w:rFonts w:hint="default"/>
      </w:rPr>
    </w:lvl>
  </w:abstractNum>
  <w:abstractNum w:abstractNumId="21">
    <w:nsid w:val="1FAF6D80"/>
    <w:multiLevelType w:val="multilevel"/>
    <w:tmpl w:val="1FAF6D80"/>
    <w:lvl w:ilvl="0" w:tentative="0">
      <w:start w:val="1"/>
      <w:numFmt w:val="decimal"/>
      <w:lvlText w:val="%1"/>
      <w:lvlJc w:val="left"/>
      <w:pPr>
        <w:ind w:left="750" w:hanging="531"/>
        <w:jc w:val="left"/>
      </w:pPr>
      <w:rPr>
        <w:rFonts w:hint="default"/>
      </w:rPr>
    </w:lvl>
    <w:lvl w:ilvl="1" w:tentative="0">
      <w:start w:val="3"/>
      <w:numFmt w:val="decimal"/>
      <w:lvlText w:val="%1.%2"/>
      <w:lvlJc w:val="left"/>
      <w:pPr>
        <w:ind w:left="750" w:hanging="531"/>
        <w:jc w:val="left"/>
      </w:pPr>
      <w:rPr>
        <w:rFonts w:hint="default"/>
      </w:rPr>
    </w:lvl>
    <w:lvl w:ilvl="2" w:tentative="0">
      <w:start w:val="1"/>
      <w:numFmt w:val="decimal"/>
      <w:lvlText w:val="%1.%2.%3"/>
      <w:lvlJc w:val="left"/>
      <w:pPr>
        <w:ind w:left="220"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783" w:hanging="531"/>
      </w:pPr>
      <w:rPr>
        <w:rFonts w:hint="default"/>
      </w:rPr>
    </w:lvl>
    <w:lvl w:ilvl="4" w:tentative="0">
      <w:start w:val="0"/>
      <w:numFmt w:val="bullet"/>
      <w:lvlText w:val="•"/>
      <w:lvlJc w:val="left"/>
      <w:pPr>
        <w:ind w:left="3795" w:hanging="531"/>
      </w:pPr>
      <w:rPr>
        <w:rFonts w:hint="default"/>
      </w:rPr>
    </w:lvl>
    <w:lvl w:ilvl="5" w:tentative="0">
      <w:start w:val="0"/>
      <w:numFmt w:val="bullet"/>
      <w:lvlText w:val="•"/>
      <w:lvlJc w:val="left"/>
      <w:pPr>
        <w:ind w:left="4807" w:hanging="531"/>
      </w:pPr>
      <w:rPr>
        <w:rFonts w:hint="default"/>
      </w:rPr>
    </w:lvl>
    <w:lvl w:ilvl="6" w:tentative="0">
      <w:start w:val="0"/>
      <w:numFmt w:val="bullet"/>
      <w:lvlText w:val="•"/>
      <w:lvlJc w:val="left"/>
      <w:pPr>
        <w:ind w:left="5818" w:hanging="531"/>
      </w:pPr>
      <w:rPr>
        <w:rFonts w:hint="default"/>
      </w:rPr>
    </w:lvl>
    <w:lvl w:ilvl="7" w:tentative="0">
      <w:start w:val="0"/>
      <w:numFmt w:val="bullet"/>
      <w:lvlText w:val="•"/>
      <w:lvlJc w:val="left"/>
      <w:pPr>
        <w:ind w:left="6830" w:hanging="531"/>
      </w:pPr>
      <w:rPr>
        <w:rFonts w:hint="default"/>
      </w:rPr>
    </w:lvl>
    <w:lvl w:ilvl="8" w:tentative="0">
      <w:start w:val="0"/>
      <w:numFmt w:val="bullet"/>
      <w:lvlText w:val="•"/>
      <w:lvlJc w:val="left"/>
      <w:pPr>
        <w:ind w:left="7842" w:hanging="531"/>
      </w:pPr>
      <w:rPr>
        <w:rFonts w:hint="default"/>
      </w:rPr>
    </w:lvl>
  </w:abstractNum>
  <w:abstractNum w:abstractNumId="22">
    <w:nsid w:val="2273A966"/>
    <w:multiLevelType w:val="multilevel"/>
    <w:tmpl w:val="2273A966"/>
    <w:lvl w:ilvl="0" w:tentative="0">
      <w:start w:val="9"/>
      <w:numFmt w:val="decimal"/>
      <w:lvlText w:val="%1"/>
      <w:lvlJc w:val="left"/>
      <w:pPr>
        <w:ind w:left="692" w:hanging="411"/>
        <w:jc w:val="left"/>
      </w:pPr>
      <w:rPr>
        <w:rFonts w:hint="default"/>
      </w:rPr>
    </w:lvl>
    <w:lvl w:ilvl="1" w:tentative="0">
      <w:start w:val="2"/>
      <w:numFmt w:val="decimal"/>
      <w:lvlText w:val="%1.%2"/>
      <w:lvlJc w:val="left"/>
      <w:pPr>
        <w:ind w:left="692" w:hanging="411"/>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2"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608" w:hanging="531"/>
      </w:pPr>
      <w:rPr>
        <w:rFonts w:hint="default"/>
      </w:rPr>
    </w:lvl>
    <w:lvl w:ilvl="4" w:tentative="0">
      <w:start w:val="0"/>
      <w:numFmt w:val="bullet"/>
      <w:lvlText w:val="•"/>
      <w:lvlJc w:val="left"/>
      <w:pPr>
        <w:ind w:left="3502" w:hanging="531"/>
      </w:pPr>
      <w:rPr>
        <w:rFonts w:hint="default"/>
      </w:rPr>
    </w:lvl>
    <w:lvl w:ilvl="5" w:tentative="0">
      <w:start w:val="0"/>
      <w:numFmt w:val="bullet"/>
      <w:lvlText w:val="•"/>
      <w:lvlJc w:val="left"/>
      <w:pPr>
        <w:ind w:left="4396" w:hanging="531"/>
      </w:pPr>
      <w:rPr>
        <w:rFonts w:hint="default"/>
      </w:rPr>
    </w:lvl>
    <w:lvl w:ilvl="6" w:tentative="0">
      <w:start w:val="0"/>
      <w:numFmt w:val="bullet"/>
      <w:lvlText w:val="•"/>
      <w:lvlJc w:val="left"/>
      <w:pPr>
        <w:ind w:left="5290" w:hanging="531"/>
      </w:pPr>
      <w:rPr>
        <w:rFonts w:hint="default"/>
      </w:rPr>
    </w:lvl>
    <w:lvl w:ilvl="7" w:tentative="0">
      <w:start w:val="0"/>
      <w:numFmt w:val="bullet"/>
      <w:lvlText w:val="•"/>
      <w:lvlJc w:val="left"/>
      <w:pPr>
        <w:ind w:left="6184" w:hanging="531"/>
      </w:pPr>
      <w:rPr>
        <w:rFonts w:hint="default"/>
      </w:rPr>
    </w:lvl>
    <w:lvl w:ilvl="8" w:tentative="0">
      <w:start w:val="0"/>
      <w:numFmt w:val="bullet"/>
      <w:lvlText w:val="•"/>
      <w:lvlJc w:val="left"/>
      <w:pPr>
        <w:ind w:left="7078" w:hanging="531"/>
      </w:pPr>
      <w:rPr>
        <w:rFonts w:hint="default"/>
      </w:rPr>
    </w:lvl>
  </w:abstractNum>
  <w:abstractNum w:abstractNumId="23">
    <w:nsid w:val="2E7F323E"/>
    <w:multiLevelType w:val="multilevel"/>
    <w:tmpl w:val="2E7F323E"/>
    <w:lvl w:ilvl="0" w:tentative="0">
      <w:start w:val="5"/>
      <w:numFmt w:val="decimal"/>
      <w:lvlText w:val="%1"/>
      <w:lvlJc w:val="left"/>
      <w:pPr>
        <w:ind w:left="868" w:hanging="408"/>
        <w:jc w:val="left"/>
      </w:pPr>
      <w:rPr>
        <w:rFonts w:hint="default"/>
      </w:rPr>
    </w:lvl>
    <w:lvl w:ilvl="1" w:tentative="0">
      <w:start w:val="1"/>
      <w:numFmt w:val="decimal"/>
      <w:lvlText w:val="%1.%2"/>
      <w:lvlJc w:val="left"/>
      <w:pPr>
        <w:ind w:left="868" w:hanging="408"/>
        <w:jc w:val="left"/>
      </w:pPr>
      <w:rPr>
        <w:rFonts w:hint="default"/>
        <w:b/>
        <w:bCs/>
        <w:spacing w:val="-1"/>
        <w:w w:val="100"/>
      </w:rPr>
    </w:lvl>
    <w:lvl w:ilvl="2" w:tentative="0">
      <w:start w:val="1"/>
      <w:numFmt w:val="decimal"/>
      <w:lvlText w:val="%1.%2.%3"/>
      <w:lvlJc w:val="left"/>
      <w:pPr>
        <w:ind w:left="1079" w:hanging="620"/>
        <w:jc w:val="left"/>
      </w:pPr>
      <w:rPr>
        <w:rFonts w:hint="default"/>
        <w:b/>
        <w:bCs/>
        <w:spacing w:val="-2"/>
        <w:w w:val="100"/>
      </w:rPr>
    </w:lvl>
    <w:lvl w:ilvl="3" w:tentative="0">
      <w:start w:val="0"/>
      <w:numFmt w:val="bullet"/>
      <w:lvlText w:val="•"/>
      <w:lvlJc w:val="left"/>
      <w:pPr>
        <w:ind w:left="1180" w:hanging="620"/>
      </w:pPr>
      <w:rPr>
        <w:rFonts w:hint="default"/>
      </w:rPr>
    </w:lvl>
    <w:lvl w:ilvl="4" w:tentative="0">
      <w:start w:val="0"/>
      <w:numFmt w:val="bullet"/>
      <w:lvlText w:val="•"/>
      <w:lvlJc w:val="left"/>
      <w:pPr>
        <w:ind w:left="2332" w:hanging="620"/>
      </w:pPr>
      <w:rPr>
        <w:rFonts w:hint="default"/>
      </w:rPr>
    </w:lvl>
    <w:lvl w:ilvl="5" w:tentative="0">
      <w:start w:val="0"/>
      <w:numFmt w:val="bullet"/>
      <w:lvlText w:val="•"/>
      <w:lvlJc w:val="left"/>
      <w:pPr>
        <w:ind w:left="3484" w:hanging="620"/>
      </w:pPr>
      <w:rPr>
        <w:rFonts w:hint="default"/>
      </w:rPr>
    </w:lvl>
    <w:lvl w:ilvl="6" w:tentative="0">
      <w:start w:val="0"/>
      <w:numFmt w:val="bullet"/>
      <w:lvlText w:val="•"/>
      <w:lvlJc w:val="left"/>
      <w:pPr>
        <w:ind w:left="4636" w:hanging="620"/>
      </w:pPr>
      <w:rPr>
        <w:rFonts w:hint="default"/>
      </w:rPr>
    </w:lvl>
    <w:lvl w:ilvl="7" w:tentative="0">
      <w:start w:val="0"/>
      <w:numFmt w:val="bullet"/>
      <w:lvlText w:val="•"/>
      <w:lvlJc w:val="left"/>
      <w:pPr>
        <w:ind w:left="5789" w:hanging="620"/>
      </w:pPr>
      <w:rPr>
        <w:rFonts w:hint="default"/>
      </w:rPr>
    </w:lvl>
    <w:lvl w:ilvl="8" w:tentative="0">
      <w:start w:val="0"/>
      <w:numFmt w:val="bullet"/>
      <w:lvlText w:val="•"/>
      <w:lvlJc w:val="left"/>
      <w:pPr>
        <w:ind w:left="6941" w:hanging="620"/>
      </w:pPr>
      <w:rPr>
        <w:rFonts w:hint="default"/>
      </w:rPr>
    </w:lvl>
  </w:abstractNum>
  <w:abstractNum w:abstractNumId="24">
    <w:nsid w:val="337A38A7"/>
    <w:multiLevelType w:val="multilevel"/>
    <w:tmpl w:val="337A38A7"/>
    <w:lvl w:ilvl="0" w:tentative="0">
      <w:start w:val="0"/>
      <w:numFmt w:val="bullet"/>
      <w:lvlText w:val=""/>
      <w:lvlJc w:val="left"/>
      <w:pPr>
        <w:ind w:left="911" w:hanging="188"/>
      </w:pPr>
      <w:rPr>
        <w:rFonts w:hint="default" w:ascii="Wingdings" w:hAnsi="Wingdings" w:eastAsia="Wingdings" w:cs="Wingdings"/>
        <w:w w:val="99"/>
        <w:position w:val="8"/>
        <w:sz w:val="19"/>
        <w:szCs w:val="19"/>
      </w:rPr>
    </w:lvl>
    <w:lvl w:ilvl="1" w:tentative="0">
      <w:start w:val="0"/>
      <w:numFmt w:val="bullet"/>
      <w:lvlText w:val="•"/>
      <w:lvlJc w:val="left"/>
      <w:pPr>
        <w:ind w:left="1030" w:hanging="188"/>
      </w:pPr>
      <w:rPr>
        <w:rFonts w:hint="default"/>
      </w:rPr>
    </w:lvl>
    <w:lvl w:ilvl="2" w:tentative="0">
      <w:start w:val="0"/>
      <w:numFmt w:val="bullet"/>
      <w:lvlText w:val="•"/>
      <w:lvlJc w:val="left"/>
      <w:pPr>
        <w:ind w:left="1141" w:hanging="188"/>
      </w:pPr>
      <w:rPr>
        <w:rFonts w:hint="default"/>
      </w:rPr>
    </w:lvl>
    <w:lvl w:ilvl="3" w:tentative="0">
      <w:start w:val="0"/>
      <w:numFmt w:val="bullet"/>
      <w:lvlText w:val="•"/>
      <w:lvlJc w:val="left"/>
      <w:pPr>
        <w:ind w:left="1251" w:hanging="188"/>
      </w:pPr>
      <w:rPr>
        <w:rFonts w:hint="default"/>
      </w:rPr>
    </w:lvl>
    <w:lvl w:ilvl="4" w:tentative="0">
      <w:start w:val="0"/>
      <w:numFmt w:val="bullet"/>
      <w:lvlText w:val="•"/>
      <w:lvlJc w:val="left"/>
      <w:pPr>
        <w:ind w:left="1362" w:hanging="188"/>
      </w:pPr>
      <w:rPr>
        <w:rFonts w:hint="default"/>
      </w:rPr>
    </w:lvl>
    <w:lvl w:ilvl="5" w:tentative="0">
      <w:start w:val="0"/>
      <w:numFmt w:val="bullet"/>
      <w:lvlText w:val="•"/>
      <w:lvlJc w:val="left"/>
      <w:pPr>
        <w:ind w:left="1472" w:hanging="188"/>
      </w:pPr>
      <w:rPr>
        <w:rFonts w:hint="default"/>
      </w:rPr>
    </w:lvl>
    <w:lvl w:ilvl="6" w:tentative="0">
      <w:start w:val="0"/>
      <w:numFmt w:val="bullet"/>
      <w:lvlText w:val="•"/>
      <w:lvlJc w:val="left"/>
      <w:pPr>
        <w:ind w:left="1583" w:hanging="188"/>
      </w:pPr>
      <w:rPr>
        <w:rFonts w:hint="default"/>
      </w:rPr>
    </w:lvl>
    <w:lvl w:ilvl="7" w:tentative="0">
      <w:start w:val="0"/>
      <w:numFmt w:val="bullet"/>
      <w:lvlText w:val="•"/>
      <w:lvlJc w:val="left"/>
      <w:pPr>
        <w:ind w:left="1693" w:hanging="188"/>
      </w:pPr>
      <w:rPr>
        <w:rFonts w:hint="default"/>
      </w:rPr>
    </w:lvl>
    <w:lvl w:ilvl="8" w:tentative="0">
      <w:start w:val="0"/>
      <w:numFmt w:val="bullet"/>
      <w:lvlText w:val="•"/>
      <w:lvlJc w:val="left"/>
      <w:pPr>
        <w:ind w:left="1804" w:hanging="188"/>
      </w:pPr>
      <w:rPr>
        <w:rFonts w:hint="default"/>
      </w:rPr>
    </w:lvl>
  </w:abstractNum>
  <w:abstractNum w:abstractNumId="25">
    <w:nsid w:val="38360D9B"/>
    <w:multiLevelType w:val="multilevel"/>
    <w:tmpl w:val="38360D9B"/>
    <w:lvl w:ilvl="0" w:tentative="0">
      <w:start w:val="2"/>
      <w:numFmt w:val="decimal"/>
      <w:lvlText w:val="%1"/>
      <w:lvlJc w:val="left"/>
      <w:pPr>
        <w:ind w:left="776" w:hanging="348"/>
        <w:jc w:val="right"/>
      </w:pPr>
      <w:rPr>
        <w:rFonts w:hint="default"/>
      </w:rPr>
    </w:lvl>
    <w:lvl w:ilvl="1" w:tentative="0">
      <w:start w:val="1"/>
      <w:numFmt w:val="decimal"/>
      <w:lvlText w:val="%1.%2"/>
      <w:lvlJc w:val="left"/>
      <w:pPr>
        <w:ind w:left="776" w:hanging="348"/>
        <w:jc w:val="left"/>
      </w:pPr>
      <w:rPr>
        <w:rFonts w:hint="default" w:ascii="Times New Roman" w:hAnsi="Times New Roman" w:eastAsia="Times New Roman" w:cs="Times New Roman"/>
        <w:w w:val="100"/>
        <w:sz w:val="24"/>
        <w:szCs w:val="24"/>
      </w:rPr>
    </w:lvl>
    <w:lvl w:ilvl="2" w:tentative="0">
      <w:start w:val="0"/>
      <w:numFmt w:val="bullet"/>
      <w:lvlText w:val="•"/>
      <w:lvlJc w:val="left"/>
      <w:pPr>
        <w:ind w:left="1896" w:hanging="348"/>
      </w:pPr>
      <w:rPr>
        <w:rFonts w:hint="default"/>
      </w:rPr>
    </w:lvl>
    <w:lvl w:ilvl="3" w:tentative="0">
      <w:start w:val="0"/>
      <w:numFmt w:val="bullet"/>
      <w:lvlText w:val="•"/>
      <w:lvlJc w:val="left"/>
      <w:pPr>
        <w:ind w:left="2892" w:hanging="348"/>
      </w:pPr>
      <w:rPr>
        <w:rFonts w:hint="default"/>
      </w:rPr>
    </w:lvl>
    <w:lvl w:ilvl="4" w:tentative="0">
      <w:start w:val="0"/>
      <w:numFmt w:val="bullet"/>
      <w:lvlText w:val="•"/>
      <w:lvlJc w:val="left"/>
      <w:pPr>
        <w:ind w:left="3888" w:hanging="348"/>
      </w:pPr>
      <w:rPr>
        <w:rFonts w:hint="default"/>
      </w:rPr>
    </w:lvl>
    <w:lvl w:ilvl="5" w:tentative="0">
      <w:start w:val="0"/>
      <w:numFmt w:val="bullet"/>
      <w:lvlText w:val="•"/>
      <w:lvlJc w:val="left"/>
      <w:pPr>
        <w:ind w:left="4884" w:hanging="348"/>
      </w:pPr>
      <w:rPr>
        <w:rFonts w:hint="default"/>
      </w:rPr>
    </w:lvl>
    <w:lvl w:ilvl="6" w:tentative="0">
      <w:start w:val="0"/>
      <w:numFmt w:val="bullet"/>
      <w:lvlText w:val="•"/>
      <w:lvlJc w:val="left"/>
      <w:pPr>
        <w:ind w:left="5881" w:hanging="348"/>
      </w:pPr>
      <w:rPr>
        <w:rFonts w:hint="default"/>
      </w:rPr>
    </w:lvl>
    <w:lvl w:ilvl="7" w:tentative="0">
      <w:start w:val="0"/>
      <w:numFmt w:val="bullet"/>
      <w:lvlText w:val="•"/>
      <w:lvlJc w:val="left"/>
      <w:pPr>
        <w:ind w:left="6877" w:hanging="348"/>
      </w:pPr>
      <w:rPr>
        <w:rFonts w:hint="default"/>
      </w:rPr>
    </w:lvl>
    <w:lvl w:ilvl="8" w:tentative="0">
      <w:start w:val="0"/>
      <w:numFmt w:val="bullet"/>
      <w:lvlText w:val="•"/>
      <w:lvlJc w:val="left"/>
      <w:pPr>
        <w:ind w:left="7873" w:hanging="348"/>
      </w:pPr>
      <w:rPr>
        <w:rFonts w:hint="default"/>
      </w:rPr>
    </w:lvl>
  </w:abstractNum>
  <w:abstractNum w:abstractNumId="26">
    <w:nsid w:val="42B0750B"/>
    <w:multiLevelType w:val="multilevel"/>
    <w:tmpl w:val="42B0750B"/>
    <w:lvl w:ilvl="0" w:tentative="0">
      <w:start w:val="1"/>
      <w:numFmt w:val="decimal"/>
      <w:lvlText w:val="%1"/>
      <w:lvlJc w:val="left"/>
      <w:pPr>
        <w:ind w:left="390" w:hanging="171"/>
        <w:jc w:val="left"/>
      </w:pPr>
      <w:rPr>
        <w:rFonts w:hint="default" w:ascii="Times New Roman" w:hAnsi="Times New Roman" w:eastAsia="Times New Roman" w:cs="Times New Roman"/>
        <w:b/>
        <w:bCs/>
        <w:w w:val="100"/>
        <w:sz w:val="24"/>
        <w:szCs w:val="24"/>
      </w:rPr>
    </w:lvl>
    <w:lvl w:ilvl="1" w:tentative="0">
      <w:start w:val="1"/>
      <w:numFmt w:val="decimal"/>
      <w:lvlText w:val="%1.%2"/>
      <w:lvlJc w:val="left"/>
      <w:pPr>
        <w:ind w:left="776" w:hanging="348"/>
        <w:jc w:val="left"/>
      </w:pPr>
      <w:rPr>
        <w:rFonts w:hint="default" w:ascii="Times New Roman" w:hAnsi="Times New Roman" w:eastAsia="Times New Roman" w:cs="Times New Roman"/>
        <w:w w:val="100"/>
        <w:sz w:val="24"/>
        <w:szCs w:val="24"/>
      </w:rPr>
    </w:lvl>
    <w:lvl w:ilvl="2" w:tentative="0">
      <w:start w:val="0"/>
      <w:numFmt w:val="bullet"/>
      <w:lvlText w:val="•"/>
      <w:lvlJc w:val="left"/>
      <w:pPr>
        <w:ind w:left="1789" w:hanging="348"/>
      </w:pPr>
      <w:rPr>
        <w:rFonts w:hint="default"/>
      </w:rPr>
    </w:lvl>
    <w:lvl w:ilvl="3" w:tentative="0">
      <w:start w:val="0"/>
      <w:numFmt w:val="bullet"/>
      <w:lvlText w:val="•"/>
      <w:lvlJc w:val="left"/>
      <w:pPr>
        <w:ind w:left="2799" w:hanging="348"/>
      </w:pPr>
      <w:rPr>
        <w:rFonts w:hint="default"/>
      </w:rPr>
    </w:lvl>
    <w:lvl w:ilvl="4" w:tentative="0">
      <w:start w:val="0"/>
      <w:numFmt w:val="bullet"/>
      <w:lvlText w:val="•"/>
      <w:lvlJc w:val="left"/>
      <w:pPr>
        <w:ind w:left="3808" w:hanging="348"/>
      </w:pPr>
      <w:rPr>
        <w:rFonts w:hint="default"/>
      </w:rPr>
    </w:lvl>
    <w:lvl w:ilvl="5" w:tentative="0">
      <w:start w:val="0"/>
      <w:numFmt w:val="bullet"/>
      <w:lvlText w:val="•"/>
      <w:lvlJc w:val="left"/>
      <w:pPr>
        <w:ind w:left="4818" w:hanging="348"/>
      </w:pPr>
      <w:rPr>
        <w:rFonts w:hint="default"/>
      </w:rPr>
    </w:lvl>
    <w:lvl w:ilvl="6" w:tentative="0">
      <w:start w:val="0"/>
      <w:numFmt w:val="bullet"/>
      <w:lvlText w:val="•"/>
      <w:lvlJc w:val="left"/>
      <w:pPr>
        <w:ind w:left="5827" w:hanging="348"/>
      </w:pPr>
      <w:rPr>
        <w:rFonts w:hint="default"/>
      </w:rPr>
    </w:lvl>
    <w:lvl w:ilvl="7" w:tentative="0">
      <w:start w:val="0"/>
      <w:numFmt w:val="bullet"/>
      <w:lvlText w:val="•"/>
      <w:lvlJc w:val="left"/>
      <w:pPr>
        <w:ind w:left="6837" w:hanging="348"/>
      </w:pPr>
      <w:rPr>
        <w:rFonts w:hint="default"/>
      </w:rPr>
    </w:lvl>
    <w:lvl w:ilvl="8" w:tentative="0">
      <w:start w:val="0"/>
      <w:numFmt w:val="bullet"/>
      <w:lvlText w:val="•"/>
      <w:lvlJc w:val="left"/>
      <w:pPr>
        <w:ind w:left="7846" w:hanging="348"/>
      </w:pPr>
      <w:rPr>
        <w:rFonts w:hint="default"/>
      </w:rPr>
    </w:lvl>
  </w:abstractNum>
  <w:abstractNum w:abstractNumId="27">
    <w:nsid w:val="50C6E38C"/>
    <w:multiLevelType w:val="multilevel"/>
    <w:tmpl w:val="50C6E38C"/>
    <w:lvl w:ilvl="0" w:tentative="0">
      <w:start w:val="3"/>
      <w:numFmt w:val="decimal"/>
      <w:lvlText w:val="%1"/>
      <w:lvlJc w:val="left"/>
      <w:pPr>
        <w:ind w:left="719" w:hanging="440"/>
        <w:jc w:val="left"/>
      </w:pPr>
      <w:rPr>
        <w:rFonts w:hint="default"/>
      </w:rPr>
    </w:lvl>
    <w:lvl w:ilvl="1" w:tentative="0">
      <w:start w:val="1"/>
      <w:numFmt w:val="decimal"/>
      <w:lvlText w:val="%1.%2"/>
      <w:lvlJc w:val="left"/>
      <w:pPr>
        <w:ind w:left="719" w:hanging="440"/>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908" w:hanging="629"/>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14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341" w:hanging="711"/>
      </w:pPr>
      <w:rPr>
        <w:rFonts w:hint="default"/>
      </w:rPr>
    </w:lvl>
    <w:lvl w:ilvl="5" w:tentative="0">
      <w:start w:val="0"/>
      <w:numFmt w:val="bullet"/>
      <w:lvlText w:val="•"/>
      <w:lvlJc w:val="left"/>
      <w:pPr>
        <w:ind w:left="4272" w:hanging="711"/>
      </w:pPr>
      <w:rPr>
        <w:rFonts w:hint="default"/>
      </w:rPr>
    </w:lvl>
    <w:lvl w:ilvl="6" w:tentative="0">
      <w:start w:val="0"/>
      <w:numFmt w:val="bullet"/>
      <w:lvlText w:val="•"/>
      <w:lvlJc w:val="left"/>
      <w:pPr>
        <w:ind w:left="5203" w:hanging="711"/>
      </w:pPr>
      <w:rPr>
        <w:rFonts w:hint="default"/>
      </w:rPr>
    </w:lvl>
    <w:lvl w:ilvl="7" w:tentative="0">
      <w:start w:val="0"/>
      <w:numFmt w:val="bullet"/>
      <w:lvlText w:val="•"/>
      <w:lvlJc w:val="left"/>
      <w:pPr>
        <w:ind w:left="6133" w:hanging="711"/>
      </w:pPr>
      <w:rPr>
        <w:rFonts w:hint="default"/>
      </w:rPr>
    </w:lvl>
    <w:lvl w:ilvl="8" w:tentative="0">
      <w:start w:val="0"/>
      <w:numFmt w:val="bullet"/>
      <w:lvlText w:val="•"/>
      <w:lvlJc w:val="left"/>
      <w:pPr>
        <w:ind w:left="7064" w:hanging="711"/>
      </w:pPr>
      <w:rPr>
        <w:rFonts w:hint="default"/>
      </w:rPr>
    </w:lvl>
  </w:abstractNum>
  <w:abstractNum w:abstractNumId="28">
    <w:nsid w:val="50CBB27E"/>
    <w:multiLevelType w:val="multilevel"/>
    <w:tmpl w:val="50CBB27E"/>
    <w:lvl w:ilvl="0" w:tentative="0">
      <w:start w:val="4"/>
      <w:numFmt w:val="decimal"/>
      <w:lvlText w:val="%1"/>
      <w:lvlJc w:val="left"/>
      <w:pPr>
        <w:ind w:left="108" w:hanging="308"/>
        <w:jc w:val="left"/>
      </w:pPr>
      <w:rPr>
        <w:rFonts w:hint="default"/>
      </w:rPr>
    </w:lvl>
    <w:lvl w:ilvl="1" w:tentative="0">
      <w:start w:val="1"/>
      <w:numFmt w:val="decimal"/>
      <w:lvlText w:val="%1.%2"/>
      <w:lvlJc w:val="left"/>
      <w:pPr>
        <w:ind w:left="108" w:hanging="308"/>
        <w:jc w:val="left"/>
      </w:pPr>
      <w:rPr>
        <w:rFonts w:hint="default" w:ascii="Times New Roman" w:hAnsi="Times New Roman" w:eastAsia="Times New Roman" w:cs="Times New Roman"/>
        <w:spacing w:val="0"/>
        <w:w w:val="99"/>
        <w:sz w:val="21"/>
        <w:szCs w:val="21"/>
      </w:rPr>
    </w:lvl>
    <w:lvl w:ilvl="2" w:tentative="0">
      <w:start w:val="0"/>
      <w:numFmt w:val="bullet"/>
      <w:lvlText w:val="•"/>
      <w:lvlJc w:val="left"/>
      <w:pPr>
        <w:ind w:left="1764" w:hanging="308"/>
      </w:pPr>
      <w:rPr>
        <w:rFonts w:hint="default"/>
      </w:rPr>
    </w:lvl>
    <w:lvl w:ilvl="3" w:tentative="0">
      <w:start w:val="0"/>
      <w:numFmt w:val="bullet"/>
      <w:lvlText w:val="•"/>
      <w:lvlJc w:val="left"/>
      <w:pPr>
        <w:ind w:left="2596" w:hanging="308"/>
      </w:pPr>
      <w:rPr>
        <w:rFonts w:hint="default"/>
      </w:rPr>
    </w:lvl>
    <w:lvl w:ilvl="4" w:tentative="0">
      <w:start w:val="0"/>
      <w:numFmt w:val="bullet"/>
      <w:lvlText w:val="•"/>
      <w:lvlJc w:val="left"/>
      <w:pPr>
        <w:ind w:left="3428" w:hanging="308"/>
      </w:pPr>
      <w:rPr>
        <w:rFonts w:hint="default"/>
      </w:rPr>
    </w:lvl>
    <w:lvl w:ilvl="5" w:tentative="0">
      <w:start w:val="0"/>
      <w:numFmt w:val="bullet"/>
      <w:lvlText w:val="•"/>
      <w:lvlJc w:val="left"/>
      <w:pPr>
        <w:ind w:left="4260" w:hanging="308"/>
      </w:pPr>
      <w:rPr>
        <w:rFonts w:hint="default"/>
      </w:rPr>
    </w:lvl>
    <w:lvl w:ilvl="6" w:tentative="0">
      <w:start w:val="0"/>
      <w:numFmt w:val="bullet"/>
      <w:lvlText w:val="•"/>
      <w:lvlJc w:val="left"/>
      <w:pPr>
        <w:ind w:left="5092" w:hanging="308"/>
      </w:pPr>
      <w:rPr>
        <w:rFonts w:hint="default"/>
      </w:rPr>
    </w:lvl>
    <w:lvl w:ilvl="7" w:tentative="0">
      <w:start w:val="0"/>
      <w:numFmt w:val="bullet"/>
      <w:lvlText w:val="•"/>
      <w:lvlJc w:val="left"/>
      <w:pPr>
        <w:ind w:left="5924" w:hanging="308"/>
      </w:pPr>
      <w:rPr>
        <w:rFonts w:hint="default"/>
      </w:rPr>
    </w:lvl>
    <w:lvl w:ilvl="8" w:tentative="0">
      <w:start w:val="0"/>
      <w:numFmt w:val="bullet"/>
      <w:lvlText w:val="•"/>
      <w:lvlJc w:val="left"/>
      <w:pPr>
        <w:ind w:left="6756" w:hanging="308"/>
      </w:pPr>
      <w:rPr>
        <w:rFonts w:hint="default"/>
      </w:rPr>
    </w:lvl>
  </w:abstractNum>
  <w:abstractNum w:abstractNumId="29">
    <w:nsid w:val="5A2DB859"/>
    <w:multiLevelType w:val="multilevel"/>
    <w:tmpl w:val="5A2DB859"/>
    <w:lvl w:ilvl="0" w:tentative="0">
      <w:start w:val="6"/>
      <w:numFmt w:val="decimal"/>
      <w:lvlText w:val="%1"/>
      <w:lvlJc w:val="left"/>
      <w:pPr>
        <w:ind w:left="868" w:hanging="408"/>
        <w:jc w:val="right"/>
      </w:pPr>
      <w:rPr>
        <w:rFonts w:hint="default"/>
      </w:rPr>
    </w:lvl>
    <w:lvl w:ilvl="1" w:tentative="0">
      <w:start w:val="6"/>
      <w:numFmt w:val="decimal"/>
      <w:lvlText w:val="%1.%2"/>
      <w:lvlJc w:val="left"/>
      <w:pPr>
        <w:ind w:left="868" w:hanging="408"/>
        <w:jc w:val="left"/>
      </w:pPr>
      <w:rPr>
        <w:rFonts w:hint="default" w:ascii="Times New Roman" w:hAnsi="Times New Roman" w:eastAsia="Times New Roman" w:cs="Times New Roman"/>
        <w:b/>
        <w:bCs/>
        <w:spacing w:val="-1"/>
        <w:w w:val="100"/>
        <w:sz w:val="28"/>
        <w:szCs w:val="28"/>
      </w:rPr>
    </w:lvl>
    <w:lvl w:ilvl="2" w:tentative="0">
      <w:start w:val="0"/>
      <w:numFmt w:val="bullet"/>
      <w:lvlText w:val="•"/>
      <w:lvlJc w:val="left"/>
      <w:pPr>
        <w:ind w:left="2537" w:hanging="408"/>
      </w:pPr>
      <w:rPr>
        <w:rFonts w:hint="default"/>
      </w:rPr>
    </w:lvl>
    <w:lvl w:ilvl="3" w:tentative="0">
      <w:start w:val="0"/>
      <w:numFmt w:val="bullet"/>
      <w:lvlText w:val="•"/>
      <w:lvlJc w:val="left"/>
      <w:pPr>
        <w:ind w:left="3375" w:hanging="408"/>
      </w:pPr>
      <w:rPr>
        <w:rFonts w:hint="default"/>
      </w:rPr>
    </w:lvl>
    <w:lvl w:ilvl="4" w:tentative="0">
      <w:start w:val="0"/>
      <w:numFmt w:val="bullet"/>
      <w:lvlText w:val="•"/>
      <w:lvlJc w:val="left"/>
      <w:pPr>
        <w:ind w:left="4214" w:hanging="408"/>
      </w:pPr>
      <w:rPr>
        <w:rFonts w:hint="default"/>
      </w:rPr>
    </w:lvl>
    <w:lvl w:ilvl="5" w:tentative="0">
      <w:start w:val="0"/>
      <w:numFmt w:val="bullet"/>
      <w:lvlText w:val="•"/>
      <w:lvlJc w:val="left"/>
      <w:pPr>
        <w:ind w:left="5053" w:hanging="408"/>
      </w:pPr>
      <w:rPr>
        <w:rFonts w:hint="default"/>
      </w:rPr>
    </w:lvl>
    <w:lvl w:ilvl="6" w:tentative="0">
      <w:start w:val="0"/>
      <w:numFmt w:val="bullet"/>
      <w:lvlText w:val="•"/>
      <w:lvlJc w:val="left"/>
      <w:pPr>
        <w:ind w:left="5891" w:hanging="408"/>
      </w:pPr>
      <w:rPr>
        <w:rFonts w:hint="default"/>
      </w:rPr>
    </w:lvl>
    <w:lvl w:ilvl="7" w:tentative="0">
      <w:start w:val="0"/>
      <w:numFmt w:val="bullet"/>
      <w:lvlText w:val="•"/>
      <w:lvlJc w:val="left"/>
      <w:pPr>
        <w:ind w:left="6730" w:hanging="408"/>
      </w:pPr>
      <w:rPr>
        <w:rFonts w:hint="default"/>
      </w:rPr>
    </w:lvl>
    <w:lvl w:ilvl="8" w:tentative="0">
      <w:start w:val="0"/>
      <w:numFmt w:val="bullet"/>
      <w:lvlText w:val="•"/>
      <w:lvlJc w:val="left"/>
      <w:pPr>
        <w:ind w:left="7568" w:hanging="408"/>
      </w:pPr>
      <w:rPr>
        <w:rFonts w:hint="default"/>
      </w:rPr>
    </w:lvl>
  </w:abstractNum>
  <w:abstractNum w:abstractNumId="30">
    <w:nsid w:val="5CF83713"/>
    <w:multiLevelType w:val="multilevel"/>
    <w:tmpl w:val="5CF83713"/>
    <w:lvl w:ilvl="0" w:tentative="0">
      <w:start w:val="1"/>
      <w:numFmt w:val="decimal"/>
      <w:lvlText w:val="%1"/>
      <w:lvlJc w:val="left"/>
      <w:pPr>
        <w:ind w:left="688" w:hanging="408"/>
        <w:jc w:val="right"/>
      </w:pPr>
      <w:rPr>
        <w:rFonts w:hint="default"/>
      </w:rPr>
    </w:lvl>
    <w:lvl w:ilvl="1" w:tentative="0">
      <w:start w:val="4"/>
      <w:numFmt w:val="decimal"/>
      <w:lvlText w:val="%1.%2"/>
      <w:lvlJc w:val="left"/>
      <w:pPr>
        <w:ind w:left="68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0"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621" w:hanging="531"/>
      </w:pPr>
      <w:rPr>
        <w:rFonts w:hint="default"/>
      </w:rPr>
    </w:lvl>
    <w:lvl w:ilvl="4" w:tentative="0">
      <w:start w:val="0"/>
      <w:numFmt w:val="bullet"/>
      <w:lvlText w:val="•"/>
      <w:lvlJc w:val="left"/>
      <w:pPr>
        <w:ind w:left="3522" w:hanging="531"/>
      </w:pPr>
      <w:rPr>
        <w:rFonts w:hint="default"/>
      </w:rPr>
    </w:lvl>
    <w:lvl w:ilvl="5" w:tentative="0">
      <w:start w:val="0"/>
      <w:numFmt w:val="bullet"/>
      <w:lvlText w:val="•"/>
      <w:lvlJc w:val="left"/>
      <w:pPr>
        <w:ind w:left="4422" w:hanging="531"/>
      </w:pPr>
      <w:rPr>
        <w:rFonts w:hint="default"/>
      </w:rPr>
    </w:lvl>
    <w:lvl w:ilvl="6" w:tentative="0">
      <w:start w:val="0"/>
      <w:numFmt w:val="bullet"/>
      <w:lvlText w:val="•"/>
      <w:lvlJc w:val="left"/>
      <w:pPr>
        <w:ind w:left="5323" w:hanging="531"/>
      </w:pPr>
      <w:rPr>
        <w:rFonts w:hint="default"/>
      </w:rPr>
    </w:lvl>
    <w:lvl w:ilvl="7" w:tentative="0">
      <w:start w:val="0"/>
      <w:numFmt w:val="bullet"/>
      <w:lvlText w:val="•"/>
      <w:lvlJc w:val="left"/>
      <w:pPr>
        <w:ind w:left="6224" w:hanging="531"/>
      </w:pPr>
      <w:rPr>
        <w:rFonts w:hint="default"/>
      </w:rPr>
    </w:lvl>
    <w:lvl w:ilvl="8" w:tentative="0">
      <w:start w:val="0"/>
      <w:numFmt w:val="bullet"/>
      <w:lvlText w:val="•"/>
      <w:lvlJc w:val="left"/>
      <w:pPr>
        <w:ind w:left="7124" w:hanging="531"/>
      </w:pPr>
      <w:rPr>
        <w:rFonts w:hint="default"/>
      </w:rPr>
    </w:lvl>
  </w:abstractNum>
  <w:abstractNum w:abstractNumId="31">
    <w:nsid w:val="6A72147C"/>
    <w:multiLevelType w:val="multilevel"/>
    <w:tmpl w:val="6A72147C"/>
    <w:lvl w:ilvl="0" w:tentative="0">
      <w:start w:val="3"/>
      <w:numFmt w:val="decimal"/>
      <w:lvlText w:val="%1"/>
      <w:lvlJc w:val="left"/>
      <w:pPr>
        <w:ind w:left="108" w:hanging="308"/>
        <w:jc w:val="left"/>
      </w:pPr>
      <w:rPr>
        <w:rFonts w:hint="default"/>
      </w:rPr>
    </w:lvl>
    <w:lvl w:ilvl="1" w:tentative="0">
      <w:start w:val="3"/>
      <w:numFmt w:val="decimal"/>
      <w:lvlText w:val="%1.%2"/>
      <w:lvlJc w:val="left"/>
      <w:pPr>
        <w:ind w:left="108" w:hanging="308"/>
        <w:jc w:val="left"/>
      </w:pPr>
      <w:rPr>
        <w:rFonts w:hint="default" w:ascii="Times New Roman" w:hAnsi="Times New Roman" w:eastAsia="Times New Roman" w:cs="Times New Roman"/>
        <w:spacing w:val="0"/>
        <w:w w:val="99"/>
        <w:sz w:val="21"/>
        <w:szCs w:val="21"/>
      </w:rPr>
    </w:lvl>
    <w:lvl w:ilvl="2" w:tentative="0">
      <w:start w:val="0"/>
      <w:numFmt w:val="bullet"/>
      <w:lvlText w:val="•"/>
      <w:lvlJc w:val="left"/>
      <w:pPr>
        <w:ind w:left="1764" w:hanging="308"/>
      </w:pPr>
      <w:rPr>
        <w:rFonts w:hint="default"/>
      </w:rPr>
    </w:lvl>
    <w:lvl w:ilvl="3" w:tentative="0">
      <w:start w:val="0"/>
      <w:numFmt w:val="bullet"/>
      <w:lvlText w:val="•"/>
      <w:lvlJc w:val="left"/>
      <w:pPr>
        <w:ind w:left="2596" w:hanging="308"/>
      </w:pPr>
      <w:rPr>
        <w:rFonts w:hint="default"/>
      </w:rPr>
    </w:lvl>
    <w:lvl w:ilvl="4" w:tentative="0">
      <w:start w:val="0"/>
      <w:numFmt w:val="bullet"/>
      <w:lvlText w:val="•"/>
      <w:lvlJc w:val="left"/>
      <w:pPr>
        <w:ind w:left="3428" w:hanging="308"/>
      </w:pPr>
      <w:rPr>
        <w:rFonts w:hint="default"/>
      </w:rPr>
    </w:lvl>
    <w:lvl w:ilvl="5" w:tentative="0">
      <w:start w:val="0"/>
      <w:numFmt w:val="bullet"/>
      <w:lvlText w:val="•"/>
      <w:lvlJc w:val="left"/>
      <w:pPr>
        <w:ind w:left="4260" w:hanging="308"/>
      </w:pPr>
      <w:rPr>
        <w:rFonts w:hint="default"/>
      </w:rPr>
    </w:lvl>
    <w:lvl w:ilvl="6" w:tentative="0">
      <w:start w:val="0"/>
      <w:numFmt w:val="bullet"/>
      <w:lvlText w:val="•"/>
      <w:lvlJc w:val="left"/>
      <w:pPr>
        <w:ind w:left="5092" w:hanging="308"/>
      </w:pPr>
      <w:rPr>
        <w:rFonts w:hint="default"/>
      </w:rPr>
    </w:lvl>
    <w:lvl w:ilvl="7" w:tentative="0">
      <w:start w:val="0"/>
      <w:numFmt w:val="bullet"/>
      <w:lvlText w:val="•"/>
      <w:lvlJc w:val="left"/>
      <w:pPr>
        <w:ind w:left="5924" w:hanging="308"/>
      </w:pPr>
      <w:rPr>
        <w:rFonts w:hint="default"/>
      </w:rPr>
    </w:lvl>
    <w:lvl w:ilvl="8" w:tentative="0">
      <w:start w:val="0"/>
      <w:numFmt w:val="bullet"/>
      <w:lvlText w:val="•"/>
      <w:lvlJc w:val="left"/>
      <w:pPr>
        <w:ind w:left="6756" w:hanging="308"/>
      </w:pPr>
      <w:rPr>
        <w:rFonts w:hint="default"/>
      </w:rPr>
    </w:lvl>
  </w:abstractNum>
  <w:abstractNum w:abstractNumId="32">
    <w:nsid w:val="7280DA8C"/>
    <w:multiLevelType w:val="multilevel"/>
    <w:tmpl w:val="7280DA8C"/>
    <w:lvl w:ilvl="0" w:tentative="0">
      <w:start w:val="10"/>
      <w:numFmt w:val="decimal"/>
      <w:lvlText w:val="%1"/>
      <w:lvlJc w:val="left"/>
      <w:pPr>
        <w:ind w:left="712" w:hanging="591"/>
        <w:jc w:val="left"/>
      </w:pPr>
      <w:rPr>
        <w:rFonts w:hint="default"/>
      </w:rPr>
    </w:lvl>
    <w:lvl w:ilvl="1" w:tentative="0">
      <w:start w:val="1"/>
      <w:numFmt w:val="decimal"/>
      <w:lvlText w:val="%1.%2"/>
      <w:lvlJc w:val="left"/>
      <w:pPr>
        <w:ind w:left="712" w:hanging="591"/>
        <w:jc w:val="left"/>
      </w:pPr>
      <w:rPr>
        <w:rFonts w:hint="default" w:ascii="Times New Roman" w:hAnsi="Times New Roman" w:eastAsia="Times New Roman" w:cs="Times New Roman"/>
        <w:b/>
        <w:bCs/>
        <w:spacing w:val="-2"/>
        <w:w w:val="100"/>
        <w:sz w:val="30"/>
        <w:szCs w:val="30"/>
      </w:rPr>
    </w:lvl>
    <w:lvl w:ilvl="2" w:tentative="0">
      <w:start w:val="0"/>
      <w:numFmt w:val="bullet"/>
      <w:lvlText w:val="•"/>
      <w:lvlJc w:val="left"/>
      <w:pPr>
        <w:ind w:left="2393" w:hanging="591"/>
      </w:pPr>
      <w:rPr>
        <w:rFonts w:hint="default"/>
      </w:rPr>
    </w:lvl>
    <w:lvl w:ilvl="3" w:tentative="0">
      <w:start w:val="0"/>
      <w:numFmt w:val="bullet"/>
      <w:lvlText w:val="•"/>
      <w:lvlJc w:val="left"/>
      <w:pPr>
        <w:ind w:left="3229" w:hanging="591"/>
      </w:pPr>
      <w:rPr>
        <w:rFonts w:hint="default"/>
      </w:rPr>
    </w:lvl>
    <w:lvl w:ilvl="4" w:tentative="0">
      <w:start w:val="0"/>
      <w:numFmt w:val="bullet"/>
      <w:lvlText w:val="•"/>
      <w:lvlJc w:val="left"/>
      <w:pPr>
        <w:ind w:left="4066" w:hanging="591"/>
      </w:pPr>
      <w:rPr>
        <w:rFonts w:hint="default"/>
      </w:rPr>
    </w:lvl>
    <w:lvl w:ilvl="5" w:tentative="0">
      <w:start w:val="0"/>
      <w:numFmt w:val="bullet"/>
      <w:lvlText w:val="•"/>
      <w:lvlJc w:val="left"/>
      <w:pPr>
        <w:ind w:left="4903" w:hanging="591"/>
      </w:pPr>
      <w:rPr>
        <w:rFonts w:hint="default"/>
      </w:rPr>
    </w:lvl>
    <w:lvl w:ilvl="6" w:tentative="0">
      <w:start w:val="0"/>
      <w:numFmt w:val="bullet"/>
      <w:lvlText w:val="•"/>
      <w:lvlJc w:val="left"/>
      <w:pPr>
        <w:ind w:left="5739" w:hanging="591"/>
      </w:pPr>
      <w:rPr>
        <w:rFonts w:hint="default"/>
      </w:rPr>
    </w:lvl>
    <w:lvl w:ilvl="7" w:tentative="0">
      <w:start w:val="0"/>
      <w:numFmt w:val="bullet"/>
      <w:lvlText w:val="•"/>
      <w:lvlJc w:val="left"/>
      <w:pPr>
        <w:ind w:left="6576" w:hanging="591"/>
      </w:pPr>
      <w:rPr>
        <w:rFonts w:hint="default"/>
      </w:rPr>
    </w:lvl>
    <w:lvl w:ilvl="8" w:tentative="0">
      <w:start w:val="0"/>
      <w:numFmt w:val="bullet"/>
      <w:lvlText w:val="•"/>
      <w:lvlJc w:val="left"/>
      <w:pPr>
        <w:ind w:left="7412" w:hanging="591"/>
      </w:pPr>
      <w:rPr>
        <w:rFonts w:hint="default"/>
      </w:rPr>
    </w:lvl>
  </w:abstractNum>
  <w:abstractNum w:abstractNumId="33">
    <w:nsid w:val="738672D4"/>
    <w:multiLevelType w:val="multilevel"/>
    <w:tmpl w:val="738672D4"/>
    <w:lvl w:ilvl="0" w:tentative="0">
      <w:start w:val="8"/>
      <w:numFmt w:val="decimal"/>
      <w:lvlText w:val="%1"/>
      <w:lvlJc w:val="left"/>
      <w:pPr>
        <w:ind w:left="868" w:hanging="408"/>
        <w:jc w:val="right"/>
      </w:pPr>
      <w:rPr>
        <w:rFonts w:hint="default"/>
      </w:rPr>
    </w:lvl>
    <w:lvl w:ilvl="1" w:tentative="0">
      <w:start w:val="1"/>
      <w:numFmt w:val="decimal"/>
      <w:lvlText w:val="%1.%2"/>
      <w:lvlJc w:val="left"/>
      <w:pPr>
        <w:ind w:left="868" w:hanging="408"/>
        <w:jc w:val="righ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990" w:hanging="531"/>
        <w:jc w:val="right"/>
      </w:pPr>
      <w:rPr>
        <w:rFonts w:hint="default" w:ascii="Times New Roman" w:hAnsi="Times New Roman" w:eastAsia="Times New Roman" w:cs="Times New Roman"/>
        <w:b/>
        <w:bCs/>
        <w:w w:val="100"/>
        <w:sz w:val="24"/>
        <w:szCs w:val="24"/>
      </w:rPr>
    </w:lvl>
    <w:lvl w:ilvl="3" w:tentative="0">
      <w:start w:val="0"/>
      <w:numFmt w:val="bullet"/>
      <w:lvlText w:val="•"/>
      <w:lvlJc w:val="left"/>
      <w:pPr>
        <w:ind w:left="2832" w:hanging="531"/>
      </w:pPr>
      <w:rPr>
        <w:rFonts w:hint="default"/>
      </w:rPr>
    </w:lvl>
    <w:lvl w:ilvl="4" w:tentative="0">
      <w:start w:val="0"/>
      <w:numFmt w:val="bullet"/>
      <w:lvlText w:val="•"/>
      <w:lvlJc w:val="left"/>
      <w:pPr>
        <w:ind w:left="3748" w:hanging="531"/>
      </w:pPr>
      <w:rPr>
        <w:rFonts w:hint="default"/>
      </w:rPr>
    </w:lvl>
    <w:lvl w:ilvl="5" w:tentative="0">
      <w:start w:val="0"/>
      <w:numFmt w:val="bullet"/>
      <w:lvlText w:val="•"/>
      <w:lvlJc w:val="left"/>
      <w:pPr>
        <w:ind w:left="4664" w:hanging="531"/>
      </w:pPr>
      <w:rPr>
        <w:rFonts w:hint="default"/>
      </w:rPr>
    </w:lvl>
    <w:lvl w:ilvl="6" w:tentative="0">
      <w:start w:val="0"/>
      <w:numFmt w:val="bullet"/>
      <w:lvlText w:val="•"/>
      <w:lvlJc w:val="left"/>
      <w:pPr>
        <w:ind w:left="5581" w:hanging="531"/>
      </w:pPr>
      <w:rPr>
        <w:rFonts w:hint="default"/>
      </w:rPr>
    </w:lvl>
    <w:lvl w:ilvl="7" w:tentative="0">
      <w:start w:val="0"/>
      <w:numFmt w:val="bullet"/>
      <w:lvlText w:val="•"/>
      <w:lvlJc w:val="left"/>
      <w:pPr>
        <w:ind w:left="6497" w:hanging="531"/>
      </w:pPr>
      <w:rPr>
        <w:rFonts w:hint="default"/>
      </w:rPr>
    </w:lvl>
    <w:lvl w:ilvl="8" w:tentative="0">
      <w:start w:val="0"/>
      <w:numFmt w:val="bullet"/>
      <w:lvlText w:val="•"/>
      <w:lvlJc w:val="left"/>
      <w:pPr>
        <w:ind w:left="7413" w:hanging="531"/>
      </w:pPr>
      <w:rPr>
        <w:rFonts w:hint="default"/>
      </w:rPr>
    </w:lvl>
  </w:abstractNum>
  <w:abstractNum w:abstractNumId="34">
    <w:nsid w:val="73F41A0D"/>
    <w:multiLevelType w:val="multilevel"/>
    <w:tmpl w:val="73F41A0D"/>
    <w:lvl w:ilvl="0" w:tentative="0">
      <w:start w:val="2"/>
      <w:numFmt w:val="decimal"/>
      <w:lvlText w:val="%1"/>
      <w:lvlJc w:val="left"/>
      <w:pPr>
        <w:ind w:left="1470" w:hanging="711"/>
        <w:jc w:val="right"/>
      </w:pPr>
      <w:rPr>
        <w:rFonts w:hint="default"/>
      </w:rPr>
    </w:lvl>
    <w:lvl w:ilvl="1" w:tentative="0">
      <w:start w:val="5"/>
      <w:numFmt w:val="decimal"/>
      <w:lvlText w:val="%1.%2"/>
      <w:lvlJc w:val="left"/>
      <w:pPr>
        <w:ind w:left="1470" w:hanging="711"/>
        <w:jc w:val="right"/>
      </w:pPr>
      <w:rPr>
        <w:rFonts w:hint="default"/>
      </w:rPr>
    </w:lvl>
    <w:lvl w:ilvl="2" w:tentative="0">
      <w:start w:val="1"/>
      <w:numFmt w:val="decimal"/>
      <w:lvlText w:val="%1.%2.%3"/>
      <w:lvlJc w:val="left"/>
      <w:pPr>
        <w:ind w:left="1470" w:hanging="711"/>
        <w:jc w:val="right"/>
      </w:pPr>
      <w:rPr>
        <w:rFonts w:hint="default"/>
      </w:rPr>
    </w:lvl>
    <w:lvl w:ilvl="3" w:tentative="0">
      <w:start w:val="6"/>
      <w:numFmt w:val="decimal"/>
      <w:lvlText w:val="%1.%2.%3.%4"/>
      <w:lvlJc w:val="left"/>
      <w:pPr>
        <w:ind w:left="14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4458" w:hanging="711"/>
      </w:pPr>
      <w:rPr>
        <w:rFonts w:hint="default"/>
      </w:rPr>
    </w:lvl>
    <w:lvl w:ilvl="5" w:tentative="0">
      <w:start w:val="0"/>
      <w:numFmt w:val="bullet"/>
      <w:lvlText w:val="•"/>
      <w:lvlJc w:val="left"/>
      <w:pPr>
        <w:ind w:left="5203" w:hanging="711"/>
      </w:pPr>
      <w:rPr>
        <w:rFonts w:hint="default"/>
      </w:rPr>
    </w:lvl>
    <w:lvl w:ilvl="6" w:tentative="0">
      <w:start w:val="0"/>
      <w:numFmt w:val="bullet"/>
      <w:lvlText w:val="•"/>
      <w:lvlJc w:val="left"/>
      <w:pPr>
        <w:ind w:left="5947" w:hanging="711"/>
      </w:pPr>
      <w:rPr>
        <w:rFonts w:hint="default"/>
      </w:rPr>
    </w:lvl>
    <w:lvl w:ilvl="7" w:tentative="0">
      <w:start w:val="0"/>
      <w:numFmt w:val="bullet"/>
      <w:lvlText w:val="•"/>
      <w:lvlJc w:val="left"/>
      <w:pPr>
        <w:ind w:left="6692" w:hanging="711"/>
      </w:pPr>
      <w:rPr>
        <w:rFonts w:hint="default"/>
      </w:rPr>
    </w:lvl>
    <w:lvl w:ilvl="8" w:tentative="0">
      <w:start w:val="0"/>
      <w:numFmt w:val="bullet"/>
      <w:lvlText w:val="•"/>
      <w:lvlJc w:val="left"/>
      <w:pPr>
        <w:ind w:left="7436" w:hanging="711"/>
      </w:pPr>
      <w:rPr>
        <w:rFonts w:hint="default"/>
      </w:rPr>
    </w:lvl>
  </w:abstractNum>
  <w:abstractNum w:abstractNumId="35">
    <w:nsid w:val="74314127"/>
    <w:multiLevelType w:val="multilevel"/>
    <w:tmpl w:val="74314127"/>
    <w:lvl w:ilvl="0" w:tentative="0">
      <w:start w:val="3"/>
      <w:numFmt w:val="decimal"/>
      <w:lvlText w:val="%1"/>
      <w:lvlJc w:val="left"/>
      <w:pPr>
        <w:ind w:left="108" w:hanging="312"/>
        <w:jc w:val="left"/>
      </w:pPr>
      <w:rPr>
        <w:rFonts w:hint="default"/>
      </w:rPr>
    </w:lvl>
    <w:lvl w:ilvl="1" w:tentative="0">
      <w:start w:val="1"/>
      <w:numFmt w:val="decimal"/>
      <w:lvlText w:val="%1.%2"/>
      <w:lvlJc w:val="left"/>
      <w:pPr>
        <w:ind w:left="108" w:hanging="312"/>
        <w:jc w:val="left"/>
      </w:pPr>
      <w:rPr>
        <w:rFonts w:hint="default" w:ascii="Times New Roman" w:hAnsi="Times New Roman" w:eastAsia="Times New Roman" w:cs="Times New Roman"/>
        <w:spacing w:val="0"/>
        <w:w w:val="99"/>
        <w:sz w:val="21"/>
        <w:szCs w:val="21"/>
      </w:rPr>
    </w:lvl>
    <w:lvl w:ilvl="2" w:tentative="0">
      <w:start w:val="0"/>
      <w:numFmt w:val="bullet"/>
      <w:lvlText w:val="•"/>
      <w:lvlJc w:val="left"/>
      <w:pPr>
        <w:ind w:left="1764" w:hanging="312"/>
      </w:pPr>
      <w:rPr>
        <w:rFonts w:hint="default"/>
      </w:rPr>
    </w:lvl>
    <w:lvl w:ilvl="3" w:tentative="0">
      <w:start w:val="0"/>
      <w:numFmt w:val="bullet"/>
      <w:lvlText w:val="•"/>
      <w:lvlJc w:val="left"/>
      <w:pPr>
        <w:ind w:left="2596" w:hanging="312"/>
      </w:pPr>
      <w:rPr>
        <w:rFonts w:hint="default"/>
      </w:rPr>
    </w:lvl>
    <w:lvl w:ilvl="4" w:tentative="0">
      <w:start w:val="0"/>
      <w:numFmt w:val="bullet"/>
      <w:lvlText w:val="•"/>
      <w:lvlJc w:val="left"/>
      <w:pPr>
        <w:ind w:left="3428" w:hanging="312"/>
      </w:pPr>
      <w:rPr>
        <w:rFonts w:hint="default"/>
      </w:rPr>
    </w:lvl>
    <w:lvl w:ilvl="5" w:tentative="0">
      <w:start w:val="0"/>
      <w:numFmt w:val="bullet"/>
      <w:lvlText w:val="•"/>
      <w:lvlJc w:val="left"/>
      <w:pPr>
        <w:ind w:left="4260" w:hanging="312"/>
      </w:pPr>
      <w:rPr>
        <w:rFonts w:hint="default"/>
      </w:rPr>
    </w:lvl>
    <w:lvl w:ilvl="6" w:tentative="0">
      <w:start w:val="0"/>
      <w:numFmt w:val="bullet"/>
      <w:lvlText w:val="•"/>
      <w:lvlJc w:val="left"/>
      <w:pPr>
        <w:ind w:left="5092" w:hanging="312"/>
      </w:pPr>
      <w:rPr>
        <w:rFonts w:hint="default"/>
      </w:rPr>
    </w:lvl>
    <w:lvl w:ilvl="7" w:tentative="0">
      <w:start w:val="0"/>
      <w:numFmt w:val="bullet"/>
      <w:lvlText w:val="•"/>
      <w:lvlJc w:val="left"/>
      <w:pPr>
        <w:ind w:left="5924" w:hanging="312"/>
      </w:pPr>
      <w:rPr>
        <w:rFonts w:hint="default"/>
      </w:rPr>
    </w:lvl>
    <w:lvl w:ilvl="8" w:tentative="0">
      <w:start w:val="0"/>
      <w:numFmt w:val="bullet"/>
      <w:lvlText w:val="•"/>
      <w:lvlJc w:val="left"/>
      <w:pPr>
        <w:ind w:left="6756" w:hanging="312"/>
      </w:pPr>
      <w:rPr>
        <w:rFonts w:hint="default"/>
      </w:rPr>
    </w:lvl>
  </w:abstractNum>
  <w:abstractNum w:abstractNumId="36">
    <w:nsid w:val="7528C21A"/>
    <w:multiLevelType w:val="multilevel"/>
    <w:tmpl w:val="7528C21A"/>
    <w:lvl w:ilvl="0" w:tentative="0">
      <w:start w:val="2"/>
      <w:numFmt w:val="decimal"/>
      <w:lvlText w:val="%1"/>
      <w:lvlJc w:val="left"/>
      <w:pPr>
        <w:ind w:left="688" w:hanging="408"/>
        <w:jc w:val="left"/>
      </w:pPr>
      <w:rPr>
        <w:rFonts w:hint="default"/>
      </w:rPr>
    </w:lvl>
    <w:lvl w:ilvl="1" w:tentative="0">
      <w:start w:val="1"/>
      <w:numFmt w:val="decimal"/>
      <w:lvlText w:val="%1.%2"/>
      <w:lvlJc w:val="left"/>
      <w:pPr>
        <w:ind w:left="688" w:hanging="408"/>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810" w:hanging="531"/>
        <w:jc w:val="left"/>
      </w:pPr>
      <w:rPr>
        <w:rFonts w:hint="default" w:ascii="Times New Roman" w:hAnsi="Times New Roman" w:eastAsia="Times New Roman" w:cs="Times New Roman"/>
        <w:b/>
        <w:bCs/>
        <w:w w:val="100"/>
        <w:sz w:val="24"/>
        <w:szCs w:val="24"/>
      </w:rPr>
    </w:lvl>
    <w:lvl w:ilvl="3" w:tentative="0">
      <w:start w:val="0"/>
      <w:numFmt w:val="bullet"/>
      <w:lvlText w:val="•"/>
      <w:lvlJc w:val="left"/>
      <w:pPr>
        <w:ind w:left="2621" w:hanging="531"/>
      </w:pPr>
      <w:rPr>
        <w:rFonts w:hint="default"/>
      </w:rPr>
    </w:lvl>
    <w:lvl w:ilvl="4" w:tentative="0">
      <w:start w:val="0"/>
      <w:numFmt w:val="bullet"/>
      <w:lvlText w:val="•"/>
      <w:lvlJc w:val="left"/>
      <w:pPr>
        <w:ind w:left="3522" w:hanging="531"/>
      </w:pPr>
      <w:rPr>
        <w:rFonts w:hint="default"/>
      </w:rPr>
    </w:lvl>
    <w:lvl w:ilvl="5" w:tentative="0">
      <w:start w:val="0"/>
      <w:numFmt w:val="bullet"/>
      <w:lvlText w:val="•"/>
      <w:lvlJc w:val="left"/>
      <w:pPr>
        <w:ind w:left="4422" w:hanging="531"/>
      </w:pPr>
      <w:rPr>
        <w:rFonts w:hint="default"/>
      </w:rPr>
    </w:lvl>
    <w:lvl w:ilvl="6" w:tentative="0">
      <w:start w:val="0"/>
      <w:numFmt w:val="bullet"/>
      <w:lvlText w:val="•"/>
      <w:lvlJc w:val="left"/>
      <w:pPr>
        <w:ind w:left="5323" w:hanging="531"/>
      </w:pPr>
      <w:rPr>
        <w:rFonts w:hint="default"/>
      </w:rPr>
    </w:lvl>
    <w:lvl w:ilvl="7" w:tentative="0">
      <w:start w:val="0"/>
      <w:numFmt w:val="bullet"/>
      <w:lvlText w:val="•"/>
      <w:lvlJc w:val="left"/>
      <w:pPr>
        <w:ind w:left="6224" w:hanging="531"/>
      </w:pPr>
      <w:rPr>
        <w:rFonts w:hint="default"/>
      </w:rPr>
    </w:lvl>
    <w:lvl w:ilvl="8" w:tentative="0">
      <w:start w:val="0"/>
      <w:numFmt w:val="bullet"/>
      <w:lvlText w:val="•"/>
      <w:lvlJc w:val="left"/>
      <w:pPr>
        <w:ind w:left="7124" w:hanging="531"/>
      </w:pPr>
      <w:rPr>
        <w:rFonts w:hint="default"/>
      </w:rPr>
    </w:lvl>
  </w:abstractNum>
  <w:abstractNum w:abstractNumId="37">
    <w:nsid w:val="773C0B32"/>
    <w:multiLevelType w:val="multilevel"/>
    <w:tmpl w:val="773C0B32"/>
    <w:lvl w:ilvl="0" w:tentative="0">
      <w:start w:val="5"/>
      <w:numFmt w:val="decimal"/>
      <w:lvlText w:val="%1"/>
      <w:lvlJc w:val="left"/>
      <w:pPr>
        <w:ind w:left="1079" w:hanging="620"/>
        <w:jc w:val="left"/>
      </w:pPr>
      <w:rPr>
        <w:rFonts w:hint="default"/>
      </w:rPr>
    </w:lvl>
    <w:lvl w:ilvl="1" w:tentative="0">
      <w:start w:val="2"/>
      <w:numFmt w:val="decimal"/>
      <w:lvlText w:val="%1.%2"/>
      <w:lvlJc w:val="left"/>
      <w:pPr>
        <w:ind w:left="1079" w:hanging="620"/>
        <w:jc w:val="left"/>
      </w:pPr>
      <w:rPr>
        <w:rFonts w:hint="default"/>
      </w:rPr>
    </w:lvl>
    <w:lvl w:ilvl="2" w:tentative="0">
      <w:start w:val="2"/>
      <w:numFmt w:val="decimal"/>
      <w:lvlText w:val="%1.%2.%3"/>
      <w:lvlJc w:val="left"/>
      <w:pPr>
        <w:ind w:left="1079" w:hanging="620"/>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868" w:hanging="711"/>
      </w:pPr>
      <w:rPr>
        <w:rFonts w:hint="default"/>
      </w:rPr>
    </w:lvl>
    <w:lvl w:ilvl="5" w:tentative="0">
      <w:start w:val="0"/>
      <w:numFmt w:val="bullet"/>
      <w:lvlText w:val="•"/>
      <w:lvlJc w:val="left"/>
      <w:pPr>
        <w:ind w:left="4764" w:hanging="711"/>
      </w:pPr>
      <w:rPr>
        <w:rFonts w:hint="default"/>
      </w:rPr>
    </w:lvl>
    <w:lvl w:ilvl="6" w:tentative="0">
      <w:start w:val="0"/>
      <w:numFmt w:val="bullet"/>
      <w:lvlText w:val="•"/>
      <w:lvlJc w:val="left"/>
      <w:pPr>
        <w:ind w:left="5661" w:hanging="711"/>
      </w:pPr>
      <w:rPr>
        <w:rFonts w:hint="default"/>
      </w:rPr>
    </w:lvl>
    <w:lvl w:ilvl="7" w:tentative="0">
      <w:start w:val="0"/>
      <w:numFmt w:val="bullet"/>
      <w:lvlText w:val="•"/>
      <w:lvlJc w:val="left"/>
      <w:pPr>
        <w:ind w:left="6557" w:hanging="711"/>
      </w:pPr>
      <w:rPr>
        <w:rFonts w:hint="default"/>
      </w:rPr>
    </w:lvl>
    <w:lvl w:ilvl="8" w:tentative="0">
      <w:start w:val="0"/>
      <w:numFmt w:val="bullet"/>
      <w:lvlText w:val="•"/>
      <w:lvlJc w:val="left"/>
      <w:pPr>
        <w:ind w:left="7453" w:hanging="711"/>
      </w:pPr>
      <w:rPr>
        <w:rFonts w:hint="default"/>
      </w:rPr>
    </w:lvl>
  </w:abstractNum>
  <w:abstractNum w:abstractNumId="38">
    <w:nsid w:val="7B3F73A7"/>
    <w:multiLevelType w:val="multilevel"/>
    <w:tmpl w:val="7B3F73A7"/>
    <w:lvl w:ilvl="0" w:tentative="0">
      <w:start w:val="7"/>
      <w:numFmt w:val="decimal"/>
      <w:lvlText w:val="%1"/>
      <w:lvlJc w:val="left"/>
      <w:pPr>
        <w:ind w:left="899" w:hanging="440"/>
        <w:jc w:val="right"/>
      </w:pPr>
      <w:rPr>
        <w:rFonts w:hint="default"/>
      </w:rPr>
    </w:lvl>
    <w:lvl w:ilvl="1" w:tentative="0">
      <w:start w:val="2"/>
      <w:numFmt w:val="decimal"/>
      <w:lvlText w:val="%1.%2"/>
      <w:lvlJc w:val="left"/>
      <w:pPr>
        <w:ind w:left="899" w:hanging="440"/>
        <w:jc w:val="left"/>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1079" w:hanging="620"/>
        <w:jc w:val="lef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1170" w:hanging="711"/>
        <w:jc w:val="left"/>
      </w:pPr>
      <w:rPr>
        <w:rFonts w:hint="default" w:ascii="Times New Roman" w:hAnsi="Times New Roman" w:eastAsia="Times New Roman" w:cs="Times New Roman"/>
        <w:b/>
        <w:bCs/>
        <w:w w:val="100"/>
        <w:sz w:val="24"/>
        <w:szCs w:val="24"/>
      </w:rPr>
    </w:lvl>
    <w:lvl w:ilvl="4" w:tentative="0">
      <w:start w:val="0"/>
      <w:numFmt w:val="bullet"/>
      <w:lvlText w:val="•"/>
      <w:lvlJc w:val="left"/>
      <w:pPr>
        <w:ind w:left="3196" w:hanging="711"/>
      </w:pPr>
      <w:rPr>
        <w:rFonts w:hint="default"/>
      </w:rPr>
    </w:lvl>
    <w:lvl w:ilvl="5" w:tentative="0">
      <w:start w:val="0"/>
      <w:numFmt w:val="bullet"/>
      <w:lvlText w:val="•"/>
      <w:lvlJc w:val="left"/>
      <w:pPr>
        <w:ind w:left="4204" w:hanging="711"/>
      </w:pPr>
      <w:rPr>
        <w:rFonts w:hint="default"/>
      </w:rPr>
    </w:lvl>
    <w:lvl w:ilvl="6" w:tentative="0">
      <w:start w:val="0"/>
      <w:numFmt w:val="bullet"/>
      <w:lvlText w:val="•"/>
      <w:lvlJc w:val="left"/>
      <w:pPr>
        <w:ind w:left="5213" w:hanging="711"/>
      </w:pPr>
      <w:rPr>
        <w:rFonts w:hint="default"/>
      </w:rPr>
    </w:lvl>
    <w:lvl w:ilvl="7" w:tentative="0">
      <w:start w:val="0"/>
      <w:numFmt w:val="bullet"/>
      <w:lvlText w:val="•"/>
      <w:lvlJc w:val="left"/>
      <w:pPr>
        <w:ind w:left="6221" w:hanging="711"/>
      </w:pPr>
      <w:rPr>
        <w:rFonts w:hint="default"/>
      </w:rPr>
    </w:lvl>
    <w:lvl w:ilvl="8" w:tentative="0">
      <w:start w:val="0"/>
      <w:numFmt w:val="bullet"/>
      <w:lvlText w:val="•"/>
      <w:lvlJc w:val="left"/>
      <w:pPr>
        <w:ind w:left="7229" w:hanging="711"/>
      </w:pPr>
      <w:rPr>
        <w:rFonts w:hint="default"/>
      </w:rPr>
    </w:lvl>
  </w:abstractNum>
  <w:num w:numId="1">
    <w:abstractNumId w:val="26"/>
  </w:num>
  <w:num w:numId="2">
    <w:abstractNumId w:val="25"/>
  </w:num>
  <w:num w:numId="3">
    <w:abstractNumId w:val="1"/>
  </w:num>
  <w:num w:numId="4">
    <w:abstractNumId w:val="21"/>
  </w:num>
  <w:num w:numId="5">
    <w:abstractNumId w:val="2"/>
  </w:num>
  <w:num w:numId="6">
    <w:abstractNumId w:val="35"/>
  </w:num>
  <w:num w:numId="7">
    <w:abstractNumId w:val="31"/>
  </w:num>
  <w:num w:numId="8">
    <w:abstractNumId w:val="28"/>
  </w:num>
  <w:num w:numId="9">
    <w:abstractNumId w:val="30"/>
  </w:num>
  <w:num w:numId="10">
    <w:abstractNumId w:val="36"/>
  </w:num>
  <w:num w:numId="11">
    <w:abstractNumId w:val="15"/>
  </w:num>
  <w:num w:numId="12">
    <w:abstractNumId w:val="34"/>
  </w:num>
  <w:num w:numId="13">
    <w:abstractNumId w:val="27"/>
  </w:num>
  <w:num w:numId="14">
    <w:abstractNumId w:val="17"/>
  </w:num>
  <w:num w:numId="15">
    <w:abstractNumId w:val="7"/>
  </w:num>
  <w:num w:numId="16">
    <w:abstractNumId w:val="14"/>
  </w:num>
  <w:num w:numId="17">
    <w:abstractNumId w:val="20"/>
  </w:num>
  <w:num w:numId="18">
    <w:abstractNumId w:val="12"/>
  </w:num>
  <w:num w:numId="19">
    <w:abstractNumId w:val="23"/>
  </w:num>
  <w:num w:numId="20">
    <w:abstractNumId w:val="16"/>
  </w:num>
  <w:num w:numId="21">
    <w:abstractNumId w:val="37"/>
  </w:num>
  <w:num w:numId="22">
    <w:abstractNumId w:val="13"/>
  </w:num>
  <w:num w:numId="23">
    <w:abstractNumId w:val="18"/>
  </w:num>
  <w:num w:numId="24">
    <w:abstractNumId w:val="5"/>
  </w:num>
  <w:num w:numId="25">
    <w:abstractNumId w:val="0"/>
  </w:num>
  <w:num w:numId="26">
    <w:abstractNumId w:val="3"/>
  </w:num>
  <w:num w:numId="27">
    <w:abstractNumId w:val="29"/>
  </w:num>
  <w:num w:numId="28">
    <w:abstractNumId w:val="6"/>
  </w:num>
  <w:num w:numId="29">
    <w:abstractNumId w:val="38"/>
  </w:num>
  <w:num w:numId="30">
    <w:abstractNumId w:val="10"/>
  </w:num>
  <w:num w:numId="31">
    <w:abstractNumId w:val="24"/>
  </w:num>
  <w:num w:numId="32">
    <w:abstractNumId w:val="8"/>
  </w:num>
  <w:num w:numId="33">
    <w:abstractNumId w:val="33"/>
  </w:num>
  <w:num w:numId="34">
    <w:abstractNumId w:val="9"/>
  </w:num>
  <w:num w:numId="35">
    <w:abstractNumId w:val="22"/>
  </w:num>
  <w:num w:numId="36">
    <w:abstractNumId w:val="4"/>
  </w:num>
  <w:num w:numId="37">
    <w:abstractNumId w:val="19"/>
  </w:num>
  <w:num w:numId="38">
    <w:abstractNumId w:val="3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OGNkMjg1ODhjOWQ3OWY3OTI4MjNmY2I5ODNhZmUzNWYifQ=="/>
  </w:docVars>
  <w:rsids>
    <w:rsidRoot w:val="00000000"/>
    <w:rsid w:val="02187F6F"/>
    <w:rsid w:val="11E258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spacing w:before="64"/>
      <w:ind w:left="2563" w:hanging="228"/>
      <w:outlineLvl w:val="1"/>
    </w:pPr>
    <w:rPr>
      <w:rFonts w:ascii="宋体" w:hAnsi="宋体" w:eastAsia="宋体" w:cs="宋体"/>
      <w:b/>
      <w:bCs/>
      <w:sz w:val="32"/>
      <w:szCs w:val="32"/>
    </w:rPr>
  </w:style>
  <w:style w:type="paragraph" w:styleId="3">
    <w:name w:val="heading 2"/>
    <w:basedOn w:val="1"/>
    <w:qFormat/>
    <w:uiPriority w:val="1"/>
    <w:pPr>
      <w:ind w:left="868" w:hanging="408"/>
      <w:outlineLvl w:val="2"/>
    </w:pPr>
    <w:rPr>
      <w:rFonts w:ascii="宋体" w:hAnsi="宋体" w:eastAsia="宋体" w:cs="宋体"/>
      <w:b/>
      <w:bCs/>
      <w:sz w:val="28"/>
      <w:szCs w:val="28"/>
    </w:rPr>
  </w:style>
  <w:style w:type="paragraph" w:styleId="4">
    <w:name w:val="heading 3"/>
    <w:basedOn w:val="1"/>
    <w:qFormat/>
    <w:uiPriority w:val="1"/>
    <w:pPr>
      <w:spacing w:line="66" w:lineRule="exact"/>
      <w:ind w:left="328"/>
      <w:outlineLvl w:val="3"/>
    </w:pPr>
    <w:rPr>
      <w:rFonts w:ascii="Arial" w:hAnsi="Arial" w:eastAsia="Arial" w:cs="Arial"/>
      <w:sz w:val="28"/>
      <w:szCs w:val="28"/>
    </w:rPr>
  </w:style>
  <w:style w:type="paragraph" w:styleId="5">
    <w:name w:val="heading 4"/>
    <w:basedOn w:val="1"/>
    <w:qFormat/>
    <w:uiPriority w:val="1"/>
    <w:pPr>
      <w:spacing w:before="65"/>
      <w:ind w:left="514"/>
      <w:outlineLvl w:val="4"/>
    </w:pPr>
    <w:rPr>
      <w:rFonts w:ascii="宋体" w:hAnsi="宋体" w:eastAsia="宋体" w:cs="宋体"/>
      <w:sz w:val="25"/>
      <w:szCs w:val="25"/>
    </w:rPr>
  </w:style>
  <w:style w:type="paragraph" w:styleId="6">
    <w:name w:val="heading 5"/>
    <w:basedOn w:val="1"/>
    <w:qFormat/>
    <w:uiPriority w:val="1"/>
    <w:pPr>
      <w:ind w:left="990"/>
      <w:outlineLvl w:val="5"/>
    </w:pPr>
    <w:rPr>
      <w:rFonts w:ascii="宋体" w:hAnsi="宋体" w:eastAsia="宋体" w:cs="宋体"/>
      <w:b/>
      <w:bCs/>
      <w:sz w:val="24"/>
      <w:szCs w:val="24"/>
    </w:rPr>
  </w:style>
  <w:style w:type="character" w:default="1" w:styleId="11">
    <w:name w:val="Default Paragraph Font"/>
    <w:semiHidden/>
    <w:unhideWhenUsed/>
    <w:uiPriority w:val="1"/>
  </w:style>
  <w:style w:type="table" w:default="1" w:styleId="10">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4"/>
      <w:szCs w:val="24"/>
    </w:rPr>
  </w:style>
  <w:style w:type="paragraph" w:styleId="8">
    <w:name w:val="toc 1"/>
    <w:basedOn w:val="1"/>
    <w:qFormat/>
    <w:uiPriority w:val="1"/>
    <w:pPr>
      <w:spacing w:before="213"/>
      <w:ind w:left="390" w:hanging="170"/>
    </w:pPr>
    <w:rPr>
      <w:rFonts w:ascii="宋体" w:hAnsi="宋体" w:eastAsia="宋体" w:cs="宋体"/>
      <w:b/>
      <w:bCs/>
      <w:sz w:val="24"/>
      <w:szCs w:val="24"/>
    </w:rPr>
  </w:style>
  <w:style w:type="paragraph" w:styleId="9">
    <w:name w:val="toc 2"/>
    <w:basedOn w:val="1"/>
    <w:qFormat/>
    <w:uiPriority w:val="1"/>
    <w:pPr>
      <w:spacing w:before="93"/>
      <w:ind w:left="776" w:hanging="348"/>
    </w:pPr>
    <w:rPr>
      <w:rFonts w:ascii="宋体" w:hAnsi="宋体" w:eastAsia="宋体" w:cs="宋体"/>
      <w:sz w:val="24"/>
      <w:szCs w:val="24"/>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776" w:hanging="530"/>
    </w:pPr>
    <w:rPr>
      <w:rFonts w:ascii="宋体" w:hAnsi="宋体" w:eastAsia="宋体" w:cs="宋体"/>
    </w:rPr>
  </w:style>
  <w:style w:type="paragraph" w:customStyle="1" w:styleId="14">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33.jpeg"/><Relationship Id="rId91" Type="http://schemas.openxmlformats.org/officeDocument/2006/relationships/image" Target="media/image32.jpeg"/><Relationship Id="rId90" Type="http://schemas.openxmlformats.org/officeDocument/2006/relationships/image" Target="media/image31.jpeg"/><Relationship Id="rId9" Type="http://schemas.openxmlformats.org/officeDocument/2006/relationships/header" Target="header2.xml"/><Relationship Id="rId89" Type="http://schemas.openxmlformats.org/officeDocument/2006/relationships/image" Target="media/image30.jpeg"/><Relationship Id="rId88" Type="http://schemas.openxmlformats.org/officeDocument/2006/relationships/image" Target="media/image29.jpeg"/><Relationship Id="rId87" Type="http://schemas.openxmlformats.org/officeDocument/2006/relationships/image" Target="media/image28.jpeg"/><Relationship Id="rId86" Type="http://schemas.openxmlformats.org/officeDocument/2006/relationships/image" Target="media/image27.jpeg"/><Relationship Id="rId85" Type="http://schemas.openxmlformats.org/officeDocument/2006/relationships/image" Target="media/image26.jpeg"/><Relationship Id="rId84" Type="http://schemas.openxmlformats.org/officeDocument/2006/relationships/image" Target="media/image25.jpeg"/><Relationship Id="rId83" Type="http://schemas.openxmlformats.org/officeDocument/2006/relationships/image" Target="media/image24.png"/><Relationship Id="rId82" Type="http://schemas.openxmlformats.org/officeDocument/2006/relationships/image" Target="media/image23.jpeg"/><Relationship Id="rId81" Type="http://schemas.openxmlformats.org/officeDocument/2006/relationships/image" Target="media/image22.jpeg"/><Relationship Id="rId80" Type="http://schemas.openxmlformats.org/officeDocument/2006/relationships/image" Target="media/image21.jpeg"/><Relationship Id="rId8" Type="http://schemas.openxmlformats.org/officeDocument/2006/relationships/footer" Target="footer3.xml"/><Relationship Id="rId79" Type="http://schemas.openxmlformats.org/officeDocument/2006/relationships/image" Target="media/image20.jpeg"/><Relationship Id="rId78" Type="http://schemas.openxmlformats.org/officeDocument/2006/relationships/image" Target="media/image19.jpeg"/><Relationship Id="rId77" Type="http://schemas.openxmlformats.org/officeDocument/2006/relationships/image" Target="media/image18.jpeg"/><Relationship Id="rId76" Type="http://schemas.openxmlformats.org/officeDocument/2006/relationships/image" Target="media/image17.png"/><Relationship Id="rId75" Type="http://schemas.openxmlformats.org/officeDocument/2006/relationships/image" Target="media/image16.png"/><Relationship Id="rId74" Type="http://schemas.openxmlformats.org/officeDocument/2006/relationships/image" Target="media/image15.png"/><Relationship Id="rId73" Type="http://schemas.openxmlformats.org/officeDocument/2006/relationships/image" Target="media/image14.png"/><Relationship Id="rId72" Type="http://schemas.openxmlformats.org/officeDocument/2006/relationships/image" Target="media/image13.jpeg"/><Relationship Id="rId71" Type="http://schemas.openxmlformats.org/officeDocument/2006/relationships/image" Target="media/image12.jpeg"/><Relationship Id="rId70" Type="http://schemas.openxmlformats.org/officeDocument/2006/relationships/image" Target="media/image11.jpeg"/><Relationship Id="rId7" Type="http://schemas.openxmlformats.org/officeDocument/2006/relationships/footer" Target="footer2.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jpeg"/><Relationship Id="rId61" Type="http://schemas.openxmlformats.org/officeDocument/2006/relationships/image" Target="media/image2.jpeg"/><Relationship Id="rId60" Type="http://schemas.openxmlformats.org/officeDocument/2006/relationships/image" Target="media/image1.png"/><Relationship Id="rId6" Type="http://schemas.openxmlformats.org/officeDocument/2006/relationships/footer" Target="footer1.xml"/><Relationship Id="rId59" Type="http://schemas.openxmlformats.org/officeDocument/2006/relationships/theme" Target="theme/theme1.xml"/><Relationship Id="rId58" Type="http://schemas.openxmlformats.org/officeDocument/2006/relationships/footer" Target="footer37.xml"/><Relationship Id="rId57" Type="http://schemas.openxmlformats.org/officeDocument/2006/relationships/header" Target="header17.xml"/><Relationship Id="rId56" Type="http://schemas.openxmlformats.org/officeDocument/2006/relationships/footer" Target="footer36.xml"/><Relationship Id="rId55" Type="http://schemas.openxmlformats.org/officeDocument/2006/relationships/header" Target="header16.xml"/><Relationship Id="rId54" Type="http://schemas.openxmlformats.org/officeDocument/2006/relationships/footer" Target="footer35.xml"/><Relationship Id="rId53" Type="http://schemas.openxmlformats.org/officeDocument/2006/relationships/header" Target="header15.xml"/><Relationship Id="rId52" Type="http://schemas.openxmlformats.org/officeDocument/2006/relationships/footer" Target="footer34.xml"/><Relationship Id="rId51" Type="http://schemas.openxmlformats.org/officeDocument/2006/relationships/header" Target="header14.xml"/><Relationship Id="rId50" Type="http://schemas.openxmlformats.org/officeDocument/2006/relationships/footer" Target="footer33.xml"/><Relationship Id="rId5" Type="http://schemas.openxmlformats.org/officeDocument/2006/relationships/header" Target="header1.xml"/><Relationship Id="rId49" Type="http://schemas.openxmlformats.org/officeDocument/2006/relationships/footer" Target="footer32.xml"/><Relationship Id="rId48" Type="http://schemas.openxmlformats.org/officeDocument/2006/relationships/footer" Target="footer31.xml"/><Relationship Id="rId47" Type="http://schemas.openxmlformats.org/officeDocument/2006/relationships/footer" Target="footer30.xml"/><Relationship Id="rId46" Type="http://schemas.openxmlformats.org/officeDocument/2006/relationships/header" Target="header13.xml"/><Relationship Id="rId45" Type="http://schemas.openxmlformats.org/officeDocument/2006/relationships/footer" Target="footer29.xml"/><Relationship Id="rId44" Type="http://schemas.openxmlformats.org/officeDocument/2006/relationships/header" Target="header12.xml"/><Relationship Id="rId43" Type="http://schemas.openxmlformats.org/officeDocument/2006/relationships/footer" Target="footer28.xml"/><Relationship Id="rId42" Type="http://schemas.openxmlformats.org/officeDocument/2006/relationships/footer" Target="footer27.xml"/><Relationship Id="rId41" Type="http://schemas.openxmlformats.org/officeDocument/2006/relationships/header" Target="header11.xml"/><Relationship Id="rId40" Type="http://schemas.openxmlformats.org/officeDocument/2006/relationships/footer" Target="footer26.xml"/><Relationship Id="rId4" Type="http://schemas.openxmlformats.org/officeDocument/2006/relationships/endnotes" Target="endnotes.xml"/><Relationship Id="rId39" Type="http://schemas.openxmlformats.org/officeDocument/2006/relationships/header" Target="header10.xml"/><Relationship Id="rId38" Type="http://schemas.openxmlformats.org/officeDocument/2006/relationships/footer" Target="footer25.xml"/><Relationship Id="rId37" Type="http://schemas.openxmlformats.org/officeDocument/2006/relationships/footer" Target="footer24.xml"/><Relationship Id="rId36" Type="http://schemas.openxmlformats.org/officeDocument/2006/relationships/footer" Target="footer23.xml"/><Relationship Id="rId35" Type="http://schemas.openxmlformats.org/officeDocument/2006/relationships/footer" Target="footer22.xml"/><Relationship Id="rId34" Type="http://schemas.openxmlformats.org/officeDocument/2006/relationships/footer" Target="footer21.xml"/><Relationship Id="rId33" Type="http://schemas.openxmlformats.org/officeDocument/2006/relationships/footer" Target="footer20.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footnotes" Target="footnotes.xml"/><Relationship Id="rId29" Type="http://schemas.openxmlformats.org/officeDocument/2006/relationships/header" Target="header9.xml"/><Relationship Id="rId28" Type="http://schemas.openxmlformats.org/officeDocument/2006/relationships/footer" Target="footer16.xml"/><Relationship Id="rId27" Type="http://schemas.openxmlformats.org/officeDocument/2006/relationships/header" Target="header8.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header" Target="header6.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1178"/>
    <customShpInfo spid="_x0000_s1179"/>
    <customShpInfo spid="_x0000_s1180"/>
    <customShpInfo spid="_x0000_s1181"/>
    <customShpInfo spid="_x0000_s1177"/>
    <customShpInfo spid="_x0000_s1183"/>
    <customShpInfo spid="_x0000_s1182"/>
    <customShpInfo spid="_x0000_s1184"/>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185"/>
    <customShpInfo spid="_x0000_s1359"/>
    <customShpInfo spid="_x0000_s1361"/>
    <customShpInfo spid="_x0000_s1360"/>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62"/>
    <customShpInfo spid="_x0000_s1376"/>
    <customShpInfo spid="_x0000_s1377"/>
    <customShpInfo spid="_x0000_s1375"/>
    <customShpInfo spid="_x0000_s1379"/>
    <customShpInfo spid="_x0000_s1380"/>
    <customShpInfo spid="_x0000_s1378"/>
    <customShpInfo spid="_x0000_s1382"/>
    <customShpInfo spid="_x0000_s1381"/>
    <customShpInfo spid="_x0000_s1383"/>
    <customShpInfo spid="_x0000_s1384"/>
    <customShpInfo spid="_x0000_s1385"/>
    <customShpInfo spid="_x0000_s1386"/>
    <customShpInfo spid="_x0000_s1387"/>
    <customShpInfo spid="_x0000_s1388"/>
    <customShpInfo spid="_x0000_s1389"/>
    <customShpInfo spid="_x0000_s1391"/>
    <customShpInfo spid="_x0000_s1392"/>
    <customShpInfo spid="_x0000_s1390"/>
    <customShpInfo spid="_x0000_s1394"/>
    <customShpInfo spid="_x0000_s1395"/>
    <customShpInfo spid="_x0000_s1396"/>
    <customShpInfo spid="_x0000_s1397"/>
    <customShpInfo spid="_x0000_s1398"/>
    <customShpInfo spid="_x0000_s1399"/>
    <customShpInfo spid="_x0000_s1393"/>
    <customShpInfo spid="_x0000_s14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215</Pages>
  <Words>126893</Words>
  <Characters>142694</Characters>
  <TotalTime>2</TotalTime>
  <ScaleCrop>false</ScaleCrop>
  <LinksUpToDate>false</LinksUpToDate>
  <CharactersWithSpaces>147058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2024-09-05T10:37:00Z</dcterms:created>
  <dc:creator>Administrator</dc:creator>
  <cp:lastModifiedBy>尹丰平</cp:lastModifiedBy>
  <dcterms:modified xsi:type="dcterms:W3CDTF">2024-09-05T10:40:35Z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2014-01-05T00:00:00Z</vt:filetime>
  </property>
  <property fmtid="{D5CDD505-2E9C-101B-9397-08002B2CF9AE}" pid="3" name="Creator">
    <vt:lpwstr>WPS 文字</vt:lpwstr>
  </property>
  <property fmtid="{D5CDD505-2E9C-101B-9397-08002B2CF9AE}" pid="4" name="LastSaved">
    <vt:filetime>2024-09-05T00:00:00Z</vt:filetime>
  </property>
  <property fmtid="{D5CDD505-2E9C-101B-9397-08002B2CF9AE}" pid="5" name="KSOProductBuildVer">
    <vt:lpwstr>2052-12.1.0.17857</vt:lpwstr>
  </property>
  <property fmtid="{D5CDD505-2E9C-101B-9397-08002B2CF9AE}" pid="6" name="ICV">
    <vt:lpwstr>C247121AB56541479204701D99E9F775_12</vt:lpwstr>
  </property>
</Properties>
</file>